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7.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right"/>
        <w:tblLayout w:type="fixed"/>
        <w:tblLook w:val="0000" w:firstRow="0" w:lastRow="0" w:firstColumn="0" w:lastColumn="0" w:noHBand="0" w:noVBand="0"/>
      </w:tblPr>
      <w:tblGrid>
        <w:gridCol w:w="1519"/>
        <w:gridCol w:w="4643"/>
        <w:gridCol w:w="3335"/>
      </w:tblGrid>
      <w:tr w:rsidR="00032E4E" w:rsidRPr="00AA0C59" w14:paraId="0F1FD21F" w14:textId="77777777" w:rsidTr="00CB007D">
        <w:trPr>
          <w:cantSplit/>
          <w:trHeight w:val="850"/>
          <w:jc w:val="right"/>
        </w:trPr>
        <w:tc>
          <w:tcPr>
            <w:tcW w:w="1550" w:type="dxa"/>
          </w:tcPr>
          <w:p w14:paraId="4BA0EA86" w14:textId="77777777" w:rsidR="00032E4E" w:rsidRPr="00AA0C59" w:rsidRDefault="00032E4E" w:rsidP="00023DA9">
            <w:pPr>
              <w:rPr>
                <w:rFonts w:ascii="Univers" w:hAnsi="Univers"/>
                <w:b/>
                <w:sz w:val="27"/>
                <w:szCs w:val="27"/>
              </w:rPr>
            </w:pPr>
            <w:r w:rsidRPr="00AA0C59">
              <w:rPr>
                <w:rFonts w:ascii="Arial" w:hAnsi="Arial" w:cs="Arial"/>
                <w:b/>
                <w:sz w:val="27"/>
                <w:szCs w:val="27"/>
              </w:rPr>
              <w:t>UNITED</w:t>
            </w:r>
            <w:r w:rsidR="002A25E7">
              <w:rPr>
                <w:rFonts w:ascii="Arial" w:hAnsi="Arial" w:cs="Arial"/>
                <w:b/>
                <w:sz w:val="27"/>
                <w:szCs w:val="27"/>
              </w:rPr>
              <w:t xml:space="preserve"> </w:t>
            </w:r>
            <w:r w:rsidRPr="00AA0C59">
              <w:rPr>
                <w:rFonts w:ascii="Arial" w:hAnsi="Arial" w:cs="Arial"/>
                <w:b/>
                <w:sz w:val="27"/>
                <w:szCs w:val="27"/>
              </w:rPr>
              <w:br/>
              <w:t>NATIONS</w:t>
            </w:r>
          </w:p>
        </w:tc>
        <w:tc>
          <w:tcPr>
            <w:tcW w:w="4751" w:type="dxa"/>
          </w:tcPr>
          <w:p w14:paraId="7751FE9B" w14:textId="77777777" w:rsidR="00032E4E" w:rsidRPr="00AA0C59" w:rsidRDefault="00032E4E" w:rsidP="004A1D8F">
            <w:pPr>
              <w:rPr>
                <w:rFonts w:ascii="Univers" w:hAnsi="Univers"/>
                <w:b/>
                <w:sz w:val="27"/>
                <w:szCs w:val="27"/>
              </w:rPr>
            </w:pPr>
          </w:p>
        </w:tc>
        <w:tc>
          <w:tcPr>
            <w:tcW w:w="3411" w:type="dxa"/>
          </w:tcPr>
          <w:p w14:paraId="1FA16EAE" w14:textId="77777777" w:rsidR="00032E4E" w:rsidRPr="00AA0C59" w:rsidRDefault="00787688" w:rsidP="00023DA9">
            <w:pPr>
              <w:jc w:val="right"/>
              <w:rPr>
                <w:rFonts w:ascii="Arial" w:hAnsi="Arial" w:cs="Arial"/>
                <w:b/>
                <w:sz w:val="64"/>
                <w:szCs w:val="64"/>
              </w:rPr>
            </w:pPr>
            <w:r w:rsidRPr="00AA0C59">
              <w:rPr>
                <w:rFonts w:ascii="Arial" w:hAnsi="Arial" w:cs="Arial"/>
                <w:b/>
                <w:sz w:val="64"/>
                <w:szCs w:val="64"/>
              </w:rPr>
              <w:t>MC</w:t>
            </w:r>
          </w:p>
        </w:tc>
      </w:tr>
      <w:tr w:rsidR="00032E4E" w:rsidRPr="00AA0C59" w14:paraId="13D8C5EC" w14:textId="77777777" w:rsidTr="00CB007D">
        <w:trPr>
          <w:cantSplit/>
          <w:trHeight w:val="281"/>
          <w:jc w:val="right"/>
        </w:trPr>
        <w:tc>
          <w:tcPr>
            <w:tcW w:w="1550" w:type="dxa"/>
            <w:tcBorders>
              <w:bottom w:val="single" w:sz="4" w:space="0" w:color="auto"/>
            </w:tcBorders>
          </w:tcPr>
          <w:p w14:paraId="52CC989F" w14:textId="77777777" w:rsidR="00032E4E" w:rsidRPr="00AA0C59" w:rsidRDefault="00032E4E" w:rsidP="00023DA9">
            <w:pPr>
              <w:rPr>
                <w:sz w:val="18"/>
                <w:szCs w:val="18"/>
              </w:rPr>
            </w:pPr>
          </w:p>
        </w:tc>
        <w:tc>
          <w:tcPr>
            <w:tcW w:w="4751" w:type="dxa"/>
            <w:tcBorders>
              <w:bottom w:val="single" w:sz="4" w:space="0" w:color="auto"/>
            </w:tcBorders>
          </w:tcPr>
          <w:p w14:paraId="0E07EFCB" w14:textId="77777777" w:rsidR="00032E4E" w:rsidRPr="00AA0C59" w:rsidRDefault="00032E4E" w:rsidP="00023DA9">
            <w:pPr>
              <w:rPr>
                <w:rFonts w:ascii="Univers" w:hAnsi="Univers"/>
                <w:b/>
                <w:sz w:val="18"/>
                <w:szCs w:val="18"/>
              </w:rPr>
            </w:pPr>
          </w:p>
        </w:tc>
        <w:tc>
          <w:tcPr>
            <w:tcW w:w="3411" w:type="dxa"/>
            <w:tcBorders>
              <w:bottom w:val="single" w:sz="4" w:space="0" w:color="auto"/>
            </w:tcBorders>
          </w:tcPr>
          <w:p w14:paraId="61870507" w14:textId="77777777" w:rsidR="00032E4E" w:rsidRPr="00AA0C59" w:rsidRDefault="00032E4E" w:rsidP="00787688">
            <w:pPr>
              <w:rPr>
                <w:sz w:val="18"/>
                <w:szCs w:val="18"/>
              </w:rPr>
            </w:pPr>
            <w:r w:rsidRPr="00AA0C59">
              <w:rPr>
                <w:b/>
                <w:bCs/>
                <w:sz w:val="28"/>
              </w:rPr>
              <w:t>UNEP</w:t>
            </w:r>
            <w:bookmarkStart w:id="0" w:name="OLE_LINK1"/>
            <w:bookmarkStart w:id="1" w:name="OLE_LINK2"/>
            <w:r w:rsidR="00787688" w:rsidRPr="0025781D">
              <w:rPr>
                <w:bCs/>
              </w:rPr>
              <w:t>/</w:t>
            </w:r>
            <w:r w:rsidR="00787688" w:rsidRPr="00AA0C59">
              <w:t>MC</w:t>
            </w:r>
            <w:r w:rsidRPr="00AA0C59">
              <w:t>/</w:t>
            </w:r>
            <w:bookmarkEnd w:id="0"/>
            <w:bookmarkEnd w:id="1"/>
            <w:r w:rsidR="002E73F4" w:rsidRPr="00AA0C59">
              <w:t>COP.</w:t>
            </w:r>
            <w:r w:rsidR="0080454B">
              <w:t>3</w:t>
            </w:r>
            <w:r w:rsidRPr="00AA0C59">
              <w:t>/</w:t>
            </w:r>
            <w:r w:rsidR="0080454B">
              <w:t>1</w:t>
            </w:r>
            <w:r w:rsidR="00D40CA1">
              <w:t>1</w:t>
            </w:r>
          </w:p>
        </w:tc>
      </w:tr>
      <w:bookmarkStart w:id="2" w:name="_MON_1021710482"/>
      <w:bookmarkEnd w:id="2"/>
      <w:bookmarkStart w:id="3" w:name="_MON_1021710510"/>
      <w:bookmarkEnd w:id="3"/>
      <w:tr w:rsidR="00032E4E" w:rsidRPr="00AA0C59" w14:paraId="360AD079" w14:textId="77777777" w:rsidTr="00CB007D">
        <w:trPr>
          <w:cantSplit/>
          <w:trHeight w:val="2549"/>
          <w:jc w:val="right"/>
        </w:trPr>
        <w:tc>
          <w:tcPr>
            <w:tcW w:w="1550" w:type="dxa"/>
            <w:tcBorders>
              <w:top w:val="single" w:sz="4" w:space="0" w:color="auto"/>
              <w:bottom w:val="single" w:sz="24" w:space="0" w:color="auto"/>
            </w:tcBorders>
          </w:tcPr>
          <w:p w14:paraId="7E2DA32E" w14:textId="77777777" w:rsidR="00032E4E" w:rsidRPr="00AA0C59" w:rsidRDefault="00D36877" w:rsidP="00023DA9">
            <w:r w:rsidRPr="00AA0C59">
              <w:rPr>
                <w:noProof/>
              </w:rPr>
              <w:object w:dxaOrig="1831" w:dyaOrig="1726" w14:anchorId="6CAE672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66.95pt;height:60.5pt;mso-width-percent:0;mso-height-percent:0;mso-width-percent:0;mso-height-percent:0" o:ole="" fillcolor="window">
                  <v:imagedata r:id="rId8" o:title=""/>
                </v:shape>
                <o:OLEObject Type="Embed" ProgID="Word.Picture.8" ShapeID="_x0000_i1025" DrawAspect="Content" ObjectID="_1631100439" r:id="rId9"/>
              </w:object>
            </w:r>
            <w:r w:rsidR="00011A16" w:rsidRPr="00AA0C59">
              <w:rPr>
                <w:noProof/>
                <w:lang w:eastAsia="en-GB"/>
              </w:rPr>
              <w:drawing>
                <wp:inline distT="0" distB="0" distL="0" distR="0" wp14:anchorId="1D49C52E" wp14:editId="321E3733">
                  <wp:extent cx="723900" cy="76962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751" w:type="dxa"/>
            <w:tcBorders>
              <w:top w:val="single" w:sz="4" w:space="0" w:color="auto"/>
              <w:bottom w:val="single" w:sz="24" w:space="0" w:color="auto"/>
            </w:tcBorders>
          </w:tcPr>
          <w:p w14:paraId="37DA219C" w14:textId="77777777" w:rsidR="00032E4E" w:rsidRPr="00AA0C59" w:rsidRDefault="00032E4E" w:rsidP="00023DA9">
            <w:pPr>
              <w:spacing w:before="1200"/>
              <w:rPr>
                <w:rFonts w:ascii="Arial" w:hAnsi="Arial" w:cs="Arial"/>
                <w:b/>
                <w:sz w:val="28"/>
              </w:rPr>
            </w:pPr>
            <w:r w:rsidRPr="00AA0C59">
              <w:rPr>
                <w:rFonts w:ascii="Arial" w:hAnsi="Arial" w:cs="Arial"/>
                <w:b/>
                <w:sz w:val="32"/>
                <w:szCs w:val="32"/>
              </w:rPr>
              <w:t>United Nations</w:t>
            </w:r>
            <w:r w:rsidR="002A25E7">
              <w:rPr>
                <w:rFonts w:ascii="Arial" w:hAnsi="Arial" w:cs="Arial"/>
                <w:b/>
                <w:sz w:val="32"/>
                <w:szCs w:val="32"/>
              </w:rPr>
              <w:t xml:space="preserve"> </w:t>
            </w:r>
            <w:r w:rsidRPr="00AA0C59">
              <w:rPr>
                <w:rFonts w:ascii="Arial" w:hAnsi="Arial" w:cs="Arial"/>
                <w:b/>
                <w:sz w:val="32"/>
                <w:szCs w:val="32"/>
              </w:rPr>
              <w:br w:type="textWrapping" w:clear="all"/>
              <w:t>Environment</w:t>
            </w:r>
            <w:r w:rsidR="002A25E7">
              <w:rPr>
                <w:rFonts w:ascii="Arial" w:hAnsi="Arial" w:cs="Arial"/>
                <w:b/>
                <w:sz w:val="32"/>
                <w:szCs w:val="32"/>
              </w:rPr>
              <w:t xml:space="preserve"> </w:t>
            </w:r>
            <w:r w:rsidRPr="00AA0C59">
              <w:rPr>
                <w:rFonts w:ascii="Arial" w:hAnsi="Arial" w:cs="Arial"/>
                <w:b/>
                <w:sz w:val="32"/>
                <w:szCs w:val="32"/>
              </w:rPr>
              <w:br w:type="textWrapping" w:clear="all"/>
              <w:t>Programme</w:t>
            </w:r>
          </w:p>
        </w:tc>
        <w:tc>
          <w:tcPr>
            <w:tcW w:w="3411" w:type="dxa"/>
            <w:tcBorders>
              <w:top w:val="single" w:sz="4" w:space="0" w:color="auto"/>
              <w:bottom w:val="single" w:sz="24" w:space="0" w:color="auto"/>
            </w:tcBorders>
          </w:tcPr>
          <w:p w14:paraId="464827ED" w14:textId="2CD891D8" w:rsidR="00032E4E" w:rsidRPr="00A61F4F" w:rsidRDefault="00032E4E" w:rsidP="002A25E7">
            <w:pPr>
              <w:spacing w:before="120"/>
            </w:pPr>
            <w:r w:rsidRPr="00AA0C59">
              <w:t>Distr.: General</w:t>
            </w:r>
            <w:r w:rsidR="002A25E7">
              <w:t xml:space="preserve"> </w:t>
            </w:r>
            <w:r w:rsidR="007A322A">
              <w:br/>
            </w:r>
            <w:r w:rsidR="00B4420E">
              <w:t>23 September</w:t>
            </w:r>
            <w:bookmarkStart w:id="4" w:name="_GoBack"/>
            <w:bookmarkEnd w:id="4"/>
            <w:r w:rsidR="0080454B">
              <w:t xml:space="preserve"> 2019</w:t>
            </w:r>
          </w:p>
          <w:p w14:paraId="59308929" w14:textId="77777777" w:rsidR="00032E4E" w:rsidRPr="00AA0C59" w:rsidRDefault="00032E4E" w:rsidP="002A25E7">
            <w:pPr>
              <w:spacing w:before="120"/>
            </w:pPr>
            <w:r w:rsidRPr="005D2E3E">
              <w:t>Original: English</w:t>
            </w:r>
          </w:p>
        </w:tc>
      </w:tr>
    </w:tbl>
    <w:p w14:paraId="57EC7EFB" w14:textId="77777777" w:rsidR="00E976AB" w:rsidRPr="00AA0C59" w:rsidRDefault="00CB007D" w:rsidP="00E976AB">
      <w:pPr>
        <w:pStyle w:val="AATitle"/>
        <w:keepNext w:val="0"/>
        <w:keepLines w:val="0"/>
      </w:pPr>
      <w:r w:rsidRPr="007A322A">
        <w:t xml:space="preserve">Conference of the </w:t>
      </w:r>
      <w:r w:rsidR="00357141" w:rsidRPr="007A322A">
        <w:t>Parties</w:t>
      </w:r>
      <w:r w:rsidRPr="007A322A">
        <w:t xml:space="preserve"> to the</w:t>
      </w:r>
      <w:r w:rsidR="002A25E7" w:rsidRPr="007A322A">
        <w:t xml:space="preserve"> </w:t>
      </w:r>
      <w:r w:rsidR="002A25E7" w:rsidRPr="007A322A">
        <w:br/>
      </w:r>
      <w:r w:rsidR="00787688" w:rsidRPr="00AA0C59">
        <w:t>Minamata Convention on Mercury</w:t>
      </w:r>
    </w:p>
    <w:p w14:paraId="26D058E6" w14:textId="77777777" w:rsidR="00E976AB" w:rsidRPr="00AA0C59" w:rsidRDefault="0080454B" w:rsidP="00E976AB">
      <w:pPr>
        <w:pStyle w:val="AATitle"/>
        <w:keepNext w:val="0"/>
        <w:keepLines w:val="0"/>
      </w:pPr>
      <w:r>
        <w:t>Third</w:t>
      </w:r>
      <w:r w:rsidR="00787688" w:rsidRPr="00AA0C59">
        <w:t xml:space="preserve"> meeting</w:t>
      </w:r>
    </w:p>
    <w:p w14:paraId="21EF30BF" w14:textId="6668E33D" w:rsidR="00787688" w:rsidRPr="00AA0C59" w:rsidRDefault="00787688" w:rsidP="007121D1">
      <w:pPr>
        <w:pStyle w:val="AATitle"/>
      </w:pPr>
      <w:r w:rsidRPr="00AA0C59">
        <w:rPr>
          <w:b w:val="0"/>
        </w:rPr>
        <w:t>Geneva</w:t>
      </w:r>
      <w:r w:rsidR="00E976AB" w:rsidRPr="00AA0C59">
        <w:rPr>
          <w:b w:val="0"/>
        </w:rPr>
        <w:t xml:space="preserve">, </w:t>
      </w:r>
      <w:r w:rsidR="0080454B">
        <w:rPr>
          <w:b w:val="0"/>
        </w:rPr>
        <w:t>25</w:t>
      </w:r>
      <w:r w:rsidR="00B03580">
        <w:rPr>
          <w:b w:val="0"/>
        </w:rPr>
        <w:t>–</w:t>
      </w:r>
      <w:r w:rsidR="0080454B">
        <w:rPr>
          <w:b w:val="0"/>
        </w:rPr>
        <w:t xml:space="preserve">29 </w:t>
      </w:r>
      <w:r w:rsidR="007121D1" w:rsidRPr="00AA0C59">
        <w:rPr>
          <w:b w:val="0"/>
        </w:rPr>
        <w:t>November 201</w:t>
      </w:r>
      <w:r w:rsidR="0080454B">
        <w:rPr>
          <w:b w:val="0"/>
        </w:rPr>
        <w:t>9</w:t>
      </w:r>
    </w:p>
    <w:p w14:paraId="702DC3E9" w14:textId="77777777" w:rsidR="00FE7303" w:rsidRPr="00AA0C59" w:rsidRDefault="00FE7303" w:rsidP="00FE7303">
      <w:pPr>
        <w:pStyle w:val="AATitle"/>
        <w:rPr>
          <w:b w:val="0"/>
        </w:rPr>
      </w:pPr>
      <w:r w:rsidRPr="00AA0C59">
        <w:rPr>
          <w:b w:val="0"/>
        </w:rPr>
        <w:t>Item</w:t>
      </w:r>
      <w:r w:rsidR="007121D1" w:rsidRPr="00AA0C59">
        <w:rPr>
          <w:b w:val="0"/>
        </w:rPr>
        <w:t xml:space="preserve"> 5 (e) (</w:t>
      </w:r>
      <w:r w:rsidRPr="00AA0C59">
        <w:rPr>
          <w:b w:val="0"/>
        </w:rPr>
        <w:t>i</w:t>
      </w:r>
      <w:r w:rsidR="0080454B">
        <w:rPr>
          <w:b w:val="0"/>
        </w:rPr>
        <w:t>ii</w:t>
      </w:r>
      <w:r w:rsidRPr="00AA0C59">
        <w:rPr>
          <w:b w:val="0"/>
        </w:rPr>
        <w:t>) of the provisional agenda</w:t>
      </w:r>
      <w:r w:rsidRPr="00AA0C59">
        <w:rPr>
          <w:b w:val="0"/>
        </w:rPr>
        <w:footnoteReference w:customMarkFollows="1" w:id="1"/>
        <w:t>*</w:t>
      </w:r>
    </w:p>
    <w:p w14:paraId="26C1A826" w14:textId="16D6C2C6" w:rsidR="00FE7303" w:rsidRPr="007A322A" w:rsidRDefault="00FE7303" w:rsidP="00D7403E">
      <w:pPr>
        <w:pStyle w:val="AATitle2"/>
        <w:ind w:right="5357"/>
      </w:pPr>
      <w:r w:rsidRPr="007A322A">
        <w:t xml:space="preserve">Matters for </w:t>
      </w:r>
      <w:r w:rsidR="007121D1" w:rsidRPr="007A322A">
        <w:t xml:space="preserve">consideration or </w:t>
      </w:r>
      <w:r w:rsidRPr="007A322A">
        <w:t xml:space="preserve">action by the Conference of the </w:t>
      </w:r>
      <w:r w:rsidR="00357141" w:rsidRPr="007A322A">
        <w:t>Parties</w:t>
      </w:r>
      <w:r w:rsidRPr="007A322A">
        <w:t xml:space="preserve">: </w:t>
      </w:r>
      <w:r w:rsidR="007121D1" w:rsidRPr="007A322A">
        <w:t xml:space="preserve">financial mechanism: </w:t>
      </w:r>
      <w:r w:rsidR="00B03580">
        <w:t>r</w:t>
      </w:r>
      <w:r w:rsidR="0080454B" w:rsidRPr="007A322A">
        <w:t>eview of the financial mechanism</w:t>
      </w:r>
      <w:r w:rsidR="008954D6">
        <w:t xml:space="preserve"> </w:t>
      </w:r>
    </w:p>
    <w:p w14:paraId="6E5C7FDC" w14:textId="54827683" w:rsidR="00FE7303" w:rsidRPr="007A322A" w:rsidRDefault="008954D6" w:rsidP="007A322A">
      <w:pPr>
        <w:pStyle w:val="BBTitle"/>
      </w:pPr>
      <w:r>
        <w:t>First r</w:t>
      </w:r>
      <w:r w:rsidR="0080454B" w:rsidRPr="007A322A">
        <w:t>eview of the financial mechanism</w:t>
      </w:r>
      <w:r w:rsidR="00511F58" w:rsidRPr="007A322A">
        <w:t xml:space="preserve"> </w:t>
      </w:r>
    </w:p>
    <w:p w14:paraId="6DA214C1" w14:textId="7CE05002" w:rsidR="00FE7303" w:rsidRPr="00AA0C59" w:rsidRDefault="00FE7303" w:rsidP="007A322A">
      <w:pPr>
        <w:pStyle w:val="CH2"/>
      </w:pPr>
      <w:r w:rsidRPr="00AA0C59">
        <w:tab/>
      </w:r>
      <w:r w:rsidRPr="00AA0C59">
        <w:tab/>
        <w:t>Note by the secretariat</w:t>
      </w:r>
    </w:p>
    <w:p w14:paraId="7E031770" w14:textId="662EB00D" w:rsidR="00364032" w:rsidRPr="007A322A" w:rsidRDefault="00951673" w:rsidP="007A322A">
      <w:pPr>
        <w:pStyle w:val="Normalnumber"/>
        <w:tabs>
          <w:tab w:val="clear" w:pos="1134"/>
          <w:tab w:val="clear" w:pos="1247"/>
          <w:tab w:val="clear" w:pos="1814"/>
          <w:tab w:val="clear" w:pos="2381"/>
          <w:tab w:val="clear" w:pos="2948"/>
          <w:tab w:val="clear" w:pos="3515"/>
          <w:tab w:val="clear" w:pos="4082"/>
          <w:tab w:val="num" w:pos="624"/>
        </w:tabs>
      </w:pPr>
      <w:bookmarkStart w:id="5" w:name="_Hlk525996886"/>
      <w:r w:rsidRPr="007A322A">
        <w:t xml:space="preserve">In paragraph 5 of article 13, </w:t>
      </w:r>
      <w:r w:rsidR="00DE1A6F" w:rsidRPr="007A322A">
        <w:t xml:space="preserve">on financial resources and mechanism, </w:t>
      </w:r>
      <w:r w:rsidRPr="007A322A">
        <w:t>the Minamata Convention on Mercury defines a mechanism for the provision of adequate, predictable and timely financial resources</w:t>
      </w:r>
      <w:r w:rsidR="00D468FB" w:rsidRPr="007A322A">
        <w:t xml:space="preserve"> to support developing</w:t>
      </w:r>
      <w:r w:rsidR="00BB5902" w:rsidRPr="007A322A">
        <w:t>-</w:t>
      </w:r>
      <w:r w:rsidR="00D468FB" w:rsidRPr="007A322A">
        <w:t xml:space="preserve">country </w:t>
      </w:r>
      <w:r w:rsidR="00493033" w:rsidRPr="007A322A">
        <w:t>p</w:t>
      </w:r>
      <w:r w:rsidR="00D468FB" w:rsidRPr="007A322A">
        <w:t xml:space="preserve">arties and </w:t>
      </w:r>
      <w:r w:rsidR="00493033" w:rsidRPr="007A322A">
        <w:t>p</w:t>
      </w:r>
      <w:r w:rsidR="00D468FB" w:rsidRPr="007A322A">
        <w:t>arties with economies in transition in implement</w:t>
      </w:r>
      <w:r w:rsidR="009807B3" w:rsidRPr="007A322A">
        <w:t>ing their obligations under the</w:t>
      </w:r>
      <w:r w:rsidR="00D468FB" w:rsidRPr="007A322A">
        <w:t xml:space="preserve"> Convention. </w:t>
      </w:r>
      <w:r w:rsidR="008A11C8">
        <w:t xml:space="preserve">Paragraph 6 of the same article states that </w:t>
      </w:r>
      <w:r w:rsidR="00D468FB" w:rsidRPr="007A322A">
        <w:t xml:space="preserve">the mechanism </w:t>
      </w:r>
      <w:r w:rsidR="00CC4807" w:rsidRPr="007A322A">
        <w:t>is to</w:t>
      </w:r>
      <w:r w:rsidR="00A53BF5" w:rsidRPr="007A322A">
        <w:t xml:space="preserve"> </w:t>
      </w:r>
      <w:r w:rsidR="00D468FB" w:rsidRPr="007A322A">
        <w:t xml:space="preserve">include the Global Environment </w:t>
      </w:r>
      <w:r w:rsidR="009807B3" w:rsidRPr="007A322A">
        <w:t xml:space="preserve">Facility </w:t>
      </w:r>
      <w:r w:rsidR="00D468FB" w:rsidRPr="007A322A">
        <w:t xml:space="preserve">Trust Fund and a specific international </w:t>
      </w:r>
      <w:r w:rsidR="002E6C6A" w:rsidRPr="007A322A">
        <w:t>p</w:t>
      </w:r>
      <w:r w:rsidR="00D468FB" w:rsidRPr="007A322A">
        <w:t>rogramme to support capacity-building and technical assistance.</w:t>
      </w:r>
      <w:bookmarkEnd w:id="5"/>
      <w:r w:rsidR="00D468FB" w:rsidRPr="007A322A">
        <w:t xml:space="preserve"> </w:t>
      </w:r>
    </w:p>
    <w:p w14:paraId="57A7101C" w14:textId="49D49E25" w:rsidR="00656010" w:rsidRPr="00656010" w:rsidRDefault="00CC4807" w:rsidP="007A322A">
      <w:pPr>
        <w:pStyle w:val="Normalnumber"/>
        <w:tabs>
          <w:tab w:val="clear" w:pos="1134"/>
          <w:tab w:val="clear" w:pos="1247"/>
          <w:tab w:val="clear" w:pos="1814"/>
          <w:tab w:val="clear" w:pos="2381"/>
          <w:tab w:val="clear" w:pos="2948"/>
          <w:tab w:val="clear" w:pos="3515"/>
          <w:tab w:val="clear" w:pos="4082"/>
          <w:tab w:val="num" w:pos="624"/>
        </w:tabs>
      </w:pPr>
      <w:r w:rsidRPr="007A322A">
        <w:t xml:space="preserve">Paragraph 11 of article 13 of the Convention stipulates that the Conference of the </w:t>
      </w:r>
      <w:r w:rsidR="008A11C8">
        <w:t>P</w:t>
      </w:r>
      <w:r w:rsidR="009058EB" w:rsidRPr="007A322A">
        <w:t>arties</w:t>
      </w:r>
      <w:r w:rsidRPr="007A322A">
        <w:t xml:space="preserve"> is to review, no later than at its</w:t>
      </w:r>
      <w:r w:rsidRPr="00AA0C59">
        <w:rPr>
          <w:bCs/>
        </w:rPr>
        <w:t xml:space="preserve"> third meeting</w:t>
      </w:r>
      <w:r w:rsidR="008A11C8">
        <w:rPr>
          <w:bCs/>
        </w:rPr>
        <w:t>,</w:t>
      </w:r>
      <w:r w:rsidRPr="00AA0C59">
        <w:rPr>
          <w:bCs/>
        </w:rPr>
        <w:t xml:space="preserve"> and thereafter on a regular basis</w:t>
      </w:r>
      <w:r w:rsidR="00656010">
        <w:rPr>
          <w:bCs/>
        </w:rPr>
        <w:t xml:space="preserve">: </w:t>
      </w:r>
    </w:p>
    <w:p w14:paraId="3F21D5B8" w14:textId="7F5FEF0E" w:rsidR="00656010" w:rsidRDefault="008A11C8" w:rsidP="007A322A">
      <w:pPr>
        <w:pStyle w:val="Normalnumber"/>
        <w:numPr>
          <w:ilvl w:val="1"/>
          <w:numId w:val="1"/>
        </w:numPr>
        <w:tabs>
          <w:tab w:val="clear" w:pos="1247"/>
          <w:tab w:val="clear" w:pos="1814"/>
          <w:tab w:val="clear" w:pos="2381"/>
          <w:tab w:val="clear" w:pos="2948"/>
          <w:tab w:val="clear" w:pos="3515"/>
          <w:tab w:val="clear" w:pos="4082"/>
        </w:tabs>
      </w:pPr>
      <w:r>
        <w:t>T</w:t>
      </w:r>
      <w:r w:rsidR="00CC4807" w:rsidRPr="00AA0C59">
        <w:t>he level of funding</w:t>
      </w:r>
      <w:r>
        <w:t>;</w:t>
      </w:r>
      <w:r w:rsidR="00CC4807" w:rsidRPr="00AA0C59">
        <w:t xml:space="preserve"> </w:t>
      </w:r>
    </w:p>
    <w:p w14:paraId="1010BBA1" w14:textId="3DC13C20" w:rsidR="00656010" w:rsidRDefault="008A11C8" w:rsidP="007A322A">
      <w:pPr>
        <w:pStyle w:val="Normalnumber"/>
        <w:numPr>
          <w:ilvl w:val="1"/>
          <w:numId w:val="1"/>
        </w:numPr>
        <w:tabs>
          <w:tab w:val="clear" w:pos="1247"/>
          <w:tab w:val="clear" w:pos="1814"/>
          <w:tab w:val="clear" w:pos="2381"/>
          <w:tab w:val="clear" w:pos="2948"/>
          <w:tab w:val="clear" w:pos="3515"/>
          <w:tab w:val="clear" w:pos="4082"/>
        </w:tabs>
      </w:pPr>
      <w:r>
        <w:t>T</w:t>
      </w:r>
      <w:r w:rsidR="00CC4807" w:rsidRPr="00AA0C59">
        <w:t xml:space="preserve">he guidance provided by the Conference of the </w:t>
      </w:r>
      <w:r w:rsidR="00357141">
        <w:t>Parties</w:t>
      </w:r>
      <w:r w:rsidR="00CC4807" w:rsidRPr="00AA0C59">
        <w:t xml:space="preserve"> to the entities entrusted </w:t>
      </w:r>
      <w:r w:rsidR="00CA1158">
        <w:t>with</w:t>
      </w:r>
      <w:r w:rsidR="00CC4807" w:rsidRPr="00AA0C59">
        <w:t xml:space="preserve"> operationaliz</w:t>
      </w:r>
      <w:r w:rsidR="00CA1158">
        <w:t>ing</w:t>
      </w:r>
      <w:r w:rsidR="00CC4807" w:rsidRPr="00AA0C59">
        <w:t xml:space="preserve"> the mechanism</w:t>
      </w:r>
      <w:r>
        <w:t>;</w:t>
      </w:r>
      <w:r w:rsidR="00CC4807" w:rsidRPr="00AA0C59">
        <w:t xml:space="preserve"> </w:t>
      </w:r>
    </w:p>
    <w:p w14:paraId="6CFAC369" w14:textId="2B54A497" w:rsidR="00656010" w:rsidRDefault="008A11C8" w:rsidP="007A322A">
      <w:pPr>
        <w:pStyle w:val="Normalnumber"/>
        <w:numPr>
          <w:ilvl w:val="1"/>
          <w:numId w:val="1"/>
        </w:numPr>
        <w:tabs>
          <w:tab w:val="clear" w:pos="1247"/>
          <w:tab w:val="clear" w:pos="1814"/>
          <w:tab w:val="clear" w:pos="2381"/>
          <w:tab w:val="clear" w:pos="2948"/>
          <w:tab w:val="clear" w:pos="3515"/>
          <w:tab w:val="clear" w:pos="4082"/>
        </w:tabs>
      </w:pPr>
      <w:r>
        <w:t>T</w:t>
      </w:r>
      <w:r w:rsidR="00CC4807" w:rsidRPr="00AA0C59">
        <w:t>he effectiveness of those entities</w:t>
      </w:r>
      <w:r>
        <w:t>;</w:t>
      </w:r>
      <w:r w:rsidR="00CC4807" w:rsidRPr="00AA0C59">
        <w:t xml:space="preserve"> </w:t>
      </w:r>
    </w:p>
    <w:p w14:paraId="6B278EA0" w14:textId="19C9732D" w:rsidR="00CC4807" w:rsidRPr="00AA0C59" w:rsidRDefault="008A11C8" w:rsidP="007A322A">
      <w:pPr>
        <w:pStyle w:val="Normalnumber"/>
        <w:numPr>
          <w:ilvl w:val="1"/>
          <w:numId w:val="1"/>
        </w:numPr>
        <w:tabs>
          <w:tab w:val="clear" w:pos="1247"/>
          <w:tab w:val="clear" w:pos="1814"/>
          <w:tab w:val="clear" w:pos="2381"/>
          <w:tab w:val="clear" w:pos="2948"/>
          <w:tab w:val="clear" w:pos="3515"/>
          <w:tab w:val="clear" w:pos="4082"/>
        </w:tabs>
      </w:pPr>
      <w:r>
        <w:t xml:space="preserve">The </w:t>
      </w:r>
      <w:r w:rsidR="00CC4807" w:rsidRPr="00AA0C59">
        <w:t xml:space="preserve">ability </w:t>
      </w:r>
      <w:r>
        <w:t xml:space="preserve">of those entities </w:t>
      </w:r>
      <w:r w:rsidR="00CC4807" w:rsidRPr="00AA0C59">
        <w:t>to address the changing needs of developing</w:t>
      </w:r>
      <w:r>
        <w:t xml:space="preserve"> </w:t>
      </w:r>
      <w:r w:rsidR="00CC4807" w:rsidRPr="00AA0C59">
        <w:t xml:space="preserve">country parties and parties with economies in transition. </w:t>
      </w:r>
    </w:p>
    <w:p w14:paraId="67977726" w14:textId="1A3466E7" w:rsidR="00656010" w:rsidRDefault="00656010" w:rsidP="000A1CC4">
      <w:pPr>
        <w:pStyle w:val="Normalnumber"/>
        <w:tabs>
          <w:tab w:val="clear" w:pos="1134"/>
          <w:tab w:val="clear" w:pos="1247"/>
          <w:tab w:val="clear" w:pos="1814"/>
          <w:tab w:val="clear" w:pos="2381"/>
          <w:tab w:val="clear" w:pos="2948"/>
          <w:tab w:val="clear" w:pos="3515"/>
          <w:tab w:val="clear" w:pos="4082"/>
          <w:tab w:val="num" w:pos="624"/>
        </w:tabs>
      </w:pPr>
      <w:r>
        <w:t xml:space="preserve">The same paragraph </w:t>
      </w:r>
      <w:r w:rsidR="008A11C8">
        <w:t xml:space="preserve">also </w:t>
      </w:r>
      <w:r>
        <w:t>states that</w:t>
      </w:r>
      <w:r w:rsidR="00992BA8">
        <w:t>,</w:t>
      </w:r>
      <w:r>
        <w:t xml:space="preserve"> b</w:t>
      </w:r>
      <w:r w:rsidRPr="00AA0C59">
        <w:t xml:space="preserve">ased on </w:t>
      </w:r>
      <w:r>
        <w:t>th</w:t>
      </w:r>
      <w:r w:rsidR="008A11C8">
        <w:t>at</w:t>
      </w:r>
      <w:r w:rsidRPr="00AA0C59">
        <w:t xml:space="preserve"> review, the Conference of the </w:t>
      </w:r>
      <w:r w:rsidR="00357141">
        <w:t>Parties</w:t>
      </w:r>
      <w:r w:rsidRPr="00AA0C59">
        <w:t xml:space="preserve"> </w:t>
      </w:r>
      <w:r>
        <w:t>is to</w:t>
      </w:r>
      <w:r w:rsidRPr="00AA0C59">
        <w:t xml:space="preserve"> take appropriate action to improve the effectiveness of the financial mechanism.</w:t>
      </w:r>
    </w:p>
    <w:p w14:paraId="38C2E3B7" w14:textId="6267A1F3" w:rsidR="00CC4807" w:rsidRDefault="00CC4807" w:rsidP="000A1CC4">
      <w:pPr>
        <w:pStyle w:val="Normalnumber"/>
        <w:tabs>
          <w:tab w:val="clear" w:pos="1134"/>
          <w:tab w:val="clear" w:pos="1247"/>
          <w:tab w:val="clear" w:pos="1814"/>
          <w:tab w:val="clear" w:pos="2381"/>
          <w:tab w:val="clear" w:pos="2948"/>
          <w:tab w:val="clear" w:pos="3515"/>
          <w:tab w:val="clear" w:pos="4082"/>
          <w:tab w:val="num" w:pos="624"/>
        </w:tabs>
      </w:pPr>
      <w:r>
        <w:t xml:space="preserve">At its second meeting, the Conference of the </w:t>
      </w:r>
      <w:r w:rsidR="00357141">
        <w:t>Parties</w:t>
      </w:r>
      <w:r>
        <w:t xml:space="preserve"> requested the secretariat to compile </w:t>
      </w:r>
      <w:r w:rsidR="003D6BCD">
        <w:t xml:space="preserve">the </w:t>
      </w:r>
      <w:r>
        <w:t xml:space="preserve">information </w:t>
      </w:r>
      <w:r w:rsidR="003D6BCD">
        <w:t>to be provided by</w:t>
      </w:r>
      <w:r>
        <w:t xml:space="preserve"> the Global Environment Facility</w:t>
      </w:r>
      <w:r w:rsidR="0059564D">
        <w:t xml:space="preserve"> (GEF)</w:t>
      </w:r>
      <w:r>
        <w:t>, the Specific International Programme</w:t>
      </w:r>
      <w:r w:rsidR="0059564D">
        <w:t xml:space="preserve"> to Support Capacity-Building and Technical Assistance</w:t>
      </w:r>
      <w:r>
        <w:t xml:space="preserve">, </w:t>
      </w:r>
      <w:r w:rsidR="009058EB">
        <w:t>parties</w:t>
      </w:r>
      <w:r>
        <w:t xml:space="preserve"> and other relevant sources, </w:t>
      </w:r>
      <w:r w:rsidR="0059564D">
        <w:t>identified</w:t>
      </w:r>
      <w:r>
        <w:t xml:space="preserve"> in paragraph 11 of article 13</w:t>
      </w:r>
      <w:r w:rsidR="003D6BCD">
        <w:t xml:space="preserve"> as being necessary for the review of the financial </w:t>
      </w:r>
      <w:r w:rsidR="00DA4165">
        <w:t xml:space="preserve">mechanism, and to </w:t>
      </w:r>
      <w:r w:rsidR="003D6BCD">
        <w:t>present a</w:t>
      </w:r>
      <w:r>
        <w:t xml:space="preserve"> </w:t>
      </w:r>
      <w:r w:rsidR="006965FB">
        <w:t>synthesis</w:t>
      </w:r>
      <w:r w:rsidR="003D6BCD">
        <w:t xml:space="preserve"> of</w:t>
      </w:r>
      <w:r>
        <w:t xml:space="preserve"> the information received for consideration by the Conference of </w:t>
      </w:r>
      <w:r w:rsidR="006965FB">
        <w:t xml:space="preserve">the </w:t>
      </w:r>
      <w:r w:rsidR="00357141">
        <w:t>Parties</w:t>
      </w:r>
      <w:r>
        <w:t xml:space="preserve"> at its third meeting</w:t>
      </w:r>
      <w:r w:rsidR="0059564D">
        <w:t xml:space="preserve"> (UNEP/MC/COP.2/19, para. 120)</w:t>
      </w:r>
      <w:r>
        <w:t xml:space="preserve">. </w:t>
      </w:r>
    </w:p>
    <w:p w14:paraId="27A6C770" w14:textId="0FC91623" w:rsidR="00CC4807" w:rsidRDefault="00CC4807" w:rsidP="000A1CC4">
      <w:pPr>
        <w:pStyle w:val="Normalnumber"/>
        <w:tabs>
          <w:tab w:val="clear" w:pos="1134"/>
          <w:tab w:val="clear" w:pos="1247"/>
          <w:tab w:val="clear" w:pos="1814"/>
          <w:tab w:val="clear" w:pos="2381"/>
          <w:tab w:val="clear" w:pos="2948"/>
          <w:tab w:val="clear" w:pos="3515"/>
          <w:tab w:val="clear" w:pos="4082"/>
          <w:tab w:val="num" w:pos="624"/>
        </w:tabs>
      </w:pPr>
      <w:r>
        <w:t xml:space="preserve">Following the second meeting, the Executive Secretary requested the </w:t>
      </w:r>
      <w:r w:rsidR="00992BA8">
        <w:t xml:space="preserve">GEF </w:t>
      </w:r>
      <w:r w:rsidR="009058EB">
        <w:t>secretariat</w:t>
      </w:r>
      <w:r>
        <w:t xml:space="preserve"> and the Governing Board of the Specific International Programme</w:t>
      </w:r>
      <w:r w:rsidR="0059564D">
        <w:t xml:space="preserve"> to provide the requisite information</w:t>
      </w:r>
      <w:r>
        <w:t xml:space="preserve">. The Executive Secretary also communicated </w:t>
      </w:r>
      <w:r w:rsidR="006965FB">
        <w:t>the</w:t>
      </w:r>
      <w:r>
        <w:t xml:space="preserve"> request for information to </w:t>
      </w:r>
      <w:r w:rsidR="009058EB">
        <w:t>parties</w:t>
      </w:r>
      <w:r>
        <w:t xml:space="preserve"> and other stakeholders in </w:t>
      </w:r>
      <w:r>
        <w:lastRenderedPageBreak/>
        <w:t xml:space="preserve">a </w:t>
      </w:r>
      <w:r w:rsidR="003D6BCD">
        <w:t>letter</w:t>
      </w:r>
      <w:r>
        <w:t xml:space="preserve"> </w:t>
      </w:r>
      <w:r w:rsidR="0059564D">
        <w:t>dated</w:t>
      </w:r>
      <w:r>
        <w:t xml:space="preserve"> 3 December 2018, </w:t>
      </w:r>
      <w:r w:rsidR="0059564D">
        <w:t>inviting them to submit such information</w:t>
      </w:r>
      <w:r>
        <w:t xml:space="preserve"> </w:t>
      </w:r>
      <w:r w:rsidR="006965FB">
        <w:t xml:space="preserve">to the </w:t>
      </w:r>
      <w:r w:rsidR="009058EB">
        <w:t>secretariat</w:t>
      </w:r>
      <w:r w:rsidR="006965FB">
        <w:t xml:space="preserve"> by</w:t>
      </w:r>
      <w:r>
        <w:t xml:space="preserve"> </w:t>
      </w:r>
      <w:r w:rsidRPr="001E5422">
        <w:t>30</w:t>
      </w:r>
      <w:r w:rsidR="00CB0644">
        <w:t> </w:t>
      </w:r>
      <w:r w:rsidRPr="001E5422">
        <w:t>May</w:t>
      </w:r>
      <w:r w:rsidR="00CB0644">
        <w:t> </w:t>
      </w:r>
      <w:r>
        <w:t xml:space="preserve">2019. </w:t>
      </w:r>
    </w:p>
    <w:p w14:paraId="443DD301" w14:textId="77654276" w:rsidR="00CC4807" w:rsidRDefault="00CC4807" w:rsidP="000A1CC4">
      <w:pPr>
        <w:pStyle w:val="Normalnumber"/>
        <w:tabs>
          <w:tab w:val="clear" w:pos="1134"/>
          <w:tab w:val="clear" w:pos="1247"/>
          <w:tab w:val="clear" w:pos="1814"/>
          <w:tab w:val="clear" w:pos="2381"/>
          <w:tab w:val="clear" w:pos="2948"/>
          <w:tab w:val="clear" w:pos="3515"/>
          <w:tab w:val="clear" w:pos="4082"/>
          <w:tab w:val="num" w:pos="624"/>
        </w:tabs>
      </w:pPr>
      <w:r>
        <w:t xml:space="preserve">The information received </w:t>
      </w:r>
      <w:r w:rsidR="006965FB">
        <w:t xml:space="preserve">by the secretariat </w:t>
      </w:r>
      <w:r>
        <w:t xml:space="preserve">is </w:t>
      </w:r>
      <w:r w:rsidR="0059564D">
        <w:t xml:space="preserve">set out </w:t>
      </w:r>
      <w:r>
        <w:t>in th</w:t>
      </w:r>
      <w:r w:rsidR="0059564D">
        <w:t xml:space="preserve">e </w:t>
      </w:r>
      <w:r w:rsidR="00C0264B">
        <w:t xml:space="preserve">annexes to the </w:t>
      </w:r>
      <w:r w:rsidR="0059564D">
        <w:t>present</w:t>
      </w:r>
      <w:r>
        <w:t xml:space="preserve"> note for consideration by the Conference of </w:t>
      </w:r>
      <w:r w:rsidR="00357141">
        <w:t>Parties</w:t>
      </w:r>
      <w:r>
        <w:t xml:space="preserve"> at its third meeting. </w:t>
      </w:r>
      <w:r w:rsidR="00270AB2">
        <w:t xml:space="preserve">Annex I </w:t>
      </w:r>
      <w:r w:rsidR="00270AB2" w:rsidRPr="00647CF5">
        <w:t xml:space="preserve">sets out the information received from the </w:t>
      </w:r>
      <w:r w:rsidR="00270AB2">
        <w:t xml:space="preserve">GEF </w:t>
      </w:r>
      <w:r w:rsidR="00270AB2" w:rsidRPr="00647CF5">
        <w:t>secretariat in accordance with article 13</w:t>
      </w:r>
      <w:r w:rsidR="00270AB2">
        <w:t>, while</w:t>
      </w:r>
      <w:r w:rsidR="00270AB2" w:rsidRPr="00647CF5">
        <w:t xml:space="preserve"> </w:t>
      </w:r>
      <w:r w:rsidR="00270AB2">
        <w:t xml:space="preserve">annex II sets out the information received from the Governing Board of the Specific International Programme in accordance with article 13. The annexes are reproduced </w:t>
      </w:r>
      <w:r w:rsidR="00270AB2" w:rsidRPr="00907B30">
        <w:t>without formal editing.</w:t>
      </w:r>
      <w:r w:rsidR="00270AB2" w:rsidDel="0059564D">
        <w:t xml:space="preserve"> </w:t>
      </w:r>
      <w:r w:rsidR="0059564D">
        <w:t>N</w:t>
      </w:r>
      <w:r w:rsidR="006965FB">
        <w:t xml:space="preserve">o submissions were received from </w:t>
      </w:r>
      <w:r w:rsidR="009058EB">
        <w:t>parties</w:t>
      </w:r>
      <w:r w:rsidR="006965FB">
        <w:t xml:space="preserve"> or stakeholders.</w:t>
      </w:r>
    </w:p>
    <w:p w14:paraId="12D49380" w14:textId="392C6673" w:rsidR="00AF398A" w:rsidRPr="000A1CC4" w:rsidRDefault="00AF398A" w:rsidP="00C014A5">
      <w:pPr>
        <w:pStyle w:val="CH1"/>
      </w:pPr>
      <w:r w:rsidRPr="000A1CC4">
        <w:tab/>
      </w:r>
      <w:r w:rsidR="00243F29" w:rsidRPr="00C014A5">
        <w:t>I</w:t>
      </w:r>
      <w:r w:rsidRPr="00C014A5">
        <w:t>.</w:t>
      </w:r>
      <w:r w:rsidRPr="00C014A5">
        <w:tab/>
        <w:t>G</w:t>
      </w:r>
      <w:r w:rsidR="00831322" w:rsidRPr="00C014A5">
        <w:t xml:space="preserve">lobal </w:t>
      </w:r>
      <w:r w:rsidRPr="00C014A5">
        <w:t>E</w:t>
      </w:r>
      <w:r w:rsidR="00831322" w:rsidRPr="00C014A5">
        <w:t xml:space="preserve">nvironment </w:t>
      </w:r>
      <w:r w:rsidRPr="00C014A5">
        <w:t>F</w:t>
      </w:r>
      <w:r w:rsidR="00831322" w:rsidRPr="00C014A5">
        <w:t>acility</w:t>
      </w:r>
      <w:r w:rsidRPr="00243F29">
        <w:t xml:space="preserve"> </w:t>
      </w:r>
      <w:r w:rsidR="00656010" w:rsidRPr="00243F29">
        <w:t>support</w:t>
      </w:r>
      <w:r w:rsidRPr="00243F29">
        <w:t xml:space="preserve"> </w:t>
      </w:r>
      <w:r w:rsidR="001E5422" w:rsidRPr="00243F29">
        <w:t>to the Minamata Convention</w:t>
      </w:r>
    </w:p>
    <w:p w14:paraId="002B4994" w14:textId="70CE382B" w:rsidR="00414D69" w:rsidRDefault="00FE6D2A" w:rsidP="000A1CC4">
      <w:pPr>
        <w:pStyle w:val="Normalnumber"/>
        <w:tabs>
          <w:tab w:val="clear" w:pos="1134"/>
          <w:tab w:val="clear" w:pos="1247"/>
          <w:tab w:val="clear" w:pos="1814"/>
          <w:tab w:val="clear" w:pos="2381"/>
          <w:tab w:val="clear" w:pos="2948"/>
          <w:tab w:val="clear" w:pos="3515"/>
          <w:tab w:val="clear" w:pos="4082"/>
          <w:tab w:val="num" w:pos="624"/>
        </w:tabs>
      </w:pPr>
      <w:r>
        <w:t>Paragraph</w:t>
      </w:r>
      <w:r w:rsidR="00414D69">
        <w:t xml:space="preserve"> </w:t>
      </w:r>
      <w:r w:rsidR="003E12A0">
        <w:t xml:space="preserve">7 of article 13 </w:t>
      </w:r>
      <w:r w:rsidR="00941FAC">
        <w:t xml:space="preserve">states </w:t>
      </w:r>
      <w:r w:rsidR="003E12A0">
        <w:t xml:space="preserve">that </w:t>
      </w:r>
      <w:r w:rsidR="001E5422">
        <w:t>t</w:t>
      </w:r>
      <w:r w:rsidR="00414D69">
        <w:t xml:space="preserve">he Global Environment Facility </w:t>
      </w:r>
      <w:r w:rsidR="00941FAC">
        <w:t xml:space="preserve">Trust Fund is to </w:t>
      </w:r>
      <w:r w:rsidR="00414D69">
        <w:t>provide new, predictable, adequate and timely financial resources to meet costs in support of implementation of t</w:t>
      </w:r>
      <w:r w:rsidR="00941FAC">
        <w:t>he</w:t>
      </w:r>
      <w:r w:rsidR="00414D69">
        <w:t xml:space="preserve"> Convention as agreed by the Conference of the </w:t>
      </w:r>
      <w:r w:rsidR="00357141">
        <w:t>Parties</w:t>
      </w:r>
      <w:r w:rsidR="00414D69">
        <w:t xml:space="preserve">. </w:t>
      </w:r>
      <w:r w:rsidR="003E12A0">
        <w:t xml:space="preserve">It </w:t>
      </w:r>
      <w:r w:rsidR="00C0264B">
        <w:t xml:space="preserve">also </w:t>
      </w:r>
      <w:r w:rsidR="003E12A0">
        <w:t>states that for</w:t>
      </w:r>
      <w:r w:rsidR="00414D69">
        <w:t xml:space="preserve"> the purposes of th</w:t>
      </w:r>
      <w:r w:rsidR="00941FAC">
        <w:t>e</w:t>
      </w:r>
      <w:r w:rsidR="00414D69">
        <w:t xml:space="preserve"> Convention, the </w:t>
      </w:r>
      <w:r w:rsidR="00941FAC">
        <w:t>GEF Trust Fund</w:t>
      </w:r>
      <w:r w:rsidR="00414D69">
        <w:t xml:space="preserve"> shall</w:t>
      </w:r>
      <w:r w:rsidR="00941FAC">
        <w:t xml:space="preserve"> be</w:t>
      </w:r>
      <w:r w:rsidR="00414D69">
        <w:t xml:space="preserve"> </w:t>
      </w:r>
      <w:r w:rsidR="003E12A0">
        <w:t>operate</w:t>
      </w:r>
      <w:r w:rsidR="00941FAC">
        <w:t>d</w:t>
      </w:r>
      <w:r w:rsidR="00414D69">
        <w:t xml:space="preserve"> under the guidance of and be accountable to the Conference of the </w:t>
      </w:r>
      <w:r w:rsidR="00357141">
        <w:t>Parties</w:t>
      </w:r>
      <w:r w:rsidR="00414D69">
        <w:t xml:space="preserve">. The Conference of the </w:t>
      </w:r>
      <w:r w:rsidR="00357141">
        <w:t>Parties</w:t>
      </w:r>
      <w:r w:rsidR="00414D69">
        <w:t xml:space="preserve"> </w:t>
      </w:r>
      <w:r w:rsidR="00941FAC">
        <w:t xml:space="preserve">is to </w:t>
      </w:r>
      <w:r w:rsidR="00414D69">
        <w:t xml:space="preserve">provide guidance on overall strategies, policies, programme priorities and eligibility for access to and utilization of financial resources. In addition, the Conference of the </w:t>
      </w:r>
      <w:r w:rsidR="00357141">
        <w:t>Parties</w:t>
      </w:r>
      <w:r w:rsidR="00941FAC">
        <w:t xml:space="preserve"> is to</w:t>
      </w:r>
      <w:r w:rsidR="00414D69">
        <w:t xml:space="preserve"> provide guidance on an indicative list of categories of activities that could receive support from the Trust Fund. </w:t>
      </w:r>
      <w:r w:rsidR="00941FAC">
        <w:t>Furthermore, t</w:t>
      </w:r>
      <w:r w:rsidR="00414D69">
        <w:t xml:space="preserve">he </w:t>
      </w:r>
      <w:r w:rsidR="00941FAC">
        <w:t>GEF</w:t>
      </w:r>
      <w:r w:rsidR="00414D69">
        <w:t xml:space="preserve"> Trust Fund </w:t>
      </w:r>
      <w:r w:rsidR="00941FAC">
        <w:t xml:space="preserve">is to </w:t>
      </w:r>
      <w:r w:rsidR="00414D69">
        <w:t>provide resources to meet the agreed incremental costs of global environmental benefits and the agreed full costs of some enabling activities.</w:t>
      </w:r>
    </w:p>
    <w:p w14:paraId="17B26F76" w14:textId="356198AC" w:rsidR="00414D69" w:rsidRDefault="003E12A0" w:rsidP="000A1CC4">
      <w:pPr>
        <w:pStyle w:val="Normalnumber"/>
        <w:tabs>
          <w:tab w:val="clear" w:pos="1134"/>
          <w:tab w:val="clear" w:pos="1247"/>
          <w:tab w:val="clear" w:pos="1814"/>
          <w:tab w:val="clear" w:pos="2381"/>
          <w:tab w:val="clear" w:pos="2948"/>
          <w:tab w:val="clear" w:pos="3515"/>
          <w:tab w:val="clear" w:pos="4082"/>
          <w:tab w:val="num" w:pos="624"/>
        </w:tabs>
      </w:pPr>
      <w:r>
        <w:t>Paragraph 8 of the same article states that in</w:t>
      </w:r>
      <w:r w:rsidR="00414D69">
        <w:t xml:space="preserve"> providing resources for an activity, the </w:t>
      </w:r>
      <w:r w:rsidR="00941FAC">
        <w:t>GEF</w:t>
      </w:r>
      <w:r w:rsidR="00414D69">
        <w:t xml:space="preserve"> Trust Fund </w:t>
      </w:r>
      <w:r w:rsidR="00941FAC">
        <w:t xml:space="preserve">is to </w:t>
      </w:r>
      <w:r w:rsidR="00414D69">
        <w:t>take into account the</w:t>
      </w:r>
      <w:r>
        <w:t xml:space="preserve"> </w:t>
      </w:r>
      <w:r w:rsidRPr="003E12A0">
        <w:t>potential mercury reductions of a proposed activity relative to its costs.</w:t>
      </w:r>
    </w:p>
    <w:p w14:paraId="2079887A" w14:textId="1E0A2F21" w:rsidR="00853128" w:rsidRPr="00647CF5" w:rsidRDefault="00A21AFF" w:rsidP="000A1CC4">
      <w:pPr>
        <w:pStyle w:val="Normalnumber"/>
        <w:tabs>
          <w:tab w:val="clear" w:pos="1134"/>
          <w:tab w:val="clear" w:pos="1247"/>
          <w:tab w:val="clear" w:pos="1814"/>
          <w:tab w:val="clear" w:pos="2381"/>
          <w:tab w:val="clear" w:pos="2948"/>
          <w:tab w:val="clear" w:pos="3515"/>
          <w:tab w:val="clear" w:pos="4082"/>
          <w:tab w:val="num" w:pos="624"/>
        </w:tabs>
      </w:pPr>
      <w:r w:rsidRPr="002F7012">
        <w:t>T</w:t>
      </w:r>
      <w:r w:rsidR="00941FAC" w:rsidRPr="00647CF5">
        <w:t xml:space="preserve">he Instrument </w:t>
      </w:r>
      <w:r w:rsidRPr="002F7012">
        <w:t xml:space="preserve">for the Establishment of the Restructured Global Environment Facility (GEF Instrument) </w:t>
      </w:r>
      <w:r w:rsidR="00941FAC" w:rsidRPr="00647CF5">
        <w:t>was amended at the</w:t>
      </w:r>
      <w:r w:rsidR="006D2D04" w:rsidRPr="00647CF5">
        <w:t xml:space="preserve"> </w:t>
      </w:r>
      <w:r w:rsidR="00853128" w:rsidRPr="00647CF5">
        <w:t>Fifth GEF Assembly</w:t>
      </w:r>
      <w:r w:rsidR="00941FAC" w:rsidRPr="00647CF5">
        <w:t>, held in</w:t>
      </w:r>
      <w:r w:rsidR="00853128" w:rsidRPr="00647CF5">
        <w:t xml:space="preserve"> </w:t>
      </w:r>
      <w:r w:rsidRPr="002F7012">
        <w:t xml:space="preserve">Cancun, Mexico, in </w:t>
      </w:r>
      <w:r w:rsidR="00853128" w:rsidRPr="00647CF5">
        <w:t>May 2014</w:t>
      </w:r>
      <w:r w:rsidR="00941FAC" w:rsidRPr="00647CF5">
        <w:t>,</w:t>
      </w:r>
      <w:r w:rsidR="00853128" w:rsidRPr="00647CF5">
        <w:t xml:space="preserve"> to include the Minamata Convention in the list of </w:t>
      </w:r>
      <w:r w:rsidR="00941FAC" w:rsidRPr="00647CF5">
        <w:t>c</w:t>
      </w:r>
      <w:r w:rsidR="00853128" w:rsidRPr="00647CF5">
        <w:t>onventions served by GEF.</w:t>
      </w:r>
    </w:p>
    <w:p w14:paraId="717562F8" w14:textId="33AEDF2F" w:rsidR="0020077E" w:rsidRPr="00CA1158" w:rsidRDefault="00853128" w:rsidP="000A1CC4">
      <w:pPr>
        <w:pStyle w:val="Normalnumber"/>
        <w:tabs>
          <w:tab w:val="clear" w:pos="1134"/>
          <w:tab w:val="clear" w:pos="1247"/>
          <w:tab w:val="clear" w:pos="1814"/>
          <w:tab w:val="clear" w:pos="2381"/>
          <w:tab w:val="clear" w:pos="2948"/>
          <w:tab w:val="clear" w:pos="3515"/>
          <w:tab w:val="clear" w:pos="4082"/>
          <w:tab w:val="num" w:pos="624"/>
        </w:tabs>
      </w:pPr>
      <w:r w:rsidRPr="000A1CC4">
        <w:t xml:space="preserve">GEF </w:t>
      </w:r>
      <w:r w:rsidR="00656010" w:rsidRPr="000A1CC4">
        <w:t xml:space="preserve">has </w:t>
      </w:r>
      <w:r w:rsidR="00656010" w:rsidRPr="00AA0C59">
        <w:t xml:space="preserve">provided programming support </w:t>
      </w:r>
      <w:r w:rsidR="00C0264B">
        <w:t>for</w:t>
      </w:r>
      <w:r w:rsidR="00C0264B" w:rsidRPr="00AA0C59">
        <w:t xml:space="preserve"> </w:t>
      </w:r>
      <w:r w:rsidR="00656010" w:rsidRPr="00AA0C59">
        <w:t xml:space="preserve">mercury </w:t>
      </w:r>
      <w:r>
        <w:t xml:space="preserve">management </w:t>
      </w:r>
      <w:r w:rsidR="00656010" w:rsidRPr="00AA0C59">
        <w:t xml:space="preserve">since </w:t>
      </w:r>
      <w:r w:rsidR="00A21AFF">
        <w:t>the fifth replenishment of GEF</w:t>
      </w:r>
      <w:r>
        <w:t xml:space="preserve"> </w:t>
      </w:r>
      <w:r w:rsidR="00353807">
        <w:t xml:space="preserve">(GEF-5) </w:t>
      </w:r>
      <w:r w:rsidR="0020077E">
        <w:t xml:space="preserve">when the GEF Council </w:t>
      </w:r>
      <w:r w:rsidR="00A21AFF">
        <w:t>at its forty-fourth meeting</w:t>
      </w:r>
      <w:r w:rsidR="00114DC2">
        <w:t>,</w:t>
      </w:r>
      <w:r w:rsidR="00A21AFF">
        <w:t xml:space="preserve"> in June 2013</w:t>
      </w:r>
      <w:r w:rsidR="00114DC2">
        <w:t>,</w:t>
      </w:r>
      <w:r w:rsidR="00A21AFF">
        <w:t xml:space="preserve"> </w:t>
      </w:r>
      <w:r w:rsidR="0020077E">
        <w:t xml:space="preserve">allocated </w:t>
      </w:r>
      <w:r w:rsidR="00A21AFF">
        <w:t>$</w:t>
      </w:r>
      <w:r w:rsidR="0020077E">
        <w:t xml:space="preserve">10 million for enabling </w:t>
      </w:r>
      <w:r w:rsidR="00747A12">
        <w:t>activities</w:t>
      </w:r>
      <w:r w:rsidR="0020077E">
        <w:t xml:space="preserve"> under the Minamata Convention. </w:t>
      </w:r>
      <w:r w:rsidR="00A21AFF">
        <w:t>That amount increased to $</w:t>
      </w:r>
      <w:r w:rsidR="0020077E" w:rsidRPr="00747A12">
        <w:t>141 million</w:t>
      </w:r>
      <w:r w:rsidR="00A21AFF">
        <w:t xml:space="preserve"> in the sixth replenishment</w:t>
      </w:r>
      <w:r w:rsidR="00353807">
        <w:t xml:space="preserve"> (GEF-6)</w:t>
      </w:r>
      <w:r w:rsidR="0020077E" w:rsidRPr="00747A12">
        <w:t xml:space="preserve">, and </w:t>
      </w:r>
      <w:r w:rsidR="00A21AFF">
        <w:t xml:space="preserve">further </w:t>
      </w:r>
      <w:r w:rsidR="0020077E" w:rsidRPr="00747A12">
        <w:t xml:space="preserve">to </w:t>
      </w:r>
      <w:r w:rsidR="00A21AFF">
        <w:t>$</w:t>
      </w:r>
      <w:r w:rsidR="0020077E" w:rsidRPr="00747A12">
        <w:t xml:space="preserve">206 million in the seventh </w:t>
      </w:r>
      <w:r w:rsidR="0020077E" w:rsidRPr="00647CF5">
        <w:t>replenishment</w:t>
      </w:r>
      <w:r w:rsidR="00353807">
        <w:t xml:space="preserve"> (GEF-7)</w:t>
      </w:r>
      <w:r w:rsidR="0020077E" w:rsidRPr="00647CF5">
        <w:t xml:space="preserve">. </w:t>
      </w:r>
      <w:r w:rsidR="00353807">
        <w:t>As at</w:t>
      </w:r>
      <w:r w:rsidRPr="00647CF5">
        <w:t xml:space="preserve"> May 2019, GEF has </w:t>
      </w:r>
      <w:r w:rsidR="00647CF5">
        <w:t xml:space="preserve">provided </w:t>
      </w:r>
      <w:r w:rsidRPr="00647CF5">
        <w:t>support</w:t>
      </w:r>
      <w:r w:rsidR="00647CF5">
        <w:t xml:space="preserve"> to enable</w:t>
      </w:r>
      <w:r w:rsidRPr="00647CF5">
        <w:t xml:space="preserve"> a total of 111 countries to </w:t>
      </w:r>
      <w:r w:rsidR="00647CF5">
        <w:t xml:space="preserve">develop their </w:t>
      </w:r>
      <w:r w:rsidRPr="00647CF5">
        <w:t xml:space="preserve">Minamata </w:t>
      </w:r>
      <w:r w:rsidR="00647CF5">
        <w:t>i</w:t>
      </w:r>
      <w:r w:rsidRPr="00647CF5">
        <w:t xml:space="preserve">nitial </w:t>
      </w:r>
      <w:r w:rsidR="00647CF5" w:rsidRPr="00992BA8">
        <w:t>a</w:t>
      </w:r>
      <w:r w:rsidR="0020077E" w:rsidRPr="00992BA8">
        <w:t>ssessments</w:t>
      </w:r>
      <w:r w:rsidRPr="00992BA8">
        <w:t xml:space="preserve"> (MIA</w:t>
      </w:r>
      <w:r w:rsidR="00647CF5" w:rsidRPr="00992BA8">
        <w:t>s</w:t>
      </w:r>
      <w:r w:rsidRPr="00992BA8">
        <w:t>) and 3</w:t>
      </w:r>
      <w:r w:rsidR="00647CF5" w:rsidRPr="00992BA8">
        <w:t>5</w:t>
      </w:r>
      <w:r w:rsidRPr="00992BA8">
        <w:t xml:space="preserve"> countries to </w:t>
      </w:r>
      <w:r w:rsidR="00647CF5" w:rsidRPr="00992BA8">
        <w:t xml:space="preserve">prepare </w:t>
      </w:r>
      <w:r w:rsidRPr="00992BA8">
        <w:t xml:space="preserve">their artisanal and small-scale gold mining (ASGM) </w:t>
      </w:r>
      <w:r w:rsidR="00647CF5" w:rsidRPr="00992BA8">
        <w:t xml:space="preserve">national action plans </w:t>
      </w:r>
      <w:r w:rsidRPr="00992BA8">
        <w:t xml:space="preserve">(NAP). Of the 111 </w:t>
      </w:r>
      <w:r w:rsidR="0032612A" w:rsidRPr="00992BA8">
        <w:t xml:space="preserve">countries for whom </w:t>
      </w:r>
      <w:r w:rsidRPr="00992BA8">
        <w:t xml:space="preserve">MIAs </w:t>
      </w:r>
      <w:r w:rsidR="0032612A" w:rsidRPr="00992BA8">
        <w:t xml:space="preserve">have been </w:t>
      </w:r>
      <w:r w:rsidRPr="00992BA8">
        <w:t xml:space="preserve">funded, 17 countries are </w:t>
      </w:r>
      <w:r w:rsidR="00647CF5" w:rsidRPr="00992BA8">
        <w:t xml:space="preserve">neither </w:t>
      </w:r>
      <w:r w:rsidRPr="00992BA8">
        <w:t>signator</w:t>
      </w:r>
      <w:r w:rsidR="00647CF5" w:rsidRPr="00992BA8">
        <w:t xml:space="preserve">ies nor </w:t>
      </w:r>
      <w:r w:rsidRPr="00CA1158">
        <w:t>part</w:t>
      </w:r>
      <w:r w:rsidR="00647CF5" w:rsidRPr="00CA1158">
        <w:t>ies to the Minamata Convention</w:t>
      </w:r>
      <w:r w:rsidRPr="00CA1158">
        <w:t>, 33 are signator</w:t>
      </w:r>
      <w:r w:rsidR="00647CF5" w:rsidRPr="00CA1158">
        <w:t>ies</w:t>
      </w:r>
      <w:r w:rsidRPr="00CA1158">
        <w:t xml:space="preserve"> </w:t>
      </w:r>
      <w:r w:rsidR="00564176" w:rsidRPr="00CA1158">
        <w:t>but no</w:t>
      </w:r>
      <w:r w:rsidR="00114DC2" w:rsidRPr="00CA1158">
        <w:t xml:space="preserve">t </w:t>
      </w:r>
      <w:r w:rsidR="00564176" w:rsidRPr="00CA1158">
        <w:t>part</w:t>
      </w:r>
      <w:r w:rsidR="00647CF5" w:rsidRPr="00CA1158">
        <w:t>ies</w:t>
      </w:r>
      <w:r w:rsidR="00564176" w:rsidRPr="00CA1158">
        <w:t>, and 61 are part</w:t>
      </w:r>
      <w:r w:rsidR="00647CF5" w:rsidRPr="00CA1158">
        <w:t>ies</w:t>
      </w:r>
      <w:r w:rsidR="00564176" w:rsidRPr="00CA1158">
        <w:t xml:space="preserve"> to the Convention. </w:t>
      </w:r>
      <w:r w:rsidR="0032612A" w:rsidRPr="00CA1158">
        <w:t xml:space="preserve">A total of 18 </w:t>
      </w:r>
      <w:r w:rsidR="00564176" w:rsidRPr="00CA1158">
        <w:t xml:space="preserve">countries will </w:t>
      </w:r>
      <w:r w:rsidR="00647CF5" w:rsidRPr="00CA1158">
        <w:t xml:space="preserve">need </w:t>
      </w:r>
      <w:r w:rsidR="00564176" w:rsidRPr="00CA1158">
        <w:t xml:space="preserve">to ratify the </w:t>
      </w:r>
      <w:r w:rsidR="0020077E" w:rsidRPr="00CA1158">
        <w:t>Convention</w:t>
      </w:r>
      <w:r w:rsidR="00564176" w:rsidRPr="00CA1158">
        <w:t xml:space="preserve"> to be eligible to receive funding for MIAs</w:t>
      </w:r>
      <w:r w:rsidR="00992BA8" w:rsidRPr="00CA1158">
        <w:t xml:space="preserve"> (GEF/A.6/05/Rev.01</w:t>
      </w:r>
      <w:r w:rsidR="00992BA8" w:rsidRPr="00C014A5">
        <w:t>)</w:t>
      </w:r>
      <w:r w:rsidR="00564176" w:rsidRPr="00C014A5">
        <w:t>.</w:t>
      </w:r>
    </w:p>
    <w:p w14:paraId="3F62BC34" w14:textId="0DB7C30F" w:rsidR="006C5732" w:rsidRPr="00992BA8" w:rsidRDefault="00C0264B" w:rsidP="000A1CC4">
      <w:pPr>
        <w:pStyle w:val="Normalnumber"/>
        <w:tabs>
          <w:tab w:val="clear" w:pos="1134"/>
          <w:tab w:val="clear" w:pos="1247"/>
          <w:tab w:val="clear" w:pos="1814"/>
          <w:tab w:val="clear" w:pos="2381"/>
          <w:tab w:val="clear" w:pos="2948"/>
          <w:tab w:val="clear" w:pos="3515"/>
          <w:tab w:val="clear" w:pos="4082"/>
          <w:tab w:val="num" w:pos="624"/>
        </w:tabs>
      </w:pPr>
      <w:r w:rsidRPr="00CA1158">
        <w:t>I</w:t>
      </w:r>
      <w:r w:rsidR="006C5732" w:rsidRPr="00CA1158">
        <w:t>n its decision MC-1/5</w:t>
      </w:r>
      <w:r w:rsidRPr="00CA1158">
        <w:t>,</w:t>
      </w:r>
      <w:r w:rsidR="006C5732" w:rsidRPr="00CA1158">
        <w:t xml:space="preserve"> </w:t>
      </w:r>
      <w:r w:rsidR="0032612A" w:rsidRPr="00CA1158">
        <w:t xml:space="preserve">the Conference of the Parties </w:t>
      </w:r>
      <w:r w:rsidR="006C5732" w:rsidRPr="00CA1158">
        <w:t>adopted its</w:t>
      </w:r>
      <w:r w:rsidR="006C5732" w:rsidRPr="00992BA8">
        <w:t xml:space="preserve"> guidance </w:t>
      </w:r>
      <w:r w:rsidR="0032612A" w:rsidRPr="00992BA8">
        <w:t xml:space="preserve">to GEF </w:t>
      </w:r>
      <w:r w:rsidR="006C5732" w:rsidRPr="00992BA8">
        <w:t xml:space="preserve">on </w:t>
      </w:r>
      <w:r w:rsidR="0032612A" w:rsidRPr="00992BA8">
        <w:t xml:space="preserve">the </w:t>
      </w:r>
      <w:r w:rsidR="006C5732" w:rsidRPr="00992BA8">
        <w:t xml:space="preserve">overall strategies, policies, programme priorities and eligibility for access to and utilization of financial resources and on an indicative list of categories of activities that could receive support from the GEF Trust Fund. </w:t>
      </w:r>
    </w:p>
    <w:p w14:paraId="49DAF753" w14:textId="54A1A49A" w:rsidR="0032612A" w:rsidRPr="002F7012" w:rsidRDefault="003043C3" w:rsidP="00C65903">
      <w:pPr>
        <w:pStyle w:val="Normalnumber"/>
        <w:tabs>
          <w:tab w:val="clear" w:pos="1134"/>
          <w:tab w:val="clear" w:pos="1247"/>
          <w:tab w:val="clear" w:pos="1814"/>
          <w:tab w:val="clear" w:pos="2381"/>
          <w:tab w:val="clear" w:pos="2948"/>
          <w:tab w:val="clear" w:pos="3515"/>
          <w:tab w:val="clear" w:pos="4082"/>
          <w:tab w:val="num" w:pos="624"/>
        </w:tabs>
        <w:rPr>
          <w:lang w:val="en-US"/>
        </w:rPr>
      </w:pPr>
      <w:r w:rsidRPr="00992BA8">
        <w:t>At its second meeting,</w:t>
      </w:r>
      <w:r w:rsidR="0032612A" w:rsidRPr="00992BA8">
        <w:t xml:space="preserve"> in November 2018,</w:t>
      </w:r>
      <w:r w:rsidRPr="00992BA8">
        <w:t xml:space="preserve"> the Conference of the </w:t>
      </w:r>
      <w:r w:rsidR="00357141" w:rsidRPr="00992BA8">
        <w:t>Parties</w:t>
      </w:r>
      <w:r w:rsidRPr="00992BA8">
        <w:t xml:space="preserve"> adopted the </w:t>
      </w:r>
      <w:r w:rsidR="0032612A" w:rsidRPr="00992BA8">
        <w:t>m</w:t>
      </w:r>
      <w:r w:rsidRPr="00992BA8">
        <w:t xml:space="preserve">emorandum of </w:t>
      </w:r>
      <w:r w:rsidR="0032612A" w:rsidRPr="00992BA8">
        <w:t>u</w:t>
      </w:r>
      <w:r w:rsidRPr="00992BA8">
        <w:t xml:space="preserve">nderstanding </w:t>
      </w:r>
      <w:r w:rsidR="006C5732" w:rsidRPr="00992BA8">
        <w:t xml:space="preserve">between the Conference of the Parties and the </w:t>
      </w:r>
      <w:r w:rsidR="0032612A" w:rsidRPr="00992BA8">
        <w:t xml:space="preserve">GEF </w:t>
      </w:r>
      <w:r w:rsidR="006C5732" w:rsidRPr="00992BA8">
        <w:t>Council</w:t>
      </w:r>
      <w:r w:rsidR="0032612A" w:rsidRPr="00992BA8">
        <w:t xml:space="preserve"> (UNEP/MC/COP.2/</w:t>
      </w:r>
      <w:r w:rsidR="0032612A">
        <w:t>19, para. 83)</w:t>
      </w:r>
      <w:r w:rsidR="006C5732" w:rsidRPr="000A1CC4">
        <w:t xml:space="preserve">. </w:t>
      </w:r>
    </w:p>
    <w:p w14:paraId="704EFC39" w14:textId="77777777" w:rsidR="0032612A" w:rsidRPr="006511BA" w:rsidRDefault="0032612A" w:rsidP="0032612A">
      <w:pPr>
        <w:pStyle w:val="Normalnumber"/>
        <w:numPr>
          <w:ilvl w:val="0"/>
          <w:numId w:val="6"/>
        </w:numPr>
        <w:tabs>
          <w:tab w:val="clear" w:pos="1134"/>
          <w:tab w:val="clear" w:pos="1247"/>
          <w:tab w:val="clear" w:pos="1814"/>
          <w:tab w:val="clear" w:pos="2381"/>
          <w:tab w:val="clear" w:pos="2948"/>
          <w:tab w:val="clear" w:pos="3515"/>
          <w:tab w:val="clear" w:pos="4082"/>
          <w:tab w:val="num" w:pos="624"/>
        </w:tabs>
        <w:rPr>
          <w:lang w:val="en-US"/>
        </w:rPr>
      </w:pPr>
      <w:r w:rsidRPr="006511BA">
        <w:rPr>
          <w:bCs/>
          <w:lang w:val="en-US"/>
        </w:rPr>
        <w:t>Following the conclusion of the second meeting of the Conference of Parties, the memorandum of understanding</w:t>
      </w:r>
      <w:r>
        <w:rPr>
          <w:bCs/>
          <w:lang w:val="en-US"/>
        </w:rPr>
        <w:t>, as adopted,</w:t>
      </w:r>
      <w:r w:rsidRPr="006511BA">
        <w:rPr>
          <w:bCs/>
          <w:lang w:val="en-US"/>
        </w:rPr>
        <w:t xml:space="preserve"> was communicated to the GEF Council</w:t>
      </w:r>
      <w:r>
        <w:rPr>
          <w:bCs/>
          <w:lang w:val="en-US"/>
        </w:rPr>
        <w:t>, which considered and approved the memorandum at its fifty-sixth meeting as adopted by the Conference of the Parties</w:t>
      </w:r>
      <w:r w:rsidRPr="006511BA">
        <w:rPr>
          <w:bCs/>
          <w:lang w:val="en-US"/>
        </w:rPr>
        <w:t>.</w:t>
      </w:r>
      <w:r w:rsidRPr="006511BA">
        <w:rPr>
          <w:rStyle w:val="FootnoteReference"/>
          <w:bCs/>
          <w:lang w:val="en-US"/>
        </w:rPr>
        <w:footnoteReference w:id="2"/>
      </w:r>
    </w:p>
    <w:p w14:paraId="212F0514" w14:textId="77777777" w:rsidR="0032612A" w:rsidRPr="006511BA" w:rsidRDefault="0032612A" w:rsidP="0032612A">
      <w:pPr>
        <w:pStyle w:val="Normalnumber"/>
        <w:numPr>
          <w:ilvl w:val="0"/>
          <w:numId w:val="6"/>
        </w:numPr>
        <w:tabs>
          <w:tab w:val="clear" w:pos="1134"/>
          <w:tab w:val="clear" w:pos="1247"/>
          <w:tab w:val="clear" w:pos="1814"/>
          <w:tab w:val="clear" w:pos="2381"/>
          <w:tab w:val="clear" w:pos="2948"/>
          <w:tab w:val="clear" w:pos="3515"/>
          <w:tab w:val="clear" w:pos="4082"/>
          <w:tab w:val="num" w:pos="624"/>
        </w:tabs>
        <w:rPr>
          <w:lang w:val="en-US"/>
        </w:rPr>
      </w:pPr>
      <w:r w:rsidRPr="006511BA">
        <w:rPr>
          <w:bCs/>
          <w:lang w:val="en-US"/>
        </w:rPr>
        <w:t>The memorandum</w:t>
      </w:r>
      <w:r>
        <w:rPr>
          <w:bCs/>
          <w:lang w:val="en-US"/>
        </w:rPr>
        <w:t xml:space="preserve"> of understanding</w:t>
      </w:r>
      <w:r w:rsidRPr="006511BA">
        <w:rPr>
          <w:bCs/>
          <w:lang w:val="en-US"/>
        </w:rPr>
        <w:t xml:space="preserve"> between the Conference of the Parties and the GEF</w:t>
      </w:r>
      <w:r>
        <w:rPr>
          <w:bCs/>
          <w:lang w:val="en-US"/>
        </w:rPr>
        <w:t> </w:t>
      </w:r>
      <w:r w:rsidRPr="006511BA">
        <w:rPr>
          <w:bCs/>
          <w:lang w:val="en-US"/>
        </w:rPr>
        <w:t xml:space="preserve">Council is now in effect. </w:t>
      </w:r>
    </w:p>
    <w:p w14:paraId="471AFCB5" w14:textId="68E94A89" w:rsidR="00BD5045" w:rsidRPr="0032612A" w:rsidRDefault="00656010" w:rsidP="0009617A">
      <w:pPr>
        <w:pStyle w:val="Normalnumber"/>
        <w:tabs>
          <w:tab w:val="clear" w:pos="1134"/>
          <w:tab w:val="clear" w:pos="1247"/>
          <w:tab w:val="clear" w:pos="1814"/>
          <w:tab w:val="clear" w:pos="2381"/>
          <w:tab w:val="clear" w:pos="2948"/>
          <w:tab w:val="clear" w:pos="3515"/>
          <w:tab w:val="clear" w:pos="4082"/>
          <w:tab w:val="num" w:pos="624"/>
        </w:tabs>
        <w:rPr>
          <w:bCs/>
        </w:rPr>
      </w:pPr>
      <w:r w:rsidRPr="00950116">
        <w:t xml:space="preserve">Updates on GEF have been provided </w:t>
      </w:r>
      <w:r w:rsidR="0032612A">
        <w:t>to the Conference of the Parties at its</w:t>
      </w:r>
      <w:r w:rsidRPr="00950116">
        <w:t xml:space="preserve"> first, second and third meetings</w:t>
      </w:r>
      <w:r w:rsidR="00D45B7D">
        <w:t xml:space="preserve"> (</w:t>
      </w:r>
      <w:r w:rsidR="00D45B7D" w:rsidRPr="00493097">
        <w:rPr>
          <w:szCs w:val="18"/>
        </w:rPr>
        <w:t>UNEP/MC/COP.1/INF/3</w:t>
      </w:r>
      <w:r w:rsidR="00D45B7D">
        <w:rPr>
          <w:szCs w:val="18"/>
        </w:rPr>
        <w:t>,</w:t>
      </w:r>
      <w:r w:rsidR="00D45B7D" w:rsidRPr="00493097">
        <w:rPr>
          <w:szCs w:val="18"/>
        </w:rPr>
        <w:t xml:space="preserve"> UNEP/MC/COP.2/INF/3</w:t>
      </w:r>
      <w:r w:rsidR="00D45B7D">
        <w:rPr>
          <w:szCs w:val="18"/>
        </w:rPr>
        <w:t>,</w:t>
      </w:r>
      <w:r w:rsidR="00D45B7D" w:rsidRPr="00493097">
        <w:rPr>
          <w:szCs w:val="18"/>
        </w:rPr>
        <w:t xml:space="preserve"> UNEP/MC/COP.3/INF/2</w:t>
      </w:r>
      <w:r w:rsidR="00D45B7D">
        <w:rPr>
          <w:szCs w:val="18"/>
        </w:rPr>
        <w:t>)</w:t>
      </w:r>
      <w:r w:rsidRPr="00950116">
        <w:t xml:space="preserve">. </w:t>
      </w:r>
      <w:r w:rsidR="00BD5045" w:rsidRPr="00950116">
        <w:t xml:space="preserve">Information on the effectiveness of the funding </w:t>
      </w:r>
      <w:r w:rsidR="00113D07" w:rsidRPr="00950116">
        <w:t>allocated</w:t>
      </w:r>
      <w:r w:rsidR="00BD5045" w:rsidRPr="00950116">
        <w:t xml:space="preserve"> by GEF and the</w:t>
      </w:r>
      <w:r w:rsidR="0032612A">
        <w:t xml:space="preserve"> ability of</w:t>
      </w:r>
      <w:r w:rsidR="00BD5045" w:rsidRPr="00950116">
        <w:t xml:space="preserve"> GEF to address the changing needs of developing country parties and parties </w:t>
      </w:r>
      <w:r w:rsidR="00113D07" w:rsidRPr="00950116">
        <w:t>with</w:t>
      </w:r>
      <w:r w:rsidR="00BD5045" w:rsidRPr="00950116">
        <w:t xml:space="preserve"> economies in </w:t>
      </w:r>
      <w:r w:rsidR="00113D07" w:rsidRPr="00950116">
        <w:t>transition</w:t>
      </w:r>
      <w:r w:rsidR="00BD5045" w:rsidRPr="00950116">
        <w:t xml:space="preserve"> </w:t>
      </w:r>
      <w:r w:rsidR="00C0264B">
        <w:t>is</w:t>
      </w:r>
      <w:r w:rsidR="00C0264B" w:rsidRPr="00950116">
        <w:t xml:space="preserve"> </w:t>
      </w:r>
      <w:r w:rsidR="0032612A">
        <w:t>set out</w:t>
      </w:r>
      <w:r w:rsidR="00BD5045" w:rsidRPr="00950116">
        <w:t xml:space="preserve"> in the </w:t>
      </w:r>
      <w:r w:rsidR="0032612A">
        <w:t xml:space="preserve">reports of the </w:t>
      </w:r>
      <w:r w:rsidR="00BD5045" w:rsidRPr="00950116">
        <w:t xml:space="preserve">GEF </w:t>
      </w:r>
      <w:r w:rsidR="00950116">
        <w:t>Independent E</w:t>
      </w:r>
      <w:r w:rsidR="00BD5045" w:rsidRPr="00950116">
        <w:t xml:space="preserve">valuation </w:t>
      </w:r>
      <w:r w:rsidR="00950116">
        <w:t>Office</w:t>
      </w:r>
      <w:r w:rsidR="00BD5045" w:rsidRPr="00950116">
        <w:t>.</w:t>
      </w:r>
      <w:r w:rsidR="00113D07" w:rsidRPr="00950116">
        <w:rPr>
          <w:rStyle w:val="FootnoteReference"/>
        </w:rPr>
        <w:footnoteReference w:id="3"/>
      </w:r>
      <w:r w:rsidR="00BD5045" w:rsidRPr="0032612A">
        <w:rPr>
          <w:bCs/>
        </w:rPr>
        <w:t xml:space="preserve"> </w:t>
      </w:r>
    </w:p>
    <w:p w14:paraId="715D8FC8" w14:textId="776326E9" w:rsidR="00364032" w:rsidRPr="000A1CC4" w:rsidRDefault="00364032" w:rsidP="00C014A5">
      <w:pPr>
        <w:pStyle w:val="CH1"/>
      </w:pPr>
      <w:r w:rsidRPr="000A1CC4">
        <w:lastRenderedPageBreak/>
        <w:tab/>
      </w:r>
      <w:r w:rsidR="00243F29" w:rsidRPr="00C014A5">
        <w:t>II</w:t>
      </w:r>
      <w:r w:rsidRPr="00C014A5">
        <w:t>.</w:t>
      </w:r>
      <w:r w:rsidRPr="00C014A5">
        <w:tab/>
      </w:r>
      <w:r w:rsidR="00656010" w:rsidRPr="00C014A5">
        <w:t>Specific International Programme</w:t>
      </w:r>
      <w:r w:rsidR="00656010" w:rsidRPr="00243F29">
        <w:t xml:space="preserve"> </w:t>
      </w:r>
      <w:r w:rsidR="004323B4" w:rsidRPr="00243F29">
        <w:t>s</w:t>
      </w:r>
      <w:r w:rsidR="00656010" w:rsidRPr="00243F29">
        <w:t xml:space="preserve">upport </w:t>
      </w:r>
      <w:r w:rsidR="001E5422" w:rsidRPr="00243F29">
        <w:t>to the Minamata Convention</w:t>
      </w:r>
    </w:p>
    <w:p w14:paraId="2D61D84E" w14:textId="60F35D44" w:rsidR="003E12A0" w:rsidRPr="00907B30" w:rsidRDefault="003E12A0" w:rsidP="000A1CC4">
      <w:pPr>
        <w:pStyle w:val="Normalnumber"/>
        <w:tabs>
          <w:tab w:val="clear" w:pos="1134"/>
          <w:tab w:val="clear" w:pos="1247"/>
          <w:tab w:val="clear" w:pos="1814"/>
          <w:tab w:val="clear" w:pos="2381"/>
          <w:tab w:val="clear" w:pos="2948"/>
          <w:tab w:val="clear" w:pos="3515"/>
          <w:tab w:val="clear" w:pos="4082"/>
          <w:tab w:val="num" w:pos="624"/>
        </w:tabs>
      </w:pPr>
      <w:r>
        <w:t xml:space="preserve">Paragraph 9 of article 13 states that </w:t>
      </w:r>
      <w:r w:rsidRPr="003E12A0">
        <w:t xml:space="preserve">the </w:t>
      </w:r>
      <w:r w:rsidR="0032612A">
        <w:t xml:space="preserve">Specific International </w:t>
      </w:r>
      <w:r w:rsidRPr="003E12A0">
        <w:t xml:space="preserve">Programme will be operated under the guidance of </w:t>
      </w:r>
      <w:r w:rsidRPr="006710C3">
        <w:t xml:space="preserve">and be accountable to the Conference of the </w:t>
      </w:r>
      <w:r w:rsidR="00357141" w:rsidRPr="006710C3">
        <w:t>Parties</w:t>
      </w:r>
      <w:r w:rsidRPr="003E12A0">
        <w:t xml:space="preserve">. </w:t>
      </w:r>
      <w:r>
        <w:t>At its first meeting</w:t>
      </w:r>
      <w:r w:rsidR="00DD02D3">
        <w:t>, in its decision MC-1/6,</w:t>
      </w:r>
      <w:r>
        <w:t xml:space="preserve"> the </w:t>
      </w:r>
      <w:r w:rsidRPr="003E12A0">
        <w:t xml:space="preserve">Conference of the </w:t>
      </w:r>
      <w:r w:rsidR="00357141">
        <w:t>Parties</w:t>
      </w:r>
      <w:r w:rsidRPr="003E12A0">
        <w:t xml:space="preserve"> </w:t>
      </w:r>
      <w:r>
        <w:t xml:space="preserve">decided that the Programme </w:t>
      </w:r>
      <w:r w:rsidR="00C0264B">
        <w:t>was</w:t>
      </w:r>
      <w:r w:rsidR="00DD02D3">
        <w:t xml:space="preserve"> to </w:t>
      </w:r>
      <w:r>
        <w:t>be open to receive contributions and applications for support for</w:t>
      </w:r>
      <w:r w:rsidR="00DD02D3">
        <w:t xml:space="preserve"> a period of</w:t>
      </w:r>
      <w:r>
        <w:t xml:space="preserve"> ten </w:t>
      </w:r>
      <w:r w:rsidRPr="00CA1158">
        <w:t>years</w:t>
      </w:r>
      <w:r w:rsidR="00DD02D3" w:rsidRPr="00CA1158">
        <w:t xml:space="preserve"> from the establishment of its trust fund, and that </w:t>
      </w:r>
      <w:r w:rsidRPr="00CA1158">
        <w:t xml:space="preserve">the Conference of the </w:t>
      </w:r>
      <w:r w:rsidR="00357141" w:rsidRPr="00CA1158">
        <w:t>Parties</w:t>
      </w:r>
      <w:r w:rsidRPr="00CA1158">
        <w:t xml:space="preserve"> </w:t>
      </w:r>
      <w:r w:rsidR="00DD02D3" w:rsidRPr="00CA1158">
        <w:t xml:space="preserve">could </w:t>
      </w:r>
      <w:r w:rsidRPr="00CA1158">
        <w:t>decide to extend th</w:t>
      </w:r>
      <w:r w:rsidR="00DD02D3" w:rsidRPr="00CA1158">
        <w:t>at</w:t>
      </w:r>
      <w:r w:rsidRPr="00CA1158">
        <w:t xml:space="preserve"> period </w:t>
      </w:r>
      <w:r w:rsidR="00DD02D3" w:rsidRPr="00CA1158">
        <w:t xml:space="preserve">for a period </w:t>
      </w:r>
      <w:r w:rsidRPr="00CA1158">
        <w:t>not exceeding an additional seven years, taking into account the review process described in paragraph 11</w:t>
      </w:r>
      <w:r w:rsidR="00955D70" w:rsidRPr="00CA1158">
        <w:t xml:space="preserve"> </w:t>
      </w:r>
      <w:r w:rsidR="00955D70" w:rsidRPr="00C014A5">
        <w:t>of article</w:t>
      </w:r>
      <w:r w:rsidR="00F701D0">
        <w:t xml:space="preserve"> 13</w:t>
      </w:r>
      <w:r w:rsidR="00DD02D3" w:rsidRPr="00CA1158">
        <w:t xml:space="preserve"> and in paragraphs 2 and 3 of the present note</w:t>
      </w:r>
      <w:r w:rsidRPr="00CA1158">
        <w:t xml:space="preserve">. </w:t>
      </w:r>
      <w:r w:rsidR="00907B30" w:rsidRPr="00CA1158">
        <w:t>Accordingly, f</w:t>
      </w:r>
      <w:r w:rsidR="00DD02D3" w:rsidRPr="00CA1158">
        <w:t xml:space="preserve">ollowing </w:t>
      </w:r>
      <w:r w:rsidRPr="00CA1158">
        <w:t>the establishment of the Specific</w:t>
      </w:r>
      <w:r w:rsidRPr="00907B30">
        <w:t xml:space="preserve"> Trust Fund</w:t>
      </w:r>
      <w:r w:rsidR="00955D70" w:rsidRPr="00907B30">
        <w:t xml:space="preserve"> by UNEP</w:t>
      </w:r>
      <w:r w:rsidR="00907B30" w:rsidRPr="002F7012">
        <w:t xml:space="preserve"> in January 2018</w:t>
      </w:r>
      <w:r w:rsidR="00955D70" w:rsidRPr="00907B30">
        <w:t xml:space="preserve"> </w:t>
      </w:r>
      <w:r w:rsidR="00DD02D3" w:rsidRPr="002F7012">
        <w:t>in accordance with</w:t>
      </w:r>
      <w:r w:rsidR="00907B30" w:rsidRPr="002F7012">
        <w:t xml:space="preserve"> decision MC</w:t>
      </w:r>
      <w:r w:rsidR="00907B30" w:rsidRPr="002F7012">
        <w:noBreakHyphen/>
      </w:r>
      <w:r w:rsidR="00DD02D3" w:rsidRPr="002F7012">
        <w:t>1/10</w:t>
      </w:r>
      <w:r w:rsidR="00955D70" w:rsidRPr="00907B30">
        <w:t>,</w:t>
      </w:r>
      <w:r w:rsidR="00956F1F" w:rsidRPr="00907B30">
        <w:t xml:space="preserve"> </w:t>
      </w:r>
      <w:r w:rsidRPr="00907B30">
        <w:t xml:space="preserve">the Programme is </w:t>
      </w:r>
      <w:r w:rsidR="00907B30" w:rsidRPr="002F7012">
        <w:t>operational for a period of 10</w:t>
      </w:r>
      <w:r w:rsidR="00CC3F1D">
        <w:t> </w:t>
      </w:r>
      <w:r w:rsidR="00907B30" w:rsidRPr="002F7012">
        <w:t>years</w:t>
      </w:r>
      <w:r w:rsidRPr="00907B30">
        <w:t xml:space="preserve"> initially</w:t>
      </w:r>
      <w:r w:rsidR="00956F1F" w:rsidRPr="00907B30">
        <w:t>,</w:t>
      </w:r>
      <w:r w:rsidRPr="00907B30">
        <w:t xml:space="preserve"> until 2028.</w:t>
      </w:r>
    </w:p>
    <w:p w14:paraId="1A37F2E4" w14:textId="664CB25E" w:rsidR="00C0264B" w:rsidRDefault="00BD5045" w:rsidP="000A1CC4">
      <w:pPr>
        <w:pStyle w:val="Normalnumber"/>
        <w:tabs>
          <w:tab w:val="clear" w:pos="1134"/>
          <w:tab w:val="clear" w:pos="1247"/>
          <w:tab w:val="clear" w:pos="1814"/>
          <w:tab w:val="clear" w:pos="2381"/>
          <w:tab w:val="clear" w:pos="2948"/>
          <w:tab w:val="clear" w:pos="3515"/>
          <w:tab w:val="clear" w:pos="4082"/>
          <w:tab w:val="num" w:pos="624"/>
        </w:tabs>
      </w:pPr>
      <w:r w:rsidRPr="00907B30">
        <w:t xml:space="preserve">While GEF has provided funding </w:t>
      </w:r>
      <w:r w:rsidR="00907B30" w:rsidRPr="002F7012">
        <w:t>relevant to</w:t>
      </w:r>
      <w:r w:rsidRPr="00907B30">
        <w:t xml:space="preserve"> mercury</w:t>
      </w:r>
      <w:r w:rsidR="00525C45" w:rsidRPr="00907B30">
        <w:t xml:space="preserve"> </w:t>
      </w:r>
      <w:r w:rsidR="00B7321B" w:rsidRPr="00907B30">
        <w:t>for the past six years</w:t>
      </w:r>
      <w:r w:rsidR="00907B30" w:rsidRPr="002F7012">
        <w:t xml:space="preserve">, </w:t>
      </w:r>
      <w:r w:rsidR="00B7321B" w:rsidRPr="00907B30">
        <w:t>since 2013,</w:t>
      </w:r>
      <w:r w:rsidR="003E12A0" w:rsidRPr="00907B30">
        <w:t xml:space="preserve"> </w:t>
      </w:r>
      <w:r w:rsidRPr="00907B30">
        <w:t xml:space="preserve">the Specific International Programme </w:t>
      </w:r>
      <w:r w:rsidR="001C24BC" w:rsidRPr="00907B30">
        <w:t xml:space="preserve">has only been </w:t>
      </w:r>
      <w:r w:rsidRPr="00907B30">
        <w:t>operationa</w:t>
      </w:r>
      <w:r w:rsidR="001C24BC" w:rsidRPr="00907B30">
        <w:t xml:space="preserve">l for </w:t>
      </w:r>
      <w:r w:rsidR="00C0264B">
        <w:t xml:space="preserve">a period of </w:t>
      </w:r>
      <w:r w:rsidR="00134617" w:rsidRPr="00907B30">
        <w:t xml:space="preserve">18 months. </w:t>
      </w:r>
      <w:r w:rsidR="0079185B">
        <w:t>T</w:t>
      </w:r>
      <w:r w:rsidR="00134617" w:rsidRPr="00907B30">
        <w:t xml:space="preserve">he Specific Trust Fund </w:t>
      </w:r>
      <w:r w:rsidR="0079185B">
        <w:t>has been open</w:t>
      </w:r>
      <w:r w:rsidR="00134617" w:rsidRPr="00907B30">
        <w:t xml:space="preserve"> to </w:t>
      </w:r>
      <w:r w:rsidRPr="00907B30">
        <w:t>receive</w:t>
      </w:r>
      <w:r w:rsidR="00134617" w:rsidRPr="00907B30">
        <w:t xml:space="preserve"> contributions</w:t>
      </w:r>
      <w:r w:rsidR="0079185B">
        <w:t xml:space="preserve"> since January 2018</w:t>
      </w:r>
      <w:r w:rsidR="00C414DD" w:rsidRPr="00907B30">
        <w:t xml:space="preserve">. The Governing Board was constituted in early 2018 and the </w:t>
      </w:r>
      <w:r w:rsidR="00907B30">
        <w:t>f</w:t>
      </w:r>
      <w:r w:rsidR="00C414DD" w:rsidRPr="00907B30">
        <w:t xml:space="preserve">irst </w:t>
      </w:r>
      <w:r w:rsidR="00907B30">
        <w:t>r</w:t>
      </w:r>
      <w:r w:rsidR="00C414DD" w:rsidRPr="00907B30">
        <w:t xml:space="preserve">ound of applications to the </w:t>
      </w:r>
      <w:r w:rsidR="00907B30">
        <w:t xml:space="preserve">Specific International </w:t>
      </w:r>
      <w:r w:rsidR="00C414DD" w:rsidRPr="00907B30">
        <w:t>Programme was open from 5 June to 31 August 2018. Following th</w:t>
      </w:r>
      <w:r w:rsidR="00B87A21">
        <w:t>e first r</w:t>
      </w:r>
      <w:r w:rsidR="00C414DD" w:rsidRPr="00907B30">
        <w:t>ound</w:t>
      </w:r>
      <w:r w:rsidR="00B87A21">
        <w:t xml:space="preserve"> of applications</w:t>
      </w:r>
      <w:r w:rsidR="00C414DD" w:rsidRPr="00907B30">
        <w:t xml:space="preserve">, the Governing Board approved </w:t>
      </w:r>
      <w:r w:rsidR="00B87A21">
        <w:t>five</w:t>
      </w:r>
      <w:r w:rsidR="00C414DD" w:rsidRPr="00907B30">
        <w:t xml:space="preserve"> projects for funding in October 2018.</w:t>
      </w:r>
      <w:r w:rsidR="00152775" w:rsidRPr="002F7012">
        <w:rPr>
          <w:vertAlign w:val="superscript"/>
        </w:rPr>
        <w:footnoteReference w:id="4"/>
      </w:r>
      <w:r w:rsidR="00C414DD" w:rsidRPr="00907B30">
        <w:t xml:space="preserve"> The </w:t>
      </w:r>
      <w:r w:rsidR="00B87A21">
        <w:t>s</w:t>
      </w:r>
      <w:r w:rsidR="00C414DD" w:rsidRPr="00907B30">
        <w:t xml:space="preserve">econd </w:t>
      </w:r>
      <w:r w:rsidR="00B87A21">
        <w:t>r</w:t>
      </w:r>
      <w:r w:rsidR="00C414DD" w:rsidRPr="00907B30">
        <w:t xml:space="preserve">ound of applications to the Programme was open from 5 March to 14 June 2019. </w:t>
      </w:r>
      <w:r w:rsidR="00C0264B">
        <w:t>At its fourth meeting, held in September 2019, t</w:t>
      </w:r>
      <w:r w:rsidR="00C414DD" w:rsidRPr="00907B30">
        <w:t>he</w:t>
      </w:r>
      <w:r w:rsidR="00420FA9" w:rsidRPr="00907B30">
        <w:t xml:space="preserve"> </w:t>
      </w:r>
      <w:r w:rsidR="00C414DD" w:rsidRPr="00907B30">
        <w:t>Governing Board</w:t>
      </w:r>
      <w:r w:rsidR="00420FA9" w:rsidRPr="00907B30">
        <w:t xml:space="preserve"> </w:t>
      </w:r>
      <w:r w:rsidR="00C414DD" w:rsidRPr="00907B30">
        <w:t>approve</w:t>
      </w:r>
      <w:r w:rsidR="00E75326">
        <w:t>d</w:t>
      </w:r>
      <w:r w:rsidR="00C414DD" w:rsidRPr="00907B30">
        <w:t xml:space="preserve"> projects from</w:t>
      </w:r>
      <w:r w:rsidR="00420FA9" w:rsidRPr="00907B30">
        <w:t xml:space="preserve"> the </w:t>
      </w:r>
      <w:r w:rsidR="00B87A21">
        <w:t>s</w:t>
      </w:r>
      <w:r w:rsidR="00420FA9" w:rsidRPr="00907B30">
        <w:t xml:space="preserve">econd </w:t>
      </w:r>
      <w:r w:rsidR="00B87A21">
        <w:t>r</w:t>
      </w:r>
      <w:r w:rsidR="00420FA9" w:rsidRPr="00907B30">
        <w:t>ound</w:t>
      </w:r>
      <w:r w:rsidR="00C414DD" w:rsidRPr="00907B30">
        <w:t xml:space="preserve"> against funding received </w:t>
      </w:r>
      <w:r w:rsidR="00B87A21">
        <w:t xml:space="preserve">prior to </w:t>
      </w:r>
      <w:r w:rsidR="00C0264B">
        <w:t>the</w:t>
      </w:r>
      <w:r w:rsidR="00B87A21">
        <w:t xml:space="preserve"> </w:t>
      </w:r>
      <w:r w:rsidR="00C414DD" w:rsidRPr="00907B30">
        <w:t>meeting</w:t>
      </w:r>
      <w:r w:rsidR="00B87A21">
        <w:t xml:space="preserve">. </w:t>
      </w:r>
      <w:r w:rsidR="00B87A21" w:rsidRPr="00493097">
        <w:rPr>
          <w:szCs w:val="18"/>
        </w:rPr>
        <w:t xml:space="preserve">The outcome of the fourth meeting of the Governing Board </w:t>
      </w:r>
      <w:r w:rsidR="00E75326">
        <w:rPr>
          <w:szCs w:val="18"/>
        </w:rPr>
        <w:t>is presented as</w:t>
      </w:r>
      <w:r w:rsidR="00C0264B">
        <w:rPr>
          <w:szCs w:val="18"/>
        </w:rPr>
        <w:t xml:space="preserve"> annex III to</w:t>
      </w:r>
      <w:r w:rsidR="00B87A21" w:rsidRPr="00493097">
        <w:rPr>
          <w:szCs w:val="18"/>
        </w:rPr>
        <w:t xml:space="preserve"> </w:t>
      </w:r>
      <w:r w:rsidR="00B87A21">
        <w:rPr>
          <w:szCs w:val="18"/>
        </w:rPr>
        <w:t xml:space="preserve">document </w:t>
      </w:r>
      <w:r w:rsidR="00B87A21" w:rsidRPr="00493097">
        <w:rPr>
          <w:szCs w:val="18"/>
        </w:rPr>
        <w:t>UNEP/MC/COP.3/10/Add</w:t>
      </w:r>
      <w:r w:rsidR="00B87A21">
        <w:rPr>
          <w:szCs w:val="18"/>
        </w:rPr>
        <w:t>.</w:t>
      </w:r>
      <w:r w:rsidR="00B87A21" w:rsidRPr="00493097">
        <w:rPr>
          <w:szCs w:val="18"/>
        </w:rPr>
        <w:t>1</w:t>
      </w:r>
      <w:r w:rsidR="00B87A21">
        <w:rPr>
          <w:szCs w:val="18"/>
        </w:rPr>
        <w:t>.</w:t>
      </w:r>
      <w:r w:rsidR="00420FA9" w:rsidRPr="00907B30">
        <w:t xml:space="preserve"> </w:t>
      </w:r>
    </w:p>
    <w:p w14:paraId="6F6DC5C1" w14:textId="0AB200F7" w:rsidR="00656010" w:rsidRPr="00907B30" w:rsidRDefault="00B87A21" w:rsidP="000A1CC4">
      <w:pPr>
        <w:pStyle w:val="Normalnumber"/>
        <w:tabs>
          <w:tab w:val="clear" w:pos="1134"/>
          <w:tab w:val="clear" w:pos="1247"/>
          <w:tab w:val="clear" w:pos="1814"/>
          <w:tab w:val="clear" w:pos="2381"/>
          <w:tab w:val="clear" w:pos="2948"/>
          <w:tab w:val="clear" w:pos="3515"/>
          <w:tab w:val="clear" w:pos="4082"/>
          <w:tab w:val="num" w:pos="624"/>
        </w:tabs>
      </w:pPr>
      <w:r>
        <w:t>The i</w:t>
      </w:r>
      <w:r w:rsidR="007F7E21" w:rsidRPr="00907B30">
        <w:t xml:space="preserve">mplementation of </w:t>
      </w:r>
      <w:r w:rsidR="001C24BC" w:rsidRPr="00907B30">
        <w:t>four of the</w:t>
      </w:r>
      <w:r w:rsidR="007F7E21" w:rsidRPr="00907B30">
        <w:t xml:space="preserve"> </w:t>
      </w:r>
      <w:r w:rsidR="001C24BC" w:rsidRPr="00907B30">
        <w:t>first five projects</w:t>
      </w:r>
      <w:r w:rsidR="00C0264B">
        <w:t xml:space="preserve"> approved in the first round of applications</w:t>
      </w:r>
      <w:r w:rsidR="007F7E21" w:rsidRPr="00907B30">
        <w:t xml:space="preserve"> began in the second quarter of 2019 following the conclusion of </w:t>
      </w:r>
      <w:r>
        <w:t xml:space="preserve">the requisite </w:t>
      </w:r>
      <w:r w:rsidR="007F7E21" w:rsidRPr="00907B30">
        <w:t xml:space="preserve">legal agreements. </w:t>
      </w:r>
      <w:r w:rsidR="001C24BC" w:rsidRPr="00907B30">
        <w:t>With only 18 months</w:t>
      </w:r>
      <w:r>
        <w:t>’</w:t>
      </w:r>
      <w:r w:rsidR="001C24BC" w:rsidRPr="00907B30">
        <w:t xml:space="preserve"> experience</w:t>
      </w:r>
      <w:r>
        <w:t>,</w:t>
      </w:r>
      <w:r w:rsidR="001C24BC" w:rsidRPr="00907B30">
        <w:t xml:space="preserve"> the Governing Board</w:t>
      </w:r>
      <w:r w:rsidR="004F3FCB" w:rsidRPr="00907B30">
        <w:t xml:space="preserve"> deemed </w:t>
      </w:r>
      <w:r w:rsidR="00C0264B">
        <w:t>that it was</w:t>
      </w:r>
      <w:r w:rsidR="004F3FCB" w:rsidRPr="00907B30">
        <w:t xml:space="preserve"> too early</w:t>
      </w:r>
      <w:r w:rsidR="001C24BC" w:rsidRPr="00907B30">
        <w:t xml:space="preserve"> to </w:t>
      </w:r>
      <w:r>
        <w:t>assess</w:t>
      </w:r>
      <w:r w:rsidR="001C24BC" w:rsidRPr="00907B30">
        <w:t xml:space="preserve"> the effectiveness of the Programme and</w:t>
      </w:r>
      <w:r w:rsidR="00C414DD" w:rsidRPr="00907B30">
        <w:t xml:space="preserve"> </w:t>
      </w:r>
      <w:r w:rsidR="004F3FCB" w:rsidRPr="00907B30">
        <w:t xml:space="preserve">its ability to address the changing needs </w:t>
      </w:r>
      <w:r w:rsidR="00AC6678" w:rsidRPr="00907B30">
        <w:t xml:space="preserve">of </w:t>
      </w:r>
      <w:r w:rsidR="004F3FCB" w:rsidRPr="00907B30">
        <w:t>developing country parties</w:t>
      </w:r>
      <w:r w:rsidR="00AC6678" w:rsidRPr="00907B30">
        <w:t xml:space="preserve"> and parties with economies in transition.</w:t>
      </w:r>
      <w:r w:rsidR="004F3FCB" w:rsidRPr="00907B30">
        <w:t xml:space="preserve"> </w:t>
      </w:r>
    </w:p>
    <w:p w14:paraId="61486E67" w14:textId="7A449B77" w:rsidR="00BD5045" w:rsidRPr="00FF1401" w:rsidRDefault="00B87A21" w:rsidP="000A1CC4">
      <w:pPr>
        <w:pStyle w:val="Normalnumber"/>
        <w:tabs>
          <w:tab w:val="clear" w:pos="1134"/>
          <w:tab w:val="clear" w:pos="1247"/>
          <w:tab w:val="clear" w:pos="1814"/>
          <w:tab w:val="clear" w:pos="2381"/>
          <w:tab w:val="clear" w:pos="2948"/>
          <w:tab w:val="clear" w:pos="3515"/>
          <w:tab w:val="clear" w:pos="4082"/>
          <w:tab w:val="num" w:pos="624"/>
        </w:tabs>
      </w:pPr>
      <w:r>
        <w:t>In terms of</w:t>
      </w:r>
      <w:r w:rsidR="00BD5045">
        <w:t xml:space="preserve"> the </w:t>
      </w:r>
      <w:r>
        <w:t xml:space="preserve">level of funding of the </w:t>
      </w:r>
      <w:r w:rsidR="00420FA9">
        <w:t>Spec</w:t>
      </w:r>
      <w:r>
        <w:t>ific International</w:t>
      </w:r>
      <w:r w:rsidR="00420FA9">
        <w:t xml:space="preserve"> Programme</w:t>
      </w:r>
      <w:r>
        <w:t>,</w:t>
      </w:r>
      <w:r w:rsidRPr="00B87A21">
        <w:t xml:space="preserve"> </w:t>
      </w:r>
      <w:r w:rsidR="00AD39F2">
        <w:t xml:space="preserve">the </w:t>
      </w:r>
      <w:r w:rsidRPr="000A1CC4">
        <w:t xml:space="preserve">contributors to the Programme </w:t>
      </w:r>
      <w:r w:rsidR="00C0264B">
        <w:t xml:space="preserve">to date </w:t>
      </w:r>
      <w:r w:rsidR="001F405F">
        <w:t>are</w:t>
      </w:r>
      <w:r w:rsidRPr="000A1CC4">
        <w:t xml:space="preserve"> Austria, Denmark, Germany, the Netherlands, Norway, Sweden, Switzerland, the United Kingdom </w:t>
      </w:r>
      <w:r>
        <w:t xml:space="preserve">of Great Britain and Northern Ireland </w:t>
      </w:r>
      <w:r w:rsidRPr="000A1CC4">
        <w:t>and the United States</w:t>
      </w:r>
      <w:r>
        <w:t xml:space="preserve"> of America. </w:t>
      </w:r>
      <w:r w:rsidRPr="00013AA2">
        <w:t>A total of $</w:t>
      </w:r>
      <w:r w:rsidR="005752C8" w:rsidRPr="00013AA2">
        <w:t>1,281,448</w:t>
      </w:r>
      <w:r w:rsidR="005752C8">
        <w:t xml:space="preserve"> was received for the first round </w:t>
      </w:r>
      <w:r w:rsidR="00AC6678">
        <w:t xml:space="preserve">of applications </w:t>
      </w:r>
      <w:r w:rsidR="005752C8">
        <w:t xml:space="preserve">(2018) </w:t>
      </w:r>
      <w:r w:rsidR="005752C8" w:rsidRPr="00276C5F">
        <w:t xml:space="preserve">and </w:t>
      </w:r>
      <w:r w:rsidRPr="00276C5F">
        <w:t>$</w:t>
      </w:r>
      <w:r w:rsidR="005752C8" w:rsidRPr="00276C5F">
        <w:t>2,414,413</w:t>
      </w:r>
      <w:r>
        <w:t xml:space="preserve"> – or almost double the amount pledged and contributed for the first round –</w:t>
      </w:r>
      <w:r w:rsidR="005752C8">
        <w:t xml:space="preserve"> for the second round</w:t>
      </w:r>
      <w:r w:rsidR="00AC6678">
        <w:t xml:space="preserve"> of applications</w:t>
      </w:r>
      <w:r w:rsidR="005752C8">
        <w:t xml:space="preserve"> (2019).</w:t>
      </w:r>
      <w:r>
        <w:t xml:space="preserve"> The increase in contributions is a clear indication of high donor confidence in the Programme.</w:t>
      </w:r>
      <w:r w:rsidR="005752C8">
        <w:t xml:space="preserve"> </w:t>
      </w:r>
    </w:p>
    <w:p w14:paraId="17F66E3B" w14:textId="2C3B8C09" w:rsidR="00FF1401" w:rsidRDefault="00B87A21" w:rsidP="000A1CC4">
      <w:pPr>
        <w:pStyle w:val="Normalnumber"/>
        <w:tabs>
          <w:tab w:val="clear" w:pos="1134"/>
          <w:tab w:val="clear" w:pos="1247"/>
          <w:tab w:val="clear" w:pos="1814"/>
          <w:tab w:val="clear" w:pos="2381"/>
          <w:tab w:val="clear" w:pos="2948"/>
          <w:tab w:val="clear" w:pos="3515"/>
          <w:tab w:val="clear" w:pos="4082"/>
          <w:tab w:val="num" w:pos="624"/>
        </w:tabs>
      </w:pPr>
      <w:r>
        <w:t>D</w:t>
      </w:r>
      <w:r w:rsidR="00FF1401" w:rsidRPr="000A1CC4">
        <w:t xml:space="preserve">espite the </w:t>
      </w:r>
      <w:r w:rsidR="005752C8" w:rsidRPr="000A1CC4">
        <w:t xml:space="preserve">significant </w:t>
      </w:r>
      <w:r w:rsidR="00956F1F" w:rsidRPr="000A1CC4">
        <w:t>increase</w:t>
      </w:r>
      <w:r w:rsidR="00FF1401" w:rsidRPr="000A1CC4">
        <w:t xml:space="preserve"> </w:t>
      </w:r>
      <w:r>
        <w:t>in</w:t>
      </w:r>
      <w:r w:rsidRPr="000A1CC4">
        <w:t xml:space="preserve"> </w:t>
      </w:r>
      <w:r w:rsidR="00FF1401" w:rsidRPr="000A1CC4">
        <w:t xml:space="preserve">funding, </w:t>
      </w:r>
      <w:r>
        <w:t xml:space="preserve">however, the amount </w:t>
      </w:r>
      <w:r w:rsidR="00FF1401" w:rsidRPr="000A1CC4">
        <w:t xml:space="preserve">made available </w:t>
      </w:r>
      <w:r w:rsidR="005752C8" w:rsidRPr="000A1CC4">
        <w:t>for th</w:t>
      </w:r>
      <w:r>
        <w:t>e second</w:t>
      </w:r>
      <w:r w:rsidR="005752C8" w:rsidRPr="000A1CC4">
        <w:t xml:space="preserve"> round </w:t>
      </w:r>
      <w:r>
        <w:t xml:space="preserve">represents </w:t>
      </w:r>
      <w:r w:rsidR="005752C8" w:rsidRPr="000A1CC4">
        <w:t>only half the amount</w:t>
      </w:r>
      <w:r w:rsidR="00C0264B">
        <w:t xml:space="preserve"> that would be</w:t>
      </w:r>
      <w:r w:rsidR="005752C8" w:rsidRPr="000A1CC4">
        <w:t xml:space="preserve"> </w:t>
      </w:r>
      <w:r>
        <w:t>necessary to fund all the</w:t>
      </w:r>
      <w:r w:rsidR="005752C8" w:rsidRPr="000A1CC4">
        <w:t xml:space="preserve"> applications received </w:t>
      </w:r>
      <w:r>
        <w:t>for consideration in the second round, namely $</w:t>
      </w:r>
      <w:r w:rsidR="005752C8" w:rsidRPr="000A1CC4">
        <w:t>4,284,393</w:t>
      </w:r>
      <w:r>
        <w:t>.</w:t>
      </w:r>
      <w:r w:rsidR="005752C8" w:rsidRPr="000A1CC4">
        <w:t xml:space="preserve"> </w:t>
      </w:r>
    </w:p>
    <w:p w14:paraId="63EF9DD4" w14:textId="7F5D7814" w:rsidR="00FF1401" w:rsidRPr="00992BA8" w:rsidRDefault="00B87A21" w:rsidP="000A1CC4">
      <w:pPr>
        <w:pStyle w:val="Normalnumber"/>
        <w:tabs>
          <w:tab w:val="clear" w:pos="1134"/>
          <w:tab w:val="clear" w:pos="1247"/>
          <w:tab w:val="clear" w:pos="1814"/>
          <w:tab w:val="clear" w:pos="2381"/>
          <w:tab w:val="clear" w:pos="2948"/>
          <w:tab w:val="clear" w:pos="3515"/>
          <w:tab w:val="clear" w:pos="4082"/>
          <w:tab w:val="num" w:pos="624"/>
        </w:tabs>
      </w:pPr>
      <w:r>
        <w:t xml:space="preserve">In </w:t>
      </w:r>
      <w:r w:rsidR="00D45B7D">
        <w:t xml:space="preserve">part B of </w:t>
      </w:r>
      <w:r>
        <w:t>annex I to decision</w:t>
      </w:r>
      <w:r w:rsidR="00FF1401">
        <w:t xml:space="preserve"> MC-1/6</w:t>
      </w:r>
      <w:r>
        <w:t>,</w:t>
      </w:r>
      <w:r w:rsidR="00FF1401">
        <w:t xml:space="preserve"> the Conference </w:t>
      </w:r>
      <w:r>
        <w:t xml:space="preserve">of the Parties </w:t>
      </w:r>
      <w:r w:rsidR="00FF1401">
        <w:t xml:space="preserve">provided guidance </w:t>
      </w:r>
      <w:r w:rsidR="000F09C6">
        <w:t xml:space="preserve">on </w:t>
      </w:r>
      <w:r>
        <w:t xml:space="preserve">the </w:t>
      </w:r>
      <w:r w:rsidR="000F09C6" w:rsidRPr="006710C3">
        <w:t>scope, eligibility</w:t>
      </w:r>
      <w:r w:rsidR="000F09C6">
        <w:t>, operations and resources</w:t>
      </w:r>
      <w:r w:rsidR="00D45B7D">
        <w:t xml:space="preserve"> of the Specific International Programme</w:t>
      </w:r>
      <w:r w:rsidR="000F09C6">
        <w:t xml:space="preserve">, </w:t>
      </w:r>
      <w:r w:rsidR="00D45B7D">
        <w:t xml:space="preserve">while </w:t>
      </w:r>
      <w:r w:rsidR="000F09C6">
        <w:t xml:space="preserve">annex II </w:t>
      </w:r>
      <w:r w:rsidR="00D45B7D">
        <w:t>sets out the</w:t>
      </w:r>
      <w:r w:rsidR="000F09C6">
        <w:t xml:space="preserve"> </w:t>
      </w:r>
      <w:r w:rsidR="00FF1401">
        <w:t xml:space="preserve">terms of reference </w:t>
      </w:r>
      <w:r w:rsidR="00D45B7D">
        <w:t>of</w:t>
      </w:r>
      <w:r w:rsidR="000F09C6">
        <w:t xml:space="preserve"> the </w:t>
      </w:r>
      <w:r w:rsidR="000F09C6" w:rsidRPr="00992BA8">
        <w:t xml:space="preserve">Programme. </w:t>
      </w:r>
      <w:r w:rsidR="00D45B7D" w:rsidRPr="00992BA8">
        <w:t>Both t</w:t>
      </w:r>
      <w:r w:rsidR="000F09C6" w:rsidRPr="00992BA8">
        <w:t xml:space="preserve">he guidance and </w:t>
      </w:r>
      <w:r w:rsidR="00D45B7D" w:rsidRPr="00992BA8">
        <w:t xml:space="preserve">the </w:t>
      </w:r>
      <w:r w:rsidR="000F09C6" w:rsidRPr="00992BA8">
        <w:t xml:space="preserve">terms of reference </w:t>
      </w:r>
      <w:r w:rsidR="00D45B7D" w:rsidRPr="002F7012">
        <w:t>were</w:t>
      </w:r>
      <w:r w:rsidR="000F09C6" w:rsidRPr="00992BA8">
        <w:t xml:space="preserve"> </w:t>
      </w:r>
      <w:r w:rsidR="00276C5F">
        <w:t>incorporated</w:t>
      </w:r>
      <w:r w:rsidR="00276C5F" w:rsidRPr="00992BA8">
        <w:t xml:space="preserve"> </w:t>
      </w:r>
      <w:r w:rsidR="000F09C6" w:rsidRPr="00992BA8">
        <w:t xml:space="preserve">in the </w:t>
      </w:r>
      <w:r w:rsidR="00D45B7D" w:rsidRPr="002F7012">
        <w:t>r</w:t>
      </w:r>
      <w:r w:rsidR="000F09C6" w:rsidRPr="00992BA8">
        <w:t xml:space="preserve">ules of </w:t>
      </w:r>
      <w:r w:rsidR="00D45B7D" w:rsidRPr="002F7012">
        <w:t>p</w:t>
      </w:r>
      <w:r w:rsidR="000F09C6" w:rsidRPr="00992BA8">
        <w:t xml:space="preserve">rocedure adopted by the Governing </w:t>
      </w:r>
      <w:r w:rsidR="00D45B7D" w:rsidRPr="002F7012">
        <w:t xml:space="preserve">Board at its </w:t>
      </w:r>
      <w:r w:rsidR="00056013">
        <w:t>first</w:t>
      </w:r>
      <w:r w:rsidR="00D45B7D" w:rsidRPr="002F7012">
        <w:t xml:space="preserve"> meeting, held in Geneva in </w:t>
      </w:r>
      <w:r w:rsidR="00056013">
        <w:t>May</w:t>
      </w:r>
      <w:r w:rsidR="00D45B7D" w:rsidRPr="002F7012">
        <w:t xml:space="preserve"> 2018</w:t>
      </w:r>
      <w:r w:rsidR="000F09C6" w:rsidRPr="00992BA8">
        <w:t>,</w:t>
      </w:r>
      <w:r w:rsidR="00D45B7D" w:rsidRPr="002F7012">
        <w:t xml:space="preserve"> together with</w:t>
      </w:r>
      <w:r w:rsidR="000F09C6" w:rsidRPr="00992BA8">
        <w:t xml:space="preserve"> the criteria for appraisal</w:t>
      </w:r>
      <w:r w:rsidR="00E90383">
        <w:t xml:space="preserve"> for the first round,</w:t>
      </w:r>
      <w:r w:rsidR="000F09C6" w:rsidRPr="00992BA8">
        <w:t xml:space="preserve"> and the framework for decision-making on applications</w:t>
      </w:r>
      <w:r w:rsidR="00D45B7D" w:rsidRPr="00992BA8">
        <w:t xml:space="preserve"> for </w:t>
      </w:r>
      <w:r w:rsidR="00E90383">
        <w:t>the second round,</w:t>
      </w:r>
      <w:r w:rsidR="00E56515">
        <w:t xml:space="preserve"> </w:t>
      </w:r>
      <w:r w:rsidR="00E90383">
        <w:t>as agreed at its third meeting in February 2019</w:t>
      </w:r>
      <w:r w:rsidR="000F09C6" w:rsidRPr="00992BA8">
        <w:t xml:space="preserve">. </w:t>
      </w:r>
    </w:p>
    <w:p w14:paraId="7A86CA65" w14:textId="59B2D4C1" w:rsidR="004E0DFF" w:rsidRPr="00D7403E" w:rsidRDefault="00D45B7D" w:rsidP="000A1CC4">
      <w:pPr>
        <w:pStyle w:val="Normalnumber"/>
        <w:tabs>
          <w:tab w:val="clear" w:pos="1134"/>
          <w:tab w:val="clear" w:pos="1247"/>
          <w:tab w:val="clear" w:pos="1814"/>
          <w:tab w:val="clear" w:pos="2381"/>
          <w:tab w:val="clear" w:pos="2948"/>
          <w:tab w:val="clear" w:pos="3515"/>
          <w:tab w:val="clear" w:pos="4082"/>
          <w:tab w:val="num" w:pos="624"/>
        </w:tabs>
      </w:pPr>
      <w:r w:rsidRPr="00992BA8">
        <w:t>R</w:t>
      </w:r>
      <w:r w:rsidR="00B17D36" w:rsidRPr="00992BA8">
        <w:t>eports</w:t>
      </w:r>
      <w:r w:rsidR="00F5532A" w:rsidRPr="00992BA8">
        <w:t xml:space="preserve"> </w:t>
      </w:r>
      <w:r w:rsidRPr="00992BA8">
        <w:t>on</w:t>
      </w:r>
      <w:r w:rsidRPr="00992BA8">
        <w:rPr>
          <w:bCs/>
        </w:rPr>
        <w:t xml:space="preserve"> </w:t>
      </w:r>
      <w:r w:rsidR="00F5532A" w:rsidRPr="00992BA8">
        <w:rPr>
          <w:bCs/>
        </w:rPr>
        <w:t xml:space="preserve">the </w:t>
      </w:r>
      <w:r w:rsidR="00B17D36" w:rsidRPr="00992BA8">
        <w:rPr>
          <w:bCs/>
        </w:rPr>
        <w:t xml:space="preserve">Specific </w:t>
      </w:r>
      <w:r w:rsidR="00B17D36" w:rsidRPr="00D7403E">
        <w:rPr>
          <w:bCs/>
        </w:rPr>
        <w:t xml:space="preserve">International Programme </w:t>
      </w:r>
      <w:r w:rsidRPr="00D7403E">
        <w:rPr>
          <w:bCs/>
        </w:rPr>
        <w:t>were</w:t>
      </w:r>
      <w:r w:rsidR="00B17D36" w:rsidRPr="00D7403E">
        <w:rPr>
          <w:bCs/>
        </w:rPr>
        <w:t xml:space="preserve"> presented to the </w:t>
      </w:r>
      <w:r w:rsidRPr="00D7403E">
        <w:rPr>
          <w:bCs/>
        </w:rPr>
        <w:t xml:space="preserve">Conference of the Parties </w:t>
      </w:r>
      <w:r w:rsidR="00D7403E" w:rsidRPr="00D7403E">
        <w:rPr>
          <w:bCs/>
        </w:rPr>
        <w:t xml:space="preserve">for consideration </w:t>
      </w:r>
      <w:r w:rsidRPr="00D7403E">
        <w:rPr>
          <w:bCs/>
        </w:rPr>
        <w:t xml:space="preserve">at its </w:t>
      </w:r>
      <w:r w:rsidR="00B17D36" w:rsidRPr="00D7403E">
        <w:rPr>
          <w:bCs/>
        </w:rPr>
        <w:t>second and third meetings</w:t>
      </w:r>
      <w:r w:rsidRPr="00D7403E">
        <w:rPr>
          <w:bCs/>
        </w:rPr>
        <w:t xml:space="preserve"> (</w:t>
      </w:r>
      <w:r w:rsidRPr="00D7403E">
        <w:rPr>
          <w:rStyle w:val="Hyperlink"/>
          <w:lang w:val="en-GB"/>
        </w:rPr>
        <w:t>UNEP/MC/COP.2/9</w:t>
      </w:r>
      <w:r w:rsidR="00992BA8" w:rsidRPr="00D7403E">
        <w:rPr>
          <w:rStyle w:val="Hyperlink"/>
          <w:lang w:val="en-GB"/>
        </w:rPr>
        <w:t>;</w:t>
      </w:r>
      <w:r w:rsidRPr="00D7403E">
        <w:rPr>
          <w:rStyle w:val="Hyperlink"/>
          <w:lang w:val="en-GB"/>
        </w:rPr>
        <w:t xml:space="preserve"> UNEP</w:t>
      </w:r>
      <w:r w:rsidRPr="00D7403E">
        <w:t>/MC/COP</w:t>
      </w:r>
      <w:r w:rsidR="00CC3F1D" w:rsidRPr="00D7403E">
        <w:t>.</w:t>
      </w:r>
      <w:r w:rsidRPr="00D7403E">
        <w:t>3/10)</w:t>
      </w:r>
      <w:r w:rsidR="00B17D36" w:rsidRPr="00D7403E">
        <w:rPr>
          <w:bCs/>
        </w:rPr>
        <w:t xml:space="preserve">. In </w:t>
      </w:r>
      <w:r w:rsidR="003609A4" w:rsidRPr="00D7403E">
        <w:rPr>
          <w:bCs/>
        </w:rPr>
        <w:t>addition,</w:t>
      </w:r>
      <w:r w:rsidR="00B17D36" w:rsidRPr="00D7403E">
        <w:rPr>
          <w:bCs/>
        </w:rPr>
        <w:t xml:space="preserve"> the reports of the</w:t>
      </w:r>
      <w:r w:rsidR="003609A4" w:rsidRPr="00D7403E">
        <w:rPr>
          <w:bCs/>
        </w:rPr>
        <w:t xml:space="preserve"> </w:t>
      </w:r>
      <w:r w:rsidR="00992BA8" w:rsidRPr="00D7403E">
        <w:rPr>
          <w:bCs/>
        </w:rPr>
        <w:t xml:space="preserve">first, second and third </w:t>
      </w:r>
      <w:r w:rsidR="003609A4" w:rsidRPr="00D7403E">
        <w:rPr>
          <w:bCs/>
        </w:rPr>
        <w:t>meetings of the Governing Board</w:t>
      </w:r>
      <w:r w:rsidR="00992BA8" w:rsidRPr="00D7403E">
        <w:rPr>
          <w:rStyle w:val="Hyperlink"/>
          <w:lang w:val="en-GB"/>
        </w:rPr>
        <w:t xml:space="preserve"> (UNEP/MC/SIP.GB.1/6; UNEP/MC/SIP.GB.3/2;</w:t>
      </w:r>
      <w:r w:rsidR="006710C3" w:rsidRPr="00D7403E">
        <w:rPr>
          <w:rStyle w:val="Hyperlink"/>
          <w:lang w:val="en-GB"/>
        </w:rPr>
        <w:t xml:space="preserve"> </w:t>
      </w:r>
      <w:r w:rsidR="00992BA8" w:rsidRPr="00D7403E">
        <w:t>UNEP/MC/COP</w:t>
      </w:r>
      <w:r w:rsidR="008954D6" w:rsidRPr="00D7403E">
        <w:t>.</w:t>
      </w:r>
      <w:r w:rsidR="00992BA8" w:rsidRPr="00D7403E">
        <w:t>3/10/Add.1, annex I)</w:t>
      </w:r>
      <w:r w:rsidR="003609A4" w:rsidRPr="00D7403E">
        <w:rPr>
          <w:bCs/>
        </w:rPr>
        <w:t xml:space="preserve"> are available on the website of the Minamata Convention.</w:t>
      </w:r>
      <w:r w:rsidR="00F91674" w:rsidRPr="00D7403E">
        <w:rPr>
          <w:rStyle w:val="FootnoteReference"/>
          <w:bCs/>
          <w:szCs w:val="20"/>
        </w:rPr>
        <w:footnoteReference w:id="5"/>
      </w:r>
      <w:r w:rsidR="00B17D36" w:rsidRPr="00D7403E">
        <w:rPr>
          <w:bCs/>
        </w:rPr>
        <w:t xml:space="preserve"> </w:t>
      </w:r>
    </w:p>
    <w:p w14:paraId="200F729D" w14:textId="77777777" w:rsidR="00FE7303" w:rsidRPr="000A1CC4" w:rsidRDefault="00FE7303" w:rsidP="000A1CC4">
      <w:pPr>
        <w:pStyle w:val="CH2"/>
      </w:pPr>
      <w:r w:rsidRPr="000A1CC4">
        <w:tab/>
      </w:r>
      <w:r w:rsidRPr="000A1CC4">
        <w:tab/>
        <w:t xml:space="preserve">Suggested action by the Conference of the </w:t>
      </w:r>
      <w:r w:rsidR="00357141" w:rsidRPr="000A1CC4">
        <w:t>Parties</w:t>
      </w:r>
    </w:p>
    <w:p w14:paraId="0BACB67F" w14:textId="3FD483B0" w:rsidR="00FE7303" w:rsidRPr="00243F29" w:rsidRDefault="000C25C0" w:rsidP="000A1CC4">
      <w:pPr>
        <w:pStyle w:val="Normalnumber"/>
        <w:tabs>
          <w:tab w:val="clear" w:pos="1134"/>
          <w:tab w:val="clear" w:pos="1247"/>
          <w:tab w:val="clear" w:pos="1814"/>
          <w:tab w:val="clear" w:pos="2381"/>
          <w:tab w:val="clear" w:pos="2948"/>
          <w:tab w:val="clear" w:pos="3515"/>
          <w:tab w:val="clear" w:pos="4082"/>
          <w:tab w:val="num" w:pos="624"/>
        </w:tabs>
      </w:pPr>
      <w:bookmarkStart w:id="6" w:name="_Hlk526149645"/>
      <w:r w:rsidRPr="00AA0C59">
        <w:t xml:space="preserve">In </w:t>
      </w:r>
      <w:r w:rsidR="00310162">
        <w:t xml:space="preserve">the </w:t>
      </w:r>
      <w:r w:rsidRPr="00AA0C59">
        <w:rPr>
          <w:bCs/>
        </w:rPr>
        <w:t>light of the requirement</w:t>
      </w:r>
      <w:r w:rsidR="001F405F">
        <w:rPr>
          <w:bCs/>
        </w:rPr>
        <w:t xml:space="preserve"> of </w:t>
      </w:r>
      <w:r w:rsidRPr="00AA0C59">
        <w:rPr>
          <w:bCs/>
        </w:rPr>
        <w:t xml:space="preserve">the Convention that the Conference of the </w:t>
      </w:r>
      <w:r w:rsidR="00357141">
        <w:rPr>
          <w:bCs/>
        </w:rPr>
        <w:t>Parties</w:t>
      </w:r>
      <w:r w:rsidRPr="00AA0C59">
        <w:rPr>
          <w:bCs/>
        </w:rPr>
        <w:t xml:space="preserve"> review</w:t>
      </w:r>
      <w:r w:rsidR="006E68AA" w:rsidRPr="00AA0C59">
        <w:rPr>
          <w:bCs/>
        </w:rPr>
        <w:t xml:space="preserve"> the financial mechanism </w:t>
      </w:r>
      <w:r w:rsidR="006E68AA" w:rsidRPr="000A1CC4">
        <w:t>established</w:t>
      </w:r>
      <w:r w:rsidR="006E68AA" w:rsidRPr="00AA0C59">
        <w:rPr>
          <w:bCs/>
        </w:rPr>
        <w:t xml:space="preserve"> under article 13</w:t>
      </w:r>
      <w:r w:rsidR="00F36140" w:rsidRPr="00AA0C59">
        <w:rPr>
          <w:bCs/>
        </w:rPr>
        <w:t xml:space="preserve"> no later than at its third meeting</w:t>
      </w:r>
      <w:r w:rsidR="006E68AA" w:rsidRPr="00AA0C59">
        <w:rPr>
          <w:bCs/>
        </w:rPr>
        <w:t xml:space="preserve">, the Conference </w:t>
      </w:r>
      <w:r w:rsidR="00F36140" w:rsidRPr="00AA0C59">
        <w:rPr>
          <w:bCs/>
        </w:rPr>
        <w:t xml:space="preserve">of </w:t>
      </w:r>
      <w:r w:rsidR="00F36140" w:rsidRPr="00AA0C59">
        <w:rPr>
          <w:bCs/>
        </w:rPr>
        <w:lastRenderedPageBreak/>
        <w:t xml:space="preserve">the </w:t>
      </w:r>
      <w:r w:rsidR="00357141">
        <w:rPr>
          <w:bCs/>
        </w:rPr>
        <w:t>Parties</w:t>
      </w:r>
      <w:r w:rsidR="00F36140" w:rsidRPr="00AA0C59">
        <w:rPr>
          <w:bCs/>
        </w:rPr>
        <w:t xml:space="preserve"> </w:t>
      </w:r>
      <w:r w:rsidR="006E68AA" w:rsidRPr="00AA0C59">
        <w:rPr>
          <w:bCs/>
        </w:rPr>
        <w:t xml:space="preserve">may wish to </w:t>
      </w:r>
      <w:r w:rsidR="000265A2">
        <w:rPr>
          <w:bCs/>
        </w:rPr>
        <w:t>consider the information contained in th</w:t>
      </w:r>
      <w:r w:rsidR="00992BA8">
        <w:rPr>
          <w:bCs/>
        </w:rPr>
        <w:t>e present note</w:t>
      </w:r>
      <w:bookmarkEnd w:id="6"/>
      <w:r w:rsidR="00992BA8">
        <w:rPr>
          <w:bCs/>
        </w:rPr>
        <w:t xml:space="preserve"> </w:t>
      </w:r>
      <w:r w:rsidR="00C55430">
        <w:rPr>
          <w:bCs/>
        </w:rPr>
        <w:t>in its first</w:t>
      </w:r>
      <w:r w:rsidR="00992BA8">
        <w:rPr>
          <w:bCs/>
        </w:rPr>
        <w:t xml:space="preserve"> review</w:t>
      </w:r>
      <w:r w:rsidR="00C55430">
        <w:rPr>
          <w:bCs/>
        </w:rPr>
        <w:t xml:space="preserve"> and adopt a decision as suggested below</w:t>
      </w:r>
      <w:r w:rsidR="000265A2">
        <w:rPr>
          <w:bCs/>
        </w:rPr>
        <w:t>.</w:t>
      </w:r>
      <w:r w:rsidR="006710C3">
        <w:rPr>
          <w:bCs/>
        </w:rPr>
        <w:t xml:space="preserve"> </w:t>
      </w:r>
    </w:p>
    <w:p w14:paraId="1B56B181" w14:textId="77777777" w:rsidR="00CA660C" w:rsidRDefault="00CA660C" w:rsidP="00CA660C">
      <w:pPr>
        <w:pStyle w:val="CH1"/>
      </w:pPr>
      <w:r w:rsidRPr="00560246">
        <w:tab/>
      </w:r>
      <w:r w:rsidRPr="00560246">
        <w:tab/>
      </w:r>
      <w:r w:rsidRPr="009A476D">
        <w:t>Decision MC-3/[--]</w:t>
      </w:r>
    </w:p>
    <w:p w14:paraId="67E463B9" w14:textId="77777777" w:rsidR="00CA660C" w:rsidRDefault="00CA660C" w:rsidP="00CA660C">
      <w:pPr>
        <w:pStyle w:val="Normalnumber"/>
        <w:numPr>
          <w:ilvl w:val="0"/>
          <w:numId w:val="0"/>
        </w:numPr>
        <w:tabs>
          <w:tab w:val="clear" w:pos="1247"/>
          <w:tab w:val="clear" w:pos="1814"/>
          <w:tab w:val="clear" w:pos="2381"/>
          <w:tab w:val="clear" w:pos="2948"/>
          <w:tab w:val="clear" w:pos="3515"/>
          <w:tab w:val="clear" w:pos="4082"/>
          <w:tab w:val="left" w:pos="624"/>
        </w:tabs>
        <w:ind w:left="1247" w:firstLine="624"/>
        <w:rPr>
          <w:bCs/>
          <w:i/>
          <w:iCs/>
        </w:rPr>
      </w:pPr>
      <w:r>
        <w:rPr>
          <w:bCs/>
          <w:i/>
          <w:iCs/>
        </w:rPr>
        <w:t>The Conference of the Parties,</w:t>
      </w:r>
    </w:p>
    <w:p w14:paraId="3FD2A372" w14:textId="77777777" w:rsidR="00CA660C" w:rsidRPr="00560246" w:rsidRDefault="00CA660C" w:rsidP="00CA660C">
      <w:pPr>
        <w:pStyle w:val="Normalnumber"/>
        <w:numPr>
          <w:ilvl w:val="0"/>
          <w:numId w:val="0"/>
        </w:numPr>
        <w:tabs>
          <w:tab w:val="clear" w:pos="1247"/>
          <w:tab w:val="clear" w:pos="1814"/>
          <w:tab w:val="clear" w:pos="2381"/>
          <w:tab w:val="clear" w:pos="2948"/>
          <w:tab w:val="clear" w:pos="3515"/>
          <w:tab w:val="clear" w:pos="4082"/>
          <w:tab w:val="left" w:pos="624"/>
        </w:tabs>
        <w:ind w:left="1247" w:firstLine="624"/>
        <w:rPr>
          <w:bCs/>
          <w:i/>
          <w:iCs/>
        </w:rPr>
      </w:pPr>
      <w:r>
        <w:rPr>
          <w:bCs/>
          <w:i/>
          <w:iCs/>
        </w:rPr>
        <w:t xml:space="preserve">Considering </w:t>
      </w:r>
      <w:r w:rsidRPr="00560246">
        <w:rPr>
          <w:bCs/>
        </w:rPr>
        <w:t>paragraph 11 of article 13 on the review of the financial mechanism,</w:t>
      </w:r>
    </w:p>
    <w:p w14:paraId="0ED53431" w14:textId="77777777" w:rsidR="00CA660C" w:rsidRPr="009A476D" w:rsidRDefault="00CA660C" w:rsidP="00CA660C">
      <w:pPr>
        <w:pStyle w:val="Normal-pool"/>
        <w:tabs>
          <w:tab w:val="clear" w:pos="1247"/>
          <w:tab w:val="clear" w:pos="1814"/>
          <w:tab w:val="clear" w:pos="2381"/>
          <w:tab w:val="clear" w:pos="2948"/>
          <w:tab w:val="clear" w:pos="3515"/>
          <w:tab w:val="clear" w:pos="4082"/>
          <w:tab w:val="left" w:pos="624"/>
        </w:tabs>
        <w:spacing w:after="120"/>
        <w:ind w:left="1247" w:firstLine="624"/>
      </w:pPr>
      <w:r w:rsidRPr="009A476D">
        <w:t>1.</w:t>
      </w:r>
      <w:r w:rsidRPr="009A476D">
        <w:tab/>
      </w:r>
      <w:r w:rsidRPr="00560246">
        <w:rPr>
          <w:i/>
          <w:iCs/>
        </w:rPr>
        <w:t>Welcomes</w:t>
      </w:r>
      <w:r w:rsidRPr="009A476D">
        <w:t xml:space="preserve"> the report on the first review of the financial mechanism, on the basis of which the Conference of the Parties has undertaken the review in accordance with article 13, paragraph 11</w:t>
      </w:r>
      <w:r w:rsidRPr="00560246">
        <w:t>;</w:t>
      </w:r>
      <w:r w:rsidRPr="009A476D">
        <w:t xml:space="preserve"> </w:t>
      </w:r>
    </w:p>
    <w:p w14:paraId="2440053C" w14:textId="77777777" w:rsidR="00CA660C" w:rsidRPr="009E1175" w:rsidRDefault="00CA660C" w:rsidP="00CA660C">
      <w:pPr>
        <w:pStyle w:val="Normal-pool"/>
        <w:tabs>
          <w:tab w:val="clear" w:pos="1247"/>
          <w:tab w:val="clear" w:pos="1814"/>
          <w:tab w:val="clear" w:pos="2381"/>
          <w:tab w:val="clear" w:pos="2948"/>
          <w:tab w:val="clear" w:pos="3515"/>
          <w:tab w:val="clear" w:pos="4082"/>
          <w:tab w:val="left" w:pos="624"/>
        </w:tabs>
        <w:spacing w:after="120"/>
        <w:ind w:left="1247" w:firstLine="624"/>
      </w:pPr>
      <w:r w:rsidRPr="009A476D">
        <w:t>2.</w:t>
      </w:r>
      <w:r w:rsidRPr="00560246">
        <w:tab/>
      </w:r>
      <w:r w:rsidRPr="009A476D">
        <w:rPr>
          <w:i/>
          <w:iCs/>
        </w:rPr>
        <w:t>Requests</w:t>
      </w:r>
      <w:r w:rsidRPr="009A476D">
        <w:t xml:space="preserve"> the secretariat to prepare draft terms of reference for the second review for consideration at the fourth meeting of the Conference of the Parties.</w:t>
      </w:r>
      <w:r>
        <w:t xml:space="preserve"> </w:t>
      </w:r>
    </w:p>
    <w:p w14:paraId="6656C761" w14:textId="1D488CB7" w:rsidR="00C75B4C" w:rsidRPr="00D7403E" w:rsidRDefault="00FE7303" w:rsidP="00FE7303">
      <w:pPr>
        <w:pStyle w:val="Normalnumber"/>
        <w:numPr>
          <w:ilvl w:val="0"/>
          <w:numId w:val="0"/>
        </w:numPr>
        <w:ind w:left="1247"/>
        <w:rPr>
          <w:b/>
        </w:rPr>
        <w:sectPr w:rsidR="00C75B4C" w:rsidRPr="00D7403E" w:rsidSect="00314D43">
          <w:headerReference w:type="even" r:id="rId11"/>
          <w:headerReference w:type="default" r:id="rId12"/>
          <w:footerReference w:type="even" r:id="rId13"/>
          <w:footerReference w:type="default" r:id="rId14"/>
          <w:headerReference w:type="first" r:id="rId15"/>
          <w:footerReference w:type="first" r:id="rId16"/>
          <w:type w:val="continuous"/>
          <w:pgSz w:w="11907" w:h="16840" w:code="9"/>
          <w:pgMar w:top="907" w:right="992" w:bottom="1418" w:left="1418" w:header="539" w:footer="975" w:gutter="0"/>
          <w:cols w:space="720"/>
          <w:titlePg/>
          <w:docGrid w:linePitch="272"/>
        </w:sectPr>
      </w:pPr>
      <w:r w:rsidRPr="00D7403E">
        <w:rPr>
          <w:b/>
        </w:rPr>
        <w:br w:type="page"/>
      </w:r>
    </w:p>
    <w:p w14:paraId="2496B47E" w14:textId="3F4F9704" w:rsidR="00FE7303" w:rsidRDefault="00FE7303" w:rsidP="000A1CC4">
      <w:pPr>
        <w:pStyle w:val="ZZAnxheader"/>
      </w:pPr>
      <w:r w:rsidRPr="000A1CC4">
        <w:lastRenderedPageBreak/>
        <w:t xml:space="preserve">Annex I </w:t>
      </w:r>
    </w:p>
    <w:p w14:paraId="4496FAE6" w14:textId="06C70F52" w:rsidR="00493097" w:rsidRDefault="00DD02D3" w:rsidP="00493097">
      <w:pPr>
        <w:pStyle w:val="ZZAnxtitle"/>
      </w:pPr>
      <w:r w:rsidRPr="0033469F">
        <w:t xml:space="preserve">Information provided by the </w:t>
      </w:r>
      <w:r>
        <w:t xml:space="preserve">Global Environment Facility </w:t>
      </w:r>
      <w:r w:rsidRPr="0033469F">
        <w:t xml:space="preserve">in </w:t>
      </w:r>
      <w:r w:rsidRPr="000A1CC4">
        <w:t xml:space="preserve">accordance with </w:t>
      </w:r>
      <w:r>
        <w:t>a</w:t>
      </w:r>
      <w:r w:rsidRPr="000A1CC4">
        <w:t xml:space="preserve">rticle 13 of the Minamata Convention on Mercury </w:t>
      </w:r>
    </w:p>
    <w:p w14:paraId="1DA36ACC" w14:textId="1CE6EB29" w:rsidR="00E953EE" w:rsidRDefault="00E953EE" w:rsidP="002F7012">
      <w:pPr>
        <w:pStyle w:val="Normal-pool"/>
      </w:pPr>
    </w:p>
    <w:p w14:paraId="15BF728B" w14:textId="77777777" w:rsidR="00E953EE" w:rsidRPr="009B4D7D" w:rsidRDefault="00E953EE" w:rsidP="00E953EE">
      <w:pPr>
        <w:spacing w:before="240" w:after="240"/>
        <w:jc w:val="center"/>
        <w:rPr>
          <w:rFonts w:ascii="Calibri" w:eastAsia="SimSun" w:hAnsi="Calibri"/>
          <w:szCs w:val="22"/>
          <w:lang w:eastAsia="zh-CN"/>
        </w:rPr>
      </w:pPr>
      <w:r w:rsidRPr="009B4D7D">
        <w:rPr>
          <w:rFonts w:ascii="Calibri" w:eastAsia="SimSun" w:hAnsi="Calibri"/>
          <w:noProof/>
          <w:szCs w:val="22"/>
          <w:lang w:eastAsia="en-GB"/>
        </w:rPr>
        <w:drawing>
          <wp:anchor distT="0" distB="0" distL="114300" distR="114300" simplePos="0" relativeHeight="251659264" behindDoc="0" locked="0" layoutInCell="1" allowOverlap="1" wp14:anchorId="6760C79A" wp14:editId="06D6593B">
            <wp:simplePos x="0" y="0"/>
            <wp:positionH relativeFrom="margin">
              <wp:align>center</wp:align>
            </wp:positionH>
            <wp:positionV relativeFrom="paragraph">
              <wp:posOffset>0</wp:posOffset>
            </wp:positionV>
            <wp:extent cx="3625215" cy="802640"/>
            <wp:effectExtent l="0" t="0" r="0" b="0"/>
            <wp:wrapThrough wrapText="bothSides">
              <wp:wrapPolygon edited="0">
                <wp:start x="0" y="0"/>
                <wp:lineTo x="0" y="21019"/>
                <wp:lineTo x="21452" y="21019"/>
                <wp:lineTo x="21452" y="0"/>
                <wp:lineTo x="0" y="0"/>
              </wp:wrapPolygon>
            </wp:wrapThrough>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625215" cy="802640"/>
                    </a:xfrm>
                    <a:prstGeom prst="rect">
                      <a:avLst/>
                    </a:prstGeom>
                    <a:noFill/>
                  </pic:spPr>
                </pic:pic>
              </a:graphicData>
            </a:graphic>
            <wp14:sizeRelH relativeFrom="page">
              <wp14:pctWidth>0</wp14:pctWidth>
            </wp14:sizeRelH>
            <wp14:sizeRelV relativeFrom="page">
              <wp14:pctHeight>0</wp14:pctHeight>
            </wp14:sizeRelV>
          </wp:anchor>
        </w:drawing>
      </w:r>
    </w:p>
    <w:tbl>
      <w:tblPr>
        <w:tblW w:w="9470" w:type="dxa"/>
        <w:tblBorders>
          <w:bottom w:val="single" w:sz="18" w:space="0" w:color="auto"/>
        </w:tblBorders>
        <w:tblLayout w:type="fixed"/>
        <w:tblLook w:val="0000" w:firstRow="0" w:lastRow="0" w:firstColumn="0" w:lastColumn="0" w:noHBand="0" w:noVBand="0"/>
      </w:tblPr>
      <w:tblGrid>
        <w:gridCol w:w="9470"/>
      </w:tblGrid>
      <w:tr w:rsidR="00E953EE" w:rsidRPr="009B4D7D" w14:paraId="27E1242A" w14:textId="77777777" w:rsidTr="006909EB">
        <w:trPr>
          <w:trHeight w:val="711"/>
        </w:trPr>
        <w:tc>
          <w:tcPr>
            <w:tcW w:w="9470" w:type="dxa"/>
            <w:tcBorders>
              <w:bottom w:val="single" w:sz="18" w:space="0" w:color="auto"/>
            </w:tcBorders>
            <w:vAlign w:val="bottom"/>
          </w:tcPr>
          <w:p w14:paraId="6C99FBB6" w14:textId="77777777" w:rsidR="00E953EE" w:rsidRPr="009B4D7D" w:rsidRDefault="00E953EE" w:rsidP="006909EB">
            <w:pPr>
              <w:jc w:val="right"/>
              <w:rPr>
                <w:rFonts w:ascii="Calibri" w:eastAsia="SimSun" w:hAnsi="Calibri"/>
                <w:lang w:eastAsia="zh-CN"/>
              </w:rPr>
            </w:pPr>
          </w:p>
          <w:p w14:paraId="6A5A5E50" w14:textId="77777777" w:rsidR="00E953EE" w:rsidRPr="009B4D7D" w:rsidRDefault="00E953EE" w:rsidP="006909EB">
            <w:pPr>
              <w:jc w:val="right"/>
              <w:rPr>
                <w:rFonts w:ascii="Calibri" w:eastAsia="SimSun" w:hAnsi="Calibri"/>
                <w:i/>
                <w:lang w:eastAsia="zh-CN"/>
              </w:rPr>
            </w:pPr>
            <w:r>
              <w:rPr>
                <w:rFonts w:ascii="Calibri" w:eastAsia="SimSun" w:hAnsi="Calibri"/>
                <w:lang w:eastAsia="zh-CN"/>
              </w:rPr>
              <w:t>May 28, 2019</w:t>
            </w:r>
          </w:p>
        </w:tc>
      </w:tr>
    </w:tbl>
    <w:p w14:paraId="033537D4" w14:textId="77777777" w:rsidR="00E953EE" w:rsidRPr="009B4D7D" w:rsidRDefault="00E953EE" w:rsidP="00E953EE">
      <w:pPr>
        <w:spacing w:before="240" w:after="240"/>
        <w:rPr>
          <w:rFonts w:ascii="Calibri" w:eastAsia="SimSun" w:hAnsi="Calibri"/>
          <w:lang w:eastAsia="zh-CN"/>
        </w:rPr>
      </w:pPr>
    </w:p>
    <w:p w14:paraId="2BAB67F4" w14:textId="77777777" w:rsidR="00E953EE" w:rsidRPr="009B4D7D" w:rsidRDefault="00E953EE" w:rsidP="00E953EE">
      <w:pPr>
        <w:spacing w:before="240" w:after="240"/>
        <w:rPr>
          <w:rFonts w:ascii="Calibri" w:eastAsia="SimSun" w:hAnsi="Calibri"/>
          <w:lang w:eastAsia="zh-CN"/>
        </w:rPr>
      </w:pPr>
    </w:p>
    <w:p w14:paraId="69BFCE5D" w14:textId="77777777" w:rsidR="00E953EE" w:rsidRPr="009B4D7D" w:rsidRDefault="00E953EE" w:rsidP="00E953EE">
      <w:pPr>
        <w:spacing w:before="240" w:after="240"/>
        <w:rPr>
          <w:rFonts w:ascii="Calibri" w:eastAsia="SimSun" w:hAnsi="Calibri"/>
          <w:lang w:eastAsia="zh-CN"/>
        </w:rPr>
      </w:pPr>
    </w:p>
    <w:p w14:paraId="7E5CA4A4" w14:textId="77777777" w:rsidR="00E953EE" w:rsidRPr="009B4D7D" w:rsidRDefault="00E953EE" w:rsidP="00E953EE">
      <w:pPr>
        <w:spacing w:before="240" w:after="240"/>
        <w:rPr>
          <w:rFonts w:ascii="Calibri" w:eastAsia="SimSun" w:hAnsi="Calibri"/>
          <w:b/>
          <w:smallCaps/>
          <w:lang w:eastAsia="zh-CN"/>
        </w:rPr>
      </w:pPr>
    </w:p>
    <w:p w14:paraId="43252622" w14:textId="77777777" w:rsidR="00E953EE" w:rsidRDefault="00E953EE" w:rsidP="00E953EE">
      <w:pPr>
        <w:spacing w:before="240" w:after="240"/>
        <w:jc w:val="center"/>
        <w:rPr>
          <w:rFonts w:ascii="Calibri" w:eastAsia="SimSun" w:hAnsi="Calibri"/>
          <w:b/>
          <w:smallCaps/>
          <w:sz w:val="36"/>
          <w:lang w:eastAsia="zh-CN"/>
        </w:rPr>
      </w:pPr>
    </w:p>
    <w:p w14:paraId="0334B841" w14:textId="77777777" w:rsidR="00E953EE" w:rsidRDefault="00E953EE" w:rsidP="00E953EE">
      <w:pPr>
        <w:spacing w:before="240" w:after="240"/>
        <w:jc w:val="center"/>
        <w:rPr>
          <w:rFonts w:ascii="Calibri" w:eastAsia="SimSun" w:hAnsi="Calibri"/>
          <w:b/>
          <w:smallCaps/>
          <w:sz w:val="36"/>
          <w:lang w:eastAsia="zh-CN"/>
        </w:rPr>
      </w:pPr>
    </w:p>
    <w:p w14:paraId="188D372F" w14:textId="77777777" w:rsidR="00E953EE" w:rsidRDefault="00E953EE" w:rsidP="00E953EE">
      <w:pPr>
        <w:spacing w:before="240" w:after="240"/>
        <w:jc w:val="center"/>
        <w:rPr>
          <w:rFonts w:ascii="Calibri" w:eastAsia="SimSun" w:hAnsi="Calibri"/>
          <w:b/>
          <w:smallCaps/>
          <w:sz w:val="36"/>
          <w:lang w:eastAsia="zh-CN"/>
        </w:rPr>
      </w:pPr>
    </w:p>
    <w:p w14:paraId="7C8AC7EF" w14:textId="77777777" w:rsidR="00E953EE" w:rsidRPr="009B4D7D" w:rsidRDefault="00E953EE" w:rsidP="00E953EE">
      <w:pPr>
        <w:spacing w:before="240" w:after="240"/>
        <w:jc w:val="center"/>
        <w:rPr>
          <w:rFonts w:ascii="Calibri" w:eastAsia="SimSun" w:hAnsi="Calibri"/>
          <w:b/>
          <w:smallCaps/>
          <w:lang w:eastAsia="zh-CN"/>
        </w:rPr>
      </w:pPr>
      <w:r>
        <w:rPr>
          <w:rFonts w:ascii="Calibri" w:eastAsia="SimSun" w:hAnsi="Calibri"/>
          <w:b/>
          <w:smallCaps/>
          <w:sz w:val="36"/>
          <w:lang w:eastAsia="zh-CN"/>
        </w:rPr>
        <w:t xml:space="preserve">Information Provided by the Global Environment Facility in Accordance with </w:t>
      </w:r>
      <w:r w:rsidRPr="00FD343E">
        <w:rPr>
          <w:rFonts w:ascii="Calibri" w:eastAsia="SimSun" w:hAnsi="Calibri"/>
          <w:b/>
          <w:smallCaps/>
          <w:sz w:val="36"/>
          <w:lang w:eastAsia="zh-CN"/>
        </w:rPr>
        <w:t>Article 13 of the</w:t>
      </w:r>
      <w:r>
        <w:rPr>
          <w:rFonts w:ascii="Calibri" w:eastAsia="SimSun" w:hAnsi="Calibri"/>
          <w:b/>
          <w:smallCaps/>
          <w:sz w:val="36"/>
          <w:lang w:eastAsia="zh-CN"/>
        </w:rPr>
        <w:t xml:space="preserve"> Minamata Convention on Mercury</w:t>
      </w:r>
      <w:r w:rsidRPr="009B4D7D">
        <w:rPr>
          <w:rFonts w:ascii="Calibri" w:eastAsia="SimSun" w:hAnsi="Calibri"/>
          <w:b/>
          <w:smallCaps/>
          <w:lang w:eastAsia="zh-CN"/>
        </w:rPr>
        <w:br/>
      </w:r>
    </w:p>
    <w:p w14:paraId="02EBC486" w14:textId="77777777" w:rsidR="00C75B4C" w:rsidRDefault="00C75B4C">
      <w:pPr>
        <w:tabs>
          <w:tab w:val="clear" w:pos="1247"/>
          <w:tab w:val="clear" w:pos="1814"/>
          <w:tab w:val="clear" w:pos="2381"/>
          <w:tab w:val="clear" w:pos="2948"/>
          <w:tab w:val="clear" w:pos="3515"/>
        </w:tabs>
        <w:rPr>
          <w:rFonts w:ascii="Calibri" w:eastAsia="SimSun" w:hAnsi="Calibri"/>
          <w:lang w:eastAsia="zh-CN"/>
        </w:rPr>
      </w:pPr>
      <w:bookmarkStart w:id="7" w:name="_Toc9942382"/>
      <w:r>
        <w:rPr>
          <w:rFonts w:ascii="Calibri" w:eastAsia="SimSun" w:hAnsi="Calibri"/>
          <w:b/>
          <w:lang w:eastAsia="zh-CN"/>
        </w:rPr>
        <w:br w:type="page"/>
      </w:r>
    </w:p>
    <w:p w14:paraId="68C006AA" w14:textId="1AD54604" w:rsidR="00E953EE" w:rsidRPr="00D33F35" w:rsidRDefault="00E953EE" w:rsidP="00E953EE">
      <w:pPr>
        <w:pStyle w:val="Heading1"/>
        <w:ind w:firstLine="0"/>
      </w:pPr>
      <w:r w:rsidRPr="00D33F35">
        <w:lastRenderedPageBreak/>
        <w:t>Table of Contents</w:t>
      </w:r>
      <w:bookmarkEnd w:id="7"/>
    </w:p>
    <w:sdt>
      <w:sdtPr>
        <w:rPr>
          <w:rFonts w:ascii="Times New Roman" w:eastAsiaTheme="minorHAnsi" w:hAnsi="Times New Roman" w:cs="Times New Roman"/>
          <w:color w:val="auto"/>
          <w:sz w:val="24"/>
          <w:szCs w:val="24"/>
        </w:rPr>
        <w:id w:val="1553426983"/>
        <w:docPartObj>
          <w:docPartGallery w:val="Table of Contents"/>
          <w:docPartUnique/>
        </w:docPartObj>
      </w:sdtPr>
      <w:sdtEndPr>
        <w:rPr>
          <w:rFonts w:eastAsia="Times New Roman"/>
          <w:b/>
          <w:bCs/>
          <w:noProof/>
          <w:sz w:val="20"/>
          <w:szCs w:val="20"/>
        </w:rPr>
      </w:sdtEndPr>
      <w:sdtContent>
        <w:p w14:paraId="260D56D3" w14:textId="77777777" w:rsidR="00E953EE" w:rsidRPr="002F7012" w:rsidRDefault="00E953EE" w:rsidP="00E953EE">
          <w:pPr>
            <w:pStyle w:val="TOCHeading"/>
            <w:rPr>
              <w:rFonts w:ascii="Times New Roman" w:hAnsi="Times New Roman" w:cs="Times New Roman"/>
            </w:rPr>
          </w:pPr>
        </w:p>
        <w:p w14:paraId="68C8A269" w14:textId="2D6CE410" w:rsidR="00E953EE" w:rsidRPr="002F7012" w:rsidRDefault="00E953EE" w:rsidP="002F7012">
          <w:pPr>
            <w:pStyle w:val="TOC1"/>
            <w:tabs>
              <w:tab w:val="clear" w:pos="1247"/>
              <w:tab w:val="clear" w:pos="1814"/>
              <w:tab w:val="right" w:pos="9550"/>
            </w:tabs>
            <w:spacing w:before="0" w:after="120"/>
            <w:ind w:left="1701" w:firstLine="0"/>
            <w:rPr>
              <w:rFonts w:eastAsiaTheme="minorEastAsia"/>
              <w:b/>
              <w:bCs w:val="0"/>
              <w:caps/>
              <w:noProof/>
              <w:sz w:val="22"/>
              <w:szCs w:val="22"/>
            </w:rPr>
          </w:pPr>
          <w:r w:rsidRPr="002F7012">
            <w:rPr>
              <w:b/>
              <w:caps/>
              <w:noProof/>
            </w:rPr>
            <w:fldChar w:fldCharType="begin"/>
          </w:r>
          <w:r w:rsidRPr="002F7012">
            <w:rPr>
              <w:noProof/>
            </w:rPr>
            <w:instrText xml:space="preserve"> TOC \o "1-3" \h \z \u </w:instrText>
          </w:r>
          <w:r w:rsidRPr="002F7012">
            <w:rPr>
              <w:b/>
              <w:caps/>
              <w:noProof/>
            </w:rPr>
            <w:fldChar w:fldCharType="separate"/>
          </w:r>
          <w:hyperlink w:anchor="_Toc9942382" w:history="1">
            <w:r w:rsidRPr="002F7012">
              <w:rPr>
                <w:rStyle w:val="Hyperlink"/>
                <w:noProof/>
              </w:rPr>
              <w:t>Table of Contents</w:t>
            </w:r>
            <w:r w:rsidRPr="002F7012">
              <w:rPr>
                <w:noProof/>
                <w:webHidden/>
              </w:rPr>
              <w:tab/>
            </w:r>
            <w:r w:rsidRPr="002F7012">
              <w:rPr>
                <w:b/>
                <w:noProof/>
                <w:webHidden/>
              </w:rPr>
              <w:fldChar w:fldCharType="begin"/>
            </w:r>
            <w:r w:rsidRPr="002F7012">
              <w:rPr>
                <w:noProof/>
                <w:webHidden/>
              </w:rPr>
              <w:instrText xml:space="preserve"> PAGEREF _Toc9942382 \h </w:instrText>
            </w:r>
            <w:r w:rsidRPr="002F7012">
              <w:rPr>
                <w:b/>
                <w:noProof/>
                <w:webHidden/>
              </w:rPr>
            </w:r>
            <w:r w:rsidRPr="002F7012">
              <w:rPr>
                <w:b/>
                <w:noProof/>
                <w:webHidden/>
              </w:rPr>
              <w:fldChar w:fldCharType="separate"/>
            </w:r>
            <w:r w:rsidR="003621EE">
              <w:rPr>
                <w:noProof/>
                <w:webHidden/>
              </w:rPr>
              <w:t>6</w:t>
            </w:r>
            <w:r w:rsidRPr="002F7012">
              <w:rPr>
                <w:b/>
                <w:noProof/>
                <w:webHidden/>
              </w:rPr>
              <w:fldChar w:fldCharType="end"/>
            </w:r>
          </w:hyperlink>
        </w:p>
        <w:p w14:paraId="740B741A" w14:textId="3E59E290" w:rsidR="00E953EE" w:rsidRPr="002F7012" w:rsidRDefault="003621EE" w:rsidP="002F7012">
          <w:pPr>
            <w:pStyle w:val="TOC1"/>
            <w:tabs>
              <w:tab w:val="clear" w:pos="1247"/>
              <w:tab w:val="clear" w:pos="1814"/>
              <w:tab w:val="right" w:pos="9550"/>
            </w:tabs>
            <w:spacing w:before="0" w:after="120"/>
            <w:ind w:left="1701" w:firstLine="0"/>
            <w:rPr>
              <w:rFonts w:eastAsiaTheme="minorEastAsia"/>
              <w:b/>
              <w:bCs w:val="0"/>
              <w:caps/>
              <w:noProof/>
              <w:sz w:val="22"/>
              <w:szCs w:val="22"/>
            </w:rPr>
          </w:pPr>
          <w:hyperlink w:anchor="_Toc9942383" w:history="1">
            <w:r w:rsidR="00E953EE" w:rsidRPr="002F7012">
              <w:rPr>
                <w:rStyle w:val="Hyperlink"/>
                <w:noProof/>
              </w:rPr>
              <w:t>Introduction:</w:t>
            </w:r>
            <w:r w:rsidR="00E953EE" w:rsidRPr="002F7012">
              <w:rPr>
                <w:noProof/>
                <w:webHidden/>
              </w:rPr>
              <w:tab/>
            </w:r>
            <w:r w:rsidR="00E953EE" w:rsidRPr="002F7012">
              <w:rPr>
                <w:b/>
                <w:noProof/>
                <w:webHidden/>
              </w:rPr>
              <w:fldChar w:fldCharType="begin"/>
            </w:r>
            <w:r w:rsidR="00E953EE" w:rsidRPr="002F7012">
              <w:rPr>
                <w:noProof/>
                <w:webHidden/>
              </w:rPr>
              <w:instrText xml:space="preserve"> PAGEREF _Toc9942383 \h </w:instrText>
            </w:r>
            <w:r w:rsidR="00E953EE" w:rsidRPr="002F7012">
              <w:rPr>
                <w:b/>
                <w:noProof/>
                <w:webHidden/>
              </w:rPr>
            </w:r>
            <w:r w:rsidR="00E953EE" w:rsidRPr="002F7012">
              <w:rPr>
                <w:b/>
                <w:noProof/>
                <w:webHidden/>
              </w:rPr>
              <w:fldChar w:fldCharType="separate"/>
            </w:r>
            <w:r>
              <w:rPr>
                <w:noProof/>
                <w:webHidden/>
              </w:rPr>
              <w:t>7</w:t>
            </w:r>
            <w:r w:rsidR="00E953EE" w:rsidRPr="002F7012">
              <w:rPr>
                <w:b/>
                <w:noProof/>
                <w:webHidden/>
              </w:rPr>
              <w:fldChar w:fldCharType="end"/>
            </w:r>
          </w:hyperlink>
        </w:p>
        <w:p w14:paraId="7672011A" w14:textId="7F8366C9" w:rsidR="00E953EE" w:rsidRPr="002F7012" w:rsidRDefault="003621EE" w:rsidP="002F7012">
          <w:pPr>
            <w:pStyle w:val="TOC1"/>
            <w:tabs>
              <w:tab w:val="clear" w:pos="1247"/>
              <w:tab w:val="clear" w:pos="1814"/>
              <w:tab w:val="right" w:pos="9550"/>
            </w:tabs>
            <w:spacing w:before="0" w:after="120"/>
            <w:ind w:left="1701" w:firstLine="0"/>
            <w:rPr>
              <w:rFonts w:eastAsiaTheme="minorEastAsia"/>
              <w:b/>
              <w:bCs w:val="0"/>
              <w:caps/>
              <w:noProof/>
              <w:sz w:val="22"/>
              <w:szCs w:val="22"/>
            </w:rPr>
          </w:pPr>
          <w:hyperlink w:anchor="_Toc9942384" w:history="1">
            <w:r w:rsidR="00E953EE" w:rsidRPr="002F7012">
              <w:rPr>
                <w:rStyle w:val="Hyperlink"/>
                <w:noProof/>
              </w:rPr>
              <w:t>Compilation of GEF Council response to guidance received from the Minamata Convention on Mercury:</w:t>
            </w:r>
            <w:r w:rsidR="00E953EE" w:rsidRPr="002F7012">
              <w:rPr>
                <w:noProof/>
                <w:webHidden/>
              </w:rPr>
              <w:tab/>
            </w:r>
            <w:r w:rsidR="00E953EE" w:rsidRPr="002F7012">
              <w:rPr>
                <w:b/>
                <w:noProof/>
                <w:webHidden/>
              </w:rPr>
              <w:fldChar w:fldCharType="begin"/>
            </w:r>
            <w:r w:rsidR="00E953EE" w:rsidRPr="002F7012">
              <w:rPr>
                <w:noProof/>
                <w:webHidden/>
              </w:rPr>
              <w:instrText xml:space="preserve"> PAGEREF _Toc9942384 \h </w:instrText>
            </w:r>
            <w:r w:rsidR="00E953EE" w:rsidRPr="002F7012">
              <w:rPr>
                <w:b/>
                <w:noProof/>
                <w:webHidden/>
              </w:rPr>
            </w:r>
            <w:r w:rsidR="00E953EE" w:rsidRPr="002F7012">
              <w:rPr>
                <w:b/>
                <w:noProof/>
                <w:webHidden/>
              </w:rPr>
              <w:fldChar w:fldCharType="separate"/>
            </w:r>
            <w:r>
              <w:rPr>
                <w:noProof/>
                <w:webHidden/>
              </w:rPr>
              <w:t>8</w:t>
            </w:r>
            <w:r w:rsidR="00E953EE" w:rsidRPr="002F7012">
              <w:rPr>
                <w:b/>
                <w:noProof/>
                <w:webHidden/>
              </w:rPr>
              <w:fldChar w:fldCharType="end"/>
            </w:r>
          </w:hyperlink>
        </w:p>
        <w:p w14:paraId="0EA145CC" w14:textId="1D119B97" w:rsidR="00E953EE" w:rsidRPr="00D33F35" w:rsidRDefault="003621EE" w:rsidP="002F7012">
          <w:pPr>
            <w:pStyle w:val="TOC2"/>
            <w:tabs>
              <w:tab w:val="clear" w:pos="1247"/>
              <w:tab w:val="right" w:pos="9550"/>
            </w:tabs>
            <w:spacing w:after="120"/>
            <w:ind w:left="1701" w:firstLine="0"/>
            <w:rPr>
              <w:rFonts w:eastAsiaTheme="minorEastAsia"/>
              <w:b/>
              <w:bCs/>
              <w:noProof/>
              <w:sz w:val="22"/>
              <w:szCs w:val="22"/>
            </w:rPr>
          </w:pPr>
          <w:hyperlink w:anchor="_Toc9942385" w:history="1">
            <w:r w:rsidR="00E953EE" w:rsidRPr="00D33F35">
              <w:rPr>
                <w:rStyle w:val="Hyperlink"/>
                <w:noProof/>
              </w:rPr>
              <w:t>Initial Guidance to the GEF received at COP 1</w:t>
            </w:r>
            <w:r w:rsidR="00E953EE" w:rsidRPr="00D33F35">
              <w:rPr>
                <w:noProof/>
                <w:webHidden/>
              </w:rPr>
              <w:tab/>
            </w:r>
            <w:r w:rsidR="00E953EE" w:rsidRPr="002F7012">
              <w:rPr>
                <w:b/>
                <w:noProof/>
                <w:webHidden/>
              </w:rPr>
              <w:fldChar w:fldCharType="begin"/>
            </w:r>
            <w:r w:rsidR="00E953EE" w:rsidRPr="00D33F35">
              <w:rPr>
                <w:noProof/>
                <w:webHidden/>
              </w:rPr>
              <w:instrText xml:space="preserve"> PAGEREF _Toc9942385 \h </w:instrText>
            </w:r>
            <w:r w:rsidR="00E953EE" w:rsidRPr="002F7012">
              <w:rPr>
                <w:b/>
                <w:noProof/>
                <w:webHidden/>
              </w:rPr>
            </w:r>
            <w:r w:rsidR="00E953EE" w:rsidRPr="002F7012">
              <w:rPr>
                <w:b/>
                <w:noProof/>
                <w:webHidden/>
              </w:rPr>
              <w:fldChar w:fldCharType="separate"/>
            </w:r>
            <w:r>
              <w:rPr>
                <w:noProof/>
                <w:webHidden/>
              </w:rPr>
              <w:t>8</w:t>
            </w:r>
            <w:r w:rsidR="00E953EE" w:rsidRPr="002F7012">
              <w:rPr>
                <w:b/>
                <w:noProof/>
                <w:webHidden/>
              </w:rPr>
              <w:fldChar w:fldCharType="end"/>
            </w:r>
          </w:hyperlink>
        </w:p>
        <w:p w14:paraId="5BFF669E" w14:textId="309C9808" w:rsidR="00E953EE" w:rsidRPr="00D33F35" w:rsidRDefault="003621EE" w:rsidP="002F7012">
          <w:pPr>
            <w:pStyle w:val="TOC2"/>
            <w:tabs>
              <w:tab w:val="clear" w:pos="1247"/>
              <w:tab w:val="right" w:pos="9550"/>
            </w:tabs>
            <w:spacing w:after="120"/>
            <w:ind w:left="1701" w:firstLine="0"/>
            <w:rPr>
              <w:rFonts w:eastAsiaTheme="minorEastAsia"/>
              <w:b/>
              <w:bCs/>
              <w:noProof/>
              <w:sz w:val="22"/>
              <w:szCs w:val="22"/>
            </w:rPr>
          </w:pPr>
          <w:hyperlink w:anchor="_Toc9942386" w:history="1">
            <w:r w:rsidR="00E953EE" w:rsidRPr="00D33F35">
              <w:rPr>
                <w:rStyle w:val="Hyperlink"/>
                <w:noProof/>
              </w:rPr>
              <w:t>Guidance received at INC 6</w:t>
            </w:r>
            <w:r w:rsidR="00E953EE" w:rsidRPr="00D33F35">
              <w:rPr>
                <w:noProof/>
                <w:webHidden/>
              </w:rPr>
              <w:tab/>
            </w:r>
            <w:r w:rsidR="00E953EE" w:rsidRPr="002F7012">
              <w:rPr>
                <w:b/>
                <w:noProof/>
                <w:webHidden/>
              </w:rPr>
              <w:fldChar w:fldCharType="begin"/>
            </w:r>
            <w:r w:rsidR="00E953EE" w:rsidRPr="00D33F35">
              <w:rPr>
                <w:noProof/>
                <w:webHidden/>
              </w:rPr>
              <w:instrText xml:space="preserve"> PAGEREF _Toc9942386 \h </w:instrText>
            </w:r>
            <w:r w:rsidR="00E953EE" w:rsidRPr="002F7012">
              <w:rPr>
                <w:b/>
                <w:noProof/>
                <w:webHidden/>
              </w:rPr>
            </w:r>
            <w:r w:rsidR="00E953EE" w:rsidRPr="002F7012">
              <w:rPr>
                <w:b/>
                <w:noProof/>
                <w:webHidden/>
              </w:rPr>
              <w:fldChar w:fldCharType="separate"/>
            </w:r>
            <w:r>
              <w:rPr>
                <w:noProof/>
                <w:webHidden/>
              </w:rPr>
              <w:t>13</w:t>
            </w:r>
            <w:r w:rsidR="00E953EE" w:rsidRPr="002F7012">
              <w:rPr>
                <w:b/>
                <w:noProof/>
                <w:webHidden/>
              </w:rPr>
              <w:fldChar w:fldCharType="end"/>
            </w:r>
          </w:hyperlink>
        </w:p>
        <w:p w14:paraId="7010AE7C" w14:textId="2F7A1BA3" w:rsidR="00E953EE" w:rsidRPr="00D33F35" w:rsidRDefault="003621EE" w:rsidP="002F7012">
          <w:pPr>
            <w:pStyle w:val="TOC2"/>
            <w:tabs>
              <w:tab w:val="clear" w:pos="1247"/>
              <w:tab w:val="right" w:pos="9550"/>
            </w:tabs>
            <w:spacing w:after="120"/>
            <w:ind w:left="1701" w:firstLine="0"/>
            <w:rPr>
              <w:rFonts w:eastAsiaTheme="minorEastAsia"/>
              <w:b/>
              <w:bCs/>
              <w:noProof/>
              <w:sz w:val="22"/>
              <w:szCs w:val="22"/>
            </w:rPr>
          </w:pPr>
          <w:hyperlink w:anchor="_Toc9942387" w:history="1">
            <w:r w:rsidR="00E953EE" w:rsidRPr="00D33F35">
              <w:rPr>
                <w:rStyle w:val="Hyperlink"/>
                <w:noProof/>
              </w:rPr>
              <w:t>Resolutions Adopted by Conference of Plenipotentiaries on Minamata Convention on Mercury and GEF's Response</w:t>
            </w:r>
            <w:r w:rsidR="00E953EE" w:rsidRPr="00D33F35">
              <w:rPr>
                <w:noProof/>
                <w:webHidden/>
              </w:rPr>
              <w:tab/>
            </w:r>
            <w:r w:rsidR="00E953EE" w:rsidRPr="002F7012">
              <w:rPr>
                <w:b/>
                <w:noProof/>
                <w:webHidden/>
              </w:rPr>
              <w:fldChar w:fldCharType="begin"/>
            </w:r>
            <w:r w:rsidR="00E953EE" w:rsidRPr="00D33F35">
              <w:rPr>
                <w:noProof/>
                <w:webHidden/>
              </w:rPr>
              <w:instrText xml:space="preserve"> PAGEREF _Toc9942387 \h </w:instrText>
            </w:r>
            <w:r w:rsidR="00E953EE" w:rsidRPr="002F7012">
              <w:rPr>
                <w:b/>
                <w:noProof/>
                <w:webHidden/>
              </w:rPr>
            </w:r>
            <w:r w:rsidR="00E953EE" w:rsidRPr="002F7012">
              <w:rPr>
                <w:b/>
                <w:noProof/>
                <w:webHidden/>
              </w:rPr>
              <w:fldChar w:fldCharType="separate"/>
            </w:r>
            <w:r>
              <w:rPr>
                <w:noProof/>
                <w:webHidden/>
              </w:rPr>
              <w:t>14</w:t>
            </w:r>
            <w:r w:rsidR="00E953EE" w:rsidRPr="002F7012">
              <w:rPr>
                <w:b/>
                <w:noProof/>
                <w:webHidden/>
              </w:rPr>
              <w:fldChar w:fldCharType="end"/>
            </w:r>
          </w:hyperlink>
        </w:p>
        <w:p w14:paraId="4B02CB40" w14:textId="0E09ACC5" w:rsidR="00E953EE" w:rsidRPr="002F7012" w:rsidRDefault="003621EE" w:rsidP="006909EB">
          <w:pPr>
            <w:pStyle w:val="TOC1"/>
            <w:tabs>
              <w:tab w:val="clear" w:pos="1247"/>
              <w:tab w:val="clear" w:pos="1814"/>
              <w:tab w:val="right" w:pos="9550"/>
            </w:tabs>
            <w:ind w:left="1701" w:firstLine="0"/>
            <w:rPr>
              <w:rFonts w:eastAsiaTheme="minorEastAsia"/>
              <w:b/>
              <w:bCs w:val="0"/>
              <w:caps/>
              <w:noProof/>
              <w:sz w:val="22"/>
              <w:szCs w:val="22"/>
            </w:rPr>
          </w:pPr>
          <w:hyperlink w:anchor="_Toc9942388" w:history="1">
            <w:r w:rsidR="00E953EE" w:rsidRPr="002F7012">
              <w:rPr>
                <w:rStyle w:val="Hyperlink"/>
                <w:noProof/>
              </w:rPr>
              <w:t>Resources Programmed for the Minamata Convention July 2010 – May 2019</w:t>
            </w:r>
            <w:r w:rsidR="00E953EE" w:rsidRPr="002F7012">
              <w:rPr>
                <w:noProof/>
                <w:webHidden/>
              </w:rPr>
              <w:tab/>
            </w:r>
            <w:r w:rsidR="00E953EE" w:rsidRPr="002F7012">
              <w:rPr>
                <w:b/>
                <w:noProof/>
                <w:webHidden/>
              </w:rPr>
              <w:fldChar w:fldCharType="begin"/>
            </w:r>
            <w:r w:rsidR="00E953EE" w:rsidRPr="002F7012">
              <w:rPr>
                <w:noProof/>
                <w:webHidden/>
              </w:rPr>
              <w:instrText xml:space="preserve"> PAGEREF _Toc9942388 \h </w:instrText>
            </w:r>
            <w:r w:rsidR="00E953EE" w:rsidRPr="002F7012">
              <w:rPr>
                <w:b/>
                <w:noProof/>
                <w:webHidden/>
              </w:rPr>
            </w:r>
            <w:r w:rsidR="00E953EE" w:rsidRPr="002F7012">
              <w:rPr>
                <w:b/>
                <w:noProof/>
                <w:webHidden/>
              </w:rPr>
              <w:fldChar w:fldCharType="separate"/>
            </w:r>
            <w:r>
              <w:rPr>
                <w:noProof/>
                <w:webHidden/>
              </w:rPr>
              <w:t>16</w:t>
            </w:r>
            <w:r w:rsidR="00E953EE" w:rsidRPr="002F7012">
              <w:rPr>
                <w:b/>
                <w:noProof/>
                <w:webHidden/>
              </w:rPr>
              <w:fldChar w:fldCharType="end"/>
            </w:r>
          </w:hyperlink>
        </w:p>
        <w:p w14:paraId="453C27FF" w14:textId="77777777" w:rsidR="00E953EE" w:rsidRPr="00D33F35" w:rsidRDefault="00E953EE" w:rsidP="00E953EE">
          <w:r w:rsidRPr="002F7012">
            <w:rPr>
              <w:bCs/>
              <w:noProof/>
            </w:rPr>
            <w:fldChar w:fldCharType="end"/>
          </w:r>
        </w:p>
      </w:sdtContent>
    </w:sdt>
    <w:p w14:paraId="4D98DF3E" w14:textId="77777777" w:rsidR="00C75B4C" w:rsidRPr="00D33F35" w:rsidRDefault="00C75B4C">
      <w:pPr>
        <w:tabs>
          <w:tab w:val="clear" w:pos="1247"/>
          <w:tab w:val="clear" w:pos="1814"/>
          <w:tab w:val="clear" w:pos="2381"/>
          <w:tab w:val="clear" w:pos="2948"/>
          <w:tab w:val="clear" w:pos="3515"/>
        </w:tabs>
      </w:pPr>
      <w:bookmarkStart w:id="8" w:name="_Toc9941937"/>
      <w:bookmarkStart w:id="9" w:name="_Toc9942383"/>
      <w:r w:rsidRPr="00D33F35">
        <w:rPr>
          <w:b/>
        </w:rPr>
        <w:br w:type="page"/>
      </w:r>
    </w:p>
    <w:p w14:paraId="08AF4E27" w14:textId="7B9CE8B8" w:rsidR="00E953EE" w:rsidRPr="002F7012" w:rsidRDefault="00E953EE" w:rsidP="00E953EE">
      <w:pPr>
        <w:pStyle w:val="Heading1"/>
        <w:ind w:firstLine="0"/>
        <w:rPr>
          <w:b w:val="0"/>
          <w:sz w:val="22"/>
          <w:szCs w:val="22"/>
        </w:rPr>
      </w:pPr>
      <w:r w:rsidRPr="00D33F35">
        <w:rPr>
          <w:sz w:val="24"/>
          <w:szCs w:val="24"/>
        </w:rPr>
        <w:lastRenderedPageBreak/>
        <w:t>Introduction:</w:t>
      </w:r>
      <w:bookmarkEnd w:id="8"/>
      <w:bookmarkEnd w:id="9"/>
    </w:p>
    <w:p w14:paraId="4855F6A0" w14:textId="77777777" w:rsidR="00E953EE" w:rsidRPr="002F7012" w:rsidRDefault="00E953EE" w:rsidP="00E953EE">
      <w:pPr>
        <w:pStyle w:val="MainParagraphwith"/>
        <w:numPr>
          <w:ilvl w:val="0"/>
          <w:numId w:val="15"/>
        </w:numPr>
        <w:ind w:left="0" w:firstLine="0"/>
        <w:rPr>
          <w:rFonts w:ascii="Times New Roman" w:hAnsi="Times New Roman" w:cs="Times New Roman"/>
          <w:sz w:val="22"/>
          <w:szCs w:val="22"/>
        </w:rPr>
      </w:pPr>
      <w:r w:rsidRPr="002F7012">
        <w:rPr>
          <w:rFonts w:ascii="Times New Roman" w:hAnsi="Times New Roman" w:cs="Times New Roman"/>
          <w:sz w:val="22"/>
          <w:szCs w:val="22"/>
        </w:rPr>
        <w:t>Article 13 paragraph 5 of the Minamata Convention on Mercury defines a Mechanism for the provision of adequate, predictable, and timely financial resources to support developing country Parties and Parties with economies in transition in implementing their obligations under the Convention.</w:t>
      </w:r>
    </w:p>
    <w:p w14:paraId="24E32467" w14:textId="77777777" w:rsidR="00E953EE" w:rsidRPr="002F7012" w:rsidRDefault="00E953EE" w:rsidP="00E953EE">
      <w:pPr>
        <w:pStyle w:val="MainParagraphwith"/>
        <w:numPr>
          <w:ilvl w:val="0"/>
          <w:numId w:val="15"/>
        </w:numPr>
        <w:ind w:left="0" w:firstLine="0"/>
        <w:rPr>
          <w:rFonts w:ascii="Times New Roman" w:hAnsi="Times New Roman" w:cs="Times New Roman"/>
          <w:sz w:val="22"/>
          <w:szCs w:val="22"/>
        </w:rPr>
      </w:pPr>
      <w:r w:rsidRPr="002F7012">
        <w:rPr>
          <w:rFonts w:ascii="Times New Roman" w:hAnsi="Times New Roman" w:cs="Times New Roman"/>
          <w:sz w:val="22"/>
          <w:szCs w:val="22"/>
        </w:rPr>
        <w:t>Article 13 paragraph 6 includes the Global Environment Facility Trust Fund and a specific international Programme to support capacity-building and technical assistance in the Mechanism</w:t>
      </w:r>
    </w:p>
    <w:p w14:paraId="38F859D0" w14:textId="77777777" w:rsidR="00E953EE" w:rsidRPr="002F7012" w:rsidRDefault="00E953EE" w:rsidP="00E953EE">
      <w:pPr>
        <w:pStyle w:val="MainParagraphwith"/>
        <w:numPr>
          <w:ilvl w:val="0"/>
          <w:numId w:val="15"/>
        </w:numPr>
        <w:ind w:left="0" w:firstLine="0"/>
        <w:rPr>
          <w:rFonts w:ascii="Times New Roman" w:hAnsi="Times New Roman" w:cs="Times New Roman"/>
          <w:sz w:val="22"/>
          <w:szCs w:val="22"/>
        </w:rPr>
      </w:pPr>
      <w:r w:rsidRPr="002F7012">
        <w:rPr>
          <w:rFonts w:ascii="Times New Roman" w:hAnsi="Times New Roman" w:cs="Times New Roman"/>
          <w:sz w:val="22"/>
          <w:szCs w:val="22"/>
        </w:rPr>
        <w:t xml:space="preserve">Article 13, paragraph 11 of the Minamata Convention on Mercury requires that: </w:t>
      </w:r>
    </w:p>
    <w:p w14:paraId="2A9A4499" w14:textId="77777777" w:rsidR="00E953EE" w:rsidRPr="002F7012" w:rsidRDefault="00E953EE" w:rsidP="00E953EE">
      <w:pPr>
        <w:pStyle w:val="MainParagraphwith"/>
        <w:numPr>
          <w:ilvl w:val="0"/>
          <w:numId w:val="0"/>
        </w:numPr>
        <w:ind w:left="720"/>
        <w:rPr>
          <w:rFonts w:ascii="Times New Roman" w:hAnsi="Times New Roman" w:cs="Times New Roman"/>
          <w:sz w:val="22"/>
          <w:szCs w:val="22"/>
        </w:rPr>
      </w:pPr>
      <w:r w:rsidRPr="002F7012">
        <w:rPr>
          <w:rFonts w:ascii="Times New Roman" w:hAnsi="Times New Roman" w:cs="Times New Roman"/>
          <w:sz w:val="22"/>
          <w:szCs w:val="22"/>
        </w:rPr>
        <w:t>“The Conference of the Parties shall review, no later than at its third meeting, and thereafter on a regular basis, the level of funding, the guidance provided by the Conference of the Parties to the entities entrusted to operationalize the Mechanism established under this Article and their effectiveness, and their ability to address the changing needs of developing country Parties and Parties with economies in transition. It shall, based on such review, take appropriate action to improve the effectiveness of the Mechanism.”</w:t>
      </w:r>
    </w:p>
    <w:p w14:paraId="7B4678B8" w14:textId="77777777" w:rsidR="00E953EE" w:rsidRPr="002F7012" w:rsidRDefault="00E953EE" w:rsidP="00E953EE">
      <w:pPr>
        <w:pStyle w:val="MainParagraphwith"/>
        <w:numPr>
          <w:ilvl w:val="0"/>
          <w:numId w:val="15"/>
        </w:numPr>
        <w:ind w:left="0" w:firstLine="0"/>
        <w:rPr>
          <w:rFonts w:ascii="Times New Roman" w:hAnsi="Times New Roman" w:cs="Times New Roman"/>
          <w:sz w:val="22"/>
          <w:szCs w:val="22"/>
        </w:rPr>
      </w:pPr>
      <w:r w:rsidRPr="002F7012">
        <w:rPr>
          <w:rFonts w:ascii="Times New Roman" w:hAnsi="Times New Roman" w:cs="Times New Roman"/>
          <w:sz w:val="22"/>
          <w:szCs w:val="22"/>
        </w:rPr>
        <w:t>This document contains information on the level of funding provided by the GEF to support developing country Parties and Parties with economies in transition in implementing their obligations under the Convention and the response to guidance provided by the Conference of the Parties (COP) and the Intergovernmental Negotiating Committee (INC) as well as the Conference of Plenipotentiaries on Minamata Convention on Mercury</w:t>
      </w:r>
      <w:r w:rsidRPr="002F7012" w:rsidDel="00D32145">
        <w:rPr>
          <w:rFonts w:ascii="Times New Roman" w:hAnsi="Times New Roman" w:cs="Times New Roman"/>
          <w:sz w:val="22"/>
          <w:szCs w:val="22"/>
        </w:rPr>
        <w:t>.</w:t>
      </w:r>
    </w:p>
    <w:p w14:paraId="59923490" w14:textId="77777777" w:rsidR="00E953EE" w:rsidRPr="002F7012" w:rsidRDefault="00E953EE" w:rsidP="00E953EE">
      <w:pPr>
        <w:rPr>
          <w:rFonts w:eastAsiaTheme="majorEastAsia"/>
          <w:b/>
        </w:rPr>
      </w:pPr>
      <w:bookmarkStart w:id="10" w:name="_Toc9941938"/>
      <w:bookmarkStart w:id="11" w:name="_Toc9942384"/>
      <w:r w:rsidRPr="002F7012">
        <w:rPr>
          <w:b/>
        </w:rPr>
        <w:br w:type="page"/>
      </w:r>
    </w:p>
    <w:p w14:paraId="22487D27" w14:textId="011AA871" w:rsidR="00E953EE" w:rsidRPr="002F7012" w:rsidRDefault="00E953EE" w:rsidP="002F7012">
      <w:pPr>
        <w:pStyle w:val="Heading1"/>
        <w:ind w:firstLine="0"/>
        <w:rPr>
          <w:rFonts w:eastAsiaTheme="minorHAnsi"/>
        </w:rPr>
      </w:pPr>
      <w:r w:rsidRPr="002F7012">
        <w:rPr>
          <w:b w:val="0"/>
          <w:sz w:val="24"/>
          <w:szCs w:val="24"/>
        </w:rPr>
        <w:lastRenderedPageBreak/>
        <w:t>Compilation of GEF Council response to guidance received from the Minamata Convention on Mercury:</w:t>
      </w:r>
      <w:bookmarkEnd w:id="10"/>
      <w:bookmarkEnd w:id="11"/>
    </w:p>
    <w:p w14:paraId="51F6105E" w14:textId="77777777" w:rsidR="00E953EE" w:rsidRPr="002F7012" w:rsidRDefault="00E953EE" w:rsidP="00E953EE">
      <w:pPr>
        <w:pStyle w:val="Heading2"/>
        <w:ind w:firstLine="0"/>
      </w:pPr>
      <w:bookmarkStart w:id="12" w:name="_Toc9941939"/>
      <w:bookmarkStart w:id="13" w:name="_Toc9942385"/>
      <w:r w:rsidRPr="002F7012">
        <w:t>Initial Guidance to the GEF received at COP 1</w:t>
      </w:r>
      <w:r w:rsidRPr="002F7012">
        <w:rPr>
          <w:rStyle w:val="FootnoteReference"/>
        </w:rPr>
        <w:footnoteReference w:id="6"/>
      </w:r>
      <w:bookmarkEnd w:id="12"/>
      <w:bookmarkEnd w:id="13"/>
    </w:p>
    <w:tbl>
      <w:tblPr>
        <w:tblStyle w:val="GridTable5Dark-Accent1"/>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CellMar>
          <w:left w:w="115" w:type="dxa"/>
          <w:right w:w="115" w:type="dxa"/>
        </w:tblCellMar>
        <w:tblLook w:val="04A0" w:firstRow="1" w:lastRow="0" w:firstColumn="1" w:lastColumn="0" w:noHBand="0" w:noVBand="1"/>
      </w:tblPr>
      <w:tblGrid>
        <w:gridCol w:w="450"/>
        <w:gridCol w:w="4788"/>
        <w:gridCol w:w="4249"/>
      </w:tblGrid>
      <w:tr w:rsidR="00E953EE" w:rsidRPr="00D33F35" w14:paraId="3B66D5D9" w14:textId="77777777" w:rsidTr="006909EB">
        <w:trPr>
          <w:cnfStyle w:val="100000000000" w:firstRow="1" w:lastRow="0" w:firstColumn="0" w:lastColumn="0" w:oddVBand="0" w:evenVBand="0" w:oddHBand="0" w:evenHBand="0" w:firstRowFirstColumn="0" w:firstRowLastColumn="0" w:lastRowFirstColumn="0" w:lastRowLastColumn="0"/>
          <w:trHeight w:val="316"/>
          <w:tblHeader/>
          <w:jc w:val="center"/>
        </w:trPr>
        <w:tc>
          <w:tcPr>
            <w:cnfStyle w:val="001000000000" w:firstRow="0" w:lastRow="0" w:firstColumn="1" w:lastColumn="0" w:oddVBand="0" w:evenVBand="0" w:oddHBand="0" w:evenHBand="0" w:firstRowFirstColumn="0" w:firstRowLastColumn="0" w:lastRowFirstColumn="0" w:lastRowLastColumn="0"/>
            <w:tcW w:w="0" w:type="auto"/>
            <w:gridSpan w:val="2"/>
            <w:tcBorders>
              <w:top w:val="single" w:sz="4" w:space="0" w:color="auto"/>
              <w:left w:val="single" w:sz="4" w:space="0" w:color="auto"/>
              <w:right w:val="single" w:sz="4" w:space="0" w:color="auto"/>
            </w:tcBorders>
            <w:shd w:val="clear" w:color="auto" w:fill="FFFFFF" w:themeFill="background1"/>
          </w:tcPr>
          <w:p w14:paraId="67DEBFC3" w14:textId="77777777" w:rsidR="00E953EE" w:rsidRPr="002F7012" w:rsidRDefault="00E953EE" w:rsidP="006909EB">
            <w:pPr>
              <w:spacing w:before="60"/>
              <w:jc w:val="center"/>
              <w:rPr>
                <w:color w:val="auto"/>
                <w:sz w:val="22"/>
                <w:szCs w:val="22"/>
              </w:rPr>
            </w:pPr>
            <w:r w:rsidRPr="002F7012">
              <w:rPr>
                <w:sz w:val="22"/>
                <w:szCs w:val="22"/>
              </w:rPr>
              <w:t>COP Guidance</w:t>
            </w:r>
          </w:p>
        </w:tc>
        <w:tc>
          <w:tcPr>
            <w:tcW w:w="0" w:type="auto"/>
            <w:tcBorders>
              <w:top w:val="single" w:sz="4" w:space="0" w:color="auto"/>
              <w:left w:val="single" w:sz="4" w:space="0" w:color="auto"/>
              <w:right w:val="single" w:sz="4" w:space="0" w:color="auto"/>
            </w:tcBorders>
            <w:shd w:val="clear" w:color="auto" w:fill="FFFFFF" w:themeFill="background1"/>
          </w:tcPr>
          <w:p w14:paraId="676F7EF8" w14:textId="77777777" w:rsidR="00E953EE" w:rsidRPr="002F7012" w:rsidRDefault="00E953EE" w:rsidP="006909EB">
            <w:pPr>
              <w:spacing w:before="60"/>
              <w:jc w:val="center"/>
              <w:cnfStyle w:val="100000000000" w:firstRow="1" w:lastRow="0" w:firstColumn="0" w:lastColumn="0" w:oddVBand="0" w:evenVBand="0" w:oddHBand="0" w:evenHBand="0" w:firstRowFirstColumn="0" w:firstRowLastColumn="0" w:lastRowFirstColumn="0" w:lastRowLastColumn="0"/>
              <w:rPr>
                <w:color w:val="auto"/>
                <w:sz w:val="22"/>
                <w:szCs w:val="22"/>
              </w:rPr>
            </w:pPr>
            <w:r w:rsidRPr="002F7012">
              <w:rPr>
                <w:sz w:val="22"/>
                <w:szCs w:val="22"/>
              </w:rPr>
              <w:t>GEF Response</w:t>
            </w:r>
          </w:p>
        </w:tc>
      </w:tr>
      <w:tr w:rsidR="00E953EE" w:rsidRPr="00D33F35" w14:paraId="2EAB5125" w14:textId="77777777" w:rsidTr="006909E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gridSpan w:val="3"/>
            <w:tcBorders>
              <w:left w:val="single" w:sz="4" w:space="0" w:color="auto"/>
            </w:tcBorders>
            <w:shd w:val="clear" w:color="auto" w:fill="FFFFFF" w:themeFill="background1"/>
          </w:tcPr>
          <w:p w14:paraId="7326B2EE" w14:textId="77777777" w:rsidR="00E953EE" w:rsidRPr="002F7012" w:rsidRDefault="00E953EE" w:rsidP="006909EB">
            <w:pPr>
              <w:spacing w:before="60"/>
              <w:rPr>
                <w:color w:val="auto"/>
                <w:sz w:val="22"/>
                <w:szCs w:val="22"/>
              </w:rPr>
            </w:pPr>
            <w:r w:rsidRPr="002F7012">
              <w:rPr>
                <w:sz w:val="22"/>
                <w:szCs w:val="22"/>
              </w:rPr>
              <w:t>I. Eligibility for access to and utilization of financial resources</w:t>
            </w:r>
          </w:p>
        </w:tc>
      </w:tr>
      <w:tr w:rsidR="00E953EE" w:rsidRPr="00D33F35" w14:paraId="5173C5FE" w14:textId="77777777" w:rsidTr="006909EB">
        <w:trPr>
          <w:trHeight w:val="1997"/>
          <w:jc w:val="center"/>
        </w:trPr>
        <w:tc>
          <w:tcPr>
            <w:cnfStyle w:val="001000000000" w:firstRow="0" w:lastRow="0" w:firstColumn="1" w:lastColumn="0" w:oddVBand="0" w:evenVBand="0" w:oddHBand="0" w:evenHBand="0" w:firstRowFirstColumn="0" w:firstRowLastColumn="0" w:lastRowFirstColumn="0" w:lastRowLastColumn="0"/>
            <w:tcW w:w="0" w:type="auto"/>
            <w:tcBorders>
              <w:left w:val="none" w:sz="0" w:space="0" w:color="auto"/>
            </w:tcBorders>
            <w:shd w:val="clear" w:color="auto" w:fill="FFFFFF" w:themeFill="background1"/>
          </w:tcPr>
          <w:p w14:paraId="7D54B581" w14:textId="77777777" w:rsidR="00E953EE" w:rsidRPr="002F7012" w:rsidRDefault="00E953EE" w:rsidP="006909EB">
            <w:pPr>
              <w:spacing w:before="60"/>
              <w:jc w:val="center"/>
              <w:rPr>
                <w:b w:val="0"/>
                <w:color w:val="auto"/>
                <w:sz w:val="22"/>
                <w:szCs w:val="22"/>
              </w:rPr>
            </w:pPr>
            <w:r w:rsidRPr="002F7012">
              <w:rPr>
                <w:sz w:val="22"/>
                <w:szCs w:val="22"/>
              </w:rPr>
              <w:t>2</w:t>
            </w:r>
          </w:p>
        </w:tc>
        <w:tc>
          <w:tcPr>
            <w:tcW w:w="0" w:type="auto"/>
            <w:shd w:val="clear" w:color="auto" w:fill="FFFFFF" w:themeFill="background1"/>
          </w:tcPr>
          <w:p w14:paraId="35C4177D" w14:textId="77777777" w:rsidR="00E953EE" w:rsidRPr="002F7012" w:rsidRDefault="00E953EE" w:rsidP="006909EB">
            <w:pPr>
              <w:spacing w:before="60"/>
              <w:cnfStyle w:val="000000000000" w:firstRow="0" w:lastRow="0" w:firstColumn="0" w:lastColumn="0" w:oddVBand="0" w:evenVBand="0" w:oddHBand="0" w:evenHBand="0" w:firstRowFirstColumn="0" w:firstRowLastColumn="0" w:lastRowFirstColumn="0" w:lastRowLastColumn="0"/>
              <w:rPr>
                <w:sz w:val="22"/>
                <w:szCs w:val="22"/>
              </w:rPr>
            </w:pPr>
            <w:r w:rsidRPr="002F7012">
              <w:rPr>
                <w:sz w:val="22"/>
                <w:szCs w:val="22"/>
              </w:rPr>
              <w:t>To be eligible for funding from GEF as one of the entities comprising the financial mechanism of the Minamata Convention on Mercury, a country must be a Party to the Convention and must be a developing country or a country with an economy in transition.</w:t>
            </w:r>
          </w:p>
        </w:tc>
        <w:tc>
          <w:tcPr>
            <w:tcW w:w="0" w:type="auto"/>
            <w:shd w:val="clear" w:color="auto" w:fill="FFFFFF" w:themeFill="background1"/>
          </w:tcPr>
          <w:p w14:paraId="3EC5F98A" w14:textId="77777777" w:rsidR="00E953EE" w:rsidRPr="002F7012" w:rsidRDefault="00E953EE" w:rsidP="006909EB">
            <w:pPr>
              <w:spacing w:before="60"/>
              <w:cnfStyle w:val="000000000000" w:firstRow="0" w:lastRow="0" w:firstColumn="0" w:lastColumn="0" w:oddVBand="0" w:evenVBand="0" w:oddHBand="0" w:evenHBand="0" w:firstRowFirstColumn="0" w:firstRowLastColumn="0" w:lastRowFirstColumn="0" w:lastRowLastColumn="0"/>
              <w:rPr>
                <w:sz w:val="22"/>
                <w:szCs w:val="22"/>
              </w:rPr>
            </w:pPr>
            <w:r w:rsidRPr="002F7012">
              <w:rPr>
                <w:sz w:val="22"/>
                <w:szCs w:val="22"/>
              </w:rPr>
              <w:t>The GEF’s eligibility policy for mercury incorporates the criteria for funding enabling activities. The guidelines for these enabling activities are found in the information document of the 45</w:t>
            </w:r>
            <w:r w:rsidRPr="002F7012">
              <w:rPr>
                <w:sz w:val="22"/>
                <w:szCs w:val="22"/>
                <w:vertAlign w:val="superscript"/>
              </w:rPr>
              <w:t>th</w:t>
            </w:r>
            <w:r w:rsidRPr="002F7012">
              <w:rPr>
                <w:sz w:val="22"/>
                <w:szCs w:val="22"/>
              </w:rPr>
              <w:t xml:space="preserve"> meeting of the GEF Council, revised in January 2014.</w:t>
            </w:r>
            <w:r w:rsidRPr="002F7012">
              <w:rPr>
                <w:rStyle w:val="FootnoteReference"/>
                <w:sz w:val="22"/>
                <w:szCs w:val="22"/>
              </w:rPr>
              <w:footnoteReference w:id="7"/>
            </w:r>
          </w:p>
          <w:p w14:paraId="4C0308E3" w14:textId="77777777" w:rsidR="00E953EE" w:rsidRPr="002F7012" w:rsidRDefault="00E953EE" w:rsidP="006909EB">
            <w:pPr>
              <w:spacing w:before="60"/>
              <w:cnfStyle w:val="000000000000" w:firstRow="0" w:lastRow="0" w:firstColumn="0" w:lastColumn="0" w:oddVBand="0" w:evenVBand="0" w:oddHBand="0" w:evenHBand="0" w:firstRowFirstColumn="0" w:firstRowLastColumn="0" w:lastRowFirstColumn="0" w:lastRowLastColumn="0"/>
              <w:rPr>
                <w:sz w:val="22"/>
                <w:szCs w:val="22"/>
              </w:rPr>
            </w:pPr>
          </w:p>
          <w:p w14:paraId="2B78B991" w14:textId="77777777" w:rsidR="00E953EE" w:rsidRPr="002F7012" w:rsidRDefault="00E953EE" w:rsidP="006909EB">
            <w:pPr>
              <w:spacing w:before="60"/>
              <w:cnfStyle w:val="000000000000" w:firstRow="0" w:lastRow="0" w:firstColumn="0" w:lastColumn="0" w:oddVBand="0" w:evenVBand="0" w:oddHBand="0" w:evenHBand="0" w:firstRowFirstColumn="0" w:firstRowLastColumn="0" w:lastRowFirstColumn="0" w:lastRowLastColumn="0"/>
              <w:rPr>
                <w:sz w:val="22"/>
                <w:szCs w:val="22"/>
              </w:rPr>
            </w:pPr>
            <w:r w:rsidRPr="002F7012">
              <w:rPr>
                <w:sz w:val="22"/>
                <w:szCs w:val="22"/>
              </w:rPr>
              <w:t>During GEF-6, prior to the Conference of the Parties, both signatory countries and parties were eligible for receiving funding from the GEF. In GEF-7, only Parties are eligible to access GEF resources.</w:t>
            </w:r>
          </w:p>
        </w:tc>
      </w:tr>
      <w:tr w:rsidR="00E953EE" w:rsidRPr="00D33F35" w14:paraId="50E86532" w14:textId="77777777" w:rsidTr="006909EB">
        <w:trPr>
          <w:cnfStyle w:val="000000100000" w:firstRow="0" w:lastRow="0" w:firstColumn="0" w:lastColumn="0" w:oddVBand="0" w:evenVBand="0" w:oddHBand="1" w:evenHBand="0" w:firstRowFirstColumn="0" w:firstRowLastColumn="0" w:lastRowFirstColumn="0" w:lastRowLastColumn="0"/>
          <w:trHeight w:val="889"/>
          <w:jc w:val="center"/>
        </w:trPr>
        <w:tc>
          <w:tcPr>
            <w:cnfStyle w:val="001000000000" w:firstRow="0" w:lastRow="0" w:firstColumn="1" w:lastColumn="0" w:oddVBand="0" w:evenVBand="0" w:oddHBand="0" w:evenHBand="0" w:firstRowFirstColumn="0" w:firstRowLastColumn="0" w:lastRowFirstColumn="0" w:lastRowLastColumn="0"/>
            <w:tcW w:w="0" w:type="auto"/>
            <w:tcBorders>
              <w:left w:val="none" w:sz="0" w:space="0" w:color="auto"/>
            </w:tcBorders>
            <w:shd w:val="clear" w:color="auto" w:fill="FFFFFF" w:themeFill="background1"/>
          </w:tcPr>
          <w:p w14:paraId="617F84B4" w14:textId="77777777" w:rsidR="00E953EE" w:rsidRPr="002F7012" w:rsidRDefault="00E953EE" w:rsidP="006909EB">
            <w:pPr>
              <w:spacing w:before="60"/>
              <w:jc w:val="center"/>
              <w:rPr>
                <w:b w:val="0"/>
                <w:color w:val="auto"/>
                <w:sz w:val="22"/>
                <w:szCs w:val="22"/>
              </w:rPr>
            </w:pPr>
            <w:r w:rsidRPr="002F7012">
              <w:rPr>
                <w:sz w:val="22"/>
                <w:szCs w:val="22"/>
              </w:rPr>
              <w:t>3</w:t>
            </w:r>
          </w:p>
        </w:tc>
        <w:tc>
          <w:tcPr>
            <w:tcW w:w="0" w:type="auto"/>
            <w:shd w:val="clear" w:color="auto" w:fill="FFFFFF" w:themeFill="background1"/>
          </w:tcPr>
          <w:p w14:paraId="7412C8A7" w14:textId="77777777" w:rsidR="00E953EE" w:rsidRPr="002F7012" w:rsidRDefault="00E953EE" w:rsidP="006909EB">
            <w:pPr>
              <w:spacing w:before="60"/>
              <w:cnfStyle w:val="000000100000" w:firstRow="0" w:lastRow="0" w:firstColumn="0" w:lastColumn="0" w:oddVBand="0" w:evenVBand="0" w:oddHBand="1" w:evenHBand="0" w:firstRowFirstColumn="0" w:firstRowLastColumn="0" w:lastRowFirstColumn="0" w:lastRowLastColumn="0"/>
              <w:rPr>
                <w:sz w:val="22"/>
                <w:szCs w:val="22"/>
              </w:rPr>
            </w:pPr>
            <w:r w:rsidRPr="002F7012">
              <w:rPr>
                <w:sz w:val="22"/>
                <w:szCs w:val="22"/>
              </w:rPr>
              <w:t>Activities that are eligible for funding from the GEF trust fund are those that seek to meet the objectives of the Convention and are consistent with the present guidance.</w:t>
            </w:r>
          </w:p>
        </w:tc>
        <w:tc>
          <w:tcPr>
            <w:tcW w:w="0" w:type="auto"/>
            <w:shd w:val="clear" w:color="auto" w:fill="FFFFFF" w:themeFill="background1"/>
          </w:tcPr>
          <w:p w14:paraId="0FA891A7" w14:textId="77777777" w:rsidR="00E953EE" w:rsidRPr="002F7012" w:rsidRDefault="00E953EE" w:rsidP="006909EB">
            <w:pPr>
              <w:spacing w:before="60"/>
              <w:cnfStyle w:val="000000100000" w:firstRow="0" w:lastRow="0" w:firstColumn="0" w:lastColumn="0" w:oddVBand="0" w:evenVBand="0" w:oddHBand="1" w:evenHBand="0" w:firstRowFirstColumn="0" w:firstRowLastColumn="0" w:lastRowFirstColumn="0" w:lastRowLastColumn="0"/>
              <w:rPr>
                <w:sz w:val="22"/>
                <w:szCs w:val="22"/>
              </w:rPr>
            </w:pPr>
            <w:r w:rsidRPr="002F7012">
              <w:rPr>
                <w:sz w:val="22"/>
                <w:szCs w:val="22"/>
              </w:rPr>
              <w:t>According to the GEF Instrument paragraph 6 (e) the GEF shall: Operate as one of the entities comprising the financial mechanism of the Minamata Convention on Mercury, pursuant to its Article 13, paragraphs 5, 6 and 8. In such respects, the GEF shall operate under the guidance of, and be accountable to the Conference of the Parties, which shall provide guidance on overall strategies, policies, program priorities and eligibility for access to and utilization of financial resources. In addition, the GEF shall receive guidance from the Conference of the Parties on an indicative list of categories of activities that could receive support; and shall provide resources to meet the agreed incremental costs of global environmental benefits and the agreed full costs of some enabling activities, pursuant to Article 13, paragraph 7, of the Minamata Convention on Mercury.</w:t>
            </w:r>
          </w:p>
        </w:tc>
      </w:tr>
      <w:tr w:rsidR="00E953EE" w:rsidRPr="00D33F35" w14:paraId="6A036116" w14:textId="77777777" w:rsidTr="006909EB">
        <w:trPr>
          <w:jc w:val="center"/>
        </w:trPr>
        <w:tc>
          <w:tcPr>
            <w:cnfStyle w:val="001000000000" w:firstRow="0" w:lastRow="0" w:firstColumn="1" w:lastColumn="0" w:oddVBand="0" w:evenVBand="0" w:oddHBand="0" w:evenHBand="0" w:firstRowFirstColumn="0" w:firstRowLastColumn="0" w:lastRowFirstColumn="0" w:lastRowLastColumn="0"/>
            <w:tcW w:w="0" w:type="auto"/>
            <w:tcBorders>
              <w:left w:val="none" w:sz="0" w:space="0" w:color="auto"/>
            </w:tcBorders>
            <w:shd w:val="clear" w:color="auto" w:fill="auto"/>
          </w:tcPr>
          <w:p w14:paraId="7E7F0B79" w14:textId="77777777" w:rsidR="00E953EE" w:rsidRPr="002F7012" w:rsidRDefault="00E953EE" w:rsidP="006909EB">
            <w:pPr>
              <w:spacing w:before="60"/>
              <w:jc w:val="center"/>
              <w:rPr>
                <w:b w:val="0"/>
                <w:color w:val="auto"/>
                <w:sz w:val="22"/>
                <w:szCs w:val="22"/>
              </w:rPr>
            </w:pPr>
            <w:r w:rsidRPr="002F7012">
              <w:rPr>
                <w:sz w:val="22"/>
                <w:szCs w:val="22"/>
              </w:rPr>
              <w:t>4</w:t>
            </w:r>
          </w:p>
        </w:tc>
        <w:tc>
          <w:tcPr>
            <w:tcW w:w="0" w:type="auto"/>
            <w:shd w:val="clear" w:color="auto" w:fill="auto"/>
          </w:tcPr>
          <w:p w14:paraId="6AE818C4" w14:textId="77777777" w:rsidR="00E953EE" w:rsidRPr="002F7012" w:rsidRDefault="00E953EE" w:rsidP="006909EB">
            <w:pPr>
              <w:spacing w:before="60"/>
              <w:cnfStyle w:val="000000000000" w:firstRow="0" w:lastRow="0" w:firstColumn="0" w:lastColumn="0" w:oddVBand="0" w:evenVBand="0" w:oddHBand="0" w:evenHBand="0" w:firstRowFirstColumn="0" w:firstRowLastColumn="0" w:lastRowFirstColumn="0" w:lastRowLastColumn="0"/>
              <w:rPr>
                <w:sz w:val="22"/>
                <w:szCs w:val="22"/>
              </w:rPr>
            </w:pPr>
            <w:r w:rsidRPr="002F7012">
              <w:rPr>
                <w:sz w:val="22"/>
                <w:szCs w:val="22"/>
              </w:rPr>
              <w:t>Signatories to the Convention are eligible for funding from GEF for enabling activities, provided that any such signatory is taking meaningful steps towards becoming a Party as evidenced by a letter from the relevant minister to the Executive Director of the United Nations Environment Programme and to the Chief Executive Officer and Chairperson of the Global Environment Facility.</w:t>
            </w:r>
          </w:p>
        </w:tc>
        <w:tc>
          <w:tcPr>
            <w:tcW w:w="0" w:type="auto"/>
            <w:shd w:val="clear" w:color="auto" w:fill="FFFFFF" w:themeFill="background1"/>
          </w:tcPr>
          <w:p w14:paraId="650B0220" w14:textId="77777777" w:rsidR="00E953EE" w:rsidRPr="002F7012" w:rsidRDefault="00E953EE" w:rsidP="006909EB">
            <w:pPr>
              <w:spacing w:before="60"/>
              <w:cnfStyle w:val="000000000000" w:firstRow="0" w:lastRow="0" w:firstColumn="0" w:lastColumn="0" w:oddVBand="0" w:evenVBand="0" w:oddHBand="0" w:evenHBand="0" w:firstRowFirstColumn="0" w:firstRowLastColumn="0" w:lastRowFirstColumn="0" w:lastRowLastColumn="0"/>
              <w:rPr>
                <w:sz w:val="22"/>
                <w:szCs w:val="22"/>
              </w:rPr>
            </w:pPr>
            <w:r w:rsidRPr="002F7012">
              <w:rPr>
                <w:sz w:val="22"/>
                <w:szCs w:val="22"/>
              </w:rPr>
              <w:t xml:space="preserve">Up to June 30, 2018, the GEF supported a total of 110 countries through GEF-5 and GEF-6 to implement Minamata Initial Assessments (MIA) and 32 countries to conduct their artisanal and small-scale gold mining (ASGM) National Action Plans (NAP). 78 out of 89 Signatories received funding for these enabling activities. Of the remaining eleven countries, six have become Parties to date. Twenty-three countries that were non-signatory and non-party have </w:t>
            </w:r>
            <w:r w:rsidRPr="002F7012">
              <w:rPr>
                <w:sz w:val="22"/>
                <w:szCs w:val="22"/>
              </w:rPr>
              <w:lastRenderedPageBreak/>
              <w:t>accessed enabling activity resources through the varying of the eligibility criteria by the GEF Council through a decision by mail on January 14, 2015 at the request of the sixth session of the intergovernmental committee on mercury (INC6) to allow non-signatory, non-Party States to access resources for enabling activities from the GEF. This variation of the eligibility for non-signatories, non-parties is no longer applicable as the COP 1 guidance only applies to signatories and Parties with respect to access of funding of enabling activities.</w:t>
            </w:r>
            <w:r w:rsidRPr="002F7012">
              <w:rPr>
                <w:rStyle w:val="FootnoteReference"/>
                <w:sz w:val="22"/>
                <w:szCs w:val="22"/>
              </w:rPr>
              <w:footnoteReference w:id="8"/>
            </w:r>
          </w:p>
          <w:p w14:paraId="725D6741" w14:textId="77777777" w:rsidR="00E953EE" w:rsidRPr="002F7012" w:rsidRDefault="00E953EE" w:rsidP="006909EB">
            <w:pPr>
              <w:spacing w:before="60"/>
              <w:cnfStyle w:val="000000000000" w:firstRow="0" w:lastRow="0" w:firstColumn="0" w:lastColumn="0" w:oddVBand="0" w:evenVBand="0" w:oddHBand="0" w:evenHBand="0" w:firstRowFirstColumn="0" w:firstRowLastColumn="0" w:lastRowFirstColumn="0" w:lastRowLastColumn="0"/>
              <w:rPr>
                <w:sz w:val="22"/>
                <w:szCs w:val="22"/>
              </w:rPr>
            </w:pPr>
          </w:p>
          <w:p w14:paraId="044F1C75" w14:textId="77777777" w:rsidR="00E953EE" w:rsidRPr="002F7012" w:rsidRDefault="00E953EE" w:rsidP="006909EB">
            <w:pPr>
              <w:spacing w:before="60"/>
              <w:cnfStyle w:val="000000000000" w:firstRow="0" w:lastRow="0" w:firstColumn="0" w:lastColumn="0" w:oddVBand="0" w:evenVBand="0" w:oddHBand="0" w:evenHBand="0" w:firstRowFirstColumn="0" w:firstRowLastColumn="0" w:lastRowFirstColumn="0" w:lastRowLastColumn="0"/>
              <w:rPr>
                <w:sz w:val="22"/>
                <w:szCs w:val="22"/>
              </w:rPr>
            </w:pPr>
          </w:p>
        </w:tc>
      </w:tr>
      <w:tr w:rsidR="00E953EE" w:rsidRPr="00D33F35" w14:paraId="703C7201" w14:textId="77777777" w:rsidTr="006909E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gridSpan w:val="3"/>
            <w:tcBorders>
              <w:left w:val="none" w:sz="0" w:space="0" w:color="auto"/>
            </w:tcBorders>
            <w:shd w:val="clear" w:color="auto" w:fill="FFFFFF" w:themeFill="background1"/>
          </w:tcPr>
          <w:p w14:paraId="1EB065C1" w14:textId="77777777" w:rsidR="00E953EE" w:rsidRPr="002F7012" w:rsidRDefault="00E953EE" w:rsidP="006909EB">
            <w:pPr>
              <w:spacing w:before="60"/>
              <w:rPr>
                <w:color w:val="auto"/>
                <w:sz w:val="22"/>
                <w:szCs w:val="22"/>
              </w:rPr>
            </w:pPr>
            <w:r w:rsidRPr="002F7012">
              <w:rPr>
                <w:sz w:val="22"/>
                <w:szCs w:val="22"/>
              </w:rPr>
              <w:lastRenderedPageBreak/>
              <w:t>II. Overall strategies and policies</w:t>
            </w:r>
          </w:p>
        </w:tc>
      </w:tr>
      <w:tr w:rsidR="00E953EE" w:rsidRPr="00D33F35" w14:paraId="586BD391" w14:textId="77777777" w:rsidTr="006909EB">
        <w:trPr>
          <w:jc w:val="center"/>
        </w:trPr>
        <w:tc>
          <w:tcPr>
            <w:cnfStyle w:val="001000000000" w:firstRow="0" w:lastRow="0" w:firstColumn="1" w:lastColumn="0" w:oddVBand="0" w:evenVBand="0" w:oddHBand="0" w:evenHBand="0" w:firstRowFirstColumn="0" w:firstRowLastColumn="0" w:lastRowFirstColumn="0" w:lastRowLastColumn="0"/>
            <w:tcW w:w="0" w:type="auto"/>
            <w:tcBorders>
              <w:left w:val="none" w:sz="0" w:space="0" w:color="auto"/>
            </w:tcBorders>
            <w:shd w:val="clear" w:color="auto" w:fill="FFFFFF" w:themeFill="background1"/>
          </w:tcPr>
          <w:p w14:paraId="59EE88D9" w14:textId="77777777" w:rsidR="00E953EE" w:rsidRPr="002F7012" w:rsidRDefault="00E953EE" w:rsidP="006909EB">
            <w:pPr>
              <w:spacing w:before="60"/>
              <w:jc w:val="center"/>
              <w:rPr>
                <w:b w:val="0"/>
                <w:color w:val="auto"/>
                <w:sz w:val="22"/>
                <w:szCs w:val="22"/>
              </w:rPr>
            </w:pPr>
            <w:r w:rsidRPr="002F7012">
              <w:rPr>
                <w:sz w:val="22"/>
                <w:szCs w:val="22"/>
              </w:rPr>
              <w:t>5</w:t>
            </w:r>
          </w:p>
        </w:tc>
        <w:tc>
          <w:tcPr>
            <w:tcW w:w="0" w:type="auto"/>
            <w:shd w:val="clear" w:color="auto" w:fill="FFFFFF" w:themeFill="background1"/>
          </w:tcPr>
          <w:p w14:paraId="2F04C9AB" w14:textId="77777777" w:rsidR="00E953EE" w:rsidRPr="002F7012" w:rsidRDefault="00E953EE" w:rsidP="006909EB">
            <w:pPr>
              <w:spacing w:before="60"/>
              <w:cnfStyle w:val="000000000000" w:firstRow="0" w:lastRow="0" w:firstColumn="0" w:lastColumn="0" w:oddVBand="0" w:evenVBand="0" w:oddHBand="0" w:evenHBand="0" w:firstRowFirstColumn="0" w:firstRowLastColumn="0" w:lastRowFirstColumn="0" w:lastRowLastColumn="0"/>
              <w:rPr>
                <w:sz w:val="22"/>
                <w:szCs w:val="22"/>
              </w:rPr>
            </w:pPr>
            <w:r w:rsidRPr="002F7012">
              <w:rPr>
                <w:sz w:val="22"/>
                <w:szCs w:val="22"/>
              </w:rPr>
              <w:t xml:space="preserve">In accordance with Article 13, paragraph 7, of the Convention, the GEF trust fund shall provide new, predictable, adequate and timely financial resources to meet costs in support of implementation of the Convention as agreed by the Conference of the Parties, including costs arising from activities that: </w:t>
            </w:r>
          </w:p>
          <w:p w14:paraId="65B980FB" w14:textId="77777777" w:rsidR="00E953EE" w:rsidRPr="002F7012" w:rsidRDefault="00E953EE" w:rsidP="006909EB">
            <w:pPr>
              <w:spacing w:before="60"/>
              <w:cnfStyle w:val="000000000000" w:firstRow="0" w:lastRow="0" w:firstColumn="0" w:lastColumn="0" w:oddVBand="0" w:evenVBand="0" w:oddHBand="0" w:evenHBand="0" w:firstRowFirstColumn="0" w:firstRowLastColumn="0" w:lastRowFirstColumn="0" w:lastRowLastColumn="0"/>
              <w:rPr>
                <w:sz w:val="22"/>
                <w:szCs w:val="22"/>
              </w:rPr>
            </w:pPr>
            <w:r w:rsidRPr="002F7012">
              <w:rPr>
                <w:sz w:val="22"/>
                <w:szCs w:val="22"/>
              </w:rPr>
              <w:t xml:space="preserve">(a) Are country-driven; </w:t>
            </w:r>
          </w:p>
          <w:p w14:paraId="1896118D" w14:textId="77777777" w:rsidR="00E953EE" w:rsidRPr="002F7012" w:rsidRDefault="00E953EE" w:rsidP="006909EB">
            <w:pPr>
              <w:spacing w:before="60"/>
              <w:cnfStyle w:val="000000000000" w:firstRow="0" w:lastRow="0" w:firstColumn="0" w:lastColumn="0" w:oddVBand="0" w:evenVBand="0" w:oddHBand="0" w:evenHBand="0" w:firstRowFirstColumn="0" w:firstRowLastColumn="0" w:lastRowFirstColumn="0" w:lastRowLastColumn="0"/>
              <w:rPr>
                <w:sz w:val="22"/>
                <w:szCs w:val="22"/>
              </w:rPr>
            </w:pPr>
            <w:r w:rsidRPr="002F7012">
              <w:rPr>
                <w:sz w:val="22"/>
                <w:szCs w:val="22"/>
              </w:rPr>
              <w:t>(b) Are in conformity with programme priorities as reflected in relevant guidance provided by the Conference of the Parties;</w:t>
            </w:r>
          </w:p>
          <w:p w14:paraId="502C0512" w14:textId="77777777" w:rsidR="00E953EE" w:rsidRPr="002F7012" w:rsidRDefault="00E953EE" w:rsidP="006909EB">
            <w:pPr>
              <w:spacing w:before="60"/>
              <w:cnfStyle w:val="000000000000" w:firstRow="0" w:lastRow="0" w:firstColumn="0" w:lastColumn="0" w:oddVBand="0" w:evenVBand="0" w:oddHBand="0" w:evenHBand="0" w:firstRowFirstColumn="0" w:firstRowLastColumn="0" w:lastRowFirstColumn="0" w:lastRowLastColumn="0"/>
              <w:rPr>
                <w:sz w:val="22"/>
                <w:szCs w:val="22"/>
              </w:rPr>
            </w:pPr>
            <w:r w:rsidRPr="002F7012">
              <w:rPr>
                <w:sz w:val="22"/>
                <w:szCs w:val="22"/>
              </w:rPr>
              <w:t xml:space="preserve">(c) Build capacity and promote the utilization of local and regional expertise, if applicable; </w:t>
            </w:r>
          </w:p>
          <w:p w14:paraId="43CB5BE1" w14:textId="77777777" w:rsidR="00E953EE" w:rsidRPr="002F7012" w:rsidRDefault="00E953EE" w:rsidP="006909EB">
            <w:pPr>
              <w:spacing w:before="60"/>
              <w:cnfStyle w:val="000000000000" w:firstRow="0" w:lastRow="0" w:firstColumn="0" w:lastColumn="0" w:oddVBand="0" w:evenVBand="0" w:oddHBand="0" w:evenHBand="0" w:firstRowFirstColumn="0" w:firstRowLastColumn="0" w:lastRowFirstColumn="0" w:lastRowLastColumn="0"/>
              <w:rPr>
                <w:sz w:val="22"/>
                <w:szCs w:val="22"/>
              </w:rPr>
            </w:pPr>
            <w:r w:rsidRPr="002F7012">
              <w:rPr>
                <w:sz w:val="22"/>
                <w:szCs w:val="22"/>
              </w:rPr>
              <w:t>(d) Promote synergies with other focal areas;</w:t>
            </w:r>
          </w:p>
          <w:p w14:paraId="6B90A67F" w14:textId="77777777" w:rsidR="00E953EE" w:rsidRPr="002F7012" w:rsidRDefault="00E953EE" w:rsidP="006909EB">
            <w:pPr>
              <w:spacing w:before="60"/>
              <w:cnfStyle w:val="000000000000" w:firstRow="0" w:lastRow="0" w:firstColumn="0" w:lastColumn="0" w:oddVBand="0" w:evenVBand="0" w:oddHBand="0" w:evenHBand="0" w:firstRowFirstColumn="0" w:firstRowLastColumn="0" w:lastRowFirstColumn="0" w:lastRowLastColumn="0"/>
              <w:rPr>
                <w:sz w:val="22"/>
                <w:szCs w:val="22"/>
              </w:rPr>
            </w:pPr>
            <w:r w:rsidRPr="002F7012">
              <w:rPr>
                <w:sz w:val="22"/>
                <w:szCs w:val="22"/>
              </w:rPr>
              <w:t>(e) Continue to enhance synergies and co-benefits within the chemicals and wastes focal area;</w:t>
            </w:r>
          </w:p>
          <w:p w14:paraId="27503539" w14:textId="77777777" w:rsidR="00E953EE" w:rsidRPr="002F7012" w:rsidRDefault="00E953EE" w:rsidP="006909EB">
            <w:pPr>
              <w:spacing w:before="60"/>
              <w:cnfStyle w:val="000000000000" w:firstRow="0" w:lastRow="0" w:firstColumn="0" w:lastColumn="0" w:oddVBand="0" w:evenVBand="0" w:oddHBand="0" w:evenHBand="0" w:firstRowFirstColumn="0" w:firstRowLastColumn="0" w:lastRowFirstColumn="0" w:lastRowLastColumn="0"/>
              <w:rPr>
                <w:sz w:val="22"/>
                <w:szCs w:val="22"/>
              </w:rPr>
            </w:pPr>
            <w:r w:rsidRPr="002F7012">
              <w:rPr>
                <w:sz w:val="22"/>
                <w:szCs w:val="22"/>
              </w:rPr>
              <w:t xml:space="preserve">(f) Promote multiple-source funding approaches, mechanisms and arrangements, including from the private sector, if applicable; and </w:t>
            </w:r>
          </w:p>
          <w:p w14:paraId="4B169284" w14:textId="77777777" w:rsidR="00E953EE" w:rsidRPr="002F7012" w:rsidRDefault="00E953EE" w:rsidP="006909EB">
            <w:pPr>
              <w:spacing w:before="60"/>
              <w:cnfStyle w:val="000000000000" w:firstRow="0" w:lastRow="0" w:firstColumn="0" w:lastColumn="0" w:oddVBand="0" w:evenVBand="0" w:oddHBand="0" w:evenHBand="0" w:firstRowFirstColumn="0" w:firstRowLastColumn="0" w:lastRowFirstColumn="0" w:lastRowLastColumn="0"/>
              <w:rPr>
                <w:sz w:val="22"/>
                <w:szCs w:val="22"/>
              </w:rPr>
            </w:pPr>
            <w:r w:rsidRPr="002F7012">
              <w:rPr>
                <w:sz w:val="22"/>
                <w:szCs w:val="22"/>
              </w:rPr>
              <w:t>(g) Promote sustainable national socioeconomic development, poverty reduction and activities consistent with existing national sound environmental management programmes geared towards the protection of human health and the environment.</w:t>
            </w:r>
          </w:p>
        </w:tc>
        <w:tc>
          <w:tcPr>
            <w:tcW w:w="0" w:type="auto"/>
            <w:shd w:val="clear" w:color="auto" w:fill="FFFFFF" w:themeFill="background1"/>
          </w:tcPr>
          <w:p w14:paraId="3BFF9E61" w14:textId="77777777" w:rsidR="00E953EE" w:rsidRPr="002F7012" w:rsidRDefault="00E953EE" w:rsidP="006909EB">
            <w:pPr>
              <w:spacing w:before="60"/>
              <w:cnfStyle w:val="000000000000" w:firstRow="0" w:lastRow="0" w:firstColumn="0" w:lastColumn="0" w:oddVBand="0" w:evenVBand="0" w:oddHBand="0" w:evenHBand="0" w:firstRowFirstColumn="0" w:firstRowLastColumn="0" w:lastRowFirstColumn="0" w:lastRowLastColumn="0"/>
              <w:rPr>
                <w:sz w:val="22"/>
                <w:szCs w:val="22"/>
              </w:rPr>
            </w:pPr>
            <w:r w:rsidRPr="002F7012">
              <w:rPr>
                <w:sz w:val="22"/>
                <w:szCs w:val="22"/>
              </w:rPr>
              <w:t>This guidance has been used to inform the programming in GEF-6 and has been addressed in the GEF-7 replenishment negotiations, which concluded in April 2018. The new strategy is included in the summary of negotiations of the seventh replenishment of the GEF trust fund.</w:t>
            </w:r>
            <w:r w:rsidRPr="002F7012">
              <w:rPr>
                <w:rStyle w:val="FootnoteReference"/>
                <w:sz w:val="22"/>
                <w:szCs w:val="22"/>
              </w:rPr>
              <w:footnoteReference w:id="9"/>
            </w:r>
          </w:p>
        </w:tc>
      </w:tr>
      <w:tr w:rsidR="00E953EE" w:rsidRPr="00D33F35" w14:paraId="0E571A46" w14:textId="77777777" w:rsidTr="006909E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gridSpan w:val="3"/>
            <w:tcBorders>
              <w:left w:val="none" w:sz="0" w:space="0" w:color="auto"/>
            </w:tcBorders>
            <w:shd w:val="clear" w:color="auto" w:fill="FFFFFF" w:themeFill="background1"/>
          </w:tcPr>
          <w:p w14:paraId="3BA043D5" w14:textId="77777777" w:rsidR="00E953EE" w:rsidRPr="002F7012" w:rsidRDefault="00E953EE" w:rsidP="006909EB">
            <w:pPr>
              <w:spacing w:before="60"/>
              <w:rPr>
                <w:color w:val="auto"/>
                <w:sz w:val="22"/>
                <w:szCs w:val="22"/>
              </w:rPr>
            </w:pPr>
            <w:r w:rsidRPr="002F7012">
              <w:rPr>
                <w:sz w:val="22"/>
                <w:szCs w:val="22"/>
              </w:rPr>
              <w:t>III. Programme priorities</w:t>
            </w:r>
          </w:p>
        </w:tc>
      </w:tr>
      <w:tr w:rsidR="00E953EE" w:rsidRPr="00D33F35" w14:paraId="28676948" w14:textId="77777777" w:rsidTr="006909EB">
        <w:trPr>
          <w:jc w:val="center"/>
        </w:trPr>
        <w:tc>
          <w:tcPr>
            <w:cnfStyle w:val="001000000000" w:firstRow="0" w:lastRow="0" w:firstColumn="1" w:lastColumn="0" w:oddVBand="0" w:evenVBand="0" w:oddHBand="0" w:evenHBand="0" w:firstRowFirstColumn="0" w:firstRowLastColumn="0" w:lastRowFirstColumn="0" w:lastRowLastColumn="0"/>
            <w:tcW w:w="0" w:type="auto"/>
            <w:tcBorders>
              <w:left w:val="none" w:sz="0" w:space="0" w:color="auto"/>
            </w:tcBorders>
            <w:shd w:val="clear" w:color="auto" w:fill="FFFFFF" w:themeFill="background1"/>
          </w:tcPr>
          <w:p w14:paraId="3E97A561" w14:textId="77777777" w:rsidR="00E953EE" w:rsidRPr="002F7012" w:rsidRDefault="00E953EE" w:rsidP="006909EB">
            <w:pPr>
              <w:spacing w:before="60"/>
              <w:jc w:val="center"/>
              <w:rPr>
                <w:b w:val="0"/>
                <w:color w:val="auto"/>
                <w:sz w:val="22"/>
                <w:szCs w:val="22"/>
              </w:rPr>
            </w:pPr>
            <w:r w:rsidRPr="002F7012">
              <w:rPr>
                <w:sz w:val="22"/>
                <w:szCs w:val="22"/>
              </w:rPr>
              <w:t>6</w:t>
            </w:r>
          </w:p>
        </w:tc>
        <w:tc>
          <w:tcPr>
            <w:tcW w:w="0" w:type="auto"/>
            <w:shd w:val="clear" w:color="auto" w:fill="FFFFFF" w:themeFill="background1"/>
          </w:tcPr>
          <w:p w14:paraId="5AB04BAF" w14:textId="77777777" w:rsidR="00E953EE" w:rsidRPr="002F7012" w:rsidRDefault="00E953EE" w:rsidP="006909EB">
            <w:pPr>
              <w:spacing w:before="60"/>
              <w:cnfStyle w:val="000000000000" w:firstRow="0" w:lastRow="0" w:firstColumn="0" w:lastColumn="0" w:oddVBand="0" w:evenVBand="0" w:oddHBand="0" w:evenHBand="0" w:firstRowFirstColumn="0" w:firstRowLastColumn="0" w:lastRowFirstColumn="0" w:lastRowLastColumn="0"/>
              <w:rPr>
                <w:sz w:val="22"/>
                <w:szCs w:val="22"/>
              </w:rPr>
            </w:pPr>
            <w:r w:rsidRPr="002F7012">
              <w:rPr>
                <w:sz w:val="22"/>
                <w:szCs w:val="22"/>
              </w:rPr>
              <w:t xml:space="preserve">In accordance with article 13, paragraph 7, of the Convention, the GEF trust fund shall provide </w:t>
            </w:r>
            <w:r w:rsidRPr="002F7012">
              <w:rPr>
                <w:sz w:val="22"/>
                <w:szCs w:val="22"/>
              </w:rPr>
              <w:lastRenderedPageBreak/>
              <w:t>resources to meet the agreed incremental costs of global environmental benefits and the agreed full costs of some enabling activities.</w:t>
            </w:r>
          </w:p>
        </w:tc>
        <w:tc>
          <w:tcPr>
            <w:tcW w:w="0" w:type="auto"/>
            <w:shd w:val="clear" w:color="auto" w:fill="FFFFFF" w:themeFill="background1"/>
          </w:tcPr>
          <w:p w14:paraId="3854636C" w14:textId="77777777" w:rsidR="00E953EE" w:rsidRPr="002F7012" w:rsidRDefault="00E953EE" w:rsidP="006909EB">
            <w:pPr>
              <w:spacing w:before="60"/>
              <w:cnfStyle w:val="000000000000" w:firstRow="0" w:lastRow="0" w:firstColumn="0" w:lastColumn="0" w:oddVBand="0" w:evenVBand="0" w:oddHBand="0" w:evenHBand="0" w:firstRowFirstColumn="0" w:firstRowLastColumn="0" w:lastRowFirstColumn="0" w:lastRowLastColumn="0"/>
              <w:rPr>
                <w:sz w:val="22"/>
                <w:szCs w:val="22"/>
              </w:rPr>
            </w:pPr>
            <w:r w:rsidRPr="002F7012">
              <w:rPr>
                <w:sz w:val="22"/>
                <w:szCs w:val="22"/>
              </w:rPr>
              <w:lastRenderedPageBreak/>
              <w:t>This is reflected in the strategies of the GEF.</w:t>
            </w:r>
          </w:p>
          <w:p w14:paraId="187700D3" w14:textId="77777777" w:rsidR="00E953EE" w:rsidRPr="002F7012" w:rsidRDefault="00E953EE" w:rsidP="006909EB">
            <w:pPr>
              <w:spacing w:before="60"/>
              <w:cnfStyle w:val="000000000000" w:firstRow="0" w:lastRow="0" w:firstColumn="0" w:lastColumn="0" w:oddVBand="0" w:evenVBand="0" w:oddHBand="0" w:evenHBand="0" w:firstRowFirstColumn="0" w:firstRowLastColumn="0" w:lastRowFirstColumn="0" w:lastRowLastColumn="0"/>
              <w:rPr>
                <w:sz w:val="22"/>
                <w:szCs w:val="22"/>
              </w:rPr>
            </w:pPr>
            <w:r w:rsidRPr="002F7012">
              <w:rPr>
                <w:sz w:val="22"/>
                <w:szCs w:val="22"/>
              </w:rPr>
              <w:lastRenderedPageBreak/>
              <w:t xml:space="preserve">In GEF-6, $141 million was allocated for the implementation of the Minamata Convention. The GEF has programmed resources to meet the full cost of the MIAs and the ASGM NAPs. The GEF has programmed resources for several projects that are aimed at early implementation, particularly in the ASGM sector. In GEF-7, $206 million is notionally allocated for the implementation of the Minamata Convention, including the agreed full costs of some enabling activities. </w:t>
            </w:r>
          </w:p>
        </w:tc>
      </w:tr>
      <w:tr w:rsidR="00E953EE" w:rsidRPr="00D33F35" w14:paraId="02CDD5B2" w14:textId="77777777" w:rsidTr="006909E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tcBorders>
              <w:left w:val="none" w:sz="0" w:space="0" w:color="auto"/>
            </w:tcBorders>
            <w:shd w:val="clear" w:color="auto" w:fill="FFFFFF" w:themeFill="background1"/>
          </w:tcPr>
          <w:p w14:paraId="223EC5B3" w14:textId="77777777" w:rsidR="00E953EE" w:rsidRPr="002F7012" w:rsidRDefault="00E953EE" w:rsidP="006909EB">
            <w:pPr>
              <w:spacing w:before="60"/>
              <w:jc w:val="center"/>
              <w:rPr>
                <w:b w:val="0"/>
                <w:color w:val="auto"/>
                <w:sz w:val="22"/>
                <w:szCs w:val="22"/>
              </w:rPr>
            </w:pPr>
            <w:r w:rsidRPr="002F7012">
              <w:rPr>
                <w:sz w:val="22"/>
                <w:szCs w:val="22"/>
              </w:rPr>
              <w:lastRenderedPageBreak/>
              <w:t>7</w:t>
            </w:r>
          </w:p>
        </w:tc>
        <w:tc>
          <w:tcPr>
            <w:tcW w:w="0" w:type="auto"/>
            <w:shd w:val="clear" w:color="auto" w:fill="FFFFFF" w:themeFill="background1"/>
          </w:tcPr>
          <w:p w14:paraId="5D3335FF" w14:textId="77777777" w:rsidR="00E953EE" w:rsidRPr="002F7012" w:rsidRDefault="00E953EE" w:rsidP="006909EB">
            <w:pPr>
              <w:spacing w:before="60"/>
              <w:cnfStyle w:val="000000100000" w:firstRow="0" w:lastRow="0" w:firstColumn="0" w:lastColumn="0" w:oddVBand="0" w:evenVBand="0" w:oddHBand="1" w:evenHBand="0" w:firstRowFirstColumn="0" w:firstRowLastColumn="0" w:lastRowFirstColumn="0" w:lastRowLastColumn="0"/>
              <w:rPr>
                <w:sz w:val="22"/>
                <w:szCs w:val="22"/>
              </w:rPr>
            </w:pPr>
            <w:r w:rsidRPr="002F7012">
              <w:rPr>
                <w:sz w:val="22"/>
                <w:szCs w:val="22"/>
              </w:rPr>
              <w:t>In particular, it should give priority to the following activities when providing financial resources to developing-country Parties and Parties with economies in transition:</w:t>
            </w:r>
          </w:p>
          <w:p w14:paraId="10AB6CE7" w14:textId="77777777" w:rsidR="00E953EE" w:rsidRPr="002F7012" w:rsidRDefault="00E953EE" w:rsidP="006909EB">
            <w:pPr>
              <w:spacing w:before="60"/>
              <w:cnfStyle w:val="000000100000" w:firstRow="0" w:lastRow="0" w:firstColumn="0" w:lastColumn="0" w:oddVBand="0" w:evenVBand="0" w:oddHBand="1" w:evenHBand="0" w:firstRowFirstColumn="0" w:firstRowLastColumn="0" w:lastRowFirstColumn="0" w:lastRowLastColumn="0"/>
              <w:rPr>
                <w:sz w:val="22"/>
                <w:szCs w:val="22"/>
              </w:rPr>
            </w:pPr>
            <w:r w:rsidRPr="002F7012">
              <w:rPr>
                <w:sz w:val="22"/>
                <w:szCs w:val="22"/>
              </w:rPr>
              <w:t>(a) Enabling activities, particularly Minamata Convention initial assessment activities and national action plans for artisanal and small-scale gold mining;</w:t>
            </w:r>
          </w:p>
          <w:p w14:paraId="1B7D97A9" w14:textId="77777777" w:rsidR="00E953EE" w:rsidRPr="002F7012" w:rsidRDefault="00E953EE" w:rsidP="006909EB">
            <w:pPr>
              <w:spacing w:before="60"/>
              <w:cnfStyle w:val="000000100000" w:firstRow="0" w:lastRow="0" w:firstColumn="0" w:lastColumn="0" w:oddVBand="0" w:evenVBand="0" w:oddHBand="1" w:evenHBand="0" w:firstRowFirstColumn="0" w:firstRowLastColumn="0" w:lastRowFirstColumn="0" w:lastRowLastColumn="0"/>
              <w:rPr>
                <w:sz w:val="22"/>
                <w:szCs w:val="22"/>
              </w:rPr>
            </w:pPr>
            <w:r w:rsidRPr="002F7012">
              <w:rPr>
                <w:sz w:val="22"/>
                <w:szCs w:val="22"/>
              </w:rPr>
              <w:t xml:space="preserve">(b) Activities to implement the provisions of the Convention, affording priority to those that: </w:t>
            </w:r>
          </w:p>
          <w:p w14:paraId="3C2FFBA5" w14:textId="77777777" w:rsidR="00E953EE" w:rsidRPr="002F7012" w:rsidRDefault="00E953EE" w:rsidP="006909EB">
            <w:pPr>
              <w:spacing w:before="60"/>
              <w:cnfStyle w:val="000000100000" w:firstRow="0" w:lastRow="0" w:firstColumn="0" w:lastColumn="0" w:oddVBand="0" w:evenVBand="0" w:oddHBand="1" w:evenHBand="0" w:firstRowFirstColumn="0" w:firstRowLastColumn="0" w:lastRowFirstColumn="0" w:lastRowLastColumn="0"/>
              <w:rPr>
                <w:sz w:val="22"/>
                <w:szCs w:val="22"/>
              </w:rPr>
            </w:pPr>
            <w:r w:rsidRPr="002F7012">
              <w:rPr>
                <w:sz w:val="22"/>
                <w:szCs w:val="22"/>
              </w:rPr>
              <w:t>(i) Relate to legally binding obligations;</w:t>
            </w:r>
          </w:p>
          <w:p w14:paraId="17D5CD33" w14:textId="77777777" w:rsidR="00E953EE" w:rsidRPr="002F7012" w:rsidRDefault="00E953EE" w:rsidP="006909EB">
            <w:pPr>
              <w:spacing w:before="60"/>
              <w:cnfStyle w:val="000000100000" w:firstRow="0" w:lastRow="0" w:firstColumn="0" w:lastColumn="0" w:oddVBand="0" w:evenVBand="0" w:oddHBand="1" w:evenHBand="0" w:firstRowFirstColumn="0" w:firstRowLastColumn="0" w:lastRowFirstColumn="0" w:lastRowLastColumn="0"/>
              <w:rPr>
                <w:sz w:val="22"/>
                <w:szCs w:val="22"/>
              </w:rPr>
            </w:pPr>
            <w:r w:rsidRPr="002F7012">
              <w:rPr>
                <w:sz w:val="22"/>
                <w:szCs w:val="22"/>
              </w:rPr>
              <w:t xml:space="preserve">(ii) Facilitate early implementation on entry into force of the Convention for a Party; </w:t>
            </w:r>
          </w:p>
          <w:p w14:paraId="002DD25B" w14:textId="77777777" w:rsidR="00E953EE" w:rsidRPr="002F7012" w:rsidRDefault="00E953EE" w:rsidP="006909EB">
            <w:pPr>
              <w:spacing w:before="60"/>
              <w:cnfStyle w:val="000000100000" w:firstRow="0" w:lastRow="0" w:firstColumn="0" w:lastColumn="0" w:oddVBand="0" w:evenVBand="0" w:oddHBand="1" w:evenHBand="0" w:firstRowFirstColumn="0" w:firstRowLastColumn="0" w:lastRowFirstColumn="0" w:lastRowLastColumn="0"/>
              <w:rPr>
                <w:sz w:val="22"/>
                <w:szCs w:val="22"/>
              </w:rPr>
            </w:pPr>
            <w:r w:rsidRPr="002F7012">
              <w:rPr>
                <w:sz w:val="22"/>
                <w:szCs w:val="22"/>
              </w:rPr>
              <w:t>(iii) Allow for reduction in mercury emissions and releases and address the health and environmental impacts of mercury.</w:t>
            </w:r>
          </w:p>
        </w:tc>
        <w:tc>
          <w:tcPr>
            <w:tcW w:w="0" w:type="auto"/>
            <w:shd w:val="clear" w:color="auto" w:fill="FFFFFF" w:themeFill="background1"/>
          </w:tcPr>
          <w:p w14:paraId="78EBA2B4" w14:textId="77777777" w:rsidR="00E953EE" w:rsidRPr="002F7012" w:rsidRDefault="00E953EE" w:rsidP="006909EB">
            <w:pPr>
              <w:spacing w:before="60"/>
              <w:cnfStyle w:val="000000100000" w:firstRow="0" w:lastRow="0" w:firstColumn="0" w:lastColumn="0" w:oddVBand="0" w:evenVBand="0" w:oddHBand="1" w:evenHBand="0" w:firstRowFirstColumn="0" w:firstRowLastColumn="0" w:lastRowFirstColumn="0" w:lastRowLastColumn="0"/>
              <w:rPr>
                <w:sz w:val="22"/>
                <w:szCs w:val="22"/>
              </w:rPr>
            </w:pPr>
            <w:r w:rsidRPr="002F7012">
              <w:rPr>
                <w:sz w:val="22"/>
                <w:szCs w:val="22"/>
              </w:rPr>
              <w:t xml:space="preserve">This guidance has been used in the programming in GEF-6 and has been addressed in the programming priorities of the GEF-7 chemicals and wastes focal area Strategy. All projects and programs in GEF-6 and GEF-7 to date) that seek to implement the Minamata Convention are consistent with this guidance </w:t>
            </w:r>
          </w:p>
        </w:tc>
      </w:tr>
      <w:tr w:rsidR="00E953EE" w:rsidRPr="00D33F35" w14:paraId="7312B38D" w14:textId="77777777" w:rsidTr="006909EB">
        <w:trPr>
          <w:jc w:val="center"/>
        </w:trPr>
        <w:tc>
          <w:tcPr>
            <w:cnfStyle w:val="001000000000" w:firstRow="0" w:lastRow="0" w:firstColumn="1" w:lastColumn="0" w:oddVBand="0" w:evenVBand="0" w:oddHBand="0" w:evenHBand="0" w:firstRowFirstColumn="0" w:firstRowLastColumn="0" w:lastRowFirstColumn="0" w:lastRowLastColumn="0"/>
            <w:tcW w:w="0" w:type="auto"/>
            <w:tcBorders>
              <w:left w:val="none" w:sz="0" w:space="0" w:color="auto"/>
            </w:tcBorders>
            <w:shd w:val="clear" w:color="auto" w:fill="FFFFFF" w:themeFill="background1"/>
          </w:tcPr>
          <w:p w14:paraId="2D8BCABB" w14:textId="77777777" w:rsidR="00E953EE" w:rsidRPr="002F7012" w:rsidRDefault="00E953EE" w:rsidP="006909EB">
            <w:pPr>
              <w:spacing w:before="60"/>
              <w:jc w:val="center"/>
              <w:rPr>
                <w:b w:val="0"/>
                <w:color w:val="auto"/>
                <w:sz w:val="22"/>
                <w:szCs w:val="22"/>
              </w:rPr>
            </w:pPr>
            <w:r w:rsidRPr="002F7012">
              <w:rPr>
                <w:sz w:val="22"/>
                <w:szCs w:val="22"/>
              </w:rPr>
              <w:t>8</w:t>
            </w:r>
          </w:p>
        </w:tc>
        <w:tc>
          <w:tcPr>
            <w:tcW w:w="0" w:type="auto"/>
            <w:shd w:val="clear" w:color="auto" w:fill="FFFFFF" w:themeFill="background1"/>
          </w:tcPr>
          <w:p w14:paraId="66ED4332" w14:textId="77777777" w:rsidR="00E953EE" w:rsidRPr="002F7012" w:rsidRDefault="00E953EE" w:rsidP="006909EB">
            <w:pPr>
              <w:spacing w:before="60"/>
              <w:cnfStyle w:val="000000000000" w:firstRow="0" w:lastRow="0" w:firstColumn="0" w:lastColumn="0" w:oddVBand="0" w:evenVBand="0" w:oddHBand="0" w:evenHBand="0" w:firstRowFirstColumn="0" w:firstRowLastColumn="0" w:lastRowFirstColumn="0" w:lastRowLastColumn="0"/>
              <w:rPr>
                <w:sz w:val="22"/>
                <w:szCs w:val="22"/>
              </w:rPr>
            </w:pPr>
            <w:r w:rsidRPr="002F7012">
              <w:rPr>
                <w:sz w:val="22"/>
                <w:szCs w:val="22"/>
              </w:rPr>
              <w:t>In providing resources for an activity, GEF should take into account the potential mercury reductions of a proposed activity relative to its costs in accordance with paragraph 8 of article 13 of the Convention.</w:t>
            </w:r>
          </w:p>
        </w:tc>
        <w:tc>
          <w:tcPr>
            <w:tcW w:w="0" w:type="auto"/>
            <w:shd w:val="clear" w:color="auto" w:fill="FFFFFF" w:themeFill="background1"/>
          </w:tcPr>
          <w:p w14:paraId="3737CF26" w14:textId="77777777" w:rsidR="00E953EE" w:rsidRPr="002F7012" w:rsidRDefault="00E953EE" w:rsidP="006909EB">
            <w:pPr>
              <w:spacing w:before="60"/>
              <w:cnfStyle w:val="000000000000" w:firstRow="0" w:lastRow="0" w:firstColumn="0" w:lastColumn="0" w:oddVBand="0" w:evenVBand="0" w:oddHBand="0" w:evenHBand="0" w:firstRowFirstColumn="0" w:firstRowLastColumn="0" w:lastRowFirstColumn="0" w:lastRowLastColumn="0"/>
              <w:rPr>
                <w:sz w:val="22"/>
                <w:szCs w:val="22"/>
              </w:rPr>
            </w:pPr>
            <w:r w:rsidRPr="002F7012">
              <w:rPr>
                <w:sz w:val="22"/>
                <w:szCs w:val="22"/>
              </w:rPr>
              <w:t xml:space="preserve">In GEF-6 and GEF-7 to date, projects with potential for significant mercury reduction have been approved. The GEF continues to work with countries and agencies to look at the potential reduction of mercury relative to its cost. </w:t>
            </w:r>
          </w:p>
        </w:tc>
      </w:tr>
      <w:tr w:rsidR="00E953EE" w:rsidRPr="00D33F35" w14:paraId="30623E8E" w14:textId="77777777" w:rsidTr="006909E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gridSpan w:val="3"/>
            <w:tcBorders>
              <w:left w:val="none" w:sz="0" w:space="0" w:color="auto"/>
            </w:tcBorders>
            <w:shd w:val="clear" w:color="auto" w:fill="FFFFFF" w:themeFill="background1"/>
          </w:tcPr>
          <w:p w14:paraId="2F7F24C1" w14:textId="77777777" w:rsidR="00E953EE" w:rsidRPr="002F7012" w:rsidRDefault="00E953EE" w:rsidP="006909EB">
            <w:pPr>
              <w:spacing w:before="60"/>
              <w:rPr>
                <w:color w:val="auto"/>
                <w:sz w:val="22"/>
                <w:szCs w:val="22"/>
              </w:rPr>
            </w:pPr>
            <w:r w:rsidRPr="002F7012">
              <w:rPr>
                <w:sz w:val="22"/>
                <w:szCs w:val="22"/>
              </w:rPr>
              <w:t>IV. Indicative list of categories of activities that could receive support</w:t>
            </w:r>
          </w:p>
          <w:p w14:paraId="3BB1D5C2" w14:textId="77777777" w:rsidR="00E953EE" w:rsidRPr="002F7012" w:rsidRDefault="00E953EE" w:rsidP="006909EB">
            <w:pPr>
              <w:spacing w:before="60"/>
              <w:rPr>
                <w:color w:val="auto"/>
                <w:sz w:val="22"/>
                <w:szCs w:val="22"/>
              </w:rPr>
            </w:pPr>
            <w:r w:rsidRPr="002F7012">
              <w:rPr>
                <w:sz w:val="22"/>
                <w:szCs w:val="22"/>
              </w:rPr>
              <w:t>A. Enabling activities</w:t>
            </w:r>
          </w:p>
        </w:tc>
      </w:tr>
      <w:tr w:rsidR="00E953EE" w:rsidRPr="00D33F35" w14:paraId="445B86CD" w14:textId="77777777" w:rsidTr="006909EB">
        <w:trPr>
          <w:jc w:val="center"/>
        </w:trPr>
        <w:tc>
          <w:tcPr>
            <w:cnfStyle w:val="001000000000" w:firstRow="0" w:lastRow="0" w:firstColumn="1" w:lastColumn="0" w:oddVBand="0" w:evenVBand="0" w:oddHBand="0" w:evenHBand="0" w:firstRowFirstColumn="0" w:firstRowLastColumn="0" w:lastRowFirstColumn="0" w:lastRowLastColumn="0"/>
            <w:tcW w:w="0" w:type="auto"/>
            <w:tcBorders>
              <w:left w:val="none" w:sz="0" w:space="0" w:color="auto"/>
            </w:tcBorders>
            <w:shd w:val="clear" w:color="auto" w:fill="FFFFFF" w:themeFill="background1"/>
          </w:tcPr>
          <w:p w14:paraId="4406A793" w14:textId="77777777" w:rsidR="00E953EE" w:rsidRPr="002F7012" w:rsidRDefault="00E953EE" w:rsidP="006909EB">
            <w:pPr>
              <w:spacing w:before="60"/>
              <w:jc w:val="center"/>
              <w:rPr>
                <w:color w:val="auto"/>
                <w:sz w:val="22"/>
                <w:szCs w:val="22"/>
              </w:rPr>
            </w:pPr>
          </w:p>
        </w:tc>
        <w:tc>
          <w:tcPr>
            <w:tcW w:w="0" w:type="auto"/>
            <w:shd w:val="clear" w:color="auto" w:fill="FFFFFF" w:themeFill="background1"/>
          </w:tcPr>
          <w:p w14:paraId="4E579203" w14:textId="77777777" w:rsidR="00E953EE" w:rsidRPr="002F7012" w:rsidRDefault="00E953EE" w:rsidP="006909EB">
            <w:pPr>
              <w:spacing w:before="60"/>
              <w:cnfStyle w:val="000000000000" w:firstRow="0" w:lastRow="0" w:firstColumn="0" w:lastColumn="0" w:oddVBand="0" w:evenVBand="0" w:oddHBand="0" w:evenHBand="0" w:firstRowFirstColumn="0" w:firstRowLastColumn="0" w:lastRowFirstColumn="0" w:lastRowLastColumn="0"/>
              <w:rPr>
                <w:sz w:val="22"/>
                <w:szCs w:val="22"/>
              </w:rPr>
            </w:pPr>
            <w:r w:rsidRPr="002F7012">
              <w:rPr>
                <w:sz w:val="22"/>
                <w:szCs w:val="22"/>
              </w:rPr>
              <w:t xml:space="preserve">1. Minamata Convention initial assessments (MIAs) </w:t>
            </w:r>
          </w:p>
          <w:p w14:paraId="10894E3E" w14:textId="77777777" w:rsidR="00E953EE" w:rsidRPr="002F7012" w:rsidRDefault="00E953EE" w:rsidP="006909EB">
            <w:pPr>
              <w:spacing w:before="60"/>
              <w:cnfStyle w:val="000000000000" w:firstRow="0" w:lastRow="0" w:firstColumn="0" w:lastColumn="0" w:oddVBand="0" w:evenVBand="0" w:oddHBand="0" w:evenHBand="0" w:firstRowFirstColumn="0" w:firstRowLastColumn="0" w:lastRowFirstColumn="0" w:lastRowLastColumn="0"/>
              <w:rPr>
                <w:sz w:val="22"/>
                <w:szCs w:val="22"/>
              </w:rPr>
            </w:pPr>
            <w:r w:rsidRPr="002F7012">
              <w:rPr>
                <w:sz w:val="22"/>
                <w:szCs w:val="22"/>
              </w:rPr>
              <w:t xml:space="preserve">2. Preparation of national action plans for artisanal and small-scale gold mining in accordance with paragraph 3 of article 7 and Annex C </w:t>
            </w:r>
          </w:p>
          <w:p w14:paraId="7E8B4922" w14:textId="77777777" w:rsidR="00E953EE" w:rsidRPr="002F7012" w:rsidRDefault="00E953EE" w:rsidP="006909EB">
            <w:pPr>
              <w:spacing w:before="60"/>
              <w:cnfStyle w:val="000000000000" w:firstRow="0" w:lastRow="0" w:firstColumn="0" w:lastColumn="0" w:oddVBand="0" w:evenVBand="0" w:oddHBand="0" w:evenHBand="0" w:firstRowFirstColumn="0" w:firstRowLastColumn="0" w:lastRowFirstColumn="0" w:lastRowLastColumn="0"/>
              <w:rPr>
                <w:sz w:val="22"/>
                <w:szCs w:val="22"/>
              </w:rPr>
            </w:pPr>
            <w:r w:rsidRPr="002F7012">
              <w:rPr>
                <w:sz w:val="22"/>
                <w:szCs w:val="22"/>
              </w:rPr>
              <w:t>3. Other types of enabling activities as agreed by the Conference of the Parties</w:t>
            </w:r>
          </w:p>
        </w:tc>
        <w:tc>
          <w:tcPr>
            <w:tcW w:w="0" w:type="auto"/>
            <w:shd w:val="clear" w:color="auto" w:fill="FFFFFF" w:themeFill="background1"/>
          </w:tcPr>
          <w:p w14:paraId="4081886D" w14:textId="77777777" w:rsidR="00E953EE" w:rsidRPr="002F7012" w:rsidRDefault="00E953EE" w:rsidP="006909EB">
            <w:pPr>
              <w:spacing w:before="60"/>
              <w:cnfStyle w:val="000000000000" w:firstRow="0" w:lastRow="0" w:firstColumn="0" w:lastColumn="0" w:oddVBand="0" w:evenVBand="0" w:oddHBand="0" w:evenHBand="0" w:firstRowFirstColumn="0" w:firstRowLastColumn="0" w:lastRowFirstColumn="0" w:lastRowLastColumn="0"/>
              <w:rPr>
                <w:sz w:val="22"/>
                <w:szCs w:val="22"/>
              </w:rPr>
            </w:pPr>
            <w:r w:rsidRPr="002F7012">
              <w:rPr>
                <w:sz w:val="22"/>
                <w:szCs w:val="22"/>
              </w:rPr>
              <w:t>This guidance has been used to inform the programming in GEF-6 and has been addressed in the programming priorities of the GEF-7 chemicals and wastes focal area strategy. In GEF-6 and GEF-7 to date, all eligible enabling activities that were submitted to the GEF have received funding.</w:t>
            </w:r>
          </w:p>
        </w:tc>
      </w:tr>
      <w:tr w:rsidR="00E953EE" w:rsidRPr="00D33F35" w14:paraId="6F6923C5" w14:textId="77777777" w:rsidTr="006909E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gridSpan w:val="3"/>
            <w:tcBorders>
              <w:left w:val="none" w:sz="0" w:space="0" w:color="auto"/>
            </w:tcBorders>
            <w:shd w:val="clear" w:color="auto" w:fill="FFFFFF" w:themeFill="background1"/>
          </w:tcPr>
          <w:p w14:paraId="064F5213" w14:textId="77777777" w:rsidR="00E953EE" w:rsidRPr="002F7012" w:rsidRDefault="00E953EE" w:rsidP="006909EB">
            <w:pPr>
              <w:spacing w:before="60"/>
              <w:rPr>
                <w:color w:val="auto"/>
                <w:sz w:val="22"/>
                <w:szCs w:val="22"/>
              </w:rPr>
            </w:pPr>
            <w:r w:rsidRPr="002F7012">
              <w:rPr>
                <w:sz w:val="22"/>
                <w:szCs w:val="22"/>
              </w:rPr>
              <w:t>B. Activities to implement the provisions of the Convention</w:t>
            </w:r>
          </w:p>
          <w:p w14:paraId="2C0C5016" w14:textId="77777777" w:rsidR="00E953EE" w:rsidRPr="002F7012" w:rsidRDefault="00E953EE" w:rsidP="006909EB">
            <w:pPr>
              <w:spacing w:before="60"/>
              <w:rPr>
                <w:color w:val="auto"/>
                <w:sz w:val="22"/>
                <w:szCs w:val="22"/>
              </w:rPr>
            </w:pPr>
            <w:r w:rsidRPr="002F7012">
              <w:rPr>
                <w:sz w:val="22"/>
                <w:szCs w:val="22"/>
              </w:rPr>
              <w:t>1. Activities to implement the provisions of the Convention that relate to legally binding obligations</w:t>
            </w:r>
          </w:p>
        </w:tc>
      </w:tr>
      <w:tr w:rsidR="00E953EE" w:rsidRPr="00D33F35" w14:paraId="482683B8" w14:textId="77777777" w:rsidTr="006909EB">
        <w:trPr>
          <w:jc w:val="center"/>
        </w:trPr>
        <w:tc>
          <w:tcPr>
            <w:cnfStyle w:val="001000000000" w:firstRow="0" w:lastRow="0" w:firstColumn="1" w:lastColumn="0" w:oddVBand="0" w:evenVBand="0" w:oddHBand="0" w:evenHBand="0" w:firstRowFirstColumn="0" w:firstRowLastColumn="0" w:lastRowFirstColumn="0" w:lastRowLastColumn="0"/>
            <w:tcW w:w="0" w:type="auto"/>
            <w:tcBorders>
              <w:left w:val="none" w:sz="0" w:space="0" w:color="auto"/>
            </w:tcBorders>
            <w:shd w:val="clear" w:color="auto" w:fill="FFFFFF" w:themeFill="background1"/>
          </w:tcPr>
          <w:p w14:paraId="2F8E3D38" w14:textId="77777777" w:rsidR="00E953EE" w:rsidRPr="002F7012" w:rsidRDefault="00E953EE" w:rsidP="006909EB">
            <w:pPr>
              <w:spacing w:before="60"/>
              <w:jc w:val="center"/>
              <w:rPr>
                <w:b w:val="0"/>
                <w:color w:val="auto"/>
                <w:sz w:val="22"/>
                <w:szCs w:val="22"/>
              </w:rPr>
            </w:pPr>
            <w:r w:rsidRPr="002F7012">
              <w:rPr>
                <w:sz w:val="22"/>
                <w:szCs w:val="22"/>
              </w:rPr>
              <w:t>9</w:t>
            </w:r>
          </w:p>
        </w:tc>
        <w:tc>
          <w:tcPr>
            <w:tcW w:w="0" w:type="auto"/>
            <w:shd w:val="clear" w:color="auto" w:fill="FFFFFF" w:themeFill="background1"/>
          </w:tcPr>
          <w:p w14:paraId="7ECF6289" w14:textId="77777777" w:rsidR="00E953EE" w:rsidRPr="002F7012" w:rsidRDefault="00E953EE" w:rsidP="006909EB">
            <w:pPr>
              <w:spacing w:before="60"/>
              <w:cnfStyle w:val="000000000000" w:firstRow="0" w:lastRow="0" w:firstColumn="0" w:lastColumn="0" w:oddVBand="0" w:evenVBand="0" w:oddHBand="0" w:evenHBand="0" w:firstRowFirstColumn="0" w:firstRowLastColumn="0" w:lastRowFirstColumn="0" w:lastRowLastColumn="0"/>
              <w:rPr>
                <w:sz w:val="22"/>
                <w:szCs w:val="22"/>
              </w:rPr>
            </w:pPr>
            <w:r w:rsidRPr="002F7012">
              <w:rPr>
                <w:sz w:val="22"/>
                <w:szCs w:val="22"/>
              </w:rPr>
              <w:t xml:space="preserve">When providing financial resources to eligible Parties for activities to implement the provisions of the Convention, GEF should afford priority to those activities that relate to legally binding obligations of Parties under the Convention and </w:t>
            </w:r>
            <w:r w:rsidRPr="002F7012">
              <w:rPr>
                <w:sz w:val="22"/>
                <w:szCs w:val="22"/>
              </w:rPr>
              <w:lastRenderedPageBreak/>
              <w:t>should take into account the potential mercury reductions of a proposed activity relative to its costs. Such activities could include those related to the following areas, listed in no particular order:</w:t>
            </w:r>
          </w:p>
          <w:p w14:paraId="75040FC3" w14:textId="77777777" w:rsidR="00E953EE" w:rsidRPr="002F7012" w:rsidRDefault="00E953EE" w:rsidP="00E953EE">
            <w:pPr>
              <w:pStyle w:val="ListParagraph"/>
              <w:numPr>
                <w:ilvl w:val="0"/>
                <w:numId w:val="11"/>
              </w:numPr>
              <w:tabs>
                <w:tab w:val="clear" w:pos="1247"/>
                <w:tab w:val="clear" w:pos="1814"/>
                <w:tab w:val="clear" w:pos="2381"/>
                <w:tab w:val="clear" w:pos="2948"/>
                <w:tab w:val="clear" w:pos="3515"/>
              </w:tabs>
              <w:cnfStyle w:val="000000000000" w:firstRow="0" w:lastRow="0" w:firstColumn="0" w:lastColumn="0" w:oddVBand="0" w:evenVBand="0" w:oddHBand="0" w:evenHBand="0" w:firstRowFirstColumn="0" w:firstRowLastColumn="0" w:lastRowFirstColumn="0" w:lastRowLastColumn="0"/>
              <w:rPr>
                <w:sz w:val="22"/>
                <w:szCs w:val="22"/>
              </w:rPr>
            </w:pPr>
            <w:r w:rsidRPr="002F7012">
              <w:rPr>
                <w:sz w:val="22"/>
                <w:szCs w:val="22"/>
              </w:rPr>
              <w:t>Mercury supply sources and trade;</w:t>
            </w:r>
          </w:p>
          <w:p w14:paraId="37DD9E8E" w14:textId="77777777" w:rsidR="00E953EE" w:rsidRPr="002F7012" w:rsidRDefault="00E953EE" w:rsidP="00E953EE">
            <w:pPr>
              <w:pStyle w:val="ListParagraph"/>
              <w:numPr>
                <w:ilvl w:val="0"/>
                <w:numId w:val="11"/>
              </w:numPr>
              <w:tabs>
                <w:tab w:val="clear" w:pos="1247"/>
                <w:tab w:val="clear" w:pos="1814"/>
                <w:tab w:val="clear" w:pos="2381"/>
                <w:tab w:val="clear" w:pos="2948"/>
                <w:tab w:val="clear" w:pos="3515"/>
              </w:tabs>
              <w:cnfStyle w:val="000000000000" w:firstRow="0" w:lastRow="0" w:firstColumn="0" w:lastColumn="0" w:oddVBand="0" w:evenVBand="0" w:oddHBand="0" w:evenHBand="0" w:firstRowFirstColumn="0" w:firstRowLastColumn="0" w:lastRowFirstColumn="0" w:lastRowLastColumn="0"/>
              <w:rPr>
                <w:sz w:val="22"/>
                <w:szCs w:val="22"/>
              </w:rPr>
            </w:pPr>
            <w:r w:rsidRPr="002F7012">
              <w:rPr>
                <w:sz w:val="22"/>
                <w:szCs w:val="22"/>
              </w:rPr>
              <w:t xml:space="preserve">Mercury-added products; </w:t>
            </w:r>
          </w:p>
          <w:p w14:paraId="4C188B05" w14:textId="77777777" w:rsidR="00E953EE" w:rsidRPr="002F7012" w:rsidRDefault="00E953EE" w:rsidP="00E953EE">
            <w:pPr>
              <w:pStyle w:val="ListParagraph"/>
              <w:numPr>
                <w:ilvl w:val="0"/>
                <w:numId w:val="11"/>
              </w:numPr>
              <w:tabs>
                <w:tab w:val="clear" w:pos="1247"/>
                <w:tab w:val="clear" w:pos="1814"/>
                <w:tab w:val="clear" w:pos="2381"/>
                <w:tab w:val="clear" w:pos="2948"/>
                <w:tab w:val="clear" w:pos="3515"/>
              </w:tabs>
              <w:cnfStyle w:val="000000000000" w:firstRow="0" w:lastRow="0" w:firstColumn="0" w:lastColumn="0" w:oddVBand="0" w:evenVBand="0" w:oddHBand="0" w:evenHBand="0" w:firstRowFirstColumn="0" w:firstRowLastColumn="0" w:lastRowFirstColumn="0" w:lastRowLastColumn="0"/>
              <w:rPr>
                <w:sz w:val="22"/>
                <w:szCs w:val="22"/>
              </w:rPr>
            </w:pPr>
            <w:r w:rsidRPr="002F7012">
              <w:rPr>
                <w:sz w:val="22"/>
                <w:szCs w:val="22"/>
              </w:rPr>
              <w:t xml:space="preserve">Manufacturing processes in which mercury or mercury compounds are used; </w:t>
            </w:r>
          </w:p>
          <w:p w14:paraId="649A2C0F" w14:textId="77777777" w:rsidR="00E953EE" w:rsidRPr="002F7012" w:rsidRDefault="00E953EE" w:rsidP="00E953EE">
            <w:pPr>
              <w:pStyle w:val="ListParagraph"/>
              <w:numPr>
                <w:ilvl w:val="0"/>
                <w:numId w:val="11"/>
              </w:numPr>
              <w:tabs>
                <w:tab w:val="clear" w:pos="1247"/>
                <w:tab w:val="clear" w:pos="1814"/>
                <w:tab w:val="clear" w:pos="2381"/>
                <w:tab w:val="clear" w:pos="2948"/>
                <w:tab w:val="clear" w:pos="3515"/>
              </w:tabs>
              <w:cnfStyle w:val="000000000000" w:firstRow="0" w:lastRow="0" w:firstColumn="0" w:lastColumn="0" w:oddVBand="0" w:evenVBand="0" w:oddHBand="0" w:evenHBand="0" w:firstRowFirstColumn="0" w:firstRowLastColumn="0" w:lastRowFirstColumn="0" w:lastRowLastColumn="0"/>
              <w:rPr>
                <w:sz w:val="22"/>
                <w:szCs w:val="22"/>
              </w:rPr>
            </w:pPr>
            <w:r w:rsidRPr="002F7012">
              <w:rPr>
                <w:sz w:val="22"/>
                <w:szCs w:val="22"/>
              </w:rPr>
              <w:t>Artisanal and small-scale gold mining;</w:t>
            </w:r>
          </w:p>
          <w:p w14:paraId="09993536" w14:textId="77777777" w:rsidR="00E953EE" w:rsidRPr="002F7012" w:rsidRDefault="00E953EE" w:rsidP="00E953EE">
            <w:pPr>
              <w:pStyle w:val="ListParagraph"/>
              <w:numPr>
                <w:ilvl w:val="0"/>
                <w:numId w:val="11"/>
              </w:numPr>
              <w:tabs>
                <w:tab w:val="clear" w:pos="1247"/>
                <w:tab w:val="clear" w:pos="1814"/>
                <w:tab w:val="clear" w:pos="2381"/>
                <w:tab w:val="clear" w:pos="2948"/>
                <w:tab w:val="clear" w:pos="3515"/>
              </w:tabs>
              <w:cnfStyle w:val="000000000000" w:firstRow="0" w:lastRow="0" w:firstColumn="0" w:lastColumn="0" w:oddVBand="0" w:evenVBand="0" w:oddHBand="0" w:evenHBand="0" w:firstRowFirstColumn="0" w:firstRowLastColumn="0" w:lastRowFirstColumn="0" w:lastRowLastColumn="0"/>
              <w:rPr>
                <w:sz w:val="22"/>
                <w:szCs w:val="22"/>
              </w:rPr>
            </w:pPr>
            <w:r w:rsidRPr="002F7012">
              <w:rPr>
                <w:sz w:val="22"/>
                <w:szCs w:val="22"/>
              </w:rPr>
              <w:t>Emissions;</w:t>
            </w:r>
          </w:p>
          <w:p w14:paraId="559B1276" w14:textId="77777777" w:rsidR="00E953EE" w:rsidRPr="002F7012" w:rsidRDefault="00E953EE" w:rsidP="00E953EE">
            <w:pPr>
              <w:pStyle w:val="ListParagraph"/>
              <w:numPr>
                <w:ilvl w:val="0"/>
                <w:numId w:val="11"/>
              </w:numPr>
              <w:tabs>
                <w:tab w:val="clear" w:pos="1247"/>
                <w:tab w:val="clear" w:pos="1814"/>
                <w:tab w:val="clear" w:pos="2381"/>
                <w:tab w:val="clear" w:pos="2948"/>
                <w:tab w:val="clear" w:pos="3515"/>
              </w:tabs>
              <w:cnfStyle w:val="000000000000" w:firstRow="0" w:lastRow="0" w:firstColumn="0" w:lastColumn="0" w:oddVBand="0" w:evenVBand="0" w:oddHBand="0" w:evenHBand="0" w:firstRowFirstColumn="0" w:firstRowLastColumn="0" w:lastRowFirstColumn="0" w:lastRowLastColumn="0"/>
              <w:rPr>
                <w:sz w:val="22"/>
                <w:szCs w:val="22"/>
              </w:rPr>
            </w:pPr>
            <w:r w:rsidRPr="002F7012">
              <w:rPr>
                <w:sz w:val="22"/>
                <w:szCs w:val="22"/>
              </w:rPr>
              <w:t>Releases;</w:t>
            </w:r>
          </w:p>
          <w:p w14:paraId="39201B66" w14:textId="77777777" w:rsidR="00E953EE" w:rsidRPr="002F7012" w:rsidRDefault="00E953EE" w:rsidP="00E953EE">
            <w:pPr>
              <w:pStyle w:val="ListParagraph"/>
              <w:numPr>
                <w:ilvl w:val="0"/>
                <w:numId w:val="11"/>
              </w:numPr>
              <w:tabs>
                <w:tab w:val="clear" w:pos="1247"/>
                <w:tab w:val="clear" w:pos="1814"/>
                <w:tab w:val="clear" w:pos="2381"/>
                <w:tab w:val="clear" w:pos="2948"/>
                <w:tab w:val="clear" w:pos="3515"/>
              </w:tabs>
              <w:cnfStyle w:val="000000000000" w:firstRow="0" w:lastRow="0" w:firstColumn="0" w:lastColumn="0" w:oddVBand="0" w:evenVBand="0" w:oddHBand="0" w:evenHBand="0" w:firstRowFirstColumn="0" w:firstRowLastColumn="0" w:lastRowFirstColumn="0" w:lastRowLastColumn="0"/>
              <w:rPr>
                <w:sz w:val="22"/>
                <w:szCs w:val="22"/>
              </w:rPr>
            </w:pPr>
            <w:r w:rsidRPr="002F7012">
              <w:rPr>
                <w:sz w:val="22"/>
                <w:szCs w:val="22"/>
              </w:rPr>
              <w:t xml:space="preserve">Environmentally sound interim storage of mercury, other than waste mercury; </w:t>
            </w:r>
          </w:p>
          <w:p w14:paraId="1FC7EC6D" w14:textId="77777777" w:rsidR="00E953EE" w:rsidRPr="002F7012" w:rsidRDefault="00E953EE" w:rsidP="00E953EE">
            <w:pPr>
              <w:pStyle w:val="ListParagraph"/>
              <w:numPr>
                <w:ilvl w:val="0"/>
                <w:numId w:val="11"/>
              </w:numPr>
              <w:tabs>
                <w:tab w:val="clear" w:pos="1247"/>
                <w:tab w:val="clear" w:pos="1814"/>
                <w:tab w:val="clear" w:pos="2381"/>
                <w:tab w:val="clear" w:pos="2948"/>
                <w:tab w:val="clear" w:pos="3515"/>
              </w:tabs>
              <w:cnfStyle w:val="000000000000" w:firstRow="0" w:lastRow="0" w:firstColumn="0" w:lastColumn="0" w:oddVBand="0" w:evenVBand="0" w:oddHBand="0" w:evenHBand="0" w:firstRowFirstColumn="0" w:firstRowLastColumn="0" w:lastRowFirstColumn="0" w:lastRowLastColumn="0"/>
              <w:rPr>
                <w:sz w:val="22"/>
                <w:szCs w:val="22"/>
              </w:rPr>
            </w:pPr>
            <w:r w:rsidRPr="002F7012">
              <w:rPr>
                <w:sz w:val="22"/>
                <w:szCs w:val="22"/>
              </w:rPr>
              <w:t xml:space="preserve">Mercury wastes; </w:t>
            </w:r>
          </w:p>
          <w:p w14:paraId="53C5D94E" w14:textId="77777777" w:rsidR="00E953EE" w:rsidRPr="002F7012" w:rsidRDefault="00E953EE" w:rsidP="00E953EE">
            <w:pPr>
              <w:pStyle w:val="ListParagraph"/>
              <w:numPr>
                <w:ilvl w:val="0"/>
                <w:numId w:val="11"/>
              </w:numPr>
              <w:tabs>
                <w:tab w:val="clear" w:pos="1247"/>
                <w:tab w:val="clear" w:pos="1814"/>
                <w:tab w:val="clear" w:pos="2381"/>
                <w:tab w:val="clear" w:pos="2948"/>
                <w:tab w:val="clear" w:pos="3515"/>
              </w:tabs>
              <w:cnfStyle w:val="000000000000" w:firstRow="0" w:lastRow="0" w:firstColumn="0" w:lastColumn="0" w:oddVBand="0" w:evenVBand="0" w:oddHBand="0" w:evenHBand="0" w:firstRowFirstColumn="0" w:firstRowLastColumn="0" w:lastRowFirstColumn="0" w:lastRowLastColumn="0"/>
              <w:rPr>
                <w:sz w:val="22"/>
                <w:szCs w:val="22"/>
              </w:rPr>
            </w:pPr>
            <w:r w:rsidRPr="002F7012">
              <w:rPr>
                <w:sz w:val="22"/>
                <w:szCs w:val="22"/>
              </w:rPr>
              <w:t>Reporting;</w:t>
            </w:r>
          </w:p>
          <w:p w14:paraId="682E58A7" w14:textId="77777777" w:rsidR="00E953EE" w:rsidRPr="002F7012" w:rsidRDefault="00E953EE" w:rsidP="00E953EE">
            <w:pPr>
              <w:pStyle w:val="ListParagraph"/>
              <w:numPr>
                <w:ilvl w:val="0"/>
                <w:numId w:val="11"/>
              </w:numPr>
              <w:tabs>
                <w:tab w:val="clear" w:pos="1247"/>
                <w:tab w:val="clear" w:pos="1814"/>
                <w:tab w:val="clear" w:pos="2381"/>
                <w:tab w:val="clear" w:pos="2948"/>
                <w:tab w:val="clear" w:pos="3515"/>
              </w:tabs>
              <w:cnfStyle w:val="000000000000" w:firstRow="0" w:lastRow="0" w:firstColumn="0" w:lastColumn="0" w:oddVBand="0" w:evenVBand="0" w:oddHBand="0" w:evenHBand="0" w:firstRowFirstColumn="0" w:firstRowLastColumn="0" w:lastRowFirstColumn="0" w:lastRowLastColumn="0"/>
              <w:rPr>
                <w:sz w:val="22"/>
                <w:szCs w:val="22"/>
              </w:rPr>
            </w:pPr>
            <w:r w:rsidRPr="002F7012">
              <w:rPr>
                <w:sz w:val="22"/>
                <w:szCs w:val="22"/>
              </w:rPr>
              <w:t>Relevant capacity-building, technical assistance and technology transfer in relation to the above.</w:t>
            </w:r>
          </w:p>
        </w:tc>
        <w:tc>
          <w:tcPr>
            <w:tcW w:w="0" w:type="auto"/>
            <w:shd w:val="clear" w:color="auto" w:fill="FFFFFF" w:themeFill="background1"/>
          </w:tcPr>
          <w:p w14:paraId="550BFE45" w14:textId="77777777" w:rsidR="00E953EE" w:rsidRPr="002F7012" w:rsidRDefault="00E953EE" w:rsidP="006909EB">
            <w:pPr>
              <w:spacing w:before="60"/>
              <w:cnfStyle w:val="000000000000" w:firstRow="0" w:lastRow="0" w:firstColumn="0" w:lastColumn="0" w:oddVBand="0" w:evenVBand="0" w:oddHBand="0" w:evenHBand="0" w:firstRowFirstColumn="0" w:firstRowLastColumn="0" w:lastRowFirstColumn="0" w:lastRowLastColumn="0"/>
              <w:rPr>
                <w:sz w:val="22"/>
                <w:szCs w:val="22"/>
              </w:rPr>
            </w:pPr>
            <w:r w:rsidRPr="002F7012">
              <w:rPr>
                <w:sz w:val="22"/>
                <w:szCs w:val="22"/>
              </w:rPr>
              <w:lastRenderedPageBreak/>
              <w:t xml:space="preserve">These have been included in the GEF-7 chemicals and wastes focal area strategy. </w:t>
            </w:r>
          </w:p>
        </w:tc>
      </w:tr>
      <w:tr w:rsidR="00E953EE" w:rsidRPr="00D33F35" w14:paraId="49F1EC55" w14:textId="77777777" w:rsidTr="006909E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gridSpan w:val="3"/>
            <w:tcBorders>
              <w:left w:val="none" w:sz="0" w:space="0" w:color="auto"/>
            </w:tcBorders>
            <w:shd w:val="clear" w:color="auto" w:fill="FFFFFF" w:themeFill="background1"/>
          </w:tcPr>
          <w:p w14:paraId="0897FDD8" w14:textId="77777777" w:rsidR="00E953EE" w:rsidRPr="002F7012" w:rsidRDefault="00E953EE" w:rsidP="006909EB">
            <w:pPr>
              <w:spacing w:before="60"/>
              <w:rPr>
                <w:color w:val="auto"/>
                <w:sz w:val="22"/>
                <w:szCs w:val="22"/>
              </w:rPr>
            </w:pPr>
            <w:r w:rsidRPr="002F7012">
              <w:rPr>
                <w:sz w:val="22"/>
                <w:szCs w:val="22"/>
              </w:rPr>
              <w:t>2. Activities to implement the provisions of the Convention that facilitate early implementation on entry into force of the Convention for a Party</w:t>
            </w:r>
          </w:p>
        </w:tc>
      </w:tr>
      <w:tr w:rsidR="00E953EE" w:rsidRPr="00D33F35" w14:paraId="55957F50" w14:textId="77777777" w:rsidTr="006909EB">
        <w:trPr>
          <w:jc w:val="center"/>
        </w:trPr>
        <w:tc>
          <w:tcPr>
            <w:cnfStyle w:val="001000000000" w:firstRow="0" w:lastRow="0" w:firstColumn="1" w:lastColumn="0" w:oddVBand="0" w:evenVBand="0" w:oddHBand="0" w:evenHBand="0" w:firstRowFirstColumn="0" w:firstRowLastColumn="0" w:lastRowFirstColumn="0" w:lastRowLastColumn="0"/>
            <w:tcW w:w="0" w:type="auto"/>
            <w:tcBorders>
              <w:left w:val="none" w:sz="0" w:space="0" w:color="auto"/>
            </w:tcBorders>
            <w:shd w:val="clear" w:color="auto" w:fill="FFFFFF" w:themeFill="background1"/>
          </w:tcPr>
          <w:p w14:paraId="610460CE" w14:textId="77777777" w:rsidR="00E953EE" w:rsidRPr="002F7012" w:rsidRDefault="00E953EE" w:rsidP="006909EB">
            <w:pPr>
              <w:spacing w:before="60"/>
              <w:jc w:val="center"/>
              <w:rPr>
                <w:b w:val="0"/>
                <w:color w:val="auto"/>
                <w:sz w:val="22"/>
                <w:szCs w:val="22"/>
              </w:rPr>
            </w:pPr>
            <w:r w:rsidRPr="002F7012">
              <w:rPr>
                <w:sz w:val="22"/>
                <w:szCs w:val="22"/>
              </w:rPr>
              <w:t>10</w:t>
            </w:r>
          </w:p>
        </w:tc>
        <w:tc>
          <w:tcPr>
            <w:tcW w:w="0" w:type="auto"/>
            <w:shd w:val="clear" w:color="auto" w:fill="FFFFFF" w:themeFill="background1"/>
          </w:tcPr>
          <w:p w14:paraId="00029635" w14:textId="77777777" w:rsidR="00E953EE" w:rsidRPr="002F7012" w:rsidRDefault="00E953EE" w:rsidP="006909EB">
            <w:pPr>
              <w:spacing w:before="60"/>
              <w:cnfStyle w:val="000000000000" w:firstRow="0" w:lastRow="0" w:firstColumn="0" w:lastColumn="0" w:oddVBand="0" w:evenVBand="0" w:oddHBand="0" w:evenHBand="0" w:firstRowFirstColumn="0" w:firstRowLastColumn="0" w:lastRowFirstColumn="0" w:lastRowLastColumn="0"/>
              <w:rPr>
                <w:sz w:val="22"/>
                <w:szCs w:val="22"/>
              </w:rPr>
            </w:pPr>
            <w:r w:rsidRPr="002F7012">
              <w:rPr>
                <w:sz w:val="22"/>
                <w:szCs w:val="22"/>
              </w:rPr>
              <w:t>When considering activities to implement the provisions of the Convention that facilitate early implementation on entry into force, GEF should also consider providing support for activities that, although they are not the subject of a legal obligation under the Convention, may significantly contribute to a Party’s preparedness to implement the Convention upon its entry into force for that country.</w:t>
            </w:r>
          </w:p>
        </w:tc>
        <w:tc>
          <w:tcPr>
            <w:tcW w:w="0" w:type="auto"/>
            <w:shd w:val="clear" w:color="auto" w:fill="FFFFFF" w:themeFill="background1"/>
          </w:tcPr>
          <w:p w14:paraId="7E491AC9" w14:textId="77777777" w:rsidR="00E953EE" w:rsidRPr="002F7012" w:rsidRDefault="00E953EE" w:rsidP="006909EB">
            <w:pPr>
              <w:spacing w:before="60"/>
              <w:cnfStyle w:val="000000000000" w:firstRow="0" w:lastRow="0" w:firstColumn="0" w:lastColumn="0" w:oddVBand="0" w:evenVBand="0" w:oddHBand="0" w:evenHBand="0" w:firstRowFirstColumn="0" w:firstRowLastColumn="0" w:lastRowFirstColumn="0" w:lastRowLastColumn="0"/>
              <w:rPr>
                <w:sz w:val="22"/>
                <w:szCs w:val="22"/>
              </w:rPr>
            </w:pPr>
            <w:r w:rsidRPr="002F7012">
              <w:rPr>
                <w:sz w:val="22"/>
                <w:szCs w:val="22"/>
              </w:rPr>
              <w:t>This will be addressed during programming in GEF-7 and will be reported on at subsequent COPs.</w:t>
            </w:r>
          </w:p>
        </w:tc>
      </w:tr>
      <w:tr w:rsidR="00E953EE" w:rsidRPr="00D33F35" w14:paraId="72BEAEA3" w14:textId="77777777" w:rsidTr="006909E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tcBorders>
              <w:left w:val="none" w:sz="0" w:space="0" w:color="auto"/>
            </w:tcBorders>
            <w:shd w:val="clear" w:color="auto" w:fill="FFFFFF" w:themeFill="background1"/>
          </w:tcPr>
          <w:p w14:paraId="63421639" w14:textId="77777777" w:rsidR="00E953EE" w:rsidRPr="002F7012" w:rsidRDefault="00E953EE" w:rsidP="006909EB">
            <w:pPr>
              <w:spacing w:before="60"/>
              <w:jc w:val="center"/>
              <w:rPr>
                <w:b w:val="0"/>
                <w:color w:val="auto"/>
                <w:sz w:val="22"/>
                <w:szCs w:val="22"/>
              </w:rPr>
            </w:pPr>
            <w:r w:rsidRPr="002F7012">
              <w:rPr>
                <w:sz w:val="22"/>
                <w:szCs w:val="22"/>
              </w:rPr>
              <w:t>11</w:t>
            </w:r>
          </w:p>
        </w:tc>
        <w:tc>
          <w:tcPr>
            <w:tcW w:w="0" w:type="auto"/>
            <w:shd w:val="clear" w:color="auto" w:fill="FFFFFF" w:themeFill="background1"/>
          </w:tcPr>
          <w:p w14:paraId="795B73B4" w14:textId="77777777" w:rsidR="00E953EE" w:rsidRPr="002F7012" w:rsidRDefault="00E953EE" w:rsidP="006909EB">
            <w:pPr>
              <w:spacing w:before="60"/>
              <w:cnfStyle w:val="000000100000" w:firstRow="0" w:lastRow="0" w:firstColumn="0" w:lastColumn="0" w:oddVBand="0" w:evenVBand="0" w:oddHBand="1" w:evenHBand="0" w:firstRowFirstColumn="0" w:firstRowLastColumn="0" w:lastRowFirstColumn="0" w:lastRowLastColumn="0"/>
              <w:rPr>
                <w:sz w:val="22"/>
                <w:szCs w:val="22"/>
              </w:rPr>
            </w:pPr>
            <w:r w:rsidRPr="002F7012">
              <w:rPr>
                <w:sz w:val="22"/>
                <w:szCs w:val="22"/>
              </w:rPr>
              <w:t>Within the context of the GEF mandate, such activities could include, inter alia, support for:</w:t>
            </w:r>
          </w:p>
          <w:p w14:paraId="4472A8EA" w14:textId="77777777" w:rsidR="00E953EE" w:rsidRPr="002F7012" w:rsidRDefault="00E953EE" w:rsidP="006909EB">
            <w:pPr>
              <w:spacing w:before="60"/>
              <w:cnfStyle w:val="000000100000" w:firstRow="0" w:lastRow="0" w:firstColumn="0" w:lastColumn="0" w:oddVBand="0" w:evenVBand="0" w:oddHBand="1" w:evenHBand="0" w:firstRowFirstColumn="0" w:firstRowLastColumn="0" w:lastRowFirstColumn="0" w:lastRowLastColumn="0"/>
              <w:rPr>
                <w:sz w:val="22"/>
                <w:szCs w:val="22"/>
              </w:rPr>
            </w:pPr>
            <w:r w:rsidRPr="002F7012">
              <w:rPr>
                <w:sz w:val="22"/>
                <w:szCs w:val="22"/>
              </w:rPr>
              <w:t>(a) With regard to emissions, the development by Parties with relevant sources of emissions of national plans setting out the measures to be taken to control emissions and their expected targets, goals and outcomes;</w:t>
            </w:r>
          </w:p>
          <w:p w14:paraId="7DC701D4" w14:textId="77777777" w:rsidR="00E953EE" w:rsidRPr="002F7012" w:rsidRDefault="00E953EE" w:rsidP="006909EB">
            <w:pPr>
              <w:spacing w:before="60"/>
              <w:cnfStyle w:val="000000100000" w:firstRow="0" w:lastRow="0" w:firstColumn="0" w:lastColumn="0" w:oddVBand="0" w:evenVBand="0" w:oddHBand="1" w:evenHBand="0" w:firstRowFirstColumn="0" w:firstRowLastColumn="0" w:lastRowFirstColumn="0" w:lastRowLastColumn="0"/>
              <w:rPr>
                <w:sz w:val="22"/>
                <w:szCs w:val="22"/>
              </w:rPr>
            </w:pPr>
            <w:r w:rsidRPr="002F7012">
              <w:rPr>
                <w:sz w:val="22"/>
                <w:szCs w:val="22"/>
              </w:rPr>
              <w:t>(b) With regard to releases, the development by Parties with relevant sources of releases of national plans setting out the measures to be taken to control releases and their expected targets, goals and outcomes;</w:t>
            </w:r>
          </w:p>
          <w:p w14:paraId="569E26A3" w14:textId="77777777" w:rsidR="00E953EE" w:rsidRPr="002F7012" w:rsidRDefault="00E953EE" w:rsidP="006909EB">
            <w:pPr>
              <w:spacing w:before="60"/>
              <w:cnfStyle w:val="000000100000" w:firstRow="0" w:lastRow="0" w:firstColumn="0" w:lastColumn="0" w:oddVBand="0" w:evenVBand="0" w:oddHBand="1" w:evenHBand="0" w:firstRowFirstColumn="0" w:firstRowLastColumn="0" w:lastRowFirstColumn="0" w:lastRowLastColumn="0"/>
              <w:rPr>
                <w:sz w:val="22"/>
                <w:szCs w:val="22"/>
              </w:rPr>
            </w:pPr>
            <w:r w:rsidRPr="002F7012">
              <w:rPr>
                <w:sz w:val="22"/>
                <w:szCs w:val="22"/>
              </w:rPr>
              <w:t>(c) With regard to contaminated sites, capacity-building for the development of strategies for identifying and assessing sites contaminated by mercury or mercury compounds and, as appropriate, the remediation of those sites;</w:t>
            </w:r>
          </w:p>
          <w:p w14:paraId="0C3D288A" w14:textId="77777777" w:rsidR="00E953EE" w:rsidRPr="002F7012" w:rsidRDefault="00E953EE" w:rsidP="006909EB">
            <w:pPr>
              <w:spacing w:before="60"/>
              <w:cnfStyle w:val="000000100000" w:firstRow="0" w:lastRow="0" w:firstColumn="0" w:lastColumn="0" w:oddVBand="0" w:evenVBand="0" w:oddHBand="1" w:evenHBand="0" w:firstRowFirstColumn="0" w:firstRowLastColumn="0" w:lastRowFirstColumn="0" w:lastRowLastColumn="0"/>
              <w:rPr>
                <w:sz w:val="22"/>
                <w:szCs w:val="22"/>
              </w:rPr>
            </w:pPr>
            <w:r w:rsidRPr="002F7012">
              <w:rPr>
                <w:sz w:val="22"/>
                <w:szCs w:val="22"/>
              </w:rPr>
              <w:t xml:space="preserve">(d) Information exchange; </w:t>
            </w:r>
          </w:p>
          <w:p w14:paraId="2148EA23" w14:textId="77777777" w:rsidR="00E953EE" w:rsidRPr="002F7012" w:rsidRDefault="00E953EE" w:rsidP="006909EB">
            <w:pPr>
              <w:spacing w:before="60"/>
              <w:cnfStyle w:val="000000100000" w:firstRow="0" w:lastRow="0" w:firstColumn="0" w:lastColumn="0" w:oddVBand="0" w:evenVBand="0" w:oddHBand="1" w:evenHBand="0" w:firstRowFirstColumn="0" w:firstRowLastColumn="0" w:lastRowFirstColumn="0" w:lastRowLastColumn="0"/>
              <w:rPr>
                <w:sz w:val="22"/>
                <w:szCs w:val="22"/>
              </w:rPr>
            </w:pPr>
            <w:r w:rsidRPr="002F7012">
              <w:rPr>
                <w:sz w:val="22"/>
                <w:szCs w:val="22"/>
              </w:rPr>
              <w:t xml:space="preserve">(e) Public information, awareness and education; </w:t>
            </w:r>
          </w:p>
          <w:p w14:paraId="054AF671" w14:textId="77777777" w:rsidR="00E953EE" w:rsidRPr="002F7012" w:rsidRDefault="00E953EE" w:rsidP="006909EB">
            <w:pPr>
              <w:spacing w:before="60"/>
              <w:cnfStyle w:val="000000100000" w:firstRow="0" w:lastRow="0" w:firstColumn="0" w:lastColumn="0" w:oddVBand="0" w:evenVBand="0" w:oddHBand="1" w:evenHBand="0" w:firstRowFirstColumn="0" w:firstRowLastColumn="0" w:lastRowFirstColumn="0" w:lastRowLastColumn="0"/>
              <w:rPr>
                <w:sz w:val="22"/>
                <w:szCs w:val="22"/>
              </w:rPr>
            </w:pPr>
            <w:r w:rsidRPr="002F7012">
              <w:rPr>
                <w:sz w:val="22"/>
                <w:szCs w:val="22"/>
              </w:rPr>
              <w:t>(f) Cooperation in the development and improvement of research, development and monitoring;</w:t>
            </w:r>
          </w:p>
          <w:p w14:paraId="27DD0998" w14:textId="77777777" w:rsidR="00E953EE" w:rsidRPr="002F7012" w:rsidRDefault="00E953EE" w:rsidP="006909EB">
            <w:pPr>
              <w:spacing w:before="60"/>
              <w:cnfStyle w:val="000000100000" w:firstRow="0" w:lastRow="0" w:firstColumn="0" w:lastColumn="0" w:oddVBand="0" w:evenVBand="0" w:oddHBand="1" w:evenHBand="0" w:firstRowFirstColumn="0" w:firstRowLastColumn="0" w:lastRowFirstColumn="0" w:lastRowLastColumn="0"/>
              <w:rPr>
                <w:sz w:val="22"/>
                <w:szCs w:val="22"/>
              </w:rPr>
            </w:pPr>
            <w:r w:rsidRPr="002F7012">
              <w:rPr>
                <w:sz w:val="22"/>
                <w:szCs w:val="22"/>
              </w:rPr>
              <w:t>(g) Development of implementation plans following initial assessments.</w:t>
            </w:r>
          </w:p>
        </w:tc>
        <w:tc>
          <w:tcPr>
            <w:tcW w:w="0" w:type="auto"/>
            <w:shd w:val="clear" w:color="auto" w:fill="FFFFFF" w:themeFill="background1"/>
          </w:tcPr>
          <w:p w14:paraId="65C5DD10" w14:textId="77777777" w:rsidR="00E953EE" w:rsidRPr="002F7012" w:rsidRDefault="00E953EE" w:rsidP="006909EB">
            <w:pPr>
              <w:spacing w:before="60"/>
              <w:cnfStyle w:val="000000100000" w:firstRow="0" w:lastRow="0" w:firstColumn="0" w:lastColumn="0" w:oddVBand="0" w:evenVBand="0" w:oddHBand="1" w:evenHBand="0" w:firstRowFirstColumn="0" w:firstRowLastColumn="0" w:lastRowFirstColumn="0" w:lastRowLastColumn="0"/>
              <w:rPr>
                <w:sz w:val="22"/>
                <w:szCs w:val="22"/>
              </w:rPr>
            </w:pPr>
            <w:r w:rsidRPr="002F7012">
              <w:rPr>
                <w:sz w:val="22"/>
                <w:szCs w:val="22"/>
              </w:rPr>
              <w:t>This will be addressed during programming in GEF-7 and will be reported on at subsequent COPs.</w:t>
            </w:r>
          </w:p>
        </w:tc>
      </w:tr>
      <w:tr w:rsidR="00E953EE" w:rsidRPr="00D33F35" w14:paraId="355DD9A3" w14:textId="77777777" w:rsidTr="006909EB">
        <w:trPr>
          <w:jc w:val="center"/>
        </w:trPr>
        <w:tc>
          <w:tcPr>
            <w:cnfStyle w:val="001000000000" w:firstRow="0" w:lastRow="0" w:firstColumn="1" w:lastColumn="0" w:oddVBand="0" w:evenVBand="0" w:oddHBand="0" w:evenHBand="0" w:firstRowFirstColumn="0" w:firstRowLastColumn="0" w:lastRowFirstColumn="0" w:lastRowLastColumn="0"/>
            <w:tcW w:w="0" w:type="auto"/>
            <w:gridSpan w:val="3"/>
            <w:tcBorders>
              <w:left w:val="none" w:sz="0" w:space="0" w:color="auto"/>
            </w:tcBorders>
            <w:shd w:val="clear" w:color="auto" w:fill="FFFFFF" w:themeFill="background1"/>
          </w:tcPr>
          <w:p w14:paraId="183E9EC6" w14:textId="77777777" w:rsidR="00E953EE" w:rsidRPr="002F7012" w:rsidRDefault="00E953EE" w:rsidP="006909EB">
            <w:pPr>
              <w:spacing w:before="60"/>
              <w:rPr>
                <w:color w:val="auto"/>
                <w:sz w:val="22"/>
                <w:szCs w:val="22"/>
              </w:rPr>
            </w:pPr>
            <w:r w:rsidRPr="002F7012">
              <w:rPr>
                <w:sz w:val="22"/>
                <w:szCs w:val="22"/>
              </w:rPr>
              <w:lastRenderedPageBreak/>
              <w:t>3. Activities to implement the provisions of the Convention that allow for the reduction of mercury emissions and releases and address both the health and environmental impacts of mercury</w:t>
            </w:r>
          </w:p>
        </w:tc>
      </w:tr>
      <w:tr w:rsidR="00E953EE" w:rsidRPr="00D33F35" w14:paraId="0AF5561B" w14:textId="77777777" w:rsidTr="006909E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tcBorders>
              <w:left w:val="none" w:sz="0" w:space="0" w:color="auto"/>
            </w:tcBorders>
            <w:shd w:val="clear" w:color="auto" w:fill="FFFFFF" w:themeFill="background1"/>
          </w:tcPr>
          <w:p w14:paraId="6C731588" w14:textId="77777777" w:rsidR="00E953EE" w:rsidRPr="002F7012" w:rsidRDefault="00E953EE" w:rsidP="006909EB">
            <w:pPr>
              <w:spacing w:before="60"/>
              <w:jc w:val="center"/>
              <w:rPr>
                <w:b w:val="0"/>
                <w:color w:val="auto"/>
                <w:sz w:val="22"/>
                <w:szCs w:val="22"/>
              </w:rPr>
            </w:pPr>
            <w:r w:rsidRPr="002F7012">
              <w:rPr>
                <w:sz w:val="22"/>
                <w:szCs w:val="22"/>
              </w:rPr>
              <w:t>12</w:t>
            </w:r>
          </w:p>
        </w:tc>
        <w:tc>
          <w:tcPr>
            <w:tcW w:w="0" w:type="auto"/>
            <w:shd w:val="clear" w:color="auto" w:fill="FFFFFF" w:themeFill="background1"/>
          </w:tcPr>
          <w:p w14:paraId="160E0203" w14:textId="77777777" w:rsidR="00E953EE" w:rsidRPr="002F7012" w:rsidRDefault="00E953EE" w:rsidP="006909EB">
            <w:pPr>
              <w:spacing w:before="60"/>
              <w:cnfStyle w:val="000000100000" w:firstRow="0" w:lastRow="0" w:firstColumn="0" w:lastColumn="0" w:oddVBand="0" w:evenVBand="0" w:oddHBand="1" w:evenHBand="0" w:firstRowFirstColumn="0" w:firstRowLastColumn="0" w:lastRowFirstColumn="0" w:lastRowLastColumn="0"/>
              <w:rPr>
                <w:sz w:val="22"/>
                <w:szCs w:val="22"/>
              </w:rPr>
            </w:pPr>
            <w:r w:rsidRPr="002F7012">
              <w:rPr>
                <w:sz w:val="22"/>
                <w:szCs w:val="22"/>
              </w:rPr>
              <w:t>Activities to implement the provisions of the Convention that allow for the reduction of mercury emissions and releases and address both the health and environmental impacts of mercury may encompass activities relating to both binding and non-binding provisions, with priority to the legally binding provisions discussed above, that accord with the GEF mandate to deliver global environmental benefits and reflect the GEF chemicals and wastes focal area strategy.</w:t>
            </w:r>
          </w:p>
        </w:tc>
        <w:tc>
          <w:tcPr>
            <w:tcW w:w="0" w:type="auto"/>
            <w:shd w:val="clear" w:color="auto" w:fill="FFFFFF" w:themeFill="background1"/>
          </w:tcPr>
          <w:p w14:paraId="326FED74" w14:textId="77777777" w:rsidR="00E953EE" w:rsidRPr="002F7012" w:rsidRDefault="00E953EE" w:rsidP="006909EB">
            <w:pPr>
              <w:spacing w:before="60"/>
              <w:cnfStyle w:val="000000100000" w:firstRow="0" w:lastRow="0" w:firstColumn="0" w:lastColumn="0" w:oddVBand="0" w:evenVBand="0" w:oddHBand="1" w:evenHBand="0" w:firstRowFirstColumn="0" w:firstRowLastColumn="0" w:lastRowFirstColumn="0" w:lastRowLastColumn="0"/>
              <w:rPr>
                <w:sz w:val="22"/>
                <w:szCs w:val="22"/>
              </w:rPr>
            </w:pPr>
            <w:r w:rsidRPr="002F7012">
              <w:rPr>
                <w:sz w:val="22"/>
                <w:szCs w:val="22"/>
              </w:rPr>
              <w:t>This will be addressed during programming in GEF-7 and will be reported on at subsequent COPs.</w:t>
            </w:r>
          </w:p>
        </w:tc>
      </w:tr>
      <w:tr w:rsidR="00E953EE" w:rsidRPr="00D33F35" w14:paraId="5496C94F" w14:textId="77777777" w:rsidTr="006909EB">
        <w:trPr>
          <w:jc w:val="center"/>
        </w:trPr>
        <w:tc>
          <w:tcPr>
            <w:cnfStyle w:val="001000000000" w:firstRow="0" w:lastRow="0" w:firstColumn="1" w:lastColumn="0" w:oddVBand="0" w:evenVBand="0" w:oddHBand="0" w:evenHBand="0" w:firstRowFirstColumn="0" w:firstRowLastColumn="0" w:lastRowFirstColumn="0" w:lastRowLastColumn="0"/>
            <w:tcW w:w="0" w:type="auto"/>
            <w:gridSpan w:val="3"/>
            <w:tcBorders>
              <w:left w:val="none" w:sz="0" w:space="0" w:color="auto"/>
            </w:tcBorders>
            <w:shd w:val="clear" w:color="auto" w:fill="FFFFFF" w:themeFill="background1"/>
          </w:tcPr>
          <w:p w14:paraId="00F510EB" w14:textId="77777777" w:rsidR="00E953EE" w:rsidRPr="002F7012" w:rsidRDefault="00E953EE" w:rsidP="006909EB">
            <w:pPr>
              <w:spacing w:before="60"/>
              <w:rPr>
                <w:color w:val="auto"/>
                <w:sz w:val="22"/>
                <w:szCs w:val="22"/>
              </w:rPr>
            </w:pPr>
            <w:r w:rsidRPr="002F7012">
              <w:rPr>
                <w:sz w:val="22"/>
                <w:szCs w:val="22"/>
              </w:rPr>
              <w:t>V. Review by the Conference of the Parties</w:t>
            </w:r>
          </w:p>
        </w:tc>
      </w:tr>
      <w:tr w:rsidR="00E953EE" w:rsidRPr="00D33F35" w14:paraId="5B87D058" w14:textId="77777777" w:rsidTr="006909E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tcBorders>
              <w:left w:val="none" w:sz="0" w:space="0" w:color="auto"/>
              <w:bottom w:val="none" w:sz="0" w:space="0" w:color="auto"/>
            </w:tcBorders>
            <w:shd w:val="clear" w:color="auto" w:fill="FFFFFF" w:themeFill="background1"/>
          </w:tcPr>
          <w:p w14:paraId="37B5AF8C" w14:textId="77777777" w:rsidR="00E953EE" w:rsidRPr="002F7012" w:rsidRDefault="00E953EE" w:rsidP="006909EB">
            <w:pPr>
              <w:spacing w:before="60"/>
              <w:jc w:val="center"/>
              <w:rPr>
                <w:b w:val="0"/>
                <w:color w:val="auto"/>
                <w:sz w:val="22"/>
                <w:szCs w:val="22"/>
              </w:rPr>
            </w:pPr>
            <w:r w:rsidRPr="002F7012">
              <w:rPr>
                <w:sz w:val="22"/>
                <w:szCs w:val="22"/>
              </w:rPr>
              <w:t>13</w:t>
            </w:r>
          </w:p>
        </w:tc>
        <w:tc>
          <w:tcPr>
            <w:tcW w:w="0" w:type="auto"/>
            <w:shd w:val="clear" w:color="auto" w:fill="FFFFFF" w:themeFill="background1"/>
          </w:tcPr>
          <w:p w14:paraId="501C569D" w14:textId="77777777" w:rsidR="00E953EE" w:rsidRPr="002F7012" w:rsidRDefault="00E953EE" w:rsidP="006909EB">
            <w:pPr>
              <w:spacing w:before="60"/>
              <w:cnfStyle w:val="000000100000" w:firstRow="0" w:lastRow="0" w:firstColumn="0" w:lastColumn="0" w:oddVBand="0" w:evenVBand="0" w:oddHBand="1" w:evenHBand="0" w:firstRowFirstColumn="0" w:firstRowLastColumn="0" w:lastRowFirstColumn="0" w:lastRowLastColumn="0"/>
              <w:rPr>
                <w:sz w:val="22"/>
                <w:szCs w:val="22"/>
              </w:rPr>
            </w:pPr>
            <w:r w:rsidRPr="002F7012">
              <w:rPr>
                <w:sz w:val="22"/>
                <w:szCs w:val="22"/>
              </w:rPr>
              <w:t>In accordance with paragraph 11 of article 13, the Conference of the Parties will review, no later than at its third meeting, and thereafter on a regular basis, the level of funding, the guidance provided by the Conference of the Parties to GEF as one of the entities entrusted with operationalizing the mechanism established under this article and the mechanism’s effectiveness and ability to address the changing needs of developing-country Parties and Parties with economies in transition. On the basis of such review, the Conference of the Parties will take appropriate action to improve the effectiveness of the financial mechanism, including by updating and prioritizing as necessary its guidance to GEF.</w:t>
            </w:r>
          </w:p>
        </w:tc>
        <w:tc>
          <w:tcPr>
            <w:tcW w:w="0" w:type="auto"/>
            <w:shd w:val="clear" w:color="auto" w:fill="FFFFFF" w:themeFill="background1"/>
          </w:tcPr>
          <w:p w14:paraId="6A33AD2F" w14:textId="77777777" w:rsidR="00E953EE" w:rsidRPr="002F7012" w:rsidRDefault="00E953EE" w:rsidP="006909EB">
            <w:pPr>
              <w:spacing w:before="60"/>
              <w:cnfStyle w:val="000000100000" w:firstRow="0" w:lastRow="0" w:firstColumn="0" w:lastColumn="0" w:oddVBand="0" w:evenVBand="0" w:oddHBand="1" w:evenHBand="0" w:firstRowFirstColumn="0" w:firstRowLastColumn="0" w:lastRowFirstColumn="0" w:lastRowLastColumn="0"/>
              <w:rPr>
                <w:sz w:val="22"/>
                <w:szCs w:val="22"/>
              </w:rPr>
            </w:pPr>
            <w:r w:rsidRPr="002F7012">
              <w:rPr>
                <w:sz w:val="22"/>
                <w:szCs w:val="22"/>
              </w:rPr>
              <w:t>At the request of the COP, the GEF will provide information as it relates to the review described in paragraph 11 of article 13 of the Minamata Convention.</w:t>
            </w:r>
          </w:p>
        </w:tc>
      </w:tr>
    </w:tbl>
    <w:p w14:paraId="0450ABDF" w14:textId="5E56E30C" w:rsidR="007B34A8" w:rsidRPr="002F7012" w:rsidRDefault="007B34A8" w:rsidP="007B34A8">
      <w:pPr>
        <w:pStyle w:val="Heading2"/>
        <w:ind w:left="0" w:firstLine="0"/>
      </w:pPr>
    </w:p>
    <w:p w14:paraId="5DCB610C" w14:textId="04296BDB" w:rsidR="00E953EE" w:rsidRPr="002F7012" w:rsidRDefault="007B34A8" w:rsidP="007B34A8">
      <w:pPr>
        <w:tabs>
          <w:tab w:val="clear" w:pos="1247"/>
          <w:tab w:val="clear" w:pos="1814"/>
          <w:tab w:val="clear" w:pos="2381"/>
          <w:tab w:val="clear" w:pos="2948"/>
          <w:tab w:val="clear" w:pos="3515"/>
        </w:tabs>
        <w:rPr>
          <w:b/>
          <w:sz w:val="24"/>
          <w:szCs w:val="24"/>
        </w:rPr>
      </w:pPr>
      <w:r w:rsidRPr="002F7012">
        <w:br w:type="page"/>
      </w:r>
    </w:p>
    <w:p w14:paraId="25DE2CB5" w14:textId="77777777" w:rsidR="00E953EE" w:rsidRPr="00F33C7B" w:rsidRDefault="00E953EE" w:rsidP="00E953EE">
      <w:pPr>
        <w:pStyle w:val="Heading2"/>
        <w:ind w:firstLine="0"/>
        <w:rPr>
          <w:rFonts w:asciiTheme="minorHAnsi" w:hAnsiTheme="minorHAnsi" w:cstheme="minorHAnsi"/>
        </w:rPr>
      </w:pPr>
      <w:bookmarkStart w:id="14" w:name="_Toc9941940"/>
      <w:bookmarkStart w:id="15" w:name="_Toc9942386"/>
      <w:r w:rsidRPr="00F33C7B">
        <w:rPr>
          <w:rFonts w:asciiTheme="minorHAnsi" w:hAnsiTheme="minorHAnsi" w:cstheme="minorHAnsi"/>
        </w:rPr>
        <w:lastRenderedPageBreak/>
        <w:t>Guidance received at INC6</w:t>
      </w:r>
      <w:r w:rsidRPr="00F33C7B">
        <w:rPr>
          <w:rStyle w:val="FootnoteReference"/>
          <w:rFonts w:asciiTheme="minorHAnsi" w:hAnsiTheme="minorHAnsi" w:cstheme="minorHAnsi"/>
        </w:rPr>
        <w:footnoteReference w:id="10"/>
      </w:r>
      <w:bookmarkEnd w:id="14"/>
      <w:bookmarkEnd w:id="15"/>
    </w:p>
    <w:tbl>
      <w:tblPr>
        <w:tblStyle w:val="TableGrid"/>
        <w:tblW w:w="0" w:type="auto"/>
        <w:tblLook w:val="04A0" w:firstRow="1" w:lastRow="0" w:firstColumn="1" w:lastColumn="0" w:noHBand="0" w:noVBand="1"/>
      </w:tblPr>
      <w:tblGrid>
        <w:gridCol w:w="444"/>
        <w:gridCol w:w="4830"/>
        <w:gridCol w:w="4213"/>
      </w:tblGrid>
      <w:tr w:rsidR="00E953EE" w:rsidRPr="00EB272B" w14:paraId="5ACEE99F" w14:textId="77777777" w:rsidTr="006909EB">
        <w:tc>
          <w:tcPr>
            <w:tcW w:w="5305" w:type="dxa"/>
            <w:gridSpan w:val="2"/>
          </w:tcPr>
          <w:p w14:paraId="5765D30D" w14:textId="77777777" w:rsidR="00E953EE" w:rsidRPr="00EB272B" w:rsidRDefault="00E953EE" w:rsidP="006909EB">
            <w:pPr>
              <w:jc w:val="center"/>
              <w:rPr>
                <w:rFonts w:cstheme="minorHAnsi"/>
                <w:b/>
                <w:sz w:val="22"/>
                <w:szCs w:val="22"/>
              </w:rPr>
            </w:pPr>
            <w:r w:rsidRPr="00EB272B">
              <w:rPr>
                <w:rFonts w:cstheme="minorHAnsi"/>
                <w:b/>
                <w:sz w:val="22"/>
                <w:szCs w:val="22"/>
              </w:rPr>
              <w:t>INC Outcome</w:t>
            </w:r>
          </w:p>
        </w:tc>
        <w:tc>
          <w:tcPr>
            <w:tcW w:w="4245" w:type="dxa"/>
          </w:tcPr>
          <w:p w14:paraId="785E7582" w14:textId="77777777" w:rsidR="00E953EE" w:rsidRPr="00EB272B" w:rsidRDefault="00E953EE" w:rsidP="006909EB">
            <w:pPr>
              <w:jc w:val="center"/>
              <w:rPr>
                <w:rFonts w:cstheme="minorHAnsi"/>
                <w:b/>
                <w:sz w:val="22"/>
                <w:szCs w:val="22"/>
              </w:rPr>
            </w:pPr>
            <w:r w:rsidRPr="00EB272B">
              <w:rPr>
                <w:rFonts w:cstheme="minorHAnsi"/>
                <w:b/>
                <w:sz w:val="22"/>
                <w:szCs w:val="22"/>
              </w:rPr>
              <w:t>GEF Response</w:t>
            </w:r>
          </w:p>
        </w:tc>
      </w:tr>
      <w:tr w:rsidR="00E953EE" w:rsidRPr="00EB272B" w14:paraId="64DACD5A" w14:textId="77777777" w:rsidTr="006909EB">
        <w:tc>
          <w:tcPr>
            <w:tcW w:w="445" w:type="dxa"/>
          </w:tcPr>
          <w:p w14:paraId="4EE55A18" w14:textId="77777777" w:rsidR="00E953EE" w:rsidRPr="00EB272B" w:rsidRDefault="00E953EE" w:rsidP="006909EB">
            <w:pPr>
              <w:rPr>
                <w:rFonts w:cstheme="minorHAnsi"/>
                <w:sz w:val="22"/>
                <w:szCs w:val="22"/>
              </w:rPr>
            </w:pPr>
            <w:r w:rsidRPr="00EB272B">
              <w:rPr>
                <w:rFonts w:cstheme="minorHAnsi"/>
                <w:sz w:val="22"/>
                <w:szCs w:val="22"/>
              </w:rPr>
              <w:t>1</w:t>
            </w:r>
          </w:p>
        </w:tc>
        <w:tc>
          <w:tcPr>
            <w:tcW w:w="4860" w:type="dxa"/>
          </w:tcPr>
          <w:p w14:paraId="4FBE22AF" w14:textId="77777777" w:rsidR="00E953EE" w:rsidRPr="00EB272B" w:rsidRDefault="00E953EE" w:rsidP="006909EB">
            <w:pPr>
              <w:rPr>
                <w:rFonts w:cstheme="minorHAnsi"/>
                <w:sz w:val="22"/>
                <w:szCs w:val="22"/>
              </w:rPr>
            </w:pPr>
            <w:r w:rsidRPr="00EB272B">
              <w:rPr>
                <w:rFonts w:cstheme="minorHAnsi"/>
                <w:sz w:val="22"/>
                <w:szCs w:val="22"/>
              </w:rPr>
              <w:t>Request the Global Environment Facility to apply the following eligibility criteria in providing financial support to developing countries and countries with economies in transition for activities under the Minamata Convention on Mercury:</w:t>
            </w:r>
          </w:p>
          <w:p w14:paraId="4C4576DB" w14:textId="77777777" w:rsidR="00E953EE" w:rsidRPr="00EB272B" w:rsidRDefault="00E953EE" w:rsidP="006909EB">
            <w:pPr>
              <w:rPr>
                <w:rFonts w:cstheme="minorHAnsi"/>
                <w:sz w:val="22"/>
                <w:szCs w:val="22"/>
              </w:rPr>
            </w:pPr>
            <w:r w:rsidRPr="00EB272B">
              <w:rPr>
                <w:rFonts w:cstheme="minorHAnsi"/>
                <w:sz w:val="22"/>
                <w:szCs w:val="22"/>
              </w:rPr>
              <w:t>Eligibility criteria</w:t>
            </w:r>
          </w:p>
          <w:p w14:paraId="1FED7CE3" w14:textId="77777777" w:rsidR="00E953EE" w:rsidRPr="00EB272B" w:rsidRDefault="00E953EE" w:rsidP="006909EB">
            <w:pPr>
              <w:rPr>
                <w:rFonts w:cstheme="minorHAnsi"/>
                <w:sz w:val="22"/>
                <w:szCs w:val="22"/>
              </w:rPr>
            </w:pPr>
            <w:r w:rsidRPr="00EB272B">
              <w:rPr>
                <w:rFonts w:cstheme="minorHAnsi"/>
                <w:sz w:val="22"/>
                <w:szCs w:val="22"/>
              </w:rPr>
              <w:t>(a)</w:t>
            </w:r>
            <w:r w:rsidRPr="00EB272B">
              <w:rPr>
                <w:rFonts w:cstheme="minorHAnsi"/>
                <w:sz w:val="22"/>
                <w:szCs w:val="22"/>
              </w:rPr>
              <w:tab/>
              <w:t>Parties to the Convention;</w:t>
            </w:r>
          </w:p>
          <w:p w14:paraId="74DCD552" w14:textId="77777777" w:rsidR="00E953EE" w:rsidRPr="00EB272B" w:rsidRDefault="00E953EE" w:rsidP="006909EB">
            <w:pPr>
              <w:rPr>
                <w:rFonts w:cstheme="minorHAnsi"/>
                <w:sz w:val="22"/>
                <w:szCs w:val="22"/>
              </w:rPr>
            </w:pPr>
            <w:r w:rsidRPr="00EB272B">
              <w:rPr>
                <w:rFonts w:cstheme="minorHAnsi"/>
                <w:sz w:val="22"/>
                <w:szCs w:val="22"/>
              </w:rPr>
              <w:t>(b)</w:t>
            </w:r>
            <w:r w:rsidRPr="00EB272B">
              <w:rPr>
                <w:rFonts w:cstheme="minorHAnsi"/>
                <w:sz w:val="22"/>
                <w:szCs w:val="22"/>
              </w:rPr>
              <w:tab/>
              <w:t>Signatories to the Convention in undertaking activities, particularly enabling activities, to facilitate early implementation and ratification of the Convention;</w:t>
            </w:r>
          </w:p>
          <w:p w14:paraId="56F0A838" w14:textId="77777777" w:rsidR="00E953EE" w:rsidRPr="00EB272B" w:rsidRDefault="00E953EE" w:rsidP="006909EB">
            <w:pPr>
              <w:rPr>
                <w:rFonts w:cstheme="minorHAnsi"/>
                <w:sz w:val="22"/>
                <w:szCs w:val="22"/>
              </w:rPr>
            </w:pPr>
            <w:r w:rsidRPr="00EB272B">
              <w:rPr>
                <w:rFonts w:cstheme="minorHAnsi"/>
                <w:sz w:val="22"/>
                <w:szCs w:val="22"/>
              </w:rPr>
              <w:t>(c)</w:t>
            </w:r>
            <w:r w:rsidRPr="00EB272B">
              <w:rPr>
                <w:rFonts w:cstheme="minorHAnsi"/>
                <w:sz w:val="22"/>
                <w:szCs w:val="22"/>
              </w:rPr>
              <w:tab/>
              <w:t>Non-signatories to the Convention, for enabling activities, provided that any such State is taking meaningful steps towards becoming a Party as evidenced by a letter from the relevant minister to the Executive Director of the United Nations Environment Programme and to the Chief Executive Officer and Chairperson of the Global Environment Facility.</w:t>
            </w:r>
          </w:p>
        </w:tc>
        <w:tc>
          <w:tcPr>
            <w:tcW w:w="4245" w:type="dxa"/>
          </w:tcPr>
          <w:p w14:paraId="697248E1" w14:textId="77777777" w:rsidR="00E953EE" w:rsidRPr="00EB272B" w:rsidRDefault="00E953EE" w:rsidP="006909EB">
            <w:pPr>
              <w:rPr>
                <w:rFonts w:cstheme="minorHAnsi"/>
                <w:sz w:val="22"/>
                <w:szCs w:val="22"/>
              </w:rPr>
            </w:pPr>
            <w:r w:rsidRPr="00EB272B">
              <w:rPr>
                <w:rFonts w:cstheme="minorHAnsi"/>
                <w:sz w:val="22"/>
                <w:szCs w:val="22"/>
              </w:rPr>
              <w:t>The GEF Council approved new eligibility criteria in January 2015. The GEF Secretariat also circulated this revision of criteria among the GEF Agencies in February 2015.</w:t>
            </w:r>
          </w:p>
          <w:p w14:paraId="6062C617" w14:textId="77777777" w:rsidR="00E953EE" w:rsidRPr="00EB272B" w:rsidRDefault="00E953EE" w:rsidP="006909EB">
            <w:pPr>
              <w:rPr>
                <w:rFonts w:cstheme="minorHAnsi"/>
                <w:sz w:val="22"/>
                <w:szCs w:val="22"/>
              </w:rPr>
            </w:pPr>
            <w:r w:rsidRPr="00EB272B">
              <w:rPr>
                <w:rFonts w:cstheme="minorHAnsi"/>
                <w:sz w:val="22"/>
                <w:szCs w:val="22"/>
              </w:rPr>
              <w:t>The Interim Minamata Convention Secretariat shared the template of the letter to be submitted from non- signatories on their meaningful steps towards becoming a Party.</w:t>
            </w:r>
          </w:p>
          <w:p w14:paraId="48563ED7" w14:textId="77777777" w:rsidR="00E953EE" w:rsidRPr="00EB272B" w:rsidRDefault="00E953EE" w:rsidP="006909EB">
            <w:pPr>
              <w:rPr>
                <w:rFonts w:cstheme="minorHAnsi"/>
                <w:sz w:val="22"/>
                <w:szCs w:val="22"/>
              </w:rPr>
            </w:pPr>
          </w:p>
          <w:p w14:paraId="2FB599D2" w14:textId="77777777" w:rsidR="00E953EE" w:rsidRPr="00EB272B" w:rsidRDefault="00E953EE" w:rsidP="006909EB">
            <w:pPr>
              <w:rPr>
                <w:rFonts w:cstheme="minorHAnsi"/>
                <w:sz w:val="22"/>
                <w:szCs w:val="22"/>
              </w:rPr>
            </w:pPr>
            <w:r w:rsidRPr="00EB272B">
              <w:rPr>
                <w:rFonts w:cstheme="minorHAnsi"/>
                <w:sz w:val="22"/>
                <w:szCs w:val="22"/>
              </w:rPr>
              <w:t>Based on the new criteria, 24 non-signatory countries were supported during the reporting period in GEF-6. Among these 24 countries, five countries, Botswana, El Salvador, Lesotho</w:t>
            </w:r>
            <w:r>
              <w:rPr>
                <w:rFonts w:cstheme="minorHAnsi"/>
                <w:sz w:val="22"/>
                <w:szCs w:val="22"/>
              </w:rPr>
              <w:t>,</w:t>
            </w:r>
            <w:r w:rsidRPr="00EB272B">
              <w:rPr>
                <w:rFonts w:cstheme="minorHAnsi"/>
                <w:sz w:val="22"/>
                <w:szCs w:val="22"/>
              </w:rPr>
              <w:t xml:space="preserve"> Saint Kitts and Nevis</w:t>
            </w:r>
            <w:r>
              <w:rPr>
                <w:rFonts w:cstheme="minorHAnsi"/>
                <w:sz w:val="22"/>
                <w:szCs w:val="22"/>
              </w:rPr>
              <w:t>,</w:t>
            </w:r>
            <w:r w:rsidRPr="00EB272B">
              <w:rPr>
                <w:rFonts w:cstheme="minorHAnsi"/>
                <w:sz w:val="22"/>
                <w:szCs w:val="22"/>
              </w:rPr>
              <w:t xml:space="preserve"> and ESwatini ratified the Convention.</w:t>
            </w:r>
          </w:p>
        </w:tc>
      </w:tr>
      <w:tr w:rsidR="00E953EE" w:rsidRPr="00EB272B" w14:paraId="5DADDB9E" w14:textId="77777777" w:rsidTr="006909EB">
        <w:tc>
          <w:tcPr>
            <w:tcW w:w="445" w:type="dxa"/>
          </w:tcPr>
          <w:p w14:paraId="3904DB26" w14:textId="77777777" w:rsidR="00E953EE" w:rsidRPr="00EB272B" w:rsidRDefault="00E953EE" w:rsidP="006909EB">
            <w:pPr>
              <w:rPr>
                <w:rFonts w:cstheme="minorHAnsi"/>
                <w:sz w:val="22"/>
                <w:szCs w:val="22"/>
              </w:rPr>
            </w:pPr>
            <w:r w:rsidRPr="00EB272B">
              <w:rPr>
                <w:rFonts w:cstheme="minorHAnsi"/>
                <w:sz w:val="22"/>
                <w:szCs w:val="22"/>
              </w:rPr>
              <w:t>2</w:t>
            </w:r>
          </w:p>
        </w:tc>
        <w:tc>
          <w:tcPr>
            <w:tcW w:w="4860" w:type="dxa"/>
          </w:tcPr>
          <w:p w14:paraId="0A581866" w14:textId="77777777" w:rsidR="00E953EE" w:rsidRPr="00EB272B" w:rsidRDefault="00E953EE" w:rsidP="006909EB">
            <w:pPr>
              <w:rPr>
                <w:rFonts w:cstheme="minorHAnsi"/>
                <w:sz w:val="22"/>
                <w:szCs w:val="22"/>
              </w:rPr>
            </w:pPr>
            <w:r w:rsidRPr="00EB272B">
              <w:rPr>
                <w:rFonts w:cstheme="minorHAnsi"/>
                <w:sz w:val="22"/>
                <w:szCs w:val="22"/>
              </w:rPr>
              <w:t>Request the Global Environment Facility to consider the following activities when providing financial resources to developing countries and countries with economies in transition:</w:t>
            </w:r>
          </w:p>
          <w:p w14:paraId="70ACC17E" w14:textId="77777777" w:rsidR="00E953EE" w:rsidRPr="00EB272B" w:rsidRDefault="00E953EE" w:rsidP="006909EB">
            <w:pPr>
              <w:rPr>
                <w:rFonts w:cstheme="minorHAnsi"/>
                <w:sz w:val="22"/>
                <w:szCs w:val="22"/>
              </w:rPr>
            </w:pPr>
            <w:r w:rsidRPr="00EB272B">
              <w:rPr>
                <w:rFonts w:cstheme="minorHAnsi"/>
                <w:sz w:val="22"/>
                <w:szCs w:val="22"/>
              </w:rPr>
              <w:t>(a)</w:t>
            </w:r>
            <w:r w:rsidRPr="00EB272B">
              <w:rPr>
                <w:rFonts w:cstheme="minorHAnsi"/>
                <w:sz w:val="22"/>
                <w:szCs w:val="22"/>
              </w:rPr>
              <w:tab/>
              <w:t>Enabling activities as outlined in the Initial Guidelines for Enabling Activities for the Minamata Convention on Mercury of the Global Environment Facility, particularly Minamata Convention initial assessment activities and national action plans for artisanal and small- scale gold mining, to facilitate ratification;</w:t>
            </w:r>
          </w:p>
          <w:p w14:paraId="2E87E0B5" w14:textId="77777777" w:rsidR="00E953EE" w:rsidRPr="00EB272B" w:rsidRDefault="00E953EE" w:rsidP="006909EB">
            <w:pPr>
              <w:rPr>
                <w:rFonts w:cstheme="minorHAnsi"/>
                <w:sz w:val="22"/>
                <w:szCs w:val="22"/>
              </w:rPr>
            </w:pPr>
            <w:r w:rsidRPr="00EB272B">
              <w:rPr>
                <w:rFonts w:cstheme="minorHAnsi"/>
                <w:sz w:val="22"/>
                <w:szCs w:val="22"/>
              </w:rPr>
              <w:t>(b)</w:t>
            </w:r>
            <w:r w:rsidRPr="00EB272B">
              <w:rPr>
                <w:rFonts w:cstheme="minorHAnsi"/>
                <w:sz w:val="22"/>
                <w:szCs w:val="22"/>
              </w:rPr>
              <w:tab/>
              <w:t>Activities to implement the provisions of the Convention, affording priority to those that:</w:t>
            </w:r>
          </w:p>
          <w:p w14:paraId="2DC442D1" w14:textId="77777777" w:rsidR="00E953EE" w:rsidRPr="00EB272B" w:rsidRDefault="00E953EE" w:rsidP="006909EB">
            <w:pPr>
              <w:rPr>
                <w:rFonts w:cstheme="minorHAnsi"/>
                <w:sz w:val="22"/>
                <w:szCs w:val="22"/>
              </w:rPr>
            </w:pPr>
            <w:r w:rsidRPr="00EB272B">
              <w:rPr>
                <w:rFonts w:cstheme="minorHAnsi"/>
                <w:sz w:val="22"/>
                <w:szCs w:val="22"/>
              </w:rPr>
              <w:t>(i)</w:t>
            </w:r>
            <w:r w:rsidRPr="00EB272B">
              <w:rPr>
                <w:rFonts w:cstheme="minorHAnsi"/>
                <w:sz w:val="22"/>
                <w:szCs w:val="22"/>
              </w:rPr>
              <w:tab/>
              <w:t>Relate to legally-binding obligations;</w:t>
            </w:r>
          </w:p>
          <w:p w14:paraId="5D441534" w14:textId="77777777" w:rsidR="00E953EE" w:rsidRPr="00EB272B" w:rsidRDefault="00E953EE" w:rsidP="006909EB">
            <w:pPr>
              <w:rPr>
                <w:rFonts w:cstheme="minorHAnsi"/>
                <w:sz w:val="22"/>
                <w:szCs w:val="22"/>
              </w:rPr>
            </w:pPr>
            <w:r w:rsidRPr="00EB272B">
              <w:rPr>
                <w:rFonts w:cstheme="minorHAnsi"/>
                <w:sz w:val="22"/>
                <w:szCs w:val="22"/>
              </w:rPr>
              <w:t>(ii)</w:t>
            </w:r>
            <w:r w:rsidRPr="00EB272B">
              <w:rPr>
                <w:rFonts w:cstheme="minorHAnsi"/>
                <w:sz w:val="22"/>
                <w:szCs w:val="22"/>
              </w:rPr>
              <w:tab/>
              <w:t>Facilitate early implementation on entry into force;</w:t>
            </w:r>
          </w:p>
          <w:p w14:paraId="17EE5E75" w14:textId="77777777" w:rsidR="00E953EE" w:rsidRPr="00EB272B" w:rsidRDefault="00E953EE" w:rsidP="006909EB">
            <w:pPr>
              <w:rPr>
                <w:rFonts w:cstheme="minorHAnsi"/>
                <w:sz w:val="22"/>
                <w:szCs w:val="22"/>
              </w:rPr>
            </w:pPr>
            <w:r w:rsidRPr="00EB272B">
              <w:rPr>
                <w:rFonts w:cstheme="minorHAnsi"/>
                <w:sz w:val="22"/>
                <w:szCs w:val="22"/>
              </w:rPr>
              <w:t>(iii) Allow for reduction in mercury emissions and releases and address the health and environmental impacts of mercury.</w:t>
            </w:r>
          </w:p>
        </w:tc>
        <w:tc>
          <w:tcPr>
            <w:tcW w:w="4245" w:type="dxa"/>
          </w:tcPr>
          <w:p w14:paraId="2EAA7DEE" w14:textId="77777777" w:rsidR="00E953EE" w:rsidRPr="00EB272B" w:rsidRDefault="00E953EE" w:rsidP="006909EB">
            <w:pPr>
              <w:rPr>
                <w:rFonts w:cstheme="minorHAnsi"/>
                <w:sz w:val="22"/>
                <w:szCs w:val="22"/>
              </w:rPr>
            </w:pPr>
            <w:r w:rsidRPr="00EB272B">
              <w:rPr>
                <w:rFonts w:cstheme="minorHAnsi"/>
                <w:sz w:val="22"/>
                <w:szCs w:val="22"/>
              </w:rPr>
              <w:t>The GEF-6 chemicals and wastes strategy has two strategic objectives to meet the goals of eliminating harmful chemicals and wastes. The GEF has programmed $124 million for mercury projects under these two programs of in the first three years of the GEF-6 period.</w:t>
            </w:r>
          </w:p>
        </w:tc>
      </w:tr>
    </w:tbl>
    <w:p w14:paraId="71CF132A" w14:textId="0008FE83" w:rsidR="00E953EE" w:rsidRDefault="00E953EE" w:rsidP="00E953EE">
      <w:pPr>
        <w:rPr>
          <w:rFonts w:cstheme="minorHAnsi"/>
          <w:sz w:val="22"/>
          <w:szCs w:val="22"/>
        </w:rPr>
      </w:pPr>
    </w:p>
    <w:p w14:paraId="741897B1" w14:textId="7B62DC92" w:rsidR="007B34A8" w:rsidRDefault="007B34A8">
      <w:pPr>
        <w:tabs>
          <w:tab w:val="clear" w:pos="1247"/>
          <w:tab w:val="clear" w:pos="1814"/>
          <w:tab w:val="clear" w:pos="2381"/>
          <w:tab w:val="clear" w:pos="2948"/>
          <w:tab w:val="clear" w:pos="3515"/>
        </w:tabs>
        <w:rPr>
          <w:rFonts w:cstheme="minorHAnsi"/>
          <w:sz w:val="22"/>
          <w:szCs w:val="22"/>
        </w:rPr>
      </w:pPr>
      <w:r>
        <w:rPr>
          <w:rFonts w:cstheme="minorHAnsi"/>
          <w:sz w:val="22"/>
          <w:szCs w:val="22"/>
        </w:rPr>
        <w:br w:type="page"/>
      </w:r>
    </w:p>
    <w:p w14:paraId="301F1923" w14:textId="77777777" w:rsidR="00E953EE" w:rsidRPr="00F33C7B" w:rsidRDefault="00E953EE" w:rsidP="00E953EE">
      <w:pPr>
        <w:pStyle w:val="Heading2"/>
        <w:ind w:firstLine="0"/>
        <w:rPr>
          <w:rFonts w:asciiTheme="minorHAnsi" w:hAnsiTheme="minorHAnsi" w:cstheme="minorHAnsi"/>
        </w:rPr>
      </w:pPr>
      <w:bookmarkStart w:id="16" w:name="_Toc9941941"/>
      <w:bookmarkStart w:id="17" w:name="_Toc9942387"/>
      <w:r w:rsidRPr="00F33C7B">
        <w:rPr>
          <w:rFonts w:asciiTheme="minorHAnsi" w:hAnsiTheme="minorHAnsi" w:cstheme="minorHAnsi"/>
        </w:rPr>
        <w:lastRenderedPageBreak/>
        <w:t>Resolutions Adopted by Conference of Plenipotentiaries on Minamata Convention on Mercury and GEF's Response</w:t>
      </w:r>
      <w:r w:rsidRPr="00F33C7B">
        <w:rPr>
          <w:rStyle w:val="FootnoteReference"/>
          <w:rFonts w:asciiTheme="minorHAnsi" w:hAnsiTheme="minorHAnsi" w:cstheme="minorHAnsi"/>
        </w:rPr>
        <w:footnoteReference w:id="11"/>
      </w:r>
      <w:bookmarkEnd w:id="16"/>
      <w:bookmarkEnd w:id="17"/>
    </w:p>
    <w:tbl>
      <w:tblPr>
        <w:tblStyle w:val="TableGrid"/>
        <w:tblW w:w="0" w:type="auto"/>
        <w:tblLook w:val="04A0" w:firstRow="1" w:lastRow="0" w:firstColumn="1" w:lastColumn="0" w:noHBand="0" w:noVBand="1"/>
      </w:tblPr>
      <w:tblGrid>
        <w:gridCol w:w="444"/>
        <w:gridCol w:w="4826"/>
        <w:gridCol w:w="4217"/>
      </w:tblGrid>
      <w:tr w:rsidR="00E953EE" w:rsidRPr="00D32145" w14:paraId="53C9F084" w14:textId="77777777" w:rsidTr="006909EB">
        <w:tc>
          <w:tcPr>
            <w:tcW w:w="445" w:type="dxa"/>
          </w:tcPr>
          <w:p w14:paraId="34141654" w14:textId="77777777" w:rsidR="00E953EE" w:rsidRPr="004F6387" w:rsidRDefault="00E953EE" w:rsidP="006909EB">
            <w:pPr>
              <w:jc w:val="center"/>
              <w:rPr>
                <w:rFonts w:cstheme="minorHAnsi"/>
                <w:b/>
                <w:bCs/>
                <w:sz w:val="22"/>
                <w:szCs w:val="22"/>
              </w:rPr>
            </w:pPr>
          </w:p>
        </w:tc>
        <w:tc>
          <w:tcPr>
            <w:tcW w:w="4860" w:type="dxa"/>
          </w:tcPr>
          <w:p w14:paraId="01A95A5A" w14:textId="77777777" w:rsidR="00E953EE" w:rsidRPr="004F6387" w:rsidRDefault="00E953EE" w:rsidP="006909EB">
            <w:pPr>
              <w:jc w:val="center"/>
              <w:rPr>
                <w:rFonts w:cstheme="minorHAnsi"/>
                <w:b/>
                <w:bCs/>
                <w:sz w:val="22"/>
                <w:szCs w:val="22"/>
              </w:rPr>
            </w:pPr>
            <w:r w:rsidRPr="004F6387">
              <w:rPr>
                <w:rFonts w:cstheme="minorHAnsi"/>
                <w:b/>
                <w:bCs/>
                <w:sz w:val="22"/>
                <w:szCs w:val="22"/>
              </w:rPr>
              <w:t>Resolution</w:t>
            </w:r>
          </w:p>
        </w:tc>
        <w:tc>
          <w:tcPr>
            <w:tcW w:w="4245" w:type="dxa"/>
          </w:tcPr>
          <w:p w14:paraId="58FBED42" w14:textId="77777777" w:rsidR="00E953EE" w:rsidRPr="004F6387" w:rsidRDefault="00E953EE" w:rsidP="006909EB">
            <w:pPr>
              <w:jc w:val="center"/>
              <w:rPr>
                <w:rFonts w:cstheme="minorHAnsi"/>
                <w:b/>
                <w:bCs/>
                <w:sz w:val="22"/>
                <w:szCs w:val="22"/>
              </w:rPr>
            </w:pPr>
            <w:r w:rsidRPr="004F6387">
              <w:rPr>
                <w:rFonts w:cstheme="minorHAnsi"/>
                <w:b/>
                <w:bCs/>
                <w:sz w:val="22"/>
                <w:szCs w:val="22"/>
              </w:rPr>
              <w:t>GEF Response</w:t>
            </w:r>
          </w:p>
        </w:tc>
      </w:tr>
      <w:tr w:rsidR="00E953EE" w:rsidRPr="00EB272B" w14:paraId="332BACDC" w14:textId="77777777" w:rsidTr="006909EB">
        <w:tc>
          <w:tcPr>
            <w:tcW w:w="445" w:type="dxa"/>
          </w:tcPr>
          <w:p w14:paraId="051CE0B5" w14:textId="77777777" w:rsidR="00E953EE" w:rsidRPr="00EB272B" w:rsidRDefault="00E953EE" w:rsidP="006909EB">
            <w:pPr>
              <w:rPr>
                <w:rFonts w:cstheme="minorHAnsi"/>
                <w:sz w:val="22"/>
                <w:szCs w:val="22"/>
              </w:rPr>
            </w:pPr>
            <w:r>
              <w:rPr>
                <w:rFonts w:cstheme="minorHAnsi"/>
                <w:sz w:val="22"/>
                <w:szCs w:val="22"/>
              </w:rPr>
              <w:t>1</w:t>
            </w:r>
          </w:p>
        </w:tc>
        <w:tc>
          <w:tcPr>
            <w:tcW w:w="4860" w:type="dxa"/>
          </w:tcPr>
          <w:p w14:paraId="3FE530AF" w14:textId="77777777" w:rsidR="00E953EE" w:rsidRPr="00EB272B" w:rsidRDefault="00E953EE" w:rsidP="006909EB">
            <w:pPr>
              <w:rPr>
                <w:rFonts w:cstheme="minorHAnsi"/>
                <w:sz w:val="22"/>
                <w:szCs w:val="22"/>
              </w:rPr>
            </w:pPr>
            <w:r w:rsidRPr="00EB272B">
              <w:rPr>
                <w:rFonts w:cstheme="minorHAnsi"/>
                <w:sz w:val="22"/>
                <w:szCs w:val="22"/>
              </w:rPr>
              <w:t>Invites the Council of the Global Environment Facility to support developing countries and countries with economies in transition that are signatories to the Convention in undertaking activities, particularly enabling activities, to facilitate early implementation and ratification of the Convention;</w:t>
            </w:r>
          </w:p>
        </w:tc>
        <w:tc>
          <w:tcPr>
            <w:tcW w:w="4245" w:type="dxa"/>
          </w:tcPr>
          <w:p w14:paraId="56897480" w14:textId="77777777" w:rsidR="00E953EE" w:rsidRPr="00EB272B" w:rsidRDefault="00E953EE" w:rsidP="006909EB">
            <w:pPr>
              <w:rPr>
                <w:rFonts w:cstheme="minorHAnsi"/>
                <w:sz w:val="22"/>
                <w:szCs w:val="22"/>
              </w:rPr>
            </w:pPr>
            <w:r w:rsidRPr="00EB272B">
              <w:rPr>
                <w:rFonts w:cstheme="minorHAnsi"/>
                <w:sz w:val="22"/>
                <w:szCs w:val="22"/>
              </w:rPr>
              <w:t>The 44th GEF Council in June 2013 allocated $10 million for enabling activities under the Minamata Convention in the GEF-5 period, specifically MIAs and ASGM NAPs. Guidelines have been developed for application of these projects. In GEF-6, $30 million in additional resources has been allocated for these enabling activities.</w:t>
            </w:r>
          </w:p>
          <w:p w14:paraId="724744EA" w14:textId="77777777" w:rsidR="00E953EE" w:rsidRPr="00EB272B" w:rsidRDefault="00E953EE" w:rsidP="006909EB">
            <w:pPr>
              <w:rPr>
                <w:rFonts w:cstheme="minorHAnsi"/>
                <w:sz w:val="22"/>
                <w:szCs w:val="22"/>
              </w:rPr>
            </w:pPr>
            <w:r w:rsidRPr="00EB272B">
              <w:rPr>
                <w:rFonts w:cstheme="minorHAnsi"/>
                <w:sz w:val="22"/>
                <w:szCs w:val="22"/>
              </w:rPr>
              <w:t>The initial guidelines</w:t>
            </w:r>
            <w:r w:rsidRPr="00EB272B">
              <w:rPr>
                <w:rStyle w:val="FootnoteReference"/>
                <w:rFonts w:cstheme="minorHAnsi"/>
                <w:sz w:val="22"/>
                <w:szCs w:val="22"/>
              </w:rPr>
              <w:footnoteReference w:id="12"/>
            </w:r>
            <w:r w:rsidRPr="00EB272B">
              <w:rPr>
                <w:rFonts w:cstheme="minorHAnsi"/>
                <w:sz w:val="22"/>
                <w:szCs w:val="22"/>
              </w:rPr>
              <w:t xml:space="preserve"> may be amended by the INC or COP as required.</w:t>
            </w:r>
          </w:p>
        </w:tc>
      </w:tr>
      <w:tr w:rsidR="00E953EE" w:rsidRPr="00EB272B" w14:paraId="07D7BE36" w14:textId="77777777" w:rsidTr="006909EB">
        <w:tc>
          <w:tcPr>
            <w:tcW w:w="445" w:type="dxa"/>
          </w:tcPr>
          <w:p w14:paraId="2D934479" w14:textId="77777777" w:rsidR="00E953EE" w:rsidRPr="00EB272B" w:rsidRDefault="00E953EE" w:rsidP="006909EB">
            <w:pPr>
              <w:rPr>
                <w:rFonts w:cstheme="minorHAnsi"/>
                <w:sz w:val="22"/>
                <w:szCs w:val="22"/>
              </w:rPr>
            </w:pPr>
            <w:r>
              <w:rPr>
                <w:rFonts w:cstheme="minorHAnsi"/>
                <w:sz w:val="22"/>
                <w:szCs w:val="22"/>
              </w:rPr>
              <w:t>2</w:t>
            </w:r>
          </w:p>
        </w:tc>
        <w:tc>
          <w:tcPr>
            <w:tcW w:w="4860" w:type="dxa"/>
          </w:tcPr>
          <w:p w14:paraId="05B6938D" w14:textId="77777777" w:rsidR="00E953EE" w:rsidRPr="00EB272B" w:rsidRDefault="00E953EE" w:rsidP="006909EB">
            <w:pPr>
              <w:rPr>
                <w:rFonts w:cstheme="minorHAnsi"/>
                <w:sz w:val="22"/>
                <w:szCs w:val="22"/>
              </w:rPr>
            </w:pPr>
            <w:r w:rsidRPr="00EB272B">
              <w:rPr>
                <w:rFonts w:cstheme="minorHAnsi"/>
                <w:sz w:val="22"/>
                <w:szCs w:val="22"/>
              </w:rPr>
              <w:t>Invites the Council of the Global Environment Facility to give effect to the inclusion of the Global Environment Facility Trust Fund as a part of the financial mechanism of the Minamata Convention and to recommend to the Assembly of the Global Environment Facility, as a matter of urgency, that it make any adjustments to the Instrument for the Establishment of the Restructured Global Environment Facility that are necessary to allow it to fulfil its role in the financial mechanism;</w:t>
            </w:r>
          </w:p>
        </w:tc>
        <w:tc>
          <w:tcPr>
            <w:tcW w:w="4245" w:type="dxa"/>
          </w:tcPr>
          <w:p w14:paraId="48474789" w14:textId="77777777" w:rsidR="00E953EE" w:rsidRPr="00EB272B" w:rsidRDefault="00E953EE" w:rsidP="006909EB">
            <w:pPr>
              <w:rPr>
                <w:rFonts w:cstheme="minorHAnsi"/>
                <w:sz w:val="22"/>
                <w:szCs w:val="22"/>
              </w:rPr>
            </w:pPr>
            <w:r w:rsidRPr="00EB272B">
              <w:rPr>
                <w:rFonts w:cstheme="minorHAnsi"/>
                <w:sz w:val="22"/>
                <w:szCs w:val="22"/>
              </w:rPr>
              <w:t>At the 5th GEF Assembly in May 2014, the GEF Instrument was amended to include the Minamata Convention in the list of Conventions served by the GEF</w:t>
            </w:r>
            <w:r w:rsidRPr="00EB272B">
              <w:rPr>
                <w:rStyle w:val="FootnoteReference"/>
                <w:rFonts w:cstheme="minorHAnsi"/>
                <w:sz w:val="22"/>
                <w:szCs w:val="22"/>
              </w:rPr>
              <w:footnoteReference w:id="13"/>
            </w:r>
            <w:r w:rsidRPr="00EB272B">
              <w:rPr>
                <w:rFonts w:cstheme="minorHAnsi"/>
                <w:sz w:val="22"/>
                <w:szCs w:val="22"/>
              </w:rPr>
              <w:t>. The new paragraph 6(e) of the GEF Instrument contains the following text:</w:t>
            </w:r>
          </w:p>
          <w:p w14:paraId="71903F43" w14:textId="77777777" w:rsidR="00E953EE" w:rsidRPr="00EB272B" w:rsidRDefault="00E953EE" w:rsidP="006909EB">
            <w:pPr>
              <w:rPr>
                <w:rFonts w:cstheme="minorHAnsi"/>
                <w:sz w:val="22"/>
                <w:szCs w:val="22"/>
              </w:rPr>
            </w:pPr>
            <w:r w:rsidRPr="00EB272B">
              <w:rPr>
                <w:rFonts w:cstheme="minorHAnsi"/>
                <w:sz w:val="22"/>
                <w:szCs w:val="22"/>
              </w:rPr>
              <w:t>“(e) Operate as one of the entities comprising the financial mechanism of the Minamata Convention on Mercury, pursuant to its Article 13, paragraphs 5, 6 and 8. In such respects, the GEF shall operate under the guidance of, and be accountable to the Conference of the Parties, which shall provide guidance on overall strategies, policies, program priorities and eligibility for access to and utilization of financial resources. In addition, the GEF shall receive guidance from the Conference of the Parties on an indicative list of categories of activities that could receive support; and shall provide resources to meet the agreed incremental costs of global environmental benefits and the agreed full costs of some enabling activities, pursuant to Article 13, paragraph 7, of the Minamata Convention on</w:t>
            </w:r>
          </w:p>
          <w:p w14:paraId="45D7EE24" w14:textId="77777777" w:rsidR="00E953EE" w:rsidRPr="00EB272B" w:rsidRDefault="00E953EE" w:rsidP="006909EB">
            <w:pPr>
              <w:rPr>
                <w:rFonts w:cstheme="minorHAnsi"/>
                <w:sz w:val="22"/>
                <w:szCs w:val="22"/>
              </w:rPr>
            </w:pPr>
            <w:r w:rsidRPr="00EB272B">
              <w:rPr>
                <w:rFonts w:cstheme="minorHAnsi"/>
                <w:sz w:val="22"/>
                <w:szCs w:val="22"/>
              </w:rPr>
              <w:t>Mercury.”</w:t>
            </w:r>
          </w:p>
        </w:tc>
      </w:tr>
      <w:tr w:rsidR="00E953EE" w:rsidRPr="00EB272B" w14:paraId="2B73D8DB" w14:textId="77777777" w:rsidTr="006909EB">
        <w:tc>
          <w:tcPr>
            <w:tcW w:w="445" w:type="dxa"/>
          </w:tcPr>
          <w:p w14:paraId="7AA8DD01" w14:textId="77777777" w:rsidR="00E953EE" w:rsidRPr="00EB272B" w:rsidRDefault="00E953EE" w:rsidP="006909EB">
            <w:pPr>
              <w:rPr>
                <w:rFonts w:cstheme="minorHAnsi"/>
                <w:sz w:val="22"/>
                <w:szCs w:val="22"/>
              </w:rPr>
            </w:pPr>
            <w:r>
              <w:rPr>
                <w:rFonts w:cstheme="minorHAnsi"/>
                <w:sz w:val="22"/>
                <w:szCs w:val="22"/>
              </w:rPr>
              <w:t>3</w:t>
            </w:r>
          </w:p>
        </w:tc>
        <w:tc>
          <w:tcPr>
            <w:tcW w:w="4860" w:type="dxa"/>
          </w:tcPr>
          <w:p w14:paraId="3B3362D4" w14:textId="77777777" w:rsidR="00E953EE" w:rsidRPr="00EB272B" w:rsidRDefault="00E953EE" w:rsidP="006909EB">
            <w:pPr>
              <w:rPr>
                <w:rFonts w:cstheme="minorHAnsi"/>
                <w:sz w:val="22"/>
                <w:szCs w:val="22"/>
              </w:rPr>
            </w:pPr>
            <w:r w:rsidRPr="00EB272B">
              <w:rPr>
                <w:rFonts w:cstheme="minorHAnsi"/>
                <w:sz w:val="22"/>
                <w:szCs w:val="22"/>
              </w:rPr>
              <w:t>Decides that the Committee should develop, for consideration by the Conference of the Parties at its first meeting, a draft memorandum of understanding to be agreed between the Council of the Global Environment Facility and the Conference of the Parties on arrangements to give effect to the relevant provisions of paragraphs 5 to 8 of Article 13;</w:t>
            </w:r>
          </w:p>
        </w:tc>
        <w:tc>
          <w:tcPr>
            <w:tcW w:w="4245" w:type="dxa"/>
          </w:tcPr>
          <w:p w14:paraId="3D633569" w14:textId="77777777" w:rsidR="00E953EE" w:rsidRPr="00EB272B" w:rsidRDefault="00E953EE" w:rsidP="006909EB">
            <w:pPr>
              <w:rPr>
                <w:rFonts w:cstheme="minorHAnsi"/>
                <w:sz w:val="22"/>
                <w:szCs w:val="22"/>
              </w:rPr>
            </w:pPr>
            <w:r w:rsidRPr="00EB272B">
              <w:rPr>
                <w:rFonts w:cstheme="minorHAnsi"/>
                <w:sz w:val="22"/>
                <w:szCs w:val="22"/>
              </w:rPr>
              <w:t>GEF Secretariat shared the MOU with the Stockholm Convention with the Interim Minamata Secretariat for background to assist in developing the MOU. Examples of MOU between the GEF Council and various COPs were provided by the Interim Minamata Convention Secretariat in the meeting documents for INC6.</w:t>
            </w:r>
          </w:p>
          <w:p w14:paraId="2204C12E" w14:textId="77777777" w:rsidR="00E953EE" w:rsidRPr="00EB272B" w:rsidRDefault="00E953EE" w:rsidP="006909EB">
            <w:pPr>
              <w:rPr>
                <w:rFonts w:cstheme="minorHAnsi"/>
                <w:sz w:val="22"/>
                <w:szCs w:val="22"/>
              </w:rPr>
            </w:pPr>
            <w:r w:rsidRPr="00EB272B">
              <w:rPr>
                <w:rFonts w:cstheme="minorHAnsi"/>
                <w:sz w:val="22"/>
                <w:szCs w:val="22"/>
              </w:rPr>
              <w:t xml:space="preserve">INC7 agreed on a revised draft MOU, which was submitted to the 51st GEF Council for </w:t>
            </w:r>
            <w:r w:rsidRPr="00EB272B">
              <w:rPr>
                <w:rFonts w:cstheme="minorHAnsi"/>
                <w:sz w:val="22"/>
                <w:szCs w:val="22"/>
              </w:rPr>
              <w:lastRenderedPageBreak/>
              <w:t>its consideration. In early 2017, the GEF Secretariat transmitted comments of the GEF Council to the interim secretariat for inclusion in the document for COP</w:t>
            </w:r>
            <w:r>
              <w:rPr>
                <w:rFonts w:cstheme="minorHAnsi"/>
                <w:sz w:val="22"/>
                <w:szCs w:val="22"/>
              </w:rPr>
              <w:t xml:space="preserve"> </w:t>
            </w:r>
            <w:r w:rsidRPr="00EB272B">
              <w:rPr>
                <w:rFonts w:cstheme="minorHAnsi"/>
                <w:sz w:val="22"/>
                <w:szCs w:val="22"/>
              </w:rPr>
              <w:t>1, to be presented to the COP for its consideration.</w:t>
            </w:r>
          </w:p>
        </w:tc>
      </w:tr>
      <w:tr w:rsidR="00E953EE" w:rsidRPr="00EB272B" w14:paraId="29DC0375" w14:textId="77777777" w:rsidTr="006909EB">
        <w:tc>
          <w:tcPr>
            <w:tcW w:w="445" w:type="dxa"/>
          </w:tcPr>
          <w:p w14:paraId="1653068E" w14:textId="77777777" w:rsidR="00E953EE" w:rsidRPr="00EB272B" w:rsidRDefault="00E953EE" w:rsidP="006909EB">
            <w:pPr>
              <w:rPr>
                <w:rFonts w:cstheme="minorHAnsi"/>
                <w:sz w:val="22"/>
                <w:szCs w:val="22"/>
              </w:rPr>
            </w:pPr>
            <w:r>
              <w:rPr>
                <w:rFonts w:cstheme="minorHAnsi"/>
                <w:sz w:val="22"/>
                <w:szCs w:val="22"/>
              </w:rPr>
              <w:lastRenderedPageBreak/>
              <w:t>4</w:t>
            </w:r>
          </w:p>
        </w:tc>
        <w:tc>
          <w:tcPr>
            <w:tcW w:w="4860" w:type="dxa"/>
          </w:tcPr>
          <w:p w14:paraId="0A2F2385" w14:textId="77777777" w:rsidR="00E953EE" w:rsidRPr="00EB272B" w:rsidRDefault="00E953EE" w:rsidP="006909EB">
            <w:pPr>
              <w:rPr>
                <w:rFonts w:cstheme="minorHAnsi"/>
                <w:sz w:val="22"/>
                <w:szCs w:val="22"/>
              </w:rPr>
            </w:pPr>
            <w:r w:rsidRPr="00EB272B">
              <w:rPr>
                <w:rFonts w:cstheme="minorHAnsi"/>
                <w:sz w:val="22"/>
                <w:szCs w:val="22"/>
              </w:rPr>
              <w:t>Decides also that the Committee should develop, and adopt provisionally pending formal adoption by the Conference of the Parties at its first meeting, guidance to the Council of the Global Environment Facility on overall strategies, policies, programme priorities, eligibility for access to and utilization of financial resources and an indicative list of categories of activities eligible for support from the Global Environment Facility Trust Fund;</w:t>
            </w:r>
          </w:p>
        </w:tc>
        <w:tc>
          <w:tcPr>
            <w:tcW w:w="4245" w:type="dxa"/>
          </w:tcPr>
          <w:p w14:paraId="4D72660E" w14:textId="77777777" w:rsidR="00E953EE" w:rsidRPr="00EB272B" w:rsidRDefault="00E953EE" w:rsidP="006909EB">
            <w:pPr>
              <w:rPr>
                <w:rFonts w:cstheme="minorHAnsi"/>
                <w:sz w:val="22"/>
                <w:szCs w:val="22"/>
              </w:rPr>
            </w:pPr>
            <w:r w:rsidRPr="00EB272B">
              <w:rPr>
                <w:rFonts w:cstheme="minorHAnsi"/>
                <w:sz w:val="22"/>
                <w:szCs w:val="22"/>
              </w:rPr>
              <w:t>INC7 adopted, on a provisional basis, pending its formal adoption at COP</w:t>
            </w:r>
            <w:r>
              <w:rPr>
                <w:rFonts w:cstheme="minorHAnsi"/>
                <w:sz w:val="22"/>
                <w:szCs w:val="22"/>
              </w:rPr>
              <w:t xml:space="preserve"> </w:t>
            </w:r>
            <w:r w:rsidRPr="00EB272B">
              <w:rPr>
                <w:rFonts w:cstheme="minorHAnsi"/>
                <w:sz w:val="22"/>
                <w:szCs w:val="22"/>
              </w:rPr>
              <w:t>1, revised draft guidance to the GEF on overall strategies, policies, programme priorities and eligibility for access to and utilization of financial resources as well as on an indicative list of categories of activities that could receive support from the Global Environment Facility Trust Fund.</w:t>
            </w:r>
          </w:p>
          <w:p w14:paraId="38C1FE87" w14:textId="77777777" w:rsidR="00E953EE" w:rsidRPr="00EB272B" w:rsidRDefault="00E953EE" w:rsidP="006909EB">
            <w:pPr>
              <w:rPr>
                <w:rFonts w:cstheme="minorHAnsi"/>
                <w:sz w:val="22"/>
                <w:szCs w:val="22"/>
              </w:rPr>
            </w:pPr>
            <w:r w:rsidRPr="00EB272B">
              <w:rPr>
                <w:rFonts w:cstheme="minorHAnsi"/>
                <w:sz w:val="22"/>
                <w:szCs w:val="22"/>
              </w:rPr>
              <w:t>The GEF has made progress in various aspects of the draft initial guidance, as summarized in Table 1 of this report. For example, they are used to guide the programming in GEF-6 and referenced in the draft programming directions document for GEF-7 replenishment negotiations.</w:t>
            </w:r>
          </w:p>
          <w:p w14:paraId="054E59E9" w14:textId="77777777" w:rsidR="00E953EE" w:rsidRPr="00EB272B" w:rsidRDefault="00E953EE" w:rsidP="006909EB">
            <w:pPr>
              <w:rPr>
                <w:rFonts w:cstheme="minorHAnsi"/>
                <w:sz w:val="22"/>
                <w:szCs w:val="22"/>
              </w:rPr>
            </w:pPr>
            <w:r w:rsidRPr="00EB272B">
              <w:rPr>
                <w:rFonts w:cstheme="minorHAnsi"/>
                <w:sz w:val="22"/>
                <w:szCs w:val="22"/>
              </w:rPr>
              <w:t>The GEF-6 programming focus has been on enabling activities and actions to facilitate early implementation of the Convention. As of June 2017, the GEF funded 100 MIAs, 30 NAPs and projects that seek to eliminate over 800 tons of mercury.</w:t>
            </w:r>
          </w:p>
        </w:tc>
      </w:tr>
      <w:tr w:rsidR="00E953EE" w:rsidRPr="00EB272B" w14:paraId="4C118A65" w14:textId="77777777" w:rsidTr="006909EB">
        <w:tc>
          <w:tcPr>
            <w:tcW w:w="445" w:type="dxa"/>
          </w:tcPr>
          <w:p w14:paraId="787D61BD" w14:textId="77777777" w:rsidR="00E953EE" w:rsidRPr="00EB272B" w:rsidRDefault="00E953EE" w:rsidP="006909EB">
            <w:pPr>
              <w:rPr>
                <w:rFonts w:cstheme="minorHAnsi"/>
                <w:sz w:val="22"/>
                <w:szCs w:val="22"/>
              </w:rPr>
            </w:pPr>
            <w:r>
              <w:rPr>
                <w:rFonts w:cstheme="minorHAnsi"/>
                <w:sz w:val="22"/>
                <w:szCs w:val="22"/>
              </w:rPr>
              <w:t>5</w:t>
            </w:r>
          </w:p>
        </w:tc>
        <w:tc>
          <w:tcPr>
            <w:tcW w:w="4860" w:type="dxa"/>
          </w:tcPr>
          <w:p w14:paraId="7D1B7F60" w14:textId="77777777" w:rsidR="00E953EE" w:rsidRPr="00EB272B" w:rsidRDefault="00E953EE" w:rsidP="006909EB">
            <w:pPr>
              <w:rPr>
                <w:rFonts w:cstheme="minorHAnsi"/>
                <w:sz w:val="22"/>
                <w:szCs w:val="22"/>
              </w:rPr>
            </w:pPr>
            <w:r w:rsidRPr="00EB272B">
              <w:rPr>
                <w:rFonts w:cstheme="minorHAnsi"/>
                <w:sz w:val="22"/>
                <w:szCs w:val="22"/>
              </w:rPr>
              <w:t>Invites donors to the Global Environment Facility Trust Fund to contribute through the sixth and subsequent replenishments of the Global Environment Facility Trust Fund additional financial resources adequate to enable the Global Environment Facility to support activities to facilitate the rapid entry into force and effective implementation of the Convention;</w:t>
            </w:r>
          </w:p>
        </w:tc>
        <w:tc>
          <w:tcPr>
            <w:tcW w:w="4245" w:type="dxa"/>
          </w:tcPr>
          <w:p w14:paraId="22F27F7C" w14:textId="77777777" w:rsidR="00E953EE" w:rsidRPr="00EB272B" w:rsidRDefault="00E953EE" w:rsidP="006909EB">
            <w:pPr>
              <w:rPr>
                <w:rFonts w:cstheme="minorHAnsi"/>
                <w:sz w:val="22"/>
                <w:szCs w:val="22"/>
              </w:rPr>
            </w:pPr>
            <w:r w:rsidRPr="00EB272B">
              <w:rPr>
                <w:rFonts w:cstheme="minorHAnsi"/>
                <w:sz w:val="22"/>
                <w:szCs w:val="22"/>
              </w:rPr>
              <w:t>The 6th replenishment of the GEF Trust Fund includes an allocation of $141 million to support activities to advance early entry into force and effective implementation of the Minamata Convention. $30 million has been allocated for enabling activities and $111 million has been allocated to support early action.</w:t>
            </w:r>
          </w:p>
        </w:tc>
      </w:tr>
    </w:tbl>
    <w:p w14:paraId="6CD46CB3" w14:textId="77777777" w:rsidR="00260668" w:rsidRDefault="00260668" w:rsidP="00E953EE">
      <w:pPr>
        <w:pStyle w:val="Heading1"/>
        <w:ind w:firstLine="0"/>
        <w:rPr>
          <w:rFonts w:cstheme="minorHAnsi"/>
          <w:b w:val="0"/>
          <w:sz w:val="22"/>
          <w:szCs w:val="22"/>
        </w:rPr>
      </w:pPr>
      <w:bookmarkStart w:id="18" w:name="_Toc9941942"/>
      <w:bookmarkStart w:id="19" w:name="_Toc9942388"/>
    </w:p>
    <w:p w14:paraId="3B3929A2" w14:textId="77777777" w:rsidR="00260668" w:rsidRDefault="00260668">
      <w:pPr>
        <w:tabs>
          <w:tab w:val="clear" w:pos="1247"/>
          <w:tab w:val="clear" w:pos="1814"/>
          <w:tab w:val="clear" w:pos="2381"/>
          <w:tab w:val="clear" w:pos="2948"/>
          <w:tab w:val="clear" w:pos="3515"/>
        </w:tabs>
        <w:rPr>
          <w:rFonts w:cstheme="minorHAnsi"/>
          <w:sz w:val="22"/>
          <w:szCs w:val="22"/>
        </w:rPr>
      </w:pPr>
      <w:r>
        <w:rPr>
          <w:rFonts w:cstheme="minorHAnsi"/>
          <w:b/>
          <w:sz w:val="22"/>
          <w:szCs w:val="22"/>
        </w:rPr>
        <w:br w:type="page"/>
      </w:r>
    </w:p>
    <w:p w14:paraId="5A1EAF55" w14:textId="77777777" w:rsidR="00260668" w:rsidRDefault="00260668" w:rsidP="00E953EE">
      <w:pPr>
        <w:pStyle w:val="Heading1"/>
        <w:ind w:firstLine="0"/>
        <w:rPr>
          <w:rFonts w:asciiTheme="minorHAnsi" w:hAnsiTheme="minorHAnsi" w:cstheme="minorHAnsi"/>
          <w:sz w:val="24"/>
          <w:szCs w:val="24"/>
        </w:rPr>
        <w:sectPr w:rsidR="00260668" w:rsidSect="00C75B4C">
          <w:headerReference w:type="even" r:id="rId18"/>
          <w:headerReference w:type="default" r:id="rId19"/>
          <w:footerReference w:type="even" r:id="rId20"/>
          <w:footerReference w:type="default" r:id="rId21"/>
          <w:headerReference w:type="first" r:id="rId22"/>
          <w:footerReference w:type="first" r:id="rId23"/>
          <w:footnotePr>
            <w:numRestart w:val="eachSect"/>
          </w:footnotePr>
          <w:type w:val="continuous"/>
          <w:pgSz w:w="11907" w:h="16840" w:code="9"/>
          <w:pgMar w:top="907" w:right="992" w:bottom="1418" w:left="1418" w:header="539" w:footer="975" w:gutter="0"/>
          <w:cols w:space="539"/>
          <w:titlePg/>
          <w:docGrid w:linePitch="360"/>
        </w:sectPr>
      </w:pPr>
    </w:p>
    <w:p w14:paraId="3C30520A" w14:textId="05138D41" w:rsidR="00E953EE" w:rsidRPr="00F33C7B" w:rsidRDefault="00E953EE" w:rsidP="00E953EE">
      <w:pPr>
        <w:pStyle w:val="Heading1"/>
        <w:ind w:firstLine="0"/>
        <w:rPr>
          <w:rFonts w:asciiTheme="minorHAnsi" w:hAnsiTheme="minorHAnsi" w:cstheme="minorHAnsi"/>
          <w:b w:val="0"/>
          <w:sz w:val="24"/>
          <w:szCs w:val="24"/>
        </w:rPr>
      </w:pPr>
      <w:r w:rsidRPr="00F33C7B">
        <w:rPr>
          <w:rFonts w:asciiTheme="minorHAnsi" w:hAnsiTheme="minorHAnsi" w:cstheme="minorHAnsi"/>
          <w:sz w:val="24"/>
          <w:szCs w:val="24"/>
        </w:rPr>
        <w:lastRenderedPageBreak/>
        <w:t>Resources Programmed for the Minamata Convention July 2010 – May 2019</w:t>
      </w:r>
      <w:bookmarkEnd w:id="18"/>
      <w:bookmarkEnd w:id="19"/>
    </w:p>
    <w:tbl>
      <w:tblPr>
        <w:tblStyle w:val="TableGrid"/>
        <w:tblW w:w="0" w:type="auto"/>
        <w:tblLook w:val="04A0" w:firstRow="1" w:lastRow="0" w:firstColumn="1" w:lastColumn="0" w:noHBand="0" w:noVBand="1"/>
      </w:tblPr>
      <w:tblGrid>
        <w:gridCol w:w="1682"/>
        <w:gridCol w:w="1712"/>
        <w:gridCol w:w="920"/>
        <w:gridCol w:w="4277"/>
        <w:gridCol w:w="888"/>
        <w:gridCol w:w="913"/>
        <w:gridCol w:w="1036"/>
        <w:gridCol w:w="1552"/>
        <w:gridCol w:w="1525"/>
      </w:tblGrid>
      <w:tr w:rsidR="00E953EE" w:rsidRPr="00EB272B" w14:paraId="066556B9" w14:textId="77777777" w:rsidTr="006909EB">
        <w:trPr>
          <w:trHeight w:val="600"/>
        </w:trPr>
        <w:tc>
          <w:tcPr>
            <w:tcW w:w="1820" w:type="dxa"/>
            <w:hideMark/>
          </w:tcPr>
          <w:p w14:paraId="24C818C2" w14:textId="77777777" w:rsidR="00E953EE" w:rsidRPr="00EB272B" w:rsidRDefault="00E953EE" w:rsidP="006909EB">
            <w:pPr>
              <w:rPr>
                <w:rFonts w:cstheme="minorHAnsi"/>
                <w:sz w:val="22"/>
                <w:szCs w:val="22"/>
              </w:rPr>
            </w:pPr>
            <w:r w:rsidRPr="00EB272B">
              <w:rPr>
                <w:rFonts w:cstheme="minorHAnsi"/>
                <w:sz w:val="22"/>
                <w:szCs w:val="22"/>
              </w:rPr>
              <w:t>Country</w:t>
            </w:r>
          </w:p>
        </w:tc>
        <w:tc>
          <w:tcPr>
            <w:tcW w:w="1840" w:type="dxa"/>
            <w:hideMark/>
          </w:tcPr>
          <w:p w14:paraId="2B6A9D20" w14:textId="77777777" w:rsidR="00E953EE" w:rsidRPr="00EB272B" w:rsidRDefault="00E953EE" w:rsidP="006909EB">
            <w:pPr>
              <w:rPr>
                <w:rFonts w:cstheme="minorHAnsi"/>
                <w:sz w:val="22"/>
                <w:szCs w:val="22"/>
              </w:rPr>
            </w:pPr>
            <w:r w:rsidRPr="00EB272B">
              <w:rPr>
                <w:rFonts w:cstheme="minorHAnsi"/>
                <w:sz w:val="22"/>
                <w:szCs w:val="22"/>
              </w:rPr>
              <w:t>Country List</w:t>
            </w:r>
          </w:p>
        </w:tc>
        <w:tc>
          <w:tcPr>
            <w:tcW w:w="960" w:type="dxa"/>
            <w:hideMark/>
          </w:tcPr>
          <w:p w14:paraId="341A9584" w14:textId="77777777" w:rsidR="00E953EE" w:rsidRPr="00EB272B" w:rsidRDefault="00E953EE" w:rsidP="006909EB">
            <w:pPr>
              <w:rPr>
                <w:rFonts w:cstheme="minorHAnsi"/>
                <w:sz w:val="22"/>
                <w:szCs w:val="22"/>
              </w:rPr>
            </w:pPr>
            <w:r w:rsidRPr="00EB272B">
              <w:rPr>
                <w:rFonts w:cstheme="minorHAnsi"/>
                <w:sz w:val="22"/>
                <w:szCs w:val="22"/>
              </w:rPr>
              <w:t>Focal Area</w:t>
            </w:r>
          </w:p>
        </w:tc>
        <w:tc>
          <w:tcPr>
            <w:tcW w:w="5380" w:type="dxa"/>
            <w:hideMark/>
          </w:tcPr>
          <w:p w14:paraId="7AE6A7F7" w14:textId="77777777" w:rsidR="00E953EE" w:rsidRPr="00EB272B" w:rsidRDefault="00E953EE" w:rsidP="006909EB">
            <w:pPr>
              <w:rPr>
                <w:rFonts w:cstheme="minorHAnsi"/>
                <w:sz w:val="22"/>
                <w:szCs w:val="22"/>
              </w:rPr>
            </w:pPr>
            <w:r w:rsidRPr="00EB272B">
              <w:rPr>
                <w:rFonts w:cstheme="minorHAnsi"/>
                <w:sz w:val="22"/>
                <w:szCs w:val="22"/>
              </w:rPr>
              <w:t>Title</w:t>
            </w:r>
          </w:p>
        </w:tc>
        <w:tc>
          <w:tcPr>
            <w:tcW w:w="960" w:type="dxa"/>
            <w:hideMark/>
          </w:tcPr>
          <w:p w14:paraId="7DC6A5B7" w14:textId="77777777" w:rsidR="00E953EE" w:rsidRPr="00EB272B" w:rsidRDefault="00E953EE" w:rsidP="006909EB">
            <w:pPr>
              <w:rPr>
                <w:rFonts w:cstheme="minorHAnsi"/>
                <w:sz w:val="22"/>
                <w:szCs w:val="22"/>
              </w:rPr>
            </w:pPr>
            <w:r w:rsidRPr="00EB272B">
              <w:rPr>
                <w:rFonts w:cstheme="minorHAnsi"/>
                <w:sz w:val="22"/>
                <w:szCs w:val="22"/>
              </w:rPr>
              <w:t>GEF Phase</w:t>
            </w:r>
          </w:p>
        </w:tc>
        <w:tc>
          <w:tcPr>
            <w:tcW w:w="960" w:type="dxa"/>
            <w:hideMark/>
          </w:tcPr>
          <w:p w14:paraId="48D04867" w14:textId="77777777" w:rsidR="00E953EE" w:rsidRPr="00EB272B" w:rsidRDefault="00E953EE" w:rsidP="006909EB">
            <w:pPr>
              <w:rPr>
                <w:rFonts w:cstheme="minorHAnsi"/>
                <w:sz w:val="22"/>
                <w:szCs w:val="22"/>
              </w:rPr>
            </w:pPr>
            <w:r w:rsidRPr="00EB272B">
              <w:rPr>
                <w:rFonts w:cstheme="minorHAnsi"/>
                <w:sz w:val="22"/>
                <w:szCs w:val="22"/>
              </w:rPr>
              <w:t>Type</w:t>
            </w:r>
            <w:r>
              <w:rPr>
                <w:rStyle w:val="FootnoteReference"/>
                <w:rFonts w:cstheme="minorHAnsi"/>
                <w:sz w:val="22"/>
                <w:szCs w:val="22"/>
              </w:rPr>
              <w:footnoteReference w:id="14"/>
            </w:r>
          </w:p>
        </w:tc>
        <w:tc>
          <w:tcPr>
            <w:tcW w:w="960" w:type="dxa"/>
            <w:hideMark/>
          </w:tcPr>
          <w:p w14:paraId="7976790C" w14:textId="77777777" w:rsidR="00E953EE" w:rsidRPr="00EB272B" w:rsidRDefault="00E953EE" w:rsidP="006909EB">
            <w:pPr>
              <w:rPr>
                <w:rFonts w:cstheme="minorHAnsi"/>
                <w:sz w:val="22"/>
                <w:szCs w:val="22"/>
              </w:rPr>
            </w:pPr>
            <w:r w:rsidRPr="00EB272B">
              <w:rPr>
                <w:rFonts w:cstheme="minorHAnsi"/>
                <w:sz w:val="22"/>
                <w:szCs w:val="22"/>
              </w:rPr>
              <w:t>Agency</w:t>
            </w:r>
          </w:p>
        </w:tc>
        <w:tc>
          <w:tcPr>
            <w:tcW w:w="1660" w:type="dxa"/>
            <w:hideMark/>
          </w:tcPr>
          <w:p w14:paraId="510EB533" w14:textId="77777777" w:rsidR="00E953EE" w:rsidRPr="00EB272B" w:rsidRDefault="00E953EE" w:rsidP="006909EB">
            <w:pPr>
              <w:rPr>
                <w:rFonts w:cstheme="minorHAnsi"/>
                <w:sz w:val="22"/>
                <w:szCs w:val="22"/>
              </w:rPr>
            </w:pPr>
            <w:r w:rsidRPr="00EB272B">
              <w:rPr>
                <w:rFonts w:cstheme="minorHAnsi"/>
                <w:sz w:val="22"/>
                <w:szCs w:val="22"/>
              </w:rPr>
              <w:t>Amount ($)</w:t>
            </w:r>
            <w:r w:rsidRPr="00EB272B">
              <w:rPr>
                <w:rStyle w:val="FootnoteReference"/>
                <w:rFonts w:cstheme="minorHAnsi"/>
                <w:sz w:val="22"/>
                <w:szCs w:val="22"/>
              </w:rPr>
              <w:footnoteReference w:id="15"/>
            </w:r>
          </w:p>
        </w:tc>
        <w:tc>
          <w:tcPr>
            <w:tcW w:w="1620" w:type="dxa"/>
            <w:hideMark/>
          </w:tcPr>
          <w:p w14:paraId="3C4A3879" w14:textId="77777777" w:rsidR="00E953EE" w:rsidRPr="00EB272B" w:rsidRDefault="00E953EE" w:rsidP="006909EB">
            <w:pPr>
              <w:rPr>
                <w:rFonts w:cstheme="minorHAnsi"/>
                <w:sz w:val="22"/>
                <w:szCs w:val="22"/>
              </w:rPr>
            </w:pPr>
            <w:r w:rsidRPr="00EB272B">
              <w:rPr>
                <w:rFonts w:cstheme="minorHAnsi"/>
                <w:sz w:val="22"/>
                <w:szCs w:val="22"/>
              </w:rPr>
              <w:t>Co-financing ($)</w:t>
            </w:r>
          </w:p>
        </w:tc>
      </w:tr>
      <w:tr w:rsidR="00E953EE" w:rsidRPr="00EB272B" w14:paraId="3710ED1B" w14:textId="77777777" w:rsidTr="006909EB">
        <w:trPr>
          <w:trHeight w:val="300"/>
        </w:trPr>
        <w:tc>
          <w:tcPr>
            <w:tcW w:w="1820" w:type="dxa"/>
            <w:hideMark/>
          </w:tcPr>
          <w:p w14:paraId="78BCA5BC" w14:textId="77777777" w:rsidR="00E953EE" w:rsidRPr="00EB272B" w:rsidRDefault="00E953EE" w:rsidP="006909EB">
            <w:pPr>
              <w:rPr>
                <w:rFonts w:cstheme="minorHAnsi"/>
                <w:sz w:val="22"/>
                <w:szCs w:val="22"/>
              </w:rPr>
            </w:pPr>
            <w:r w:rsidRPr="00EB272B">
              <w:rPr>
                <w:rFonts w:cstheme="minorHAnsi"/>
                <w:sz w:val="22"/>
                <w:szCs w:val="22"/>
              </w:rPr>
              <w:t>Albania</w:t>
            </w:r>
          </w:p>
        </w:tc>
        <w:tc>
          <w:tcPr>
            <w:tcW w:w="1840" w:type="dxa"/>
            <w:hideMark/>
          </w:tcPr>
          <w:p w14:paraId="782F15C7" w14:textId="77777777" w:rsidR="00E953EE" w:rsidRPr="00EB272B" w:rsidRDefault="00E953EE" w:rsidP="006909EB">
            <w:pPr>
              <w:rPr>
                <w:rFonts w:cstheme="minorHAnsi"/>
                <w:sz w:val="22"/>
                <w:szCs w:val="22"/>
              </w:rPr>
            </w:pPr>
            <w:r w:rsidRPr="00EB272B">
              <w:rPr>
                <w:rFonts w:cstheme="minorHAnsi"/>
                <w:sz w:val="22"/>
                <w:szCs w:val="22"/>
              </w:rPr>
              <w:t> </w:t>
            </w:r>
          </w:p>
        </w:tc>
        <w:tc>
          <w:tcPr>
            <w:tcW w:w="960" w:type="dxa"/>
            <w:hideMark/>
          </w:tcPr>
          <w:p w14:paraId="4163767E" w14:textId="77777777" w:rsidR="00E953EE" w:rsidRPr="00EB272B" w:rsidRDefault="00E953EE" w:rsidP="006909EB">
            <w:pPr>
              <w:rPr>
                <w:rFonts w:cstheme="minorHAnsi"/>
                <w:sz w:val="22"/>
                <w:szCs w:val="22"/>
              </w:rPr>
            </w:pPr>
            <w:r w:rsidRPr="00EB272B">
              <w:rPr>
                <w:rFonts w:cstheme="minorHAnsi"/>
                <w:sz w:val="22"/>
                <w:szCs w:val="22"/>
              </w:rPr>
              <w:t>W</w:t>
            </w:r>
            <w:r w:rsidRPr="00EB272B">
              <w:rPr>
                <w:rStyle w:val="FootnoteReference"/>
                <w:rFonts w:cstheme="minorHAnsi"/>
                <w:sz w:val="22"/>
                <w:szCs w:val="22"/>
              </w:rPr>
              <w:footnoteReference w:id="16"/>
            </w:r>
          </w:p>
        </w:tc>
        <w:tc>
          <w:tcPr>
            <w:tcW w:w="5380" w:type="dxa"/>
            <w:hideMark/>
          </w:tcPr>
          <w:p w14:paraId="1FC59BB6" w14:textId="77777777" w:rsidR="00E953EE" w:rsidRPr="00EB272B" w:rsidRDefault="00E953EE" w:rsidP="006909EB">
            <w:pPr>
              <w:rPr>
                <w:rFonts w:cstheme="minorHAnsi"/>
                <w:sz w:val="22"/>
                <w:szCs w:val="22"/>
              </w:rPr>
            </w:pPr>
            <w:r w:rsidRPr="00EB272B">
              <w:rPr>
                <w:rFonts w:cstheme="minorHAnsi"/>
                <w:sz w:val="22"/>
                <w:szCs w:val="22"/>
              </w:rPr>
              <w:t>Minamata Initial Assessment for Albania</w:t>
            </w:r>
          </w:p>
        </w:tc>
        <w:tc>
          <w:tcPr>
            <w:tcW w:w="960" w:type="dxa"/>
            <w:hideMark/>
          </w:tcPr>
          <w:p w14:paraId="7AF36A15" w14:textId="77777777" w:rsidR="00E953EE" w:rsidRPr="00EB272B" w:rsidRDefault="00E953EE" w:rsidP="006909EB">
            <w:pPr>
              <w:rPr>
                <w:rFonts w:cstheme="minorHAnsi"/>
                <w:sz w:val="22"/>
                <w:szCs w:val="22"/>
              </w:rPr>
            </w:pPr>
            <w:r w:rsidRPr="00EB272B">
              <w:rPr>
                <w:rFonts w:cstheme="minorHAnsi"/>
                <w:sz w:val="22"/>
                <w:szCs w:val="22"/>
              </w:rPr>
              <w:t>GEF-6</w:t>
            </w:r>
          </w:p>
        </w:tc>
        <w:tc>
          <w:tcPr>
            <w:tcW w:w="960" w:type="dxa"/>
            <w:hideMark/>
          </w:tcPr>
          <w:p w14:paraId="6739A714" w14:textId="77777777" w:rsidR="00E953EE" w:rsidRPr="00EB272B" w:rsidRDefault="00E953EE" w:rsidP="006909EB">
            <w:pPr>
              <w:rPr>
                <w:rFonts w:cstheme="minorHAnsi"/>
                <w:sz w:val="22"/>
                <w:szCs w:val="22"/>
              </w:rPr>
            </w:pPr>
            <w:r w:rsidRPr="00EB272B">
              <w:rPr>
                <w:rFonts w:cstheme="minorHAnsi"/>
                <w:sz w:val="22"/>
                <w:szCs w:val="22"/>
              </w:rPr>
              <w:t>EA</w:t>
            </w:r>
          </w:p>
        </w:tc>
        <w:tc>
          <w:tcPr>
            <w:tcW w:w="960" w:type="dxa"/>
            <w:hideMark/>
          </w:tcPr>
          <w:p w14:paraId="29CBA96C" w14:textId="77777777" w:rsidR="00E953EE" w:rsidRPr="00EB272B" w:rsidRDefault="00E953EE" w:rsidP="006909EB">
            <w:pPr>
              <w:rPr>
                <w:rFonts w:cstheme="minorHAnsi"/>
                <w:sz w:val="22"/>
                <w:szCs w:val="22"/>
              </w:rPr>
            </w:pPr>
            <w:r w:rsidRPr="00EB272B">
              <w:rPr>
                <w:rFonts w:cstheme="minorHAnsi"/>
                <w:sz w:val="22"/>
                <w:szCs w:val="22"/>
              </w:rPr>
              <w:t>UNDP</w:t>
            </w:r>
          </w:p>
        </w:tc>
        <w:tc>
          <w:tcPr>
            <w:tcW w:w="1660" w:type="dxa"/>
            <w:hideMark/>
          </w:tcPr>
          <w:p w14:paraId="052F5114" w14:textId="77777777" w:rsidR="00E953EE" w:rsidRPr="00EB272B" w:rsidRDefault="00E953EE" w:rsidP="006909EB">
            <w:pPr>
              <w:jc w:val="right"/>
              <w:rPr>
                <w:rFonts w:cstheme="minorHAnsi"/>
                <w:sz w:val="22"/>
                <w:szCs w:val="22"/>
              </w:rPr>
            </w:pPr>
            <w:r w:rsidRPr="00EB272B">
              <w:rPr>
                <w:rFonts w:cstheme="minorHAnsi"/>
                <w:sz w:val="22"/>
                <w:szCs w:val="22"/>
              </w:rPr>
              <w:t>200000</w:t>
            </w:r>
          </w:p>
        </w:tc>
        <w:tc>
          <w:tcPr>
            <w:tcW w:w="1620" w:type="dxa"/>
            <w:hideMark/>
          </w:tcPr>
          <w:p w14:paraId="034632A1" w14:textId="77777777" w:rsidR="00E953EE" w:rsidRPr="00EB272B" w:rsidRDefault="00E953EE" w:rsidP="006909EB">
            <w:pPr>
              <w:jc w:val="right"/>
              <w:rPr>
                <w:rFonts w:cstheme="minorHAnsi"/>
                <w:sz w:val="22"/>
                <w:szCs w:val="22"/>
              </w:rPr>
            </w:pPr>
            <w:r w:rsidRPr="00EB272B">
              <w:rPr>
                <w:rFonts w:cstheme="minorHAnsi"/>
                <w:sz w:val="22"/>
                <w:szCs w:val="22"/>
              </w:rPr>
              <w:t> </w:t>
            </w:r>
            <w:r>
              <w:rPr>
                <w:rFonts w:cstheme="minorHAnsi"/>
                <w:sz w:val="22"/>
                <w:szCs w:val="22"/>
              </w:rPr>
              <w:t>0</w:t>
            </w:r>
          </w:p>
        </w:tc>
      </w:tr>
      <w:tr w:rsidR="00E953EE" w:rsidRPr="00EB272B" w14:paraId="2E9B24DF" w14:textId="77777777" w:rsidTr="006909EB">
        <w:trPr>
          <w:trHeight w:val="600"/>
        </w:trPr>
        <w:tc>
          <w:tcPr>
            <w:tcW w:w="1820" w:type="dxa"/>
            <w:hideMark/>
          </w:tcPr>
          <w:p w14:paraId="1F64FB81" w14:textId="77777777" w:rsidR="00E953EE" w:rsidRPr="00EB272B" w:rsidRDefault="00E953EE" w:rsidP="006909EB">
            <w:pPr>
              <w:rPr>
                <w:rFonts w:cstheme="minorHAnsi"/>
                <w:sz w:val="22"/>
                <w:szCs w:val="22"/>
              </w:rPr>
            </w:pPr>
            <w:r w:rsidRPr="00EB272B">
              <w:rPr>
                <w:rFonts w:cstheme="minorHAnsi"/>
                <w:sz w:val="22"/>
                <w:szCs w:val="22"/>
              </w:rPr>
              <w:t>Angola</w:t>
            </w:r>
          </w:p>
        </w:tc>
        <w:tc>
          <w:tcPr>
            <w:tcW w:w="1840" w:type="dxa"/>
            <w:hideMark/>
          </w:tcPr>
          <w:p w14:paraId="0011546A" w14:textId="77777777" w:rsidR="00E953EE" w:rsidRPr="00EB272B" w:rsidRDefault="00E953EE" w:rsidP="006909EB">
            <w:pPr>
              <w:rPr>
                <w:rFonts w:cstheme="minorHAnsi"/>
                <w:sz w:val="22"/>
                <w:szCs w:val="22"/>
              </w:rPr>
            </w:pPr>
            <w:r w:rsidRPr="00EB272B">
              <w:rPr>
                <w:rFonts w:cstheme="minorHAnsi"/>
                <w:sz w:val="22"/>
                <w:szCs w:val="22"/>
              </w:rPr>
              <w:t> </w:t>
            </w:r>
          </w:p>
        </w:tc>
        <w:tc>
          <w:tcPr>
            <w:tcW w:w="960" w:type="dxa"/>
            <w:hideMark/>
          </w:tcPr>
          <w:p w14:paraId="33E0241A" w14:textId="77777777" w:rsidR="00E953EE" w:rsidRPr="00EB272B" w:rsidRDefault="00E953EE" w:rsidP="006909EB">
            <w:pPr>
              <w:rPr>
                <w:rFonts w:cstheme="minorHAnsi"/>
                <w:sz w:val="22"/>
                <w:szCs w:val="22"/>
              </w:rPr>
            </w:pPr>
            <w:r w:rsidRPr="00EB272B">
              <w:rPr>
                <w:rFonts w:cstheme="minorHAnsi"/>
                <w:sz w:val="22"/>
                <w:szCs w:val="22"/>
              </w:rPr>
              <w:t>W</w:t>
            </w:r>
          </w:p>
        </w:tc>
        <w:tc>
          <w:tcPr>
            <w:tcW w:w="5380" w:type="dxa"/>
            <w:hideMark/>
          </w:tcPr>
          <w:p w14:paraId="38D5B8C3" w14:textId="77777777" w:rsidR="00E953EE" w:rsidRPr="00EB272B" w:rsidRDefault="00E953EE" w:rsidP="006909EB">
            <w:pPr>
              <w:rPr>
                <w:rFonts w:cstheme="minorHAnsi"/>
                <w:sz w:val="22"/>
                <w:szCs w:val="22"/>
              </w:rPr>
            </w:pPr>
            <w:r w:rsidRPr="00EB272B">
              <w:rPr>
                <w:rFonts w:cstheme="minorHAnsi"/>
                <w:sz w:val="22"/>
                <w:szCs w:val="22"/>
              </w:rPr>
              <w:t xml:space="preserve">National action plan on mercury in the artisanal and small-scale gold mining sector in Angola </w:t>
            </w:r>
          </w:p>
        </w:tc>
        <w:tc>
          <w:tcPr>
            <w:tcW w:w="960" w:type="dxa"/>
            <w:hideMark/>
          </w:tcPr>
          <w:p w14:paraId="7A1DE49B" w14:textId="77777777" w:rsidR="00E953EE" w:rsidRPr="00EB272B" w:rsidRDefault="00E953EE" w:rsidP="006909EB">
            <w:pPr>
              <w:rPr>
                <w:rFonts w:cstheme="minorHAnsi"/>
                <w:sz w:val="22"/>
                <w:szCs w:val="22"/>
              </w:rPr>
            </w:pPr>
            <w:r w:rsidRPr="00EB272B">
              <w:rPr>
                <w:rFonts w:cstheme="minorHAnsi"/>
                <w:sz w:val="22"/>
                <w:szCs w:val="22"/>
              </w:rPr>
              <w:t>GEF-7</w:t>
            </w:r>
          </w:p>
        </w:tc>
        <w:tc>
          <w:tcPr>
            <w:tcW w:w="960" w:type="dxa"/>
            <w:hideMark/>
          </w:tcPr>
          <w:p w14:paraId="67D8115B" w14:textId="77777777" w:rsidR="00E953EE" w:rsidRPr="00EB272B" w:rsidRDefault="00E953EE" w:rsidP="006909EB">
            <w:pPr>
              <w:rPr>
                <w:rFonts w:cstheme="minorHAnsi"/>
                <w:sz w:val="22"/>
                <w:szCs w:val="22"/>
              </w:rPr>
            </w:pPr>
            <w:r w:rsidRPr="00EB272B">
              <w:rPr>
                <w:rFonts w:cstheme="minorHAnsi"/>
                <w:sz w:val="22"/>
                <w:szCs w:val="22"/>
              </w:rPr>
              <w:t>EA</w:t>
            </w:r>
          </w:p>
        </w:tc>
        <w:tc>
          <w:tcPr>
            <w:tcW w:w="960" w:type="dxa"/>
            <w:hideMark/>
          </w:tcPr>
          <w:p w14:paraId="671EC46C" w14:textId="77777777" w:rsidR="00E953EE" w:rsidRPr="00EB272B" w:rsidRDefault="00E953EE" w:rsidP="006909EB">
            <w:pPr>
              <w:rPr>
                <w:rFonts w:cstheme="minorHAnsi"/>
                <w:sz w:val="22"/>
                <w:szCs w:val="22"/>
              </w:rPr>
            </w:pPr>
            <w:r w:rsidRPr="00EB272B">
              <w:rPr>
                <w:rFonts w:cstheme="minorHAnsi"/>
                <w:sz w:val="22"/>
                <w:szCs w:val="22"/>
              </w:rPr>
              <w:t>UNIDO</w:t>
            </w:r>
          </w:p>
        </w:tc>
        <w:tc>
          <w:tcPr>
            <w:tcW w:w="1660" w:type="dxa"/>
            <w:hideMark/>
          </w:tcPr>
          <w:p w14:paraId="22624073" w14:textId="77777777" w:rsidR="00E953EE" w:rsidRPr="00EB272B" w:rsidRDefault="00E953EE" w:rsidP="006909EB">
            <w:pPr>
              <w:jc w:val="right"/>
              <w:rPr>
                <w:rFonts w:cstheme="minorHAnsi"/>
                <w:sz w:val="22"/>
                <w:szCs w:val="22"/>
              </w:rPr>
            </w:pPr>
            <w:r w:rsidRPr="00EB272B">
              <w:rPr>
                <w:rFonts w:cstheme="minorHAnsi"/>
                <w:sz w:val="22"/>
                <w:szCs w:val="22"/>
              </w:rPr>
              <w:t>500000</w:t>
            </w:r>
          </w:p>
        </w:tc>
        <w:tc>
          <w:tcPr>
            <w:tcW w:w="1620" w:type="dxa"/>
            <w:hideMark/>
          </w:tcPr>
          <w:p w14:paraId="2E4F2DC2" w14:textId="77777777" w:rsidR="00E953EE" w:rsidRPr="00EB272B" w:rsidRDefault="00E953EE" w:rsidP="006909EB">
            <w:pPr>
              <w:jc w:val="right"/>
              <w:rPr>
                <w:rFonts w:cstheme="minorHAnsi"/>
                <w:sz w:val="22"/>
                <w:szCs w:val="22"/>
              </w:rPr>
            </w:pPr>
            <w:r w:rsidRPr="00EB272B">
              <w:rPr>
                <w:rFonts w:cstheme="minorHAnsi"/>
                <w:sz w:val="22"/>
                <w:szCs w:val="22"/>
              </w:rPr>
              <w:t>58500</w:t>
            </w:r>
          </w:p>
        </w:tc>
      </w:tr>
      <w:tr w:rsidR="00E953EE" w:rsidRPr="00EB272B" w14:paraId="1E5D107A" w14:textId="77777777" w:rsidTr="006909EB">
        <w:trPr>
          <w:trHeight w:val="600"/>
        </w:trPr>
        <w:tc>
          <w:tcPr>
            <w:tcW w:w="1820" w:type="dxa"/>
            <w:hideMark/>
          </w:tcPr>
          <w:p w14:paraId="10E25E19" w14:textId="77777777" w:rsidR="00E953EE" w:rsidRPr="00EB272B" w:rsidRDefault="00E953EE" w:rsidP="006909EB">
            <w:pPr>
              <w:rPr>
                <w:rFonts w:cstheme="minorHAnsi"/>
                <w:sz w:val="22"/>
                <w:szCs w:val="22"/>
              </w:rPr>
            </w:pPr>
            <w:r w:rsidRPr="00EB272B">
              <w:rPr>
                <w:rFonts w:cstheme="minorHAnsi"/>
                <w:sz w:val="22"/>
                <w:szCs w:val="22"/>
              </w:rPr>
              <w:t>Argentina</w:t>
            </w:r>
          </w:p>
        </w:tc>
        <w:tc>
          <w:tcPr>
            <w:tcW w:w="1840" w:type="dxa"/>
            <w:hideMark/>
          </w:tcPr>
          <w:p w14:paraId="5740ABD0" w14:textId="77777777" w:rsidR="00E953EE" w:rsidRPr="00EB272B" w:rsidRDefault="00E953EE" w:rsidP="006909EB">
            <w:pPr>
              <w:rPr>
                <w:rFonts w:cstheme="minorHAnsi"/>
                <w:sz w:val="22"/>
                <w:szCs w:val="22"/>
              </w:rPr>
            </w:pPr>
            <w:r w:rsidRPr="00EB272B">
              <w:rPr>
                <w:rFonts w:cstheme="minorHAnsi"/>
                <w:sz w:val="22"/>
                <w:szCs w:val="22"/>
              </w:rPr>
              <w:t> </w:t>
            </w:r>
          </w:p>
        </w:tc>
        <w:tc>
          <w:tcPr>
            <w:tcW w:w="960" w:type="dxa"/>
            <w:hideMark/>
          </w:tcPr>
          <w:p w14:paraId="670C3662" w14:textId="77777777" w:rsidR="00E953EE" w:rsidRPr="00EB272B" w:rsidRDefault="00E953EE" w:rsidP="006909EB">
            <w:pPr>
              <w:rPr>
                <w:rFonts w:cstheme="minorHAnsi"/>
                <w:sz w:val="22"/>
                <w:szCs w:val="22"/>
              </w:rPr>
            </w:pPr>
            <w:r w:rsidRPr="00EB272B">
              <w:rPr>
                <w:rFonts w:cstheme="minorHAnsi"/>
                <w:sz w:val="22"/>
                <w:szCs w:val="22"/>
              </w:rPr>
              <w:t>W</w:t>
            </w:r>
          </w:p>
        </w:tc>
        <w:tc>
          <w:tcPr>
            <w:tcW w:w="5380" w:type="dxa"/>
            <w:hideMark/>
          </w:tcPr>
          <w:p w14:paraId="5A8F360D" w14:textId="77777777" w:rsidR="00E953EE" w:rsidRPr="00EB272B" w:rsidRDefault="00E953EE" w:rsidP="006909EB">
            <w:pPr>
              <w:rPr>
                <w:rFonts w:cstheme="minorHAnsi"/>
                <w:sz w:val="22"/>
                <w:szCs w:val="22"/>
              </w:rPr>
            </w:pPr>
            <w:r w:rsidRPr="00EB272B">
              <w:rPr>
                <w:rFonts w:cstheme="minorHAnsi"/>
                <w:sz w:val="22"/>
                <w:szCs w:val="22"/>
              </w:rPr>
              <w:t xml:space="preserve">Environmentally Sound Management of POPs, Mercury and other Hazardous Chemicals in Argentina </w:t>
            </w:r>
          </w:p>
        </w:tc>
        <w:tc>
          <w:tcPr>
            <w:tcW w:w="960" w:type="dxa"/>
            <w:hideMark/>
          </w:tcPr>
          <w:p w14:paraId="43197281" w14:textId="77777777" w:rsidR="00E953EE" w:rsidRPr="00EB272B" w:rsidRDefault="00E953EE" w:rsidP="006909EB">
            <w:pPr>
              <w:rPr>
                <w:rFonts w:cstheme="minorHAnsi"/>
                <w:sz w:val="22"/>
                <w:szCs w:val="22"/>
              </w:rPr>
            </w:pPr>
            <w:r w:rsidRPr="00EB272B">
              <w:rPr>
                <w:rFonts w:cstheme="minorHAnsi"/>
                <w:sz w:val="22"/>
                <w:szCs w:val="22"/>
              </w:rPr>
              <w:t>GEF-7</w:t>
            </w:r>
          </w:p>
        </w:tc>
        <w:tc>
          <w:tcPr>
            <w:tcW w:w="960" w:type="dxa"/>
            <w:hideMark/>
          </w:tcPr>
          <w:p w14:paraId="424A9A47" w14:textId="77777777" w:rsidR="00E953EE" w:rsidRPr="00EB272B" w:rsidRDefault="00E953EE" w:rsidP="006909EB">
            <w:pPr>
              <w:rPr>
                <w:rFonts w:cstheme="minorHAnsi"/>
                <w:sz w:val="22"/>
                <w:szCs w:val="22"/>
              </w:rPr>
            </w:pPr>
            <w:r w:rsidRPr="00EB272B">
              <w:rPr>
                <w:rFonts w:cstheme="minorHAnsi"/>
                <w:sz w:val="22"/>
                <w:szCs w:val="22"/>
              </w:rPr>
              <w:t>FSP</w:t>
            </w:r>
          </w:p>
        </w:tc>
        <w:tc>
          <w:tcPr>
            <w:tcW w:w="960" w:type="dxa"/>
            <w:hideMark/>
          </w:tcPr>
          <w:p w14:paraId="430D6059" w14:textId="77777777" w:rsidR="00E953EE" w:rsidRPr="00EB272B" w:rsidRDefault="00E953EE" w:rsidP="006909EB">
            <w:pPr>
              <w:rPr>
                <w:rFonts w:cstheme="minorHAnsi"/>
                <w:sz w:val="22"/>
                <w:szCs w:val="22"/>
              </w:rPr>
            </w:pPr>
            <w:r w:rsidRPr="00EB272B">
              <w:rPr>
                <w:rFonts w:cstheme="minorHAnsi"/>
                <w:sz w:val="22"/>
                <w:szCs w:val="22"/>
              </w:rPr>
              <w:t>UNDP</w:t>
            </w:r>
          </w:p>
        </w:tc>
        <w:tc>
          <w:tcPr>
            <w:tcW w:w="1660" w:type="dxa"/>
            <w:hideMark/>
          </w:tcPr>
          <w:p w14:paraId="733605E7" w14:textId="77777777" w:rsidR="00E953EE" w:rsidRPr="00EB272B" w:rsidRDefault="00E953EE" w:rsidP="006909EB">
            <w:pPr>
              <w:jc w:val="right"/>
              <w:rPr>
                <w:rFonts w:cstheme="minorHAnsi"/>
                <w:sz w:val="22"/>
                <w:szCs w:val="22"/>
              </w:rPr>
            </w:pPr>
            <w:r w:rsidRPr="00EB272B">
              <w:rPr>
                <w:rFonts w:cstheme="minorHAnsi"/>
                <w:sz w:val="22"/>
                <w:szCs w:val="22"/>
              </w:rPr>
              <w:t>1846100</w:t>
            </w:r>
          </w:p>
        </w:tc>
        <w:tc>
          <w:tcPr>
            <w:tcW w:w="1620" w:type="dxa"/>
            <w:hideMark/>
          </w:tcPr>
          <w:p w14:paraId="7A8D6B5F" w14:textId="77777777" w:rsidR="00E953EE" w:rsidRPr="00EB272B" w:rsidRDefault="00E953EE" w:rsidP="006909EB">
            <w:pPr>
              <w:jc w:val="right"/>
              <w:rPr>
                <w:rFonts w:cstheme="minorHAnsi"/>
                <w:sz w:val="22"/>
                <w:szCs w:val="22"/>
              </w:rPr>
            </w:pPr>
            <w:r w:rsidRPr="00EB272B">
              <w:rPr>
                <w:rFonts w:cstheme="minorHAnsi"/>
                <w:sz w:val="22"/>
                <w:szCs w:val="22"/>
              </w:rPr>
              <w:t>34500000</w:t>
            </w:r>
          </w:p>
        </w:tc>
      </w:tr>
      <w:tr w:rsidR="00E953EE" w:rsidRPr="00EB272B" w14:paraId="2A30DAD2" w14:textId="77777777" w:rsidTr="006909EB">
        <w:trPr>
          <w:trHeight w:val="300"/>
        </w:trPr>
        <w:tc>
          <w:tcPr>
            <w:tcW w:w="1820" w:type="dxa"/>
            <w:hideMark/>
          </w:tcPr>
          <w:p w14:paraId="734DE0A0" w14:textId="77777777" w:rsidR="00E953EE" w:rsidRPr="00EB272B" w:rsidRDefault="00E953EE" w:rsidP="006909EB">
            <w:pPr>
              <w:rPr>
                <w:rFonts w:cstheme="minorHAnsi"/>
                <w:sz w:val="22"/>
                <w:szCs w:val="22"/>
              </w:rPr>
            </w:pPr>
            <w:r w:rsidRPr="00EB272B">
              <w:rPr>
                <w:rFonts w:cstheme="minorHAnsi"/>
                <w:sz w:val="22"/>
                <w:szCs w:val="22"/>
              </w:rPr>
              <w:t>Argentina</w:t>
            </w:r>
          </w:p>
        </w:tc>
        <w:tc>
          <w:tcPr>
            <w:tcW w:w="1840" w:type="dxa"/>
            <w:hideMark/>
          </w:tcPr>
          <w:p w14:paraId="0DAF3ED5" w14:textId="77777777" w:rsidR="00E953EE" w:rsidRPr="00EB272B" w:rsidRDefault="00E953EE" w:rsidP="006909EB">
            <w:pPr>
              <w:rPr>
                <w:rFonts w:cstheme="minorHAnsi"/>
                <w:sz w:val="22"/>
                <w:szCs w:val="22"/>
              </w:rPr>
            </w:pPr>
            <w:r w:rsidRPr="00EB272B">
              <w:rPr>
                <w:rFonts w:cstheme="minorHAnsi"/>
                <w:sz w:val="22"/>
                <w:szCs w:val="22"/>
              </w:rPr>
              <w:t> </w:t>
            </w:r>
          </w:p>
        </w:tc>
        <w:tc>
          <w:tcPr>
            <w:tcW w:w="960" w:type="dxa"/>
            <w:hideMark/>
          </w:tcPr>
          <w:p w14:paraId="170A29A7" w14:textId="77777777" w:rsidR="00E953EE" w:rsidRPr="00EB272B" w:rsidRDefault="00E953EE" w:rsidP="006909EB">
            <w:pPr>
              <w:rPr>
                <w:rFonts w:cstheme="minorHAnsi"/>
                <w:sz w:val="22"/>
                <w:szCs w:val="22"/>
              </w:rPr>
            </w:pPr>
            <w:r w:rsidRPr="00EB272B">
              <w:rPr>
                <w:rFonts w:cstheme="minorHAnsi"/>
                <w:sz w:val="22"/>
                <w:szCs w:val="22"/>
              </w:rPr>
              <w:t>W</w:t>
            </w:r>
          </w:p>
        </w:tc>
        <w:tc>
          <w:tcPr>
            <w:tcW w:w="5380" w:type="dxa"/>
            <w:hideMark/>
          </w:tcPr>
          <w:p w14:paraId="7BECAEF3" w14:textId="77777777" w:rsidR="00E953EE" w:rsidRPr="00EB272B" w:rsidRDefault="00E953EE" w:rsidP="006909EB">
            <w:pPr>
              <w:rPr>
                <w:rFonts w:cstheme="minorHAnsi"/>
                <w:sz w:val="22"/>
                <w:szCs w:val="22"/>
              </w:rPr>
            </w:pPr>
            <w:r w:rsidRPr="00EB272B">
              <w:rPr>
                <w:rFonts w:cstheme="minorHAnsi"/>
                <w:sz w:val="22"/>
                <w:szCs w:val="22"/>
              </w:rPr>
              <w:t>Minamata Initial Assessment for Argentina</w:t>
            </w:r>
          </w:p>
        </w:tc>
        <w:tc>
          <w:tcPr>
            <w:tcW w:w="960" w:type="dxa"/>
            <w:hideMark/>
          </w:tcPr>
          <w:p w14:paraId="4200A4D3" w14:textId="77777777" w:rsidR="00E953EE" w:rsidRPr="00EB272B" w:rsidRDefault="00E953EE" w:rsidP="006909EB">
            <w:pPr>
              <w:rPr>
                <w:rFonts w:cstheme="minorHAnsi"/>
                <w:sz w:val="22"/>
                <w:szCs w:val="22"/>
              </w:rPr>
            </w:pPr>
            <w:r w:rsidRPr="00EB272B">
              <w:rPr>
                <w:rFonts w:cstheme="minorHAnsi"/>
                <w:sz w:val="22"/>
                <w:szCs w:val="22"/>
              </w:rPr>
              <w:t>GEF-6</w:t>
            </w:r>
          </w:p>
        </w:tc>
        <w:tc>
          <w:tcPr>
            <w:tcW w:w="960" w:type="dxa"/>
            <w:hideMark/>
          </w:tcPr>
          <w:p w14:paraId="2DC018EE" w14:textId="77777777" w:rsidR="00E953EE" w:rsidRPr="00EB272B" w:rsidRDefault="00E953EE" w:rsidP="006909EB">
            <w:pPr>
              <w:rPr>
                <w:rFonts w:cstheme="minorHAnsi"/>
                <w:sz w:val="22"/>
                <w:szCs w:val="22"/>
              </w:rPr>
            </w:pPr>
            <w:r w:rsidRPr="00EB272B">
              <w:rPr>
                <w:rFonts w:cstheme="minorHAnsi"/>
                <w:sz w:val="22"/>
                <w:szCs w:val="22"/>
              </w:rPr>
              <w:t>EA</w:t>
            </w:r>
          </w:p>
        </w:tc>
        <w:tc>
          <w:tcPr>
            <w:tcW w:w="960" w:type="dxa"/>
            <w:hideMark/>
          </w:tcPr>
          <w:p w14:paraId="3D8939FA" w14:textId="77777777" w:rsidR="00E953EE" w:rsidRPr="00EB272B" w:rsidRDefault="00E953EE" w:rsidP="006909EB">
            <w:pPr>
              <w:rPr>
                <w:rFonts w:cstheme="minorHAnsi"/>
                <w:sz w:val="22"/>
                <w:szCs w:val="22"/>
              </w:rPr>
            </w:pPr>
            <w:r w:rsidRPr="00EB272B">
              <w:rPr>
                <w:rFonts w:cstheme="minorHAnsi"/>
                <w:sz w:val="22"/>
                <w:szCs w:val="22"/>
              </w:rPr>
              <w:t>UNDP</w:t>
            </w:r>
          </w:p>
        </w:tc>
        <w:tc>
          <w:tcPr>
            <w:tcW w:w="1660" w:type="dxa"/>
            <w:hideMark/>
          </w:tcPr>
          <w:p w14:paraId="54820BA7" w14:textId="77777777" w:rsidR="00E953EE" w:rsidRPr="00EB272B" w:rsidRDefault="00E953EE" w:rsidP="006909EB">
            <w:pPr>
              <w:jc w:val="right"/>
              <w:rPr>
                <w:rFonts w:cstheme="minorHAnsi"/>
                <w:sz w:val="22"/>
                <w:szCs w:val="22"/>
              </w:rPr>
            </w:pPr>
            <w:r w:rsidRPr="00EB272B">
              <w:rPr>
                <w:rFonts w:cstheme="minorHAnsi"/>
                <w:sz w:val="22"/>
                <w:szCs w:val="22"/>
              </w:rPr>
              <w:t>200000</w:t>
            </w:r>
          </w:p>
        </w:tc>
        <w:tc>
          <w:tcPr>
            <w:tcW w:w="1620" w:type="dxa"/>
            <w:hideMark/>
          </w:tcPr>
          <w:p w14:paraId="1C05EBB9" w14:textId="77777777" w:rsidR="00E953EE" w:rsidRPr="00EB272B" w:rsidRDefault="00E953EE" w:rsidP="006909EB">
            <w:pPr>
              <w:jc w:val="right"/>
              <w:rPr>
                <w:rFonts w:cstheme="minorHAnsi"/>
                <w:sz w:val="22"/>
                <w:szCs w:val="22"/>
              </w:rPr>
            </w:pPr>
            <w:r w:rsidRPr="00EB272B">
              <w:rPr>
                <w:rFonts w:cstheme="minorHAnsi"/>
                <w:sz w:val="22"/>
                <w:szCs w:val="22"/>
              </w:rPr>
              <w:t> </w:t>
            </w:r>
            <w:r>
              <w:rPr>
                <w:rFonts w:cstheme="minorHAnsi"/>
                <w:sz w:val="22"/>
                <w:szCs w:val="22"/>
              </w:rPr>
              <w:t>0</w:t>
            </w:r>
          </w:p>
        </w:tc>
      </w:tr>
      <w:tr w:rsidR="00E953EE" w:rsidRPr="00EB272B" w14:paraId="3BD070C3" w14:textId="77777777" w:rsidTr="006909EB">
        <w:trPr>
          <w:trHeight w:val="1200"/>
        </w:trPr>
        <w:tc>
          <w:tcPr>
            <w:tcW w:w="1820" w:type="dxa"/>
            <w:hideMark/>
          </w:tcPr>
          <w:p w14:paraId="2F477020" w14:textId="77777777" w:rsidR="00E953EE" w:rsidRPr="00EB272B" w:rsidRDefault="00E953EE" w:rsidP="006909EB">
            <w:pPr>
              <w:rPr>
                <w:rFonts w:cstheme="minorHAnsi"/>
                <w:sz w:val="22"/>
                <w:szCs w:val="22"/>
              </w:rPr>
            </w:pPr>
            <w:r w:rsidRPr="00EB272B">
              <w:rPr>
                <w:rFonts w:cstheme="minorHAnsi"/>
                <w:sz w:val="22"/>
                <w:szCs w:val="22"/>
              </w:rPr>
              <w:t>Argentina</w:t>
            </w:r>
          </w:p>
        </w:tc>
        <w:tc>
          <w:tcPr>
            <w:tcW w:w="1840" w:type="dxa"/>
            <w:hideMark/>
          </w:tcPr>
          <w:p w14:paraId="62A53A30" w14:textId="77777777" w:rsidR="00E953EE" w:rsidRPr="00EB272B" w:rsidRDefault="00E953EE" w:rsidP="006909EB">
            <w:pPr>
              <w:rPr>
                <w:rFonts w:cstheme="minorHAnsi"/>
                <w:sz w:val="22"/>
                <w:szCs w:val="22"/>
              </w:rPr>
            </w:pPr>
            <w:r w:rsidRPr="00EB272B">
              <w:rPr>
                <w:rFonts w:cstheme="minorHAnsi"/>
                <w:sz w:val="22"/>
                <w:szCs w:val="22"/>
              </w:rPr>
              <w:t> </w:t>
            </w:r>
          </w:p>
        </w:tc>
        <w:tc>
          <w:tcPr>
            <w:tcW w:w="960" w:type="dxa"/>
            <w:hideMark/>
          </w:tcPr>
          <w:p w14:paraId="77B636F9" w14:textId="77777777" w:rsidR="00E953EE" w:rsidRPr="00EB272B" w:rsidRDefault="00E953EE" w:rsidP="006909EB">
            <w:pPr>
              <w:rPr>
                <w:rFonts w:cstheme="minorHAnsi"/>
                <w:sz w:val="22"/>
                <w:szCs w:val="22"/>
              </w:rPr>
            </w:pPr>
            <w:r w:rsidRPr="00EB272B">
              <w:rPr>
                <w:rFonts w:cstheme="minorHAnsi"/>
                <w:sz w:val="22"/>
                <w:szCs w:val="22"/>
              </w:rPr>
              <w:t>P</w:t>
            </w:r>
            <w:r w:rsidRPr="00EB272B">
              <w:rPr>
                <w:rStyle w:val="FootnoteReference"/>
                <w:rFonts w:cstheme="minorHAnsi"/>
                <w:sz w:val="22"/>
                <w:szCs w:val="22"/>
              </w:rPr>
              <w:footnoteReference w:id="17"/>
            </w:r>
          </w:p>
        </w:tc>
        <w:tc>
          <w:tcPr>
            <w:tcW w:w="5380" w:type="dxa"/>
            <w:hideMark/>
          </w:tcPr>
          <w:p w14:paraId="2467F21C" w14:textId="77777777" w:rsidR="00E953EE" w:rsidRPr="00EB272B" w:rsidRDefault="00E953EE" w:rsidP="006909EB">
            <w:pPr>
              <w:rPr>
                <w:rFonts w:cstheme="minorHAnsi"/>
                <w:sz w:val="22"/>
                <w:szCs w:val="22"/>
              </w:rPr>
            </w:pPr>
            <w:r w:rsidRPr="00EB272B">
              <w:rPr>
                <w:rFonts w:cstheme="minorHAnsi"/>
                <w:sz w:val="22"/>
                <w:szCs w:val="22"/>
              </w:rPr>
              <w:t>Preparatory Project to Facilitate the Implementation of the Legally Binding Instrument on Mercury (Minamata Convention) in Argentina to Protect Health and the Environment</w:t>
            </w:r>
          </w:p>
        </w:tc>
        <w:tc>
          <w:tcPr>
            <w:tcW w:w="960" w:type="dxa"/>
            <w:hideMark/>
          </w:tcPr>
          <w:p w14:paraId="42BFD531" w14:textId="77777777" w:rsidR="00E953EE" w:rsidRPr="00EB272B" w:rsidRDefault="00E953EE" w:rsidP="006909EB">
            <w:pPr>
              <w:rPr>
                <w:rFonts w:cstheme="minorHAnsi"/>
                <w:sz w:val="22"/>
                <w:szCs w:val="22"/>
              </w:rPr>
            </w:pPr>
            <w:r w:rsidRPr="00EB272B">
              <w:rPr>
                <w:rFonts w:cstheme="minorHAnsi"/>
                <w:sz w:val="22"/>
                <w:szCs w:val="22"/>
              </w:rPr>
              <w:t>GEF-5</w:t>
            </w:r>
          </w:p>
        </w:tc>
        <w:tc>
          <w:tcPr>
            <w:tcW w:w="960" w:type="dxa"/>
            <w:hideMark/>
          </w:tcPr>
          <w:p w14:paraId="54629B68" w14:textId="77777777" w:rsidR="00E953EE" w:rsidRPr="00EB272B" w:rsidRDefault="00E953EE" w:rsidP="006909EB">
            <w:pPr>
              <w:rPr>
                <w:rFonts w:cstheme="minorHAnsi"/>
                <w:sz w:val="22"/>
                <w:szCs w:val="22"/>
              </w:rPr>
            </w:pPr>
            <w:r w:rsidRPr="00EB272B">
              <w:rPr>
                <w:rFonts w:cstheme="minorHAnsi"/>
                <w:sz w:val="22"/>
                <w:szCs w:val="22"/>
              </w:rPr>
              <w:t>MSP</w:t>
            </w:r>
          </w:p>
        </w:tc>
        <w:tc>
          <w:tcPr>
            <w:tcW w:w="960" w:type="dxa"/>
            <w:hideMark/>
          </w:tcPr>
          <w:p w14:paraId="65F0C01E" w14:textId="77777777" w:rsidR="00E953EE" w:rsidRPr="00EB272B" w:rsidRDefault="00E953EE" w:rsidP="006909EB">
            <w:pPr>
              <w:rPr>
                <w:rFonts w:cstheme="minorHAnsi"/>
                <w:sz w:val="22"/>
                <w:szCs w:val="22"/>
              </w:rPr>
            </w:pPr>
            <w:r w:rsidRPr="00EB272B">
              <w:rPr>
                <w:rFonts w:cstheme="minorHAnsi"/>
                <w:sz w:val="22"/>
                <w:szCs w:val="22"/>
              </w:rPr>
              <w:t>UNIDO</w:t>
            </w:r>
          </w:p>
        </w:tc>
        <w:tc>
          <w:tcPr>
            <w:tcW w:w="1660" w:type="dxa"/>
            <w:hideMark/>
          </w:tcPr>
          <w:p w14:paraId="600728D8" w14:textId="77777777" w:rsidR="00E953EE" w:rsidRPr="00EB272B" w:rsidRDefault="00E953EE" w:rsidP="006909EB">
            <w:pPr>
              <w:jc w:val="right"/>
              <w:rPr>
                <w:rFonts w:cstheme="minorHAnsi"/>
                <w:sz w:val="22"/>
                <w:szCs w:val="22"/>
              </w:rPr>
            </w:pPr>
            <w:r w:rsidRPr="00EB272B">
              <w:rPr>
                <w:rFonts w:cstheme="minorHAnsi"/>
                <w:sz w:val="22"/>
                <w:szCs w:val="22"/>
              </w:rPr>
              <w:t>350000</w:t>
            </w:r>
          </w:p>
        </w:tc>
        <w:tc>
          <w:tcPr>
            <w:tcW w:w="1620" w:type="dxa"/>
            <w:hideMark/>
          </w:tcPr>
          <w:p w14:paraId="0DB6E088" w14:textId="77777777" w:rsidR="00E953EE" w:rsidRPr="00EB272B" w:rsidRDefault="00E953EE" w:rsidP="006909EB">
            <w:pPr>
              <w:jc w:val="right"/>
              <w:rPr>
                <w:rFonts w:cstheme="minorHAnsi"/>
                <w:sz w:val="22"/>
                <w:szCs w:val="22"/>
              </w:rPr>
            </w:pPr>
            <w:r w:rsidRPr="00EB272B">
              <w:rPr>
                <w:rFonts w:cstheme="minorHAnsi"/>
                <w:sz w:val="22"/>
                <w:szCs w:val="22"/>
              </w:rPr>
              <w:t>530000</w:t>
            </w:r>
          </w:p>
        </w:tc>
      </w:tr>
      <w:tr w:rsidR="00E953EE" w:rsidRPr="00EB272B" w14:paraId="4C3DA232" w14:textId="77777777" w:rsidTr="006909EB">
        <w:trPr>
          <w:trHeight w:val="600"/>
        </w:trPr>
        <w:tc>
          <w:tcPr>
            <w:tcW w:w="1820" w:type="dxa"/>
            <w:hideMark/>
          </w:tcPr>
          <w:p w14:paraId="4682BAE3" w14:textId="77777777" w:rsidR="00E953EE" w:rsidRPr="00EB272B" w:rsidRDefault="00E953EE" w:rsidP="006909EB">
            <w:pPr>
              <w:rPr>
                <w:rFonts w:cstheme="minorHAnsi"/>
                <w:sz w:val="22"/>
                <w:szCs w:val="22"/>
              </w:rPr>
            </w:pPr>
            <w:r w:rsidRPr="00EB272B">
              <w:rPr>
                <w:rFonts w:cstheme="minorHAnsi"/>
                <w:sz w:val="22"/>
                <w:szCs w:val="22"/>
              </w:rPr>
              <w:t>Armenia</w:t>
            </w:r>
          </w:p>
        </w:tc>
        <w:tc>
          <w:tcPr>
            <w:tcW w:w="1840" w:type="dxa"/>
            <w:hideMark/>
          </w:tcPr>
          <w:p w14:paraId="20486C56" w14:textId="77777777" w:rsidR="00E953EE" w:rsidRPr="00EB272B" w:rsidRDefault="00E953EE" w:rsidP="006909EB">
            <w:pPr>
              <w:rPr>
                <w:rFonts w:cstheme="minorHAnsi"/>
                <w:sz w:val="22"/>
                <w:szCs w:val="22"/>
              </w:rPr>
            </w:pPr>
            <w:r w:rsidRPr="00EB272B">
              <w:rPr>
                <w:rFonts w:cstheme="minorHAnsi"/>
                <w:sz w:val="22"/>
                <w:szCs w:val="22"/>
              </w:rPr>
              <w:t> </w:t>
            </w:r>
          </w:p>
        </w:tc>
        <w:tc>
          <w:tcPr>
            <w:tcW w:w="960" w:type="dxa"/>
            <w:hideMark/>
          </w:tcPr>
          <w:p w14:paraId="1570D8DD" w14:textId="77777777" w:rsidR="00E953EE" w:rsidRPr="00EB272B" w:rsidRDefault="00E953EE" w:rsidP="006909EB">
            <w:pPr>
              <w:rPr>
                <w:rFonts w:cstheme="minorHAnsi"/>
                <w:sz w:val="22"/>
                <w:szCs w:val="22"/>
              </w:rPr>
            </w:pPr>
            <w:r w:rsidRPr="00EB272B">
              <w:rPr>
                <w:rFonts w:cstheme="minorHAnsi"/>
                <w:sz w:val="22"/>
                <w:szCs w:val="22"/>
              </w:rPr>
              <w:t>P</w:t>
            </w:r>
          </w:p>
        </w:tc>
        <w:tc>
          <w:tcPr>
            <w:tcW w:w="5380" w:type="dxa"/>
            <w:hideMark/>
          </w:tcPr>
          <w:p w14:paraId="253C63EA" w14:textId="77777777" w:rsidR="00E953EE" w:rsidRPr="00EB272B" w:rsidRDefault="00E953EE" w:rsidP="006909EB">
            <w:pPr>
              <w:rPr>
                <w:rFonts w:cstheme="minorHAnsi"/>
                <w:sz w:val="22"/>
                <w:szCs w:val="22"/>
              </w:rPr>
            </w:pPr>
            <w:r w:rsidRPr="00EB272B">
              <w:rPr>
                <w:rFonts w:cstheme="minorHAnsi"/>
                <w:sz w:val="22"/>
                <w:szCs w:val="22"/>
              </w:rPr>
              <w:t>Minamata Convention Initial Assessment (MIA) in the Republic of Armenia</w:t>
            </w:r>
          </w:p>
        </w:tc>
        <w:tc>
          <w:tcPr>
            <w:tcW w:w="960" w:type="dxa"/>
            <w:hideMark/>
          </w:tcPr>
          <w:p w14:paraId="18D1C261" w14:textId="77777777" w:rsidR="00E953EE" w:rsidRPr="00EB272B" w:rsidRDefault="00E953EE" w:rsidP="006909EB">
            <w:pPr>
              <w:rPr>
                <w:rFonts w:cstheme="minorHAnsi"/>
                <w:sz w:val="22"/>
                <w:szCs w:val="22"/>
              </w:rPr>
            </w:pPr>
            <w:r w:rsidRPr="00EB272B">
              <w:rPr>
                <w:rFonts w:cstheme="minorHAnsi"/>
                <w:sz w:val="22"/>
                <w:szCs w:val="22"/>
              </w:rPr>
              <w:t>GEF-5</w:t>
            </w:r>
          </w:p>
        </w:tc>
        <w:tc>
          <w:tcPr>
            <w:tcW w:w="960" w:type="dxa"/>
            <w:hideMark/>
          </w:tcPr>
          <w:p w14:paraId="421AC9D2" w14:textId="77777777" w:rsidR="00E953EE" w:rsidRPr="00EB272B" w:rsidRDefault="00E953EE" w:rsidP="006909EB">
            <w:pPr>
              <w:rPr>
                <w:rFonts w:cstheme="minorHAnsi"/>
                <w:sz w:val="22"/>
                <w:szCs w:val="22"/>
              </w:rPr>
            </w:pPr>
            <w:r w:rsidRPr="00EB272B">
              <w:rPr>
                <w:rFonts w:cstheme="minorHAnsi"/>
                <w:sz w:val="22"/>
                <w:szCs w:val="22"/>
              </w:rPr>
              <w:t>EA</w:t>
            </w:r>
          </w:p>
        </w:tc>
        <w:tc>
          <w:tcPr>
            <w:tcW w:w="960" w:type="dxa"/>
            <w:hideMark/>
          </w:tcPr>
          <w:p w14:paraId="18BD5B2D" w14:textId="77777777" w:rsidR="00E953EE" w:rsidRPr="00EB272B" w:rsidRDefault="00E953EE" w:rsidP="006909EB">
            <w:pPr>
              <w:rPr>
                <w:rFonts w:cstheme="minorHAnsi"/>
                <w:sz w:val="22"/>
                <w:szCs w:val="22"/>
              </w:rPr>
            </w:pPr>
            <w:r w:rsidRPr="00EB272B">
              <w:rPr>
                <w:rFonts w:cstheme="minorHAnsi"/>
                <w:sz w:val="22"/>
                <w:szCs w:val="22"/>
              </w:rPr>
              <w:t>UNIDO</w:t>
            </w:r>
          </w:p>
        </w:tc>
        <w:tc>
          <w:tcPr>
            <w:tcW w:w="1660" w:type="dxa"/>
            <w:hideMark/>
          </w:tcPr>
          <w:p w14:paraId="335F97AD" w14:textId="77777777" w:rsidR="00E953EE" w:rsidRPr="00EB272B" w:rsidRDefault="00E953EE" w:rsidP="006909EB">
            <w:pPr>
              <w:jc w:val="right"/>
              <w:rPr>
                <w:rFonts w:cstheme="minorHAnsi"/>
                <w:sz w:val="22"/>
                <w:szCs w:val="22"/>
              </w:rPr>
            </w:pPr>
            <w:r w:rsidRPr="00EB272B">
              <w:rPr>
                <w:rFonts w:cstheme="minorHAnsi"/>
                <w:sz w:val="22"/>
                <w:szCs w:val="22"/>
              </w:rPr>
              <w:t>200000</w:t>
            </w:r>
          </w:p>
        </w:tc>
        <w:tc>
          <w:tcPr>
            <w:tcW w:w="1620" w:type="dxa"/>
            <w:hideMark/>
          </w:tcPr>
          <w:p w14:paraId="754AA8E0" w14:textId="77777777" w:rsidR="00E953EE" w:rsidRPr="00EB272B" w:rsidRDefault="00E953EE" w:rsidP="006909EB">
            <w:pPr>
              <w:jc w:val="right"/>
              <w:rPr>
                <w:rFonts w:cstheme="minorHAnsi"/>
                <w:sz w:val="22"/>
                <w:szCs w:val="22"/>
              </w:rPr>
            </w:pPr>
            <w:r w:rsidRPr="00EB272B">
              <w:rPr>
                <w:rFonts w:cstheme="minorHAnsi"/>
                <w:sz w:val="22"/>
                <w:szCs w:val="22"/>
              </w:rPr>
              <w:t>22000</w:t>
            </w:r>
          </w:p>
        </w:tc>
      </w:tr>
      <w:tr w:rsidR="00E953EE" w:rsidRPr="00EB272B" w14:paraId="1076B30C" w14:textId="77777777" w:rsidTr="006909EB">
        <w:trPr>
          <w:trHeight w:val="900"/>
        </w:trPr>
        <w:tc>
          <w:tcPr>
            <w:tcW w:w="1820" w:type="dxa"/>
            <w:hideMark/>
          </w:tcPr>
          <w:p w14:paraId="738425B6" w14:textId="77777777" w:rsidR="00E953EE" w:rsidRPr="00EB272B" w:rsidRDefault="00E953EE" w:rsidP="006909EB">
            <w:pPr>
              <w:rPr>
                <w:rFonts w:cstheme="minorHAnsi"/>
                <w:sz w:val="22"/>
                <w:szCs w:val="22"/>
              </w:rPr>
            </w:pPr>
            <w:r w:rsidRPr="00EB272B">
              <w:rPr>
                <w:rFonts w:cstheme="minorHAnsi"/>
                <w:sz w:val="22"/>
                <w:szCs w:val="22"/>
              </w:rPr>
              <w:t>Azerbaijan</w:t>
            </w:r>
          </w:p>
        </w:tc>
        <w:tc>
          <w:tcPr>
            <w:tcW w:w="1840" w:type="dxa"/>
            <w:hideMark/>
          </w:tcPr>
          <w:p w14:paraId="2FA7B73F" w14:textId="77777777" w:rsidR="00E953EE" w:rsidRPr="00EB272B" w:rsidRDefault="00E953EE" w:rsidP="006909EB">
            <w:pPr>
              <w:rPr>
                <w:rFonts w:cstheme="minorHAnsi"/>
                <w:sz w:val="22"/>
                <w:szCs w:val="22"/>
              </w:rPr>
            </w:pPr>
            <w:r w:rsidRPr="00EB272B">
              <w:rPr>
                <w:rFonts w:cstheme="minorHAnsi"/>
                <w:sz w:val="22"/>
                <w:szCs w:val="22"/>
              </w:rPr>
              <w:t> </w:t>
            </w:r>
          </w:p>
        </w:tc>
        <w:tc>
          <w:tcPr>
            <w:tcW w:w="960" w:type="dxa"/>
            <w:hideMark/>
          </w:tcPr>
          <w:p w14:paraId="502DB6BD" w14:textId="77777777" w:rsidR="00E953EE" w:rsidRPr="00EB272B" w:rsidRDefault="00E953EE" w:rsidP="006909EB">
            <w:pPr>
              <w:rPr>
                <w:rFonts w:cstheme="minorHAnsi"/>
                <w:sz w:val="22"/>
                <w:szCs w:val="22"/>
              </w:rPr>
            </w:pPr>
            <w:r w:rsidRPr="00EB272B">
              <w:rPr>
                <w:rFonts w:cstheme="minorHAnsi"/>
                <w:sz w:val="22"/>
                <w:szCs w:val="22"/>
              </w:rPr>
              <w:t>W</w:t>
            </w:r>
          </w:p>
        </w:tc>
        <w:tc>
          <w:tcPr>
            <w:tcW w:w="5380" w:type="dxa"/>
            <w:hideMark/>
          </w:tcPr>
          <w:p w14:paraId="04C85C1C" w14:textId="77777777" w:rsidR="00E953EE" w:rsidRPr="00EB272B" w:rsidRDefault="00E953EE" w:rsidP="006909EB">
            <w:pPr>
              <w:rPr>
                <w:rFonts w:cstheme="minorHAnsi"/>
                <w:sz w:val="22"/>
                <w:szCs w:val="22"/>
              </w:rPr>
            </w:pPr>
            <w:r w:rsidRPr="00EB272B">
              <w:rPr>
                <w:rFonts w:cstheme="minorHAnsi"/>
                <w:sz w:val="22"/>
                <w:szCs w:val="22"/>
              </w:rPr>
              <w:t>Strengthen national decision making towards ratification of the Minamata Convention and build capacity towards implementation of future provisions</w:t>
            </w:r>
          </w:p>
        </w:tc>
        <w:tc>
          <w:tcPr>
            <w:tcW w:w="960" w:type="dxa"/>
            <w:hideMark/>
          </w:tcPr>
          <w:p w14:paraId="158263C8" w14:textId="77777777" w:rsidR="00E953EE" w:rsidRPr="00EB272B" w:rsidRDefault="00E953EE" w:rsidP="006909EB">
            <w:pPr>
              <w:rPr>
                <w:rFonts w:cstheme="minorHAnsi"/>
                <w:sz w:val="22"/>
                <w:szCs w:val="22"/>
              </w:rPr>
            </w:pPr>
            <w:r w:rsidRPr="00EB272B">
              <w:rPr>
                <w:rFonts w:cstheme="minorHAnsi"/>
                <w:sz w:val="22"/>
                <w:szCs w:val="22"/>
              </w:rPr>
              <w:t>GEF-6</w:t>
            </w:r>
          </w:p>
        </w:tc>
        <w:tc>
          <w:tcPr>
            <w:tcW w:w="960" w:type="dxa"/>
            <w:hideMark/>
          </w:tcPr>
          <w:p w14:paraId="463ABFAE" w14:textId="77777777" w:rsidR="00E953EE" w:rsidRPr="00EB272B" w:rsidRDefault="00E953EE" w:rsidP="006909EB">
            <w:pPr>
              <w:rPr>
                <w:rFonts w:cstheme="minorHAnsi"/>
                <w:sz w:val="22"/>
                <w:szCs w:val="22"/>
              </w:rPr>
            </w:pPr>
            <w:r w:rsidRPr="00EB272B">
              <w:rPr>
                <w:rFonts w:cstheme="minorHAnsi"/>
                <w:sz w:val="22"/>
                <w:szCs w:val="22"/>
              </w:rPr>
              <w:t>EA</w:t>
            </w:r>
          </w:p>
        </w:tc>
        <w:tc>
          <w:tcPr>
            <w:tcW w:w="960" w:type="dxa"/>
            <w:hideMark/>
          </w:tcPr>
          <w:p w14:paraId="56D84FC0" w14:textId="77777777" w:rsidR="00E953EE" w:rsidRPr="00EB272B" w:rsidRDefault="00E953EE" w:rsidP="006909EB">
            <w:pPr>
              <w:rPr>
                <w:rFonts w:cstheme="minorHAnsi"/>
                <w:sz w:val="22"/>
                <w:szCs w:val="22"/>
              </w:rPr>
            </w:pPr>
            <w:r w:rsidRPr="00EB272B">
              <w:rPr>
                <w:rFonts w:cstheme="minorHAnsi"/>
                <w:sz w:val="22"/>
                <w:szCs w:val="22"/>
              </w:rPr>
              <w:t>UNDP</w:t>
            </w:r>
          </w:p>
        </w:tc>
        <w:tc>
          <w:tcPr>
            <w:tcW w:w="1660" w:type="dxa"/>
            <w:hideMark/>
          </w:tcPr>
          <w:p w14:paraId="437854E9" w14:textId="77777777" w:rsidR="00E953EE" w:rsidRPr="00EB272B" w:rsidRDefault="00E953EE" w:rsidP="006909EB">
            <w:pPr>
              <w:jc w:val="right"/>
              <w:rPr>
                <w:rFonts w:cstheme="minorHAnsi"/>
                <w:sz w:val="22"/>
                <w:szCs w:val="22"/>
              </w:rPr>
            </w:pPr>
            <w:r w:rsidRPr="00EB272B">
              <w:rPr>
                <w:rFonts w:cstheme="minorHAnsi"/>
                <w:sz w:val="22"/>
                <w:szCs w:val="22"/>
              </w:rPr>
              <w:t>200000</w:t>
            </w:r>
          </w:p>
        </w:tc>
        <w:tc>
          <w:tcPr>
            <w:tcW w:w="1620" w:type="dxa"/>
            <w:hideMark/>
          </w:tcPr>
          <w:p w14:paraId="7A5E5884" w14:textId="77777777" w:rsidR="00E953EE" w:rsidRPr="00EB272B" w:rsidRDefault="00E953EE" w:rsidP="006909EB">
            <w:pPr>
              <w:jc w:val="right"/>
              <w:rPr>
                <w:rFonts w:cstheme="minorHAnsi"/>
                <w:sz w:val="22"/>
                <w:szCs w:val="22"/>
              </w:rPr>
            </w:pPr>
            <w:r>
              <w:rPr>
                <w:rFonts w:cstheme="minorHAnsi"/>
                <w:sz w:val="22"/>
                <w:szCs w:val="22"/>
              </w:rPr>
              <w:t>0</w:t>
            </w:r>
            <w:r w:rsidRPr="00EB272B">
              <w:rPr>
                <w:rFonts w:cstheme="minorHAnsi"/>
                <w:sz w:val="22"/>
                <w:szCs w:val="22"/>
              </w:rPr>
              <w:t> </w:t>
            </w:r>
          </w:p>
        </w:tc>
      </w:tr>
      <w:tr w:rsidR="00E953EE" w:rsidRPr="00EB272B" w14:paraId="39643B3E" w14:textId="77777777" w:rsidTr="006909EB">
        <w:trPr>
          <w:trHeight w:val="300"/>
        </w:trPr>
        <w:tc>
          <w:tcPr>
            <w:tcW w:w="1820" w:type="dxa"/>
            <w:hideMark/>
          </w:tcPr>
          <w:p w14:paraId="34BF86D6" w14:textId="77777777" w:rsidR="00E953EE" w:rsidRPr="00EB272B" w:rsidRDefault="00E953EE" w:rsidP="006909EB">
            <w:pPr>
              <w:rPr>
                <w:rFonts w:cstheme="minorHAnsi"/>
                <w:sz w:val="22"/>
                <w:szCs w:val="22"/>
              </w:rPr>
            </w:pPr>
            <w:r w:rsidRPr="00EB272B">
              <w:rPr>
                <w:rFonts w:cstheme="minorHAnsi"/>
                <w:sz w:val="22"/>
                <w:szCs w:val="22"/>
              </w:rPr>
              <w:t>Belarus</w:t>
            </w:r>
          </w:p>
        </w:tc>
        <w:tc>
          <w:tcPr>
            <w:tcW w:w="1840" w:type="dxa"/>
            <w:hideMark/>
          </w:tcPr>
          <w:p w14:paraId="32A4916A" w14:textId="77777777" w:rsidR="00E953EE" w:rsidRPr="00EB272B" w:rsidRDefault="00E953EE" w:rsidP="006909EB">
            <w:pPr>
              <w:rPr>
                <w:rFonts w:cstheme="minorHAnsi"/>
                <w:sz w:val="22"/>
                <w:szCs w:val="22"/>
              </w:rPr>
            </w:pPr>
            <w:r w:rsidRPr="00EB272B">
              <w:rPr>
                <w:rFonts w:cstheme="minorHAnsi"/>
                <w:sz w:val="22"/>
                <w:szCs w:val="22"/>
              </w:rPr>
              <w:t> </w:t>
            </w:r>
          </w:p>
        </w:tc>
        <w:tc>
          <w:tcPr>
            <w:tcW w:w="960" w:type="dxa"/>
            <w:hideMark/>
          </w:tcPr>
          <w:p w14:paraId="6E6B68E5" w14:textId="77777777" w:rsidR="00E953EE" w:rsidRPr="00EB272B" w:rsidRDefault="00E953EE" w:rsidP="006909EB">
            <w:pPr>
              <w:rPr>
                <w:rFonts w:cstheme="minorHAnsi"/>
                <w:sz w:val="22"/>
                <w:szCs w:val="22"/>
              </w:rPr>
            </w:pPr>
            <w:r w:rsidRPr="00EB272B">
              <w:rPr>
                <w:rFonts w:cstheme="minorHAnsi"/>
                <w:sz w:val="22"/>
                <w:szCs w:val="22"/>
              </w:rPr>
              <w:t>W</w:t>
            </w:r>
          </w:p>
        </w:tc>
        <w:tc>
          <w:tcPr>
            <w:tcW w:w="5380" w:type="dxa"/>
            <w:hideMark/>
          </w:tcPr>
          <w:p w14:paraId="29A40DC8" w14:textId="77777777" w:rsidR="00E953EE" w:rsidRPr="00EB272B" w:rsidRDefault="00E953EE" w:rsidP="006909EB">
            <w:pPr>
              <w:rPr>
                <w:rFonts w:cstheme="minorHAnsi"/>
                <w:sz w:val="22"/>
                <w:szCs w:val="22"/>
              </w:rPr>
            </w:pPr>
            <w:r w:rsidRPr="00EB272B">
              <w:rPr>
                <w:rFonts w:cstheme="minorHAnsi"/>
                <w:sz w:val="22"/>
                <w:szCs w:val="22"/>
              </w:rPr>
              <w:t xml:space="preserve">Development of a Minamata Initial Assessment </w:t>
            </w:r>
          </w:p>
        </w:tc>
        <w:tc>
          <w:tcPr>
            <w:tcW w:w="960" w:type="dxa"/>
            <w:hideMark/>
          </w:tcPr>
          <w:p w14:paraId="15B17D69" w14:textId="77777777" w:rsidR="00E953EE" w:rsidRPr="00EB272B" w:rsidRDefault="00E953EE" w:rsidP="006909EB">
            <w:pPr>
              <w:rPr>
                <w:rFonts w:cstheme="minorHAnsi"/>
                <w:sz w:val="22"/>
                <w:szCs w:val="22"/>
              </w:rPr>
            </w:pPr>
            <w:r w:rsidRPr="00EB272B">
              <w:rPr>
                <w:rFonts w:cstheme="minorHAnsi"/>
                <w:sz w:val="22"/>
                <w:szCs w:val="22"/>
              </w:rPr>
              <w:t>GEF-6</w:t>
            </w:r>
          </w:p>
        </w:tc>
        <w:tc>
          <w:tcPr>
            <w:tcW w:w="960" w:type="dxa"/>
            <w:hideMark/>
          </w:tcPr>
          <w:p w14:paraId="5524F11F" w14:textId="77777777" w:rsidR="00E953EE" w:rsidRPr="00EB272B" w:rsidRDefault="00E953EE" w:rsidP="006909EB">
            <w:pPr>
              <w:rPr>
                <w:rFonts w:cstheme="minorHAnsi"/>
                <w:sz w:val="22"/>
                <w:szCs w:val="22"/>
              </w:rPr>
            </w:pPr>
            <w:r w:rsidRPr="00EB272B">
              <w:rPr>
                <w:rFonts w:cstheme="minorHAnsi"/>
                <w:sz w:val="22"/>
                <w:szCs w:val="22"/>
              </w:rPr>
              <w:t>EA</w:t>
            </w:r>
          </w:p>
        </w:tc>
        <w:tc>
          <w:tcPr>
            <w:tcW w:w="960" w:type="dxa"/>
            <w:hideMark/>
          </w:tcPr>
          <w:p w14:paraId="05431326" w14:textId="77777777" w:rsidR="00E953EE" w:rsidRPr="00EB272B" w:rsidRDefault="00E953EE" w:rsidP="006909EB">
            <w:pPr>
              <w:rPr>
                <w:rFonts w:cstheme="minorHAnsi"/>
                <w:sz w:val="22"/>
                <w:szCs w:val="22"/>
              </w:rPr>
            </w:pPr>
            <w:r w:rsidRPr="00EB272B">
              <w:rPr>
                <w:rFonts w:cstheme="minorHAnsi"/>
                <w:sz w:val="22"/>
                <w:szCs w:val="22"/>
              </w:rPr>
              <w:t>UNEP</w:t>
            </w:r>
          </w:p>
        </w:tc>
        <w:tc>
          <w:tcPr>
            <w:tcW w:w="1660" w:type="dxa"/>
            <w:hideMark/>
          </w:tcPr>
          <w:p w14:paraId="794246F5" w14:textId="77777777" w:rsidR="00E953EE" w:rsidRPr="00EB272B" w:rsidRDefault="00E953EE" w:rsidP="006909EB">
            <w:pPr>
              <w:jc w:val="right"/>
              <w:rPr>
                <w:rFonts w:cstheme="minorHAnsi"/>
                <w:sz w:val="22"/>
                <w:szCs w:val="22"/>
              </w:rPr>
            </w:pPr>
            <w:r w:rsidRPr="00EB272B">
              <w:rPr>
                <w:rFonts w:cstheme="minorHAnsi"/>
                <w:sz w:val="22"/>
                <w:szCs w:val="22"/>
              </w:rPr>
              <w:t>200000</w:t>
            </w:r>
          </w:p>
        </w:tc>
        <w:tc>
          <w:tcPr>
            <w:tcW w:w="1620" w:type="dxa"/>
            <w:hideMark/>
          </w:tcPr>
          <w:p w14:paraId="7EA92102" w14:textId="77777777" w:rsidR="00E953EE" w:rsidRPr="00EB272B" w:rsidRDefault="00E953EE" w:rsidP="006909EB">
            <w:pPr>
              <w:jc w:val="right"/>
              <w:rPr>
                <w:rFonts w:cstheme="minorHAnsi"/>
                <w:sz w:val="22"/>
                <w:szCs w:val="22"/>
              </w:rPr>
            </w:pPr>
            <w:r>
              <w:rPr>
                <w:rFonts w:cstheme="minorHAnsi"/>
                <w:sz w:val="22"/>
                <w:szCs w:val="22"/>
              </w:rPr>
              <w:t>0</w:t>
            </w:r>
            <w:r w:rsidRPr="00EB272B">
              <w:rPr>
                <w:rFonts w:cstheme="minorHAnsi"/>
                <w:sz w:val="22"/>
                <w:szCs w:val="22"/>
              </w:rPr>
              <w:t> </w:t>
            </w:r>
          </w:p>
        </w:tc>
      </w:tr>
      <w:tr w:rsidR="00E953EE" w:rsidRPr="00EB272B" w14:paraId="4766CF21" w14:textId="77777777" w:rsidTr="006909EB">
        <w:trPr>
          <w:trHeight w:val="600"/>
        </w:trPr>
        <w:tc>
          <w:tcPr>
            <w:tcW w:w="1820" w:type="dxa"/>
            <w:hideMark/>
          </w:tcPr>
          <w:p w14:paraId="55419A8E" w14:textId="77777777" w:rsidR="00E953EE" w:rsidRPr="00EB272B" w:rsidRDefault="00E953EE" w:rsidP="006909EB">
            <w:pPr>
              <w:rPr>
                <w:rFonts w:cstheme="minorHAnsi"/>
                <w:sz w:val="22"/>
                <w:szCs w:val="22"/>
              </w:rPr>
            </w:pPr>
            <w:r w:rsidRPr="00EB272B">
              <w:rPr>
                <w:rFonts w:cstheme="minorHAnsi"/>
                <w:sz w:val="22"/>
                <w:szCs w:val="22"/>
              </w:rPr>
              <w:t>Belize</w:t>
            </w:r>
          </w:p>
        </w:tc>
        <w:tc>
          <w:tcPr>
            <w:tcW w:w="1840" w:type="dxa"/>
            <w:hideMark/>
          </w:tcPr>
          <w:p w14:paraId="50D31C0A" w14:textId="77777777" w:rsidR="00E953EE" w:rsidRPr="00EB272B" w:rsidRDefault="00E953EE" w:rsidP="006909EB">
            <w:pPr>
              <w:rPr>
                <w:rFonts w:cstheme="minorHAnsi"/>
                <w:sz w:val="22"/>
                <w:szCs w:val="22"/>
              </w:rPr>
            </w:pPr>
            <w:r w:rsidRPr="00EB272B">
              <w:rPr>
                <w:rFonts w:cstheme="minorHAnsi"/>
                <w:sz w:val="22"/>
                <w:szCs w:val="22"/>
              </w:rPr>
              <w:t> </w:t>
            </w:r>
          </w:p>
        </w:tc>
        <w:tc>
          <w:tcPr>
            <w:tcW w:w="960" w:type="dxa"/>
            <w:hideMark/>
          </w:tcPr>
          <w:p w14:paraId="4DE79F66" w14:textId="77777777" w:rsidR="00E953EE" w:rsidRPr="00EB272B" w:rsidRDefault="00E953EE" w:rsidP="006909EB">
            <w:pPr>
              <w:rPr>
                <w:rFonts w:cstheme="minorHAnsi"/>
                <w:sz w:val="22"/>
                <w:szCs w:val="22"/>
              </w:rPr>
            </w:pPr>
            <w:r w:rsidRPr="00EB272B">
              <w:rPr>
                <w:rFonts w:cstheme="minorHAnsi"/>
                <w:sz w:val="22"/>
                <w:szCs w:val="22"/>
              </w:rPr>
              <w:t>W</w:t>
            </w:r>
          </w:p>
        </w:tc>
        <w:tc>
          <w:tcPr>
            <w:tcW w:w="5380" w:type="dxa"/>
            <w:hideMark/>
          </w:tcPr>
          <w:p w14:paraId="49DAD7E2" w14:textId="77777777" w:rsidR="00E953EE" w:rsidRPr="00EB272B" w:rsidRDefault="00E953EE" w:rsidP="006909EB">
            <w:pPr>
              <w:rPr>
                <w:rFonts w:cstheme="minorHAnsi"/>
                <w:sz w:val="22"/>
                <w:szCs w:val="22"/>
              </w:rPr>
            </w:pPr>
            <w:r w:rsidRPr="00EB272B">
              <w:rPr>
                <w:rFonts w:cstheme="minorHAnsi"/>
                <w:sz w:val="22"/>
                <w:szCs w:val="22"/>
              </w:rPr>
              <w:t>Development of Minamata Initial Assessments (MIA) in the Caribbean (Belize)</w:t>
            </w:r>
          </w:p>
        </w:tc>
        <w:tc>
          <w:tcPr>
            <w:tcW w:w="960" w:type="dxa"/>
            <w:hideMark/>
          </w:tcPr>
          <w:p w14:paraId="6B98CC0B" w14:textId="77777777" w:rsidR="00E953EE" w:rsidRPr="00EB272B" w:rsidRDefault="00E953EE" w:rsidP="006909EB">
            <w:pPr>
              <w:rPr>
                <w:rFonts w:cstheme="minorHAnsi"/>
                <w:sz w:val="22"/>
                <w:szCs w:val="22"/>
              </w:rPr>
            </w:pPr>
            <w:r w:rsidRPr="00EB272B">
              <w:rPr>
                <w:rFonts w:cstheme="minorHAnsi"/>
                <w:sz w:val="22"/>
                <w:szCs w:val="22"/>
              </w:rPr>
              <w:t>GEF-6</w:t>
            </w:r>
          </w:p>
        </w:tc>
        <w:tc>
          <w:tcPr>
            <w:tcW w:w="960" w:type="dxa"/>
            <w:hideMark/>
          </w:tcPr>
          <w:p w14:paraId="5FD8C51E" w14:textId="77777777" w:rsidR="00E953EE" w:rsidRPr="00EB272B" w:rsidRDefault="00E953EE" w:rsidP="006909EB">
            <w:pPr>
              <w:rPr>
                <w:rFonts w:cstheme="minorHAnsi"/>
                <w:sz w:val="22"/>
                <w:szCs w:val="22"/>
              </w:rPr>
            </w:pPr>
            <w:r w:rsidRPr="00EB272B">
              <w:rPr>
                <w:rFonts w:cstheme="minorHAnsi"/>
                <w:sz w:val="22"/>
                <w:szCs w:val="22"/>
              </w:rPr>
              <w:t>EA</w:t>
            </w:r>
          </w:p>
        </w:tc>
        <w:tc>
          <w:tcPr>
            <w:tcW w:w="960" w:type="dxa"/>
            <w:hideMark/>
          </w:tcPr>
          <w:p w14:paraId="1A0F0B4F" w14:textId="77777777" w:rsidR="00E953EE" w:rsidRPr="00EB272B" w:rsidRDefault="00E953EE" w:rsidP="006909EB">
            <w:pPr>
              <w:rPr>
                <w:rFonts w:cstheme="minorHAnsi"/>
                <w:sz w:val="22"/>
                <w:szCs w:val="22"/>
              </w:rPr>
            </w:pPr>
            <w:r w:rsidRPr="00EB272B">
              <w:rPr>
                <w:rFonts w:cstheme="minorHAnsi"/>
                <w:sz w:val="22"/>
                <w:szCs w:val="22"/>
              </w:rPr>
              <w:t>UNEP</w:t>
            </w:r>
          </w:p>
        </w:tc>
        <w:tc>
          <w:tcPr>
            <w:tcW w:w="1660" w:type="dxa"/>
            <w:hideMark/>
          </w:tcPr>
          <w:p w14:paraId="4E318F65" w14:textId="77777777" w:rsidR="00E953EE" w:rsidRPr="00EB272B" w:rsidRDefault="00E953EE" w:rsidP="006909EB">
            <w:pPr>
              <w:jc w:val="right"/>
              <w:rPr>
                <w:rFonts w:cstheme="minorHAnsi"/>
                <w:sz w:val="22"/>
                <w:szCs w:val="22"/>
              </w:rPr>
            </w:pPr>
            <w:r w:rsidRPr="00EB272B">
              <w:rPr>
                <w:rFonts w:cstheme="minorHAnsi"/>
                <w:sz w:val="22"/>
                <w:szCs w:val="22"/>
              </w:rPr>
              <w:t>150000</w:t>
            </w:r>
          </w:p>
        </w:tc>
        <w:tc>
          <w:tcPr>
            <w:tcW w:w="1620" w:type="dxa"/>
            <w:hideMark/>
          </w:tcPr>
          <w:p w14:paraId="5E56EA49" w14:textId="77777777" w:rsidR="00E953EE" w:rsidRPr="00EB272B" w:rsidRDefault="00E953EE" w:rsidP="006909EB">
            <w:pPr>
              <w:jc w:val="right"/>
              <w:rPr>
                <w:rFonts w:cstheme="minorHAnsi"/>
                <w:sz w:val="22"/>
                <w:szCs w:val="22"/>
              </w:rPr>
            </w:pPr>
            <w:r w:rsidRPr="00EB272B">
              <w:rPr>
                <w:rFonts w:cstheme="minorHAnsi"/>
                <w:sz w:val="22"/>
                <w:szCs w:val="22"/>
              </w:rPr>
              <w:t> </w:t>
            </w:r>
            <w:r>
              <w:rPr>
                <w:rFonts w:cstheme="minorHAnsi"/>
                <w:sz w:val="22"/>
                <w:szCs w:val="22"/>
              </w:rPr>
              <w:t>0</w:t>
            </w:r>
          </w:p>
        </w:tc>
      </w:tr>
      <w:tr w:rsidR="00E953EE" w:rsidRPr="00EB272B" w14:paraId="79E90DF3" w14:textId="77777777" w:rsidTr="006909EB">
        <w:trPr>
          <w:trHeight w:val="300"/>
        </w:trPr>
        <w:tc>
          <w:tcPr>
            <w:tcW w:w="1820" w:type="dxa"/>
            <w:hideMark/>
          </w:tcPr>
          <w:p w14:paraId="4E25124F" w14:textId="77777777" w:rsidR="00E953EE" w:rsidRPr="00EB272B" w:rsidRDefault="00E953EE" w:rsidP="006909EB">
            <w:pPr>
              <w:rPr>
                <w:rFonts w:cstheme="minorHAnsi"/>
                <w:sz w:val="22"/>
                <w:szCs w:val="22"/>
              </w:rPr>
            </w:pPr>
            <w:r w:rsidRPr="00EB272B">
              <w:rPr>
                <w:rFonts w:cstheme="minorHAnsi"/>
                <w:sz w:val="22"/>
                <w:szCs w:val="22"/>
              </w:rPr>
              <w:lastRenderedPageBreak/>
              <w:t>Bolivia</w:t>
            </w:r>
          </w:p>
        </w:tc>
        <w:tc>
          <w:tcPr>
            <w:tcW w:w="1840" w:type="dxa"/>
            <w:hideMark/>
          </w:tcPr>
          <w:p w14:paraId="7F3C3B0F" w14:textId="77777777" w:rsidR="00E953EE" w:rsidRPr="00EB272B" w:rsidRDefault="00E953EE" w:rsidP="006909EB">
            <w:pPr>
              <w:rPr>
                <w:rFonts w:cstheme="minorHAnsi"/>
                <w:sz w:val="22"/>
                <w:szCs w:val="22"/>
              </w:rPr>
            </w:pPr>
            <w:r w:rsidRPr="00EB272B">
              <w:rPr>
                <w:rFonts w:cstheme="minorHAnsi"/>
                <w:sz w:val="22"/>
                <w:szCs w:val="22"/>
              </w:rPr>
              <w:t> </w:t>
            </w:r>
          </w:p>
        </w:tc>
        <w:tc>
          <w:tcPr>
            <w:tcW w:w="960" w:type="dxa"/>
            <w:hideMark/>
          </w:tcPr>
          <w:p w14:paraId="44B2B0E6" w14:textId="77777777" w:rsidR="00E953EE" w:rsidRPr="00EB272B" w:rsidRDefault="00E953EE" w:rsidP="006909EB">
            <w:pPr>
              <w:rPr>
                <w:rFonts w:cstheme="minorHAnsi"/>
                <w:sz w:val="22"/>
                <w:szCs w:val="22"/>
              </w:rPr>
            </w:pPr>
            <w:r w:rsidRPr="00EB272B">
              <w:rPr>
                <w:rFonts w:cstheme="minorHAnsi"/>
                <w:sz w:val="22"/>
                <w:szCs w:val="22"/>
              </w:rPr>
              <w:t>P</w:t>
            </w:r>
          </w:p>
        </w:tc>
        <w:tc>
          <w:tcPr>
            <w:tcW w:w="5380" w:type="dxa"/>
            <w:hideMark/>
          </w:tcPr>
          <w:p w14:paraId="16394A8A" w14:textId="77777777" w:rsidR="00E953EE" w:rsidRPr="00EB272B" w:rsidRDefault="00E953EE" w:rsidP="006909EB">
            <w:pPr>
              <w:rPr>
                <w:rFonts w:cstheme="minorHAnsi"/>
                <w:sz w:val="22"/>
                <w:szCs w:val="22"/>
              </w:rPr>
            </w:pPr>
            <w:r w:rsidRPr="00EB272B">
              <w:rPr>
                <w:rFonts w:cstheme="minorHAnsi"/>
                <w:sz w:val="22"/>
                <w:szCs w:val="22"/>
              </w:rPr>
              <w:t>Delivering the Transition to Energy Efficient Lighting</w:t>
            </w:r>
          </w:p>
        </w:tc>
        <w:tc>
          <w:tcPr>
            <w:tcW w:w="960" w:type="dxa"/>
            <w:hideMark/>
          </w:tcPr>
          <w:p w14:paraId="2EED4196" w14:textId="77777777" w:rsidR="00E953EE" w:rsidRPr="00EB272B" w:rsidRDefault="00E953EE" w:rsidP="006909EB">
            <w:pPr>
              <w:rPr>
                <w:rFonts w:cstheme="minorHAnsi"/>
                <w:sz w:val="22"/>
                <w:szCs w:val="22"/>
              </w:rPr>
            </w:pPr>
            <w:r w:rsidRPr="00EB272B">
              <w:rPr>
                <w:rFonts w:cstheme="minorHAnsi"/>
                <w:sz w:val="22"/>
                <w:szCs w:val="22"/>
              </w:rPr>
              <w:t>GEF-5</w:t>
            </w:r>
          </w:p>
        </w:tc>
        <w:tc>
          <w:tcPr>
            <w:tcW w:w="960" w:type="dxa"/>
            <w:hideMark/>
          </w:tcPr>
          <w:p w14:paraId="5EF9ECD5" w14:textId="77777777" w:rsidR="00E953EE" w:rsidRPr="00EB272B" w:rsidRDefault="00E953EE" w:rsidP="006909EB">
            <w:pPr>
              <w:rPr>
                <w:rFonts w:cstheme="minorHAnsi"/>
                <w:sz w:val="22"/>
                <w:szCs w:val="22"/>
              </w:rPr>
            </w:pPr>
            <w:r w:rsidRPr="00EB272B">
              <w:rPr>
                <w:rFonts w:cstheme="minorHAnsi"/>
                <w:sz w:val="22"/>
                <w:szCs w:val="22"/>
              </w:rPr>
              <w:t>FSP</w:t>
            </w:r>
          </w:p>
        </w:tc>
        <w:tc>
          <w:tcPr>
            <w:tcW w:w="960" w:type="dxa"/>
            <w:hideMark/>
          </w:tcPr>
          <w:p w14:paraId="34FFA350" w14:textId="77777777" w:rsidR="00E953EE" w:rsidRPr="00EB272B" w:rsidRDefault="00E953EE" w:rsidP="006909EB">
            <w:pPr>
              <w:rPr>
                <w:rFonts w:cstheme="minorHAnsi"/>
                <w:sz w:val="22"/>
                <w:szCs w:val="22"/>
              </w:rPr>
            </w:pPr>
            <w:r w:rsidRPr="00EB272B">
              <w:rPr>
                <w:rFonts w:cstheme="minorHAnsi"/>
                <w:sz w:val="22"/>
                <w:szCs w:val="22"/>
              </w:rPr>
              <w:t>UNEP</w:t>
            </w:r>
          </w:p>
        </w:tc>
        <w:tc>
          <w:tcPr>
            <w:tcW w:w="1660" w:type="dxa"/>
            <w:hideMark/>
          </w:tcPr>
          <w:p w14:paraId="4E28F82C" w14:textId="77777777" w:rsidR="00E953EE" w:rsidRPr="00EB272B" w:rsidRDefault="00E953EE" w:rsidP="006909EB">
            <w:pPr>
              <w:jc w:val="right"/>
              <w:rPr>
                <w:rFonts w:cstheme="minorHAnsi"/>
                <w:sz w:val="22"/>
                <w:szCs w:val="22"/>
              </w:rPr>
            </w:pPr>
            <w:r w:rsidRPr="00EB272B">
              <w:rPr>
                <w:rFonts w:cstheme="minorHAnsi"/>
                <w:sz w:val="22"/>
                <w:szCs w:val="22"/>
              </w:rPr>
              <w:t>45662</w:t>
            </w:r>
          </w:p>
        </w:tc>
        <w:tc>
          <w:tcPr>
            <w:tcW w:w="1620" w:type="dxa"/>
            <w:hideMark/>
          </w:tcPr>
          <w:p w14:paraId="14C58E19" w14:textId="77777777" w:rsidR="00E953EE" w:rsidRPr="00EB272B" w:rsidRDefault="00E953EE" w:rsidP="006909EB">
            <w:pPr>
              <w:jc w:val="right"/>
              <w:rPr>
                <w:rFonts w:cstheme="minorHAnsi"/>
                <w:sz w:val="22"/>
                <w:szCs w:val="22"/>
              </w:rPr>
            </w:pPr>
            <w:r w:rsidRPr="00EB272B">
              <w:rPr>
                <w:rFonts w:cstheme="minorHAnsi"/>
                <w:sz w:val="22"/>
                <w:szCs w:val="22"/>
              </w:rPr>
              <w:t>0</w:t>
            </w:r>
          </w:p>
        </w:tc>
      </w:tr>
      <w:tr w:rsidR="00E953EE" w:rsidRPr="00EB272B" w14:paraId="5F8D1228" w14:textId="77777777" w:rsidTr="006909EB">
        <w:trPr>
          <w:trHeight w:val="1200"/>
        </w:trPr>
        <w:tc>
          <w:tcPr>
            <w:tcW w:w="1820" w:type="dxa"/>
            <w:hideMark/>
          </w:tcPr>
          <w:p w14:paraId="7CC91E4E" w14:textId="77777777" w:rsidR="00E953EE" w:rsidRPr="00EB272B" w:rsidRDefault="00E953EE" w:rsidP="006909EB">
            <w:pPr>
              <w:rPr>
                <w:rFonts w:cstheme="minorHAnsi"/>
                <w:sz w:val="22"/>
                <w:szCs w:val="22"/>
              </w:rPr>
            </w:pPr>
            <w:r w:rsidRPr="00EB272B">
              <w:rPr>
                <w:rFonts w:cstheme="minorHAnsi"/>
                <w:sz w:val="22"/>
                <w:szCs w:val="22"/>
              </w:rPr>
              <w:t>Bosnia-Herzegovina</w:t>
            </w:r>
          </w:p>
        </w:tc>
        <w:tc>
          <w:tcPr>
            <w:tcW w:w="1840" w:type="dxa"/>
            <w:hideMark/>
          </w:tcPr>
          <w:p w14:paraId="4A9CA06E" w14:textId="77777777" w:rsidR="00E953EE" w:rsidRPr="00EB272B" w:rsidRDefault="00E953EE" w:rsidP="006909EB">
            <w:pPr>
              <w:rPr>
                <w:rFonts w:cstheme="minorHAnsi"/>
                <w:sz w:val="22"/>
                <w:szCs w:val="22"/>
              </w:rPr>
            </w:pPr>
            <w:r w:rsidRPr="00EB272B">
              <w:rPr>
                <w:rFonts w:cstheme="minorHAnsi"/>
                <w:sz w:val="22"/>
                <w:szCs w:val="22"/>
              </w:rPr>
              <w:t> </w:t>
            </w:r>
          </w:p>
        </w:tc>
        <w:tc>
          <w:tcPr>
            <w:tcW w:w="960" w:type="dxa"/>
            <w:hideMark/>
          </w:tcPr>
          <w:p w14:paraId="75C36CCE" w14:textId="77777777" w:rsidR="00E953EE" w:rsidRPr="00EB272B" w:rsidRDefault="00E953EE" w:rsidP="006909EB">
            <w:pPr>
              <w:rPr>
                <w:rFonts w:cstheme="minorHAnsi"/>
                <w:sz w:val="22"/>
                <w:szCs w:val="22"/>
              </w:rPr>
            </w:pPr>
            <w:r w:rsidRPr="00EB272B">
              <w:rPr>
                <w:rFonts w:cstheme="minorHAnsi"/>
                <w:sz w:val="22"/>
                <w:szCs w:val="22"/>
              </w:rPr>
              <w:t>W</w:t>
            </w:r>
          </w:p>
        </w:tc>
        <w:tc>
          <w:tcPr>
            <w:tcW w:w="5380" w:type="dxa"/>
            <w:hideMark/>
          </w:tcPr>
          <w:p w14:paraId="65321AA9" w14:textId="77777777" w:rsidR="00E953EE" w:rsidRPr="00EB272B" w:rsidRDefault="00E953EE" w:rsidP="006909EB">
            <w:pPr>
              <w:rPr>
                <w:rFonts w:cstheme="minorHAnsi"/>
                <w:sz w:val="22"/>
                <w:szCs w:val="22"/>
              </w:rPr>
            </w:pPr>
            <w:r w:rsidRPr="00EB272B">
              <w:rPr>
                <w:rFonts w:cstheme="minorHAnsi"/>
                <w:sz w:val="22"/>
                <w:szCs w:val="22"/>
              </w:rPr>
              <w:t>Strengthen Bosnia and Herzegovina Decision-making Towards Becoming a Party to the Minamata Convention and Build Capacity Towards Implementation of Future Provisions</w:t>
            </w:r>
          </w:p>
        </w:tc>
        <w:tc>
          <w:tcPr>
            <w:tcW w:w="960" w:type="dxa"/>
            <w:hideMark/>
          </w:tcPr>
          <w:p w14:paraId="4E35C11A" w14:textId="77777777" w:rsidR="00E953EE" w:rsidRPr="00EB272B" w:rsidRDefault="00E953EE" w:rsidP="006909EB">
            <w:pPr>
              <w:rPr>
                <w:rFonts w:cstheme="minorHAnsi"/>
                <w:sz w:val="22"/>
                <w:szCs w:val="22"/>
              </w:rPr>
            </w:pPr>
            <w:r w:rsidRPr="00EB272B">
              <w:rPr>
                <w:rFonts w:cstheme="minorHAnsi"/>
                <w:sz w:val="22"/>
                <w:szCs w:val="22"/>
              </w:rPr>
              <w:t>GEF-6</w:t>
            </w:r>
          </w:p>
        </w:tc>
        <w:tc>
          <w:tcPr>
            <w:tcW w:w="960" w:type="dxa"/>
            <w:hideMark/>
          </w:tcPr>
          <w:p w14:paraId="7F3DD803" w14:textId="77777777" w:rsidR="00E953EE" w:rsidRPr="00EB272B" w:rsidRDefault="00E953EE" w:rsidP="006909EB">
            <w:pPr>
              <w:rPr>
                <w:rFonts w:cstheme="minorHAnsi"/>
                <w:sz w:val="22"/>
                <w:szCs w:val="22"/>
              </w:rPr>
            </w:pPr>
            <w:r w:rsidRPr="00EB272B">
              <w:rPr>
                <w:rFonts w:cstheme="minorHAnsi"/>
                <w:sz w:val="22"/>
                <w:szCs w:val="22"/>
              </w:rPr>
              <w:t>EA</w:t>
            </w:r>
          </w:p>
        </w:tc>
        <w:tc>
          <w:tcPr>
            <w:tcW w:w="960" w:type="dxa"/>
            <w:hideMark/>
          </w:tcPr>
          <w:p w14:paraId="0294D591" w14:textId="77777777" w:rsidR="00E953EE" w:rsidRPr="00EB272B" w:rsidRDefault="00E953EE" w:rsidP="006909EB">
            <w:pPr>
              <w:rPr>
                <w:rFonts w:cstheme="minorHAnsi"/>
                <w:sz w:val="22"/>
                <w:szCs w:val="22"/>
              </w:rPr>
            </w:pPr>
            <w:r w:rsidRPr="00EB272B">
              <w:rPr>
                <w:rFonts w:cstheme="minorHAnsi"/>
                <w:sz w:val="22"/>
                <w:szCs w:val="22"/>
              </w:rPr>
              <w:t>UNDP</w:t>
            </w:r>
          </w:p>
        </w:tc>
        <w:tc>
          <w:tcPr>
            <w:tcW w:w="1660" w:type="dxa"/>
            <w:hideMark/>
          </w:tcPr>
          <w:p w14:paraId="22D1D380" w14:textId="77777777" w:rsidR="00E953EE" w:rsidRPr="00EB272B" w:rsidRDefault="00E953EE" w:rsidP="006909EB">
            <w:pPr>
              <w:jc w:val="right"/>
              <w:rPr>
                <w:rFonts w:cstheme="minorHAnsi"/>
                <w:sz w:val="22"/>
                <w:szCs w:val="22"/>
              </w:rPr>
            </w:pPr>
            <w:r w:rsidRPr="00EB272B">
              <w:rPr>
                <w:rFonts w:cstheme="minorHAnsi"/>
                <w:sz w:val="22"/>
                <w:szCs w:val="22"/>
              </w:rPr>
              <w:t>200000</w:t>
            </w:r>
          </w:p>
        </w:tc>
        <w:tc>
          <w:tcPr>
            <w:tcW w:w="1620" w:type="dxa"/>
            <w:hideMark/>
          </w:tcPr>
          <w:p w14:paraId="66AB9557" w14:textId="77777777" w:rsidR="00E953EE" w:rsidRPr="00EB272B" w:rsidRDefault="00E953EE" w:rsidP="006909EB">
            <w:pPr>
              <w:jc w:val="right"/>
              <w:rPr>
                <w:rFonts w:cstheme="minorHAnsi"/>
                <w:sz w:val="22"/>
                <w:szCs w:val="22"/>
              </w:rPr>
            </w:pPr>
            <w:r>
              <w:rPr>
                <w:rFonts w:cstheme="minorHAnsi"/>
                <w:sz w:val="22"/>
                <w:szCs w:val="22"/>
              </w:rPr>
              <w:t>0</w:t>
            </w:r>
            <w:r w:rsidRPr="00EB272B">
              <w:rPr>
                <w:rFonts w:cstheme="minorHAnsi"/>
                <w:sz w:val="22"/>
                <w:szCs w:val="22"/>
              </w:rPr>
              <w:t> </w:t>
            </w:r>
          </w:p>
        </w:tc>
      </w:tr>
      <w:tr w:rsidR="00E953EE" w:rsidRPr="00EB272B" w14:paraId="1016F3B9" w14:textId="77777777" w:rsidTr="006909EB">
        <w:trPr>
          <w:trHeight w:val="600"/>
        </w:trPr>
        <w:tc>
          <w:tcPr>
            <w:tcW w:w="1820" w:type="dxa"/>
            <w:hideMark/>
          </w:tcPr>
          <w:p w14:paraId="41FE636B" w14:textId="77777777" w:rsidR="00E953EE" w:rsidRPr="00EB272B" w:rsidRDefault="00E953EE" w:rsidP="006909EB">
            <w:pPr>
              <w:rPr>
                <w:rFonts w:cstheme="minorHAnsi"/>
                <w:sz w:val="22"/>
                <w:szCs w:val="22"/>
              </w:rPr>
            </w:pPr>
            <w:r w:rsidRPr="00EB272B">
              <w:rPr>
                <w:rFonts w:cstheme="minorHAnsi"/>
                <w:sz w:val="22"/>
                <w:szCs w:val="22"/>
              </w:rPr>
              <w:t>Brazil</w:t>
            </w:r>
          </w:p>
        </w:tc>
        <w:tc>
          <w:tcPr>
            <w:tcW w:w="1840" w:type="dxa"/>
            <w:hideMark/>
          </w:tcPr>
          <w:p w14:paraId="5738E65F" w14:textId="77777777" w:rsidR="00E953EE" w:rsidRPr="00EB272B" w:rsidRDefault="00E953EE" w:rsidP="006909EB">
            <w:pPr>
              <w:rPr>
                <w:rFonts w:cstheme="minorHAnsi"/>
                <w:sz w:val="22"/>
                <w:szCs w:val="22"/>
              </w:rPr>
            </w:pPr>
            <w:r w:rsidRPr="00EB272B">
              <w:rPr>
                <w:rFonts w:cstheme="minorHAnsi"/>
                <w:sz w:val="22"/>
                <w:szCs w:val="22"/>
              </w:rPr>
              <w:t> </w:t>
            </w:r>
          </w:p>
        </w:tc>
        <w:tc>
          <w:tcPr>
            <w:tcW w:w="960" w:type="dxa"/>
            <w:hideMark/>
          </w:tcPr>
          <w:p w14:paraId="3CEAB6EF" w14:textId="77777777" w:rsidR="00E953EE" w:rsidRPr="00EB272B" w:rsidRDefault="00E953EE" w:rsidP="006909EB">
            <w:pPr>
              <w:rPr>
                <w:rFonts w:cstheme="minorHAnsi"/>
                <w:sz w:val="22"/>
                <w:szCs w:val="22"/>
              </w:rPr>
            </w:pPr>
            <w:r w:rsidRPr="00EB272B">
              <w:rPr>
                <w:rFonts w:cstheme="minorHAnsi"/>
                <w:sz w:val="22"/>
                <w:szCs w:val="22"/>
              </w:rPr>
              <w:t>P</w:t>
            </w:r>
          </w:p>
        </w:tc>
        <w:tc>
          <w:tcPr>
            <w:tcW w:w="5380" w:type="dxa"/>
            <w:hideMark/>
          </w:tcPr>
          <w:p w14:paraId="1378C24C" w14:textId="77777777" w:rsidR="00E953EE" w:rsidRPr="00EB272B" w:rsidRDefault="00E953EE" w:rsidP="006909EB">
            <w:pPr>
              <w:rPr>
                <w:rFonts w:cstheme="minorHAnsi"/>
                <w:sz w:val="22"/>
                <w:szCs w:val="22"/>
              </w:rPr>
            </w:pPr>
            <w:r w:rsidRPr="00EB272B">
              <w:rPr>
                <w:rFonts w:cstheme="minorHAnsi"/>
                <w:sz w:val="22"/>
                <w:szCs w:val="22"/>
              </w:rPr>
              <w:t>Development of Minamata Convention on Mercury Initial Assessment in Brazil</w:t>
            </w:r>
          </w:p>
        </w:tc>
        <w:tc>
          <w:tcPr>
            <w:tcW w:w="960" w:type="dxa"/>
            <w:hideMark/>
          </w:tcPr>
          <w:p w14:paraId="1AC29E6D" w14:textId="77777777" w:rsidR="00E953EE" w:rsidRPr="00EB272B" w:rsidRDefault="00E953EE" w:rsidP="006909EB">
            <w:pPr>
              <w:rPr>
                <w:rFonts w:cstheme="minorHAnsi"/>
                <w:sz w:val="22"/>
                <w:szCs w:val="22"/>
              </w:rPr>
            </w:pPr>
            <w:r w:rsidRPr="00EB272B">
              <w:rPr>
                <w:rFonts w:cstheme="minorHAnsi"/>
                <w:sz w:val="22"/>
                <w:szCs w:val="22"/>
              </w:rPr>
              <w:t>GEF-5</w:t>
            </w:r>
          </w:p>
        </w:tc>
        <w:tc>
          <w:tcPr>
            <w:tcW w:w="960" w:type="dxa"/>
            <w:hideMark/>
          </w:tcPr>
          <w:p w14:paraId="374473A5" w14:textId="77777777" w:rsidR="00E953EE" w:rsidRPr="00EB272B" w:rsidRDefault="00E953EE" w:rsidP="006909EB">
            <w:pPr>
              <w:rPr>
                <w:rFonts w:cstheme="minorHAnsi"/>
                <w:sz w:val="22"/>
                <w:szCs w:val="22"/>
              </w:rPr>
            </w:pPr>
            <w:r w:rsidRPr="00EB272B">
              <w:rPr>
                <w:rFonts w:cstheme="minorHAnsi"/>
                <w:sz w:val="22"/>
                <w:szCs w:val="22"/>
              </w:rPr>
              <w:t>EA</w:t>
            </w:r>
          </w:p>
        </w:tc>
        <w:tc>
          <w:tcPr>
            <w:tcW w:w="960" w:type="dxa"/>
            <w:hideMark/>
          </w:tcPr>
          <w:p w14:paraId="581555AF" w14:textId="77777777" w:rsidR="00E953EE" w:rsidRPr="00EB272B" w:rsidRDefault="00E953EE" w:rsidP="006909EB">
            <w:pPr>
              <w:rPr>
                <w:rFonts w:cstheme="minorHAnsi"/>
                <w:sz w:val="22"/>
                <w:szCs w:val="22"/>
              </w:rPr>
            </w:pPr>
            <w:r w:rsidRPr="00EB272B">
              <w:rPr>
                <w:rFonts w:cstheme="minorHAnsi"/>
                <w:sz w:val="22"/>
                <w:szCs w:val="22"/>
              </w:rPr>
              <w:t>UNEP</w:t>
            </w:r>
          </w:p>
        </w:tc>
        <w:tc>
          <w:tcPr>
            <w:tcW w:w="1660" w:type="dxa"/>
            <w:hideMark/>
          </w:tcPr>
          <w:p w14:paraId="4585051F" w14:textId="77777777" w:rsidR="00E953EE" w:rsidRPr="00EB272B" w:rsidRDefault="00E953EE" w:rsidP="006909EB">
            <w:pPr>
              <w:jc w:val="right"/>
              <w:rPr>
                <w:rFonts w:cstheme="minorHAnsi"/>
                <w:sz w:val="22"/>
                <w:szCs w:val="22"/>
              </w:rPr>
            </w:pPr>
            <w:r w:rsidRPr="00EB272B">
              <w:rPr>
                <w:rFonts w:cstheme="minorHAnsi"/>
                <w:sz w:val="22"/>
                <w:szCs w:val="22"/>
              </w:rPr>
              <w:t>821918</w:t>
            </w:r>
          </w:p>
        </w:tc>
        <w:tc>
          <w:tcPr>
            <w:tcW w:w="1620" w:type="dxa"/>
            <w:hideMark/>
          </w:tcPr>
          <w:p w14:paraId="1B225B58" w14:textId="77777777" w:rsidR="00E953EE" w:rsidRPr="00EB272B" w:rsidRDefault="00E953EE" w:rsidP="006909EB">
            <w:pPr>
              <w:jc w:val="right"/>
              <w:rPr>
                <w:rFonts w:cstheme="minorHAnsi"/>
                <w:sz w:val="22"/>
                <w:szCs w:val="22"/>
              </w:rPr>
            </w:pPr>
            <w:r w:rsidRPr="00EB272B">
              <w:rPr>
                <w:rFonts w:cstheme="minorHAnsi"/>
                <w:sz w:val="22"/>
                <w:szCs w:val="22"/>
              </w:rPr>
              <w:t>1690000</w:t>
            </w:r>
          </w:p>
        </w:tc>
      </w:tr>
      <w:tr w:rsidR="00E953EE" w:rsidRPr="00EB272B" w14:paraId="4A47DAB3" w14:textId="77777777" w:rsidTr="006909EB">
        <w:trPr>
          <w:trHeight w:val="600"/>
        </w:trPr>
        <w:tc>
          <w:tcPr>
            <w:tcW w:w="1820" w:type="dxa"/>
            <w:hideMark/>
          </w:tcPr>
          <w:p w14:paraId="5B90AEE3" w14:textId="77777777" w:rsidR="00E953EE" w:rsidRPr="00EB272B" w:rsidRDefault="00E953EE" w:rsidP="006909EB">
            <w:pPr>
              <w:rPr>
                <w:rFonts w:cstheme="minorHAnsi"/>
                <w:sz w:val="22"/>
                <w:szCs w:val="22"/>
              </w:rPr>
            </w:pPr>
            <w:r w:rsidRPr="00EB272B">
              <w:rPr>
                <w:rFonts w:cstheme="minorHAnsi"/>
                <w:sz w:val="22"/>
                <w:szCs w:val="22"/>
              </w:rPr>
              <w:t>Burkina Faso</w:t>
            </w:r>
          </w:p>
        </w:tc>
        <w:tc>
          <w:tcPr>
            <w:tcW w:w="1840" w:type="dxa"/>
            <w:hideMark/>
          </w:tcPr>
          <w:p w14:paraId="58921A86" w14:textId="77777777" w:rsidR="00E953EE" w:rsidRPr="00EB272B" w:rsidRDefault="00E953EE" w:rsidP="006909EB">
            <w:pPr>
              <w:rPr>
                <w:rFonts w:cstheme="minorHAnsi"/>
                <w:sz w:val="22"/>
                <w:szCs w:val="22"/>
              </w:rPr>
            </w:pPr>
            <w:r w:rsidRPr="00EB272B">
              <w:rPr>
                <w:rFonts w:cstheme="minorHAnsi"/>
                <w:sz w:val="22"/>
                <w:szCs w:val="22"/>
              </w:rPr>
              <w:t> </w:t>
            </w:r>
          </w:p>
        </w:tc>
        <w:tc>
          <w:tcPr>
            <w:tcW w:w="960" w:type="dxa"/>
            <w:hideMark/>
          </w:tcPr>
          <w:p w14:paraId="78105B45" w14:textId="77777777" w:rsidR="00E953EE" w:rsidRPr="00EB272B" w:rsidRDefault="00E953EE" w:rsidP="006909EB">
            <w:pPr>
              <w:rPr>
                <w:rFonts w:cstheme="minorHAnsi"/>
                <w:sz w:val="22"/>
                <w:szCs w:val="22"/>
              </w:rPr>
            </w:pPr>
            <w:r w:rsidRPr="00EB272B">
              <w:rPr>
                <w:rFonts w:cstheme="minorHAnsi"/>
                <w:sz w:val="22"/>
                <w:szCs w:val="22"/>
              </w:rPr>
              <w:t>W</w:t>
            </w:r>
          </w:p>
        </w:tc>
        <w:tc>
          <w:tcPr>
            <w:tcW w:w="5380" w:type="dxa"/>
            <w:hideMark/>
          </w:tcPr>
          <w:p w14:paraId="268A690B" w14:textId="77777777" w:rsidR="00E953EE" w:rsidRPr="00EB272B" w:rsidRDefault="00E953EE" w:rsidP="006909EB">
            <w:pPr>
              <w:rPr>
                <w:rFonts w:cstheme="minorHAnsi"/>
                <w:sz w:val="22"/>
                <w:szCs w:val="22"/>
              </w:rPr>
            </w:pPr>
            <w:r w:rsidRPr="00EB272B">
              <w:rPr>
                <w:rFonts w:cstheme="minorHAnsi"/>
                <w:sz w:val="22"/>
                <w:szCs w:val="22"/>
              </w:rPr>
              <w:t>National Action Plan on Mercury in the Artisanal and Small-Scale Gold Mining Sector in Burkina Faso</w:t>
            </w:r>
          </w:p>
        </w:tc>
        <w:tc>
          <w:tcPr>
            <w:tcW w:w="960" w:type="dxa"/>
            <w:hideMark/>
          </w:tcPr>
          <w:p w14:paraId="26EC91F4" w14:textId="77777777" w:rsidR="00E953EE" w:rsidRPr="00EB272B" w:rsidRDefault="00E953EE" w:rsidP="006909EB">
            <w:pPr>
              <w:rPr>
                <w:rFonts w:cstheme="minorHAnsi"/>
                <w:sz w:val="22"/>
                <w:szCs w:val="22"/>
              </w:rPr>
            </w:pPr>
            <w:r w:rsidRPr="00EB272B">
              <w:rPr>
                <w:rFonts w:cstheme="minorHAnsi"/>
                <w:sz w:val="22"/>
                <w:szCs w:val="22"/>
              </w:rPr>
              <w:t>GEF-6</w:t>
            </w:r>
          </w:p>
        </w:tc>
        <w:tc>
          <w:tcPr>
            <w:tcW w:w="960" w:type="dxa"/>
            <w:hideMark/>
          </w:tcPr>
          <w:p w14:paraId="5CA81801" w14:textId="77777777" w:rsidR="00E953EE" w:rsidRPr="00EB272B" w:rsidRDefault="00E953EE" w:rsidP="006909EB">
            <w:pPr>
              <w:rPr>
                <w:rFonts w:cstheme="minorHAnsi"/>
                <w:sz w:val="22"/>
                <w:szCs w:val="22"/>
              </w:rPr>
            </w:pPr>
            <w:r w:rsidRPr="00EB272B">
              <w:rPr>
                <w:rFonts w:cstheme="minorHAnsi"/>
                <w:sz w:val="22"/>
                <w:szCs w:val="22"/>
              </w:rPr>
              <w:t>EA</w:t>
            </w:r>
          </w:p>
        </w:tc>
        <w:tc>
          <w:tcPr>
            <w:tcW w:w="960" w:type="dxa"/>
            <w:hideMark/>
          </w:tcPr>
          <w:p w14:paraId="37ADBA73" w14:textId="77777777" w:rsidR="00E953EE" w:rsidRPr="00EB272B" w:rsidRDefault="00E953EE" w:rsidP="006909EB">
            <w:pPr>
              <w:rPr>
                <w:rFonts w:cstheme="minorHAnsi"/>
                <w:sz w:val="22"/>
                <w:szCs w:val="22"/>
              </w:rPr>
            </w:pPr>
            <w:r w:rsidRPr="00EB272B">
              <w:rPr>
                <w:rFonts w:cstheme="minorHAnsi"/>
                <w:sz w:val="22"/>
                <w:szCs w:val="22"/>
              </w:rPr>
              <w:t>UNIDO</w:t>
            </w:r>
          </w:p>
        </w:tc>
        <w:tc>
          <w:tcPr>
            <w:tcW w:w="1660" w:type="dxa"/>
            <w:hideMark/>
          </w:tcPr>
          <w:p w14:paraId="1ED6B0AF" w14:textId="77777777" w:rsidR="00E953EE" w:rsidRPr="00EB272B" w:rsidRDefault="00E953EE" w:rsidP="006909EB">
            <w:pPr>
              <w:jc w:val="right"/>
              <w:rPr>
                <w:rFonts w:cstheme="minorHAnsi"/>
                <w:sz w:val="22"/>
                <w:szCs w:val="22"/>
              </w:rPr>
            </w:pPr>
            <w:r w:rsidRPr="00EB272B">
              <w:rPr>
                <w:rFonts w:cstheme="minorHAnsi"/>
                <w:sz w:val="22"/>
                <w:szCs w:val="22"/>
              </w:rPr>
              <w:t>500000</w:t>
            </w:r>
          </w:p>
        </w:tc>
        <w:tc>
          <w:tcPr>
            <w:tcW w:w="1620" w:type="dxa"/>
            <w:hideMark/>
          </w:tcPr>
          <w:p w14:paraId="2D44FA6C" w14:textId="77777777" w:rsidR="00E953EE" w:rsidRPr="00EB272B" w:rsidRDefault="00E953EE" w:rsidP="006909EB">
            <w:pPr>
              <w:jc w:val="right"/>
              <w:rPr>
                <w:rFonts w:cstheme="minorHAnsi"/>
                <w:sz w:val="22"/>
                <w:szCs w:val="22"/>
              </w:rPr>
            </w:pPr>
            <w:r w:rsidRPr="00EB272B">
              <w:rPr>
                <w:rFonts w:cstheme="minorHAnsi"/>
                <w:sz w:val="22"/>
                <w:szCs w:val="22"/>
              </w:rPr>
              <w:t>216000</w:t>
            </w:r>
          </w:p>
        </w:tc>
      </w:tr>
      <w:tr w:rsidR="00E953EE" w:rsidRPr="00EB272B" w14:paraId="6D567199" w14:textId="77777777" w:rsidTr="006909EB">
        <w:trPr>
          <w:trHeight w:val="600"/>
        </w:trPr>
        <w:tc>
          <w:tcPr>
            <w:tcW w:w="1820" w:type="dxa"/>
            <w:hideMark/>
          </w:tcPr>
          <w:p w14:paraId="419DDA39" w14:textId="77777777" w:rsidR="00E953EE" w:rsidRPr="00EB272B" w:rsidRDefault="00E953EE" w:rsidP="006909EB">
            <w:pPr>
              <w:rPr>
                <w:rFonts w:cstheme="minorHAnsi"/>
                <w:sz w:val="22"/>
                <w:szCs w:val="22"/>
              </w:rPr>
            </w:pPr>
            <w:r w:rsidRPr="00EB272B">
              <w:rPr>
                <w:rFonts w:cstheme="minorHAnsi"/>
                <w:sz w:val="22"/>
                <w:szCs w:val="22"/>
              </w:rPr>
              <w:t>Cameroon</w:t>
            </w:r>
          </w:p>
        </w:tc>
        <w:tc>
          <w:tcPr>
            <w:tcW w:w="1840" w:type="dxa"/>
            <w:hideMark/>
          </w:tcPr>
          <w:p w14:paraId="5FC98456" w14:textId="77777777" w:rsidR="00E953EE" w:rsidRPr="00EB272B" w:rsidRDefault="00E953EE" w:rsidP="006909EB">
            <w:pPr>
              <w:rPr>
                <w:rFonts w:cstheme="minorHAnsi"/>
                <w:sz w:val="22"/>
                <w:szCs w:val="22"/>
              </w:rPr>
            </w:pPr>
            <w:r w:rsidRPr="00EB272B">
              <w:rPr>
                <w:rFonts w:cstheme="minorHAnsi"/>
                <w:sz w:val="22"/>
                <w:szCs w:val="22"/>
              </w:rPr>
              <w:t> </w:t>
            </w:r>
          </w:p>
        </w:tc>
        <w:tc>
          <w:tcPr>
            <w:tcW w:w="960" w:type="dxa"/>
            <w:hideMark/>
          </w:tcPr>
          <w:p w14:paraId="50E6C9F5" w14:textId="77777777" w:rsidR="00E953EE" w:rsidRPr="00EB272B" w:rsidRDefault="00E953EE" w:rsidP="006909EB">
            <w:pPr>
              <w:rPr>
                <w:rFonts w:cstheme="minorHAnsi"/>
                <w:sz w:val="22"/>
                <w:szCs w:val="22"/>
              </w:rPr>
            </w:pPr>
            <w:r w:rsidRPr="00EB272B">
              <w:rPr>
                <w:rFonts w:cstheme="minorHAnsi"/>
                <w:sz w:val="22"/>
                <w:szCs w:val="22"/>
              </w:rPr>
              <w:t>W</w:t>
            </w:r>
          </w:p>
        </w:tc>
        <w:tc>
          <w:tcPr>
            <w:tcW w:w="5380" w:type="dxa"/>
            <w:hideMark/>
          </w:tcPr>
          <w:p w14:paraId="40DE995D" w14:textId="77777777" w:rsidR="00E953EE" w:rsidRPr="00EB272B" w:rsidRDefault="00E953EE" w:rsidP="006909EB">
            <w:pPr>
              <w:rPr>
                <w:rFonts w:cstheme="minorHAnsi"/>
                <w:sz w:val="22"/>
                <w:szCs w:val="22"/>
              </w:rPr>
            </w:pPr>
            <w:r w:rsidRPr="00EB272B">
              <w:rPr>
                <w:rFonts w:cstheme="minorHAnsi"/>
                <w:sz w:val="22"/>
                <w:szCs w:val="22"/>
              </w:rPr>
              <w:t>Development of Minamata Initial Assessment in Cameroon</w:t>
            </w:r>
          </w:p>
        </w:tc>
        <w:tc>
          <w:tcPr>
            <w:tcW w:w="960" w:type="dxa"/>
            <w:hideMark/>
          </w:tcPr>
          <w:p w14:paraId="36AE6B10" w14:textId="77777777" w:rsidR="00E953EE" w:rsidRPr="00EB272B" w:rsidRDefault="00E953EE" w:rsidP="006909EB">
            <w:pPr>
              <w:rPr>
                <w:rFonts w:cstheme="minorHAnsi"/>
                <w:sz w:val="22"/>
                <w:szCs w:val="22"/>
              </w:rPr>
            </w:pPr>
            <w:r w:rsidRPr="00EB272B">
              <w:rPr>
                <w:rFonts w:cstheme="minorHAnsi"/>
                <w:sz w:val="22"/>
                <w:szCs w:val="22"/>
              </w:rPr>
              <w:t>GEF-6</w:t>
            </w:r>
          </w:p>
        </w:tc>
        <w:tc>
          <w:tcPr>
            <w:tcW w:w="960" w:type="dxa"/>
            <w:hideMark/>
          </w:tcPr>
          <w:p w14:paraId="5C4E1C54" w14:textId="77777777" w:rsidR="00E953EE" w:rsidRPr="00EB272B" w:rsidRDefault="00E953EE" w:rsidP="006909EB">
            <w:pPr>
              <w:rPr>
                <w:rFonts w:cstheme="minorHAnsi"/>
                <w:sz w:val="22"/>
                <w:szCs w:val="22"/>
              </w:rPr>
            </w:pPr>
            <w:r w:rsidRPr="00EB272B">
              <w:rPr>
                <w:rFonts w:cstheme="minorHAnsi"/>
                <w:sz w:val="22"/>
                <w:szCs w:val="22"/>
              </w:rPr>
              <w:t>EA</w:t>
            </w:r>
          </w:p>
        </w:tc>
        <w:tc>
          <w:tcPr>
            <w:tcW w:w="960" w:type="dxa"/>
            <w:hideMark/>
          </w:tcPr>
          <w:p w14:paraId="3BA1A259" w14:textId="77777777" w:rsidR="00E953EE" w:rsidRPr="00EB272B" w:rsidRDefault="00E953EE" w:rsidP="006909EB">
            <w:pPr>
              <w:rPr>
                <w:rFonts w:cstheme="minorHAnsi"/>
                <w:sz w:val="22"/>
                <w:szCs w:val="22"/>
              </w:rPr>
            </w:pPr>
            <w:r w:rsidRPr="00EB272B">
              <w:rPr>
                <w:rFonts w:cstheme="minorHAnsi"/>
                <w:sz w:val="22"/>
                <w:szCs w:val="22"/>
              </w:rPr>
              <w:t>UNEP</w:t>
            </w:r>
          </w:p>
        </w:tc>
        <w:tc>
          <w:tcPr>
            <w:tcW w:w="1660" w:type="dxa"/>
            <w:hideMark/>
          </w:tcPr>
          <w:p w14:paraId="42DE1662" w14:textId="77777777" w:rsidR="00E953EE" w:rsidRPr="00EB272B" w:rsidRDefault="00E953EE" w:rsidP="006909EB">
            <w:pPr>
              <w:jc w:val="right"/>
              <w:rPr>
                <w:rFonts w:cstheme="minorHAnsi"/>
                <w:sz w:val="22"/>
                <w:szCs w:val="22"/>
              </w:rPr>
            </w:pPr>
            <w:r w:rsidRPr="00EB272B">
              <w:rPr>
                <w:rFonts w:cstheme="minorHAnsi"/>
                <w:sz w:val="22"/>
                <w:szCs w:val="22"/>
              </w:rPr>
              <w:t>200000</w:t>
            </w:r>
          </w:p>
        </w:tc>
        <w:tc>
          <w:tcPr>
            <w:tcW w:w="1620" w:type="dxa"/>
            <w:hideMark/>
          </w:tcPr>
          <w:p w14:paraId="5D0D9693" w14:textId="77777777" w:rsidR="00E953EE" w:rsidRPr="00EB272B" w:rsidRDefault="00E953EE" w:rsidP="006909EB">
            <w:pPr>
              <w:jc w:val="right"/>
              <w:rPr>
                <w:rFonts w:cstheme="minorHAnsi"/>
                <w:sz w:val="22"/>
                <w:szCs w:val="22"/>
              </w:rPr>
            </w:pPr>
            <w:r>
              <w:rPr>
                <w:rFonts w:cstheme="minorHAnsi"/>
                <w:sz w:val="22"/>
                <w:szCs w:val="22"/>
              </w:rPr>
              <w:t>0</w:t>
            </w:r>
            <w:r w:rsidRPr="00EB272B">
              <w:rPr>
                <w:rFonts w:cstheme="minorHAnsi"/>
                <w:sz w:val="22"/>
                <w:szCs w:val="22"/>
              </w:rPr>
              <w:t> </w:t>
            </w:r>
          </w:p>
        </w:tc>
      </w:tr>
      <w:tr w:rsidR="00E953EE" w:rsidRPr="00EB272B" w14:paraId="2CC94992" w14:textId="77777777" w:rsidTr="006909EB">
        <w:trPr>
          <w:trHeight w:val="300"/>
        </w:trPr>
        <w:tc>
          <w:tcPr>
            <w:tcW w:w="1820" w:type="dxa"/>
            <w:hideMark/>
          </w:tcPr>
          <w:p w14:paraId="2850DF83" w14:textId="77777777" w:rsidR="00E953EE" w:rsidRPr="00EB272B" w:rsidRDefault="00E953EE" w:rsidP="006909EB">
            <w:pPr>
              <w:rPr>
                <w:rFonts w:cstheme="minorHAnsi"/>
                <w:sz w:val="22"/>
                <w:szCs w:val="22"/>
              </w:rPr>
            </w:pPr>
            <w:r w:rsidRPr="00EB272B">
              <w:rPr>
                <w:rFonts w:cstheme="minorHAnsi"/>
                <w:sz w:val="22"/>
                <w:szCs w:val="22"/>
              </w:rPr>
              <w:t>Chad</w:t>
            </w:r>
          </w:p>
        </w:tc>
        <w:tc>
          <w:tcPr>
            <w:tcW w:w="1840" w:type="dxa"/>
            <w:hideMark/>
          </w:tcPr>
          <w:p w14:paraId="419B71D7" w14:textId="77777777" w:rsidR="00E953EE" w:rsidRPr="00EB272B" w:rsidRDefault="00E953EE" w:rsidP="006909EB">
            <w:pPr>
              <w:rPr>
                <w:rFonts w:cstheme="minorHAnsi"/>
                <w:sz w:val="22"/>
                <w:szCs w:val="22"/>
              </w:rPr>
            </w:pPr>
            <w:r w:rsidRPr="00EB272B">
              <w:rPr>
                <w:rFonts w:cstheme="minorHAnsi"/>
                <w:sz w:val="22"/>
                <w:szCs w:val="22"/>
              </w:rPr>
              <w:t> </w:t>
            </w:r>
          </w:p>
        </w:tc>
        <w:tc>
          <w:tcPr>
            <w:tcW w:w="960" w:type="dxa"/>
            <w:hideMark/>
          </w:tcPr>
          <w:p w14:paraId="036B295D" w14:textId="77777777" w:rsidR="00E953EE" w:rsidRPr="00EB272B" w:rsidRDefault="00E953EE" w:rsidP="006909EB">
            <w:pPr>
              <w:rPr>
                <w:rFonts w:cstheme="minorHAnsi"/>
                <w:sz w:val="22"/>
                <w:szCs w:val="22"/>
              </w:rPr>
            </w:pPr>
            <w:r w:rsidRPr="00EB272B">
              <w:rPr>
                <w:rFonts w:cstheme="minorHAnsi"/>
                <w:sz w:val="22"/>
                <w:szCs w:val="22"/>
              </w:rPr>
              <w:t>W</w:t>
            </w:r>
          </w:p>
        </w:tc>
        <w:tc>
          <w:tcPr>
            <w:tcW w:w="5380" w:type="dxa"/>
            <w:hideMark/>
          </w:tcPr>
          <w:p w14:paraId="411E899C" w14:textId="77777777" w:rsidR="00E953EE" w:rsidRPr="00EB272B" w:rsidRDefault="00E953EE" w:rsidP="006909EB">
            <w:pPr>
              <w:rPr>
                <w:rFonts w:cstheme="minorHAnsi"/>
                <w:sz w:val="22"/>
                <w:szCs w:val="22"/>
              </w:rPr>
            </w:pPr>
            <w:r w:rsidRPr="00EB272B">
              <w:rPr>
                <w:rFonts w:cstheme="minorHAnsi"/>
                <w:sz w:val="22"/>
                <w:szCs w:val="22"/>
              </w:rPr>
              <w:t xml:space="preserve">Minamata Convention Initial Assessment in Chad </w:t>
            </w:r>
          </w:p>
        </w:tc>
        <w:tc>
          <w:tcPr>
            <w:tcW w:w="960" w:type="dxa"/>
            <w:hideMark/>
          </w:tcPr>
          <w:p w14:paraId="4B9201AF" w14:textId="77777777" w:rsidR="00E953EE" w:rsidRPr="00EB272B" w:rsidRDefault="00E953EE" w:rsidP="006909EB">
            <w:pPr>
              <w:rPr>
                <w:rFonts w:cstheme="minorHAnsi"/>
                <w:sz w:val="22"/>
                <w:szCs w:val="22"/>
              </w:rPr>
            </w:pPr>
            <w:r w:rsidRPr="00EB272B">
              <w:rPr>
                <w:rFonts w:cstheme="minorHAnsi"/>
                <w:sz w:val="22"/>
                <w:szCs w:val="22"/>
              </w:rPr>
              <w:t>GEF-6</w:t>
            </w:r>
          </w:p>
        </w:tc>
        <w:tc>
          <w:tcPr>
            <w:tcW w:w="960" w:type="dxa"/>
            <w:hideMark/>
          </w:tcPr>
          <w:p w14:paraId="3B577283" w14:textId="77777777" w:rsidR="00E953EE" w:rsidRPr="00EB272B" w:rsidRDefault="00E953EE" w:rsidP="006909EB">
            <w:pPr>
              <w:rPr>
                <w:rFonts w:cstheme="minorHAnsi"/>
                <w:sz w:val="22"/>
                <w:szCs w:val="22"/>
              </w:rPr>
            </w:pPr>
            <w:r w:rsidRPr="00EB272B">
              <w:rPr>
                <w:rFonts w:cstheme="minorHAnsi"/>
                <w:sz w:val="22"/>
                <w:szCs w:val="22"/>
              </w:rPr>
              <w:t>EA</w:t>
            </w:r>
          </w:p>
        </w:tc>
        <w:tc>
          <w:tcPr>
            <w:tcW w:w="960" w:type="dxa"/>
            <w:hideMark/>
          </w:tcPr>
          <w:p w14:paraId="24D0E08F" w14:textId="77777777" w:rsidR="00E953EE" w:rsidRPr="00EB272B" w:rsidRDefault="00E953EE" w:rsidP="006909EB">
            <w:pPr>
              <w:rPr>
                <w:rFonts w:cstheme="minorHAnsi"/>
                <w:sz w:val="22"/>
                <w:szCs w:val="22"/>
              </w:rPr>
            </w:pPr>
            <w:r w:rsidRPr="00EB272B">
              <w:rPr>
                <w:rFonts w:cstheme="minorHAnsi"/>
                <w:sz w:val="22"/>
                <w:szCs w:val="22"/>
              </w:rPr>
              <w:t>UNIDO</w:t>
            </w:r>
          </w:p>
        </w:tc>
        <w:tc>
          <w:tcPr>
            <w:tcW w:w="1660" w:type="dxa"/>
            <w:hideMark/>
          </w:tcPr>
          <w:p w14:paraId="7C43A709" w14:textId="77777777" w:rsidR="00E953EE" w:rsidRPr="00EB272B" w:rsidRDefault="00E953EE" w:rsidP="006909EB">
            <w:pPr>
              <w:jc w:val="right"/>
              <w:rPr>
                <w:rFonts w:cstheme="minorHAnsi"/>
                <w:sz w:val="22"/>
                <w:szCs w:val="22"/>
              </w:rPr>
            </w:pPr>
            <w:r w:rsidRPr="00EB272B">
              <w:rPr>
                <w:rFonts w:cstheme="minorHAnsi"/>
                <w:sz w:val="22"/>
                <w:szCs w:val="22"/>
              </w:rPr>
              <w:t>200000</w:t>
            </w:r>
          </w:p>
        </w:tc>
        <w:tc>
          <w:tcPr>
            <w:tcW w:w="1620" w:type="dxa"/>
            <w:hideMark/>
          </w:tcPr>
          <w:p w14:paraId="4A6C0359" w14:textId="77777777" w:rsidR="00E953EE" w:rsidRPr="00EB272B" w:rsidRDefault="00E953EE" w:rsidP="006909EB">
            <w:pPr>
              <w:jc w:val="right"/>
              <w:rPr>
                <w:rFonts w:cstheme="minorHAnsi"/>
                <w:sz w:val="22"/>
                <w:szCs w:val="22"/>
              </w:rPr>
            </w:pPr>
            <w:r w:rsidRPr="00EB272B">
              <w:rPr>
                <w:rFonts w:cstheme="minorHAnsi"/>
                <w:sz w:val="22"/>
                <w:szCs w:val="22"/>
              </w:rPr>
              <w:t>78600</w:t>
            </w:r>
          </w:p>
        </w:tc>
      </w:tr>
      <w:tr w:rsidR="00E953EE" w:rsidRPr="00EB272B" w14:paraId="69BDD860" w14:textId="77777777" w:rsidTr="006909EB">
        <w:trPr>
          <w:trHeight w:val="300"/>
        </w:trPr>
        <w:tc>
          <w:tcPr>
            <w:tcW w:w="1820" w:type="dxa"/>
            <w:hideMark/>
          </w:tcPr>
          <w:p w14:paraId="41183085" w14:textId="77777777" w:rsidR="00E953EE" w:rsidRPr="00EB272B" w:rsidRDefault="00E953EE" w:rsidP="006909EB">
            <w:pPr>
              <w:rPr>
                <w:rFonts w:cstheme="minorHAnsi"/>
                <w:sz w:val="22"/>
                <w:szCs w:val="22"/>
              </w:rPr>
            </w:pPr>
            <w:r w:rsidRPr="00EB272B">
              <w:rPr>
                <w:rFonts w:cstheme="minorHAnsi"/>
                <w:sz w:val="22"/>
                <w:szCs w:val="22"/>
              </w:rPr>
              <w:t>Chile</w:t>
            </w:r>
          </w:p>
        </w:tc>
        <w:tc>
          <w:tcPr>
            <w:tcW w:w="1840" w:type="dxa"/>
            <w:hideMark/>
          </w:tcPr>
          <w:p w14:paraId="580A26EC" w14:textId="77777777" w:rsidR="00E953EE" w:rsidRPr="00EB272B" w:rsidRDefault="00E953EE" w:rsidP="006909EB">
            <w:pPr>
              <w:rPr>
                <w:rFonts w:cstheme="minorHAnsi"/>
                <w:sz w:val="22"/>
                <w:szCs w:val="22"/>
              </w:rPr>
            </w:pPr>
            <w:r w:rsidRPr="00EB272B">
              <w:rPr>
                <w:rFonts w:cstheme="minorHAnsi"/>
                <w:sz w:val="22"/>
                <w:szCs w:val="22"/>
              </w:rPr>
              <w:t> </w:t>
            </w:r>
          </w:p>
        </w:tc>
        <w:tc>
          <w:tcPr>
            <w:tcW w:w="960" w:type="dxa"/>
            <w:hideMark/>
          </w:tcPr>
          <w:p w14:paraId="188405F3" w14:textId="77777777" w:rsidR="00E953EE" w:rsidRPr="00EB272B" w:rsidRDefault="00E953EE" w:rsidP="006909EB">
            <w:pPr>
              <w:rPr>
                <w:rFonts w:cstheme="minorHAnsi"/>
                <w:sz w:val="22"/>
                <w:szCs w:val="22"/>
              </w:rPr>
            </w:pPr>
            <w:r w:rsidRPr="00EB272B">
              <w:rPr>
                <w:rFonts w:cstheme="minorHAnsi"/>
                <w:sz w:val="22"/>
                <w:szCs w:val="22"/>
              </w:rPr>
              <w:t>P</w:t>
            </w:r>
          </w:p>
        </w:tc>
        <w:tc>
          <w:tcPr>
            <w:tcW w:w="5380" w:type="dxa"/>
            <w:hideMark/>
          </w:tcPr>
          <w:p w14:paraId="1BE5096E" w14:textId="77777777" w:rsidR="00E953EE" w:rsidRPr="00EB272B" w:rsidRDefault="00E953EE" w:rsidP="006909EB">
            <w:pPr>
              <w:rPr>
                <w:rFonts w:cstheme="minorHAnsi"/>
                <w:sz w:val="22"/>
                <w:szCs w:val="22"/>
              </w:rPr>
            </w:pPr>
            <w:r w:rsidRPr="00EB272B">
              <w:rPr>
                <w:rFonts w:cstheme="minorHAnsi"/>
                <w:sz w:val="22"/>
                <w:szCs w:val="22"/>
              </w:rPr>
              <w:t>Delivering the Transition to Energy Efficient Lighting</w:t>
            </w:r>
          </w:p>
        </w:tc>
        <w:tc>
          <w:tcPr>
            <w:tcW w:w="960" w:type="dxa"/>
            <w:hideMark/>
          </w:tcPr>
          <w:p w14:paraId="3CA785BF" w14:textId="77777777" w:rsidR="00E953EE" w:rsidRPr="00EB272B" w:rsidRDefault="00E953EE" w:rsidP="006909EB">
            <w:pPr>
              <w:rPr>
                <w:rFonts w:cstheme="minorHAnsi"/>
                <w:sz w:val="22"/>
                <w:szCs w:val="22"/>
              </w:rPr>
            </w:pPr>
            <w:r w:rsidRPr="00EB272B">
              <w:rPr>
                <w:rFonts w:cstheme="minorHAnsi"/>
                <w:sz w:val="22"/>
                <w:szCs w:val="22"/>
              </w:rPr>
              <w:t>GEF-5</w:t>
            </w:r>
          </w:p>
        </w:tc>
        <w:tc>
          <w:tcPr>
            <w:tcW w:w="960" w:type="dxa"/>
            <w:hideMark/>
          </w:tcPr>
          <w:p w14:paraId="01C2C07D" w14:textId="77777777" w:rsidR="00E953EE" w:rsidRPr="00EB272B" w:rsidRDefault="00E953EE" w:rsidP="006909EB">
            <w:pPr>
              <w:rPr>
                <w:rFonts w:cstheme="minorHAnsi"/>
                <w:sz w:val="22"/>
                <w:szCs w:val="22"/>
              </w:rPr>
            </w:pPr>
            <w:r w:rsidRPr="00EB272B">
              <w:rPr>
                <w:rFonts w:cstheme="minorHAnsi"/>
                <w:sz w:val="22"/>
                <w:szCs w:val="22"/>
              </w:rPr>
              <w:t>FSP</w:t>
            </w:r>
          </w:p>
        </w:tc>
        <w:tc>
          <w:tcPr>
            <w:tcW w:w="960" w:type="dxa"/>
            <w:hideMark/>
          </w:tcPr>
          <w:p w14:paraId="275F358E" w14:textId="77777777" w:rsidR="00E953EE" w:rsidRPr="00EB272B" w:rsidRDefault="00E953EE" w:rsidP="006909EB">
            <w:pPr>
              <w:rPr>
                <w:rFonts w:cstheme="minorHAnsi"/>
                <w:sz w:val="22"/>
                <w:szCs w:val="22"/>
              </w:rPr>
            </w:pPr>
            <w:r w:rsidRPr="00EB272B">
              <w:rPr>
                <w:rFonts w:cstheme="minorHAnsi"/>
                <w:sz w:val="22"/>
                <w:szCs w:val="22"/>
              </w:rPr>
              <w:t>UNEP</w:t>
            </w:r>
          </w:p>
        </w:tc>
        <w:tc>
          <w:tcPr>
            <w:tcW w:w="1660" w:type="dxa"/>
            <w:hideMark/>
          </w:tcPr>
          <w:p w14:paraId="0A9660A2" w14:textId="77777777" w:rsidR="00E953EE" w:rsidRPr="00EB272B" w:rsidRDefault="00E953EE" w:rsidP="006909EB">
            <w:pPr>
              <w:jc w:val="right"/>
              <w:rPr>
                <w:rFonts w:cstheme="minorHAnsi"/>
                <w:sz w:val="22"/>
                <w:szCs w:val="22"/>
              </w:rPr>
            </w:pPr>
            <w:r w:rsidRPr="00EB272B">
              <w:rPr>
                <w:rFonts w:cstheme="minorHAnsi"/>
                <w:sz w:val="22"/>
                <w:szCs w:val="22"/>
              </w:rPr>
              <w:t>45662</w:t>
            </w:r>
          </w:p>
        </w:tc>
        <w:tc>
          <w:tcPr>
            <w:tcW w:w="1620" w:type="dxa"/>
            <w:hideMark/>
          </w:tcPr>
          <w:p w14:paraId="4605DB60" w14:textId="77777777" w:rsidR="00E953EE" w:rsidRPr="00EB272B" w:rsidRDefault="00E953EE" w:rsidP="006909EB">
            <w:pPr>
              <w:jc w:val="right"/>
              <w:rPr>
                <w:rFonts w:cstheme="minorHAnsi"/>
                <w:sz w:val="22"/>
                <w:szCs w:val="22"/>
              </w:rPr>
            </w:pPr>
            <w:r w:rsidRPr="00EB272B">
              <w:rPr>
                <w:rFonts w:cstheme="minorHAnsi"/>
                <w:sz w:val="22"/>
                <w:szCs w:val="22"/>
              </w:rPr>
              <w:t>0</w:t>
            </w:r>
          </w:p>
        </w:tc>
      </w:tr>
      <w:tr w:rsidR="00E953EE" w:rsidRPr="00EB272B" w14:paraId="0A684FF0" w14:textId="77777777" w:rsidTr="006909EB">
        <w:trPr>
          <w:trHeight w:val="600"/>
        </w:trPr>
        <w:tc>
          <w:tcPr>
            <w:tcW w:w="1820" w:type="dxa"/>
            <w:hideMark/>
          </w:tcPr>
          <w:p w14:paraId="3322C74C" w14:textId="77777777" w:rsidR="00E953EE" w:rsidRPr="00EB272B" w:rsidRDefault="00E953EE" w:rsidP="006909EB">
            <w:pPr>
              <w:rPr>
                <w:rFonts w:cstheme="minorHAnsi"/>
                <w:sz w:val="22"/>
                <w:szCs w:val="22"/>
              </w:rPr>
            </w:pPr>
            <w:r w:rsidRPr="00EB272B">
              <w:rPr>
                <w:rFonts w:cstheme="minorHAnsi"/>
                <w:sz w:val="22"/>
                <w:szCs w:val="22"/>
              </w:rPr>
              <w:t>China</w:t>
            </w:r>
          </w:p>
        </w:tc>
        <w:tc>
          <w:tcPr>
            <w:tcW w:w="1840" w:type="dxa"/>
            <w:hideMark/>
          </w:tcPr>
          <w:p w14:paraId="58448214" w14:textId="77777777" w:rsidR="00E953EE" w:rsidRPr="00EB272B" w:rsidRDefault="00E953EE" w:rsidP="006909EB">
            <w:pPr>
              <w:rPr>
                <w:rFonts w:cstheme="minorHAnsi"/>
                <w:sz w:val="22"/>
                <w:szCs w:val="22"/>
              </w:rPr>
            </w:pPr>
            <w:r w:rsidRPr="00EB272B">
              <w:rPr>
                <w:rFonts w:cstheme="minorHAnsi"/>
                <w:sz w:val="22"/>
                <w:szCs w:val="22"/>
              </w:rPr>
              <w:t> </w:t>
            </w:r>
          </w:p>
        </w:tc>
        <w:tc>
          <w:tcPr>
            <w:tcW w:w="960" w:type="dxa"/>
            <w:hideMark/>
          </w:tcPr>
          <w:p w14:paraId="573F2071" w14:textId="77777777" w:rsidR="00E953EE" w:rsidRPr="00EB272B" w:rsidRDefault="00E953EE" w:rsidP="006909EB">
            <w:pPr>
              <w:rPr>
                <w:rFonts w:cstheme="minorHAnsi"/>
                <w:sz w:val="22"/>
                <w:szCs w:val="22"/>
              </w:rPr>
            </w:pPr>
            <w:r w:rsidRPr="00EB272B">
              <w:rPr>
                <w:rFonts w:cstheme="minorHAnsi"/>
                <w:sz w:val="22"/>
                <w:szCs w:val="22"/>
              </w:rPr>
              <w:t>W</w:t>
            </w:r>
          </w:p>
        </w:tc>
        <w:tc>
          <w:tcPr>
            <w:tcW w:w="5380" w:type="dxa"/>
            <w:hideMark/>
          </w:tcPr>
          <w:p w14:paraId="2BCC6D76" w14:textId="77777777" w:rsidR="00E953EE" w:rsidRPr="00EB272B" w:rsidRDefault="00E953EE" w:rsidP="006909EB">
            <w:pPr>
              <w:rPr>
                <w:rFonts w:cstheme="minorHAnsi"/>
                <w:sz w:val="22"/>
                <w:szCs w:val="22"/>
              </w:rPr>
            </w:pPr>
            <w:r w:rsidRPr="00EB272B">
              <w:rPr>
                <w:rFonts w:cstheme="minorHAnsi"/>
                <w:sz w:val="22"/>
                <w:szCs w:val="22"/>
              </w:rPr>
              <w:t>Demonstration of Mercury Reduction and Minimization in the Production of Vinyl Chloride Monomer</w:t>
            </w:r>
          </w:p>
        </w:tc>
        <w:tc>
          <w:tcPr>
            <w:tcW w:w="960" w:type="dxa"/>
            <w:hideMark/>
          </w:tcPr>
          <w:p w14:paraId="5C901C9C" w14:textId="77777777" w:rsidR="00E953EE" w:rsidRPr="00EB272B" w:rsidRDefault="00E953EE" w:rsidP="006909EB">
            <w:pPr>
              <w:rPr>
                <w:rFonts w:cstheme="minorHAnsi"/>
                <w:sz w:val="22"/>
                <w:szCs w:val="22"/>
              </w:rPr>
            </w:pPr>
            <w:r w:rsidRPr="00EB272B">
              <w:rPr>
                <w:rFonts w:cstheme="minorHAnsi"/>
                <w:sz w:val="22"/>
                <w:szCs w:val="22"/>
              </w:rPr>
              <w:t>GEF-6</w:t>
            </w:r>
          </w:p>
        </w:tc>
        <w:tc>
          <w:tcPr>
            <w:tcW w:w="960" w:type="dxa"/>
            <w:hideMark/>
          </w:tcPr>
          <w:p w14:paraId="1FA67739" w14:textId="77777777" w:rsidR="00E953EE" w:rsidRPr="00EB272B" w:rsidRDefault="00E953EE" w:rsidP="006909EB">
            <w:pPr>
              <w:rPr>
                <w:rFonts w:cstheme="minorHAnsi"/>
                <w:sz w:val="22"/>
                <w:szCs w:val="22"/>
              </w:rPr>
            </w:pPr>
            <w:r w:rsidRPr="00EB272B">
              <w:rPr>
                <w:rFonts w:cstheme="minorHAnsi"/>
                <w:sz w:val="22"/>
                <w:szCs w:val="22"/>
              </w:rPr>
              <w:t>FSP</w:t>
            </w:r>
          </w:p>
        </w:tc>
        <w:tc>
          <w:tcPr>
            <w:tcW w:w="960" w:type="dxa"/>
            <w:hideMark/>
          </w:tcPr>
          <w:p w14:paraId="5038846C" w14:textId="77777777" w:rsidR="00E953EE" w:rsidRPr="00EB272B" w:rsidRDefault="00E953EE" w:rsidP="006909EB">
            <w:pPr>
              <w:rPr>
                <w:rFonts w:cstheme="minorHAnsi"/>
                <w:sz w:val="22"/>
                <w:szCs w:val="22"/>
              </w:rPr>
            </w:pPr>
            <w:r w:rsidRPr="00EB272B">
              <w:rPr>
                <w:rFonts w:cstheme="minorHAnsi"/>
                <w:sz w:val="22"/>
                <w:szCs w:val="22"/>
              </w:rPr>
              <w:t>UNIDO</w:t>
            </w:r>
          </w:p>
        </w:tc>
        <w:tc>
          <w:tcPr>
            <w:tcW w:w="1660" w:type="dxa"/>
            <w:hideMark/>
          </w:tcPr>
          <w:p w14:paraId="233CFE59" w14:textId="77777777" w:rsidR="00E953EE" w:rsidRPr="00EB272B" w:rsidRDefault="00E953EE" w:rsidP="006909EB">
            <w:pPr>
              <w:jc w:val="right"/>
              <w:rPr>
                <w:rFonts w:cstheme="minorHAnsi"/>
                <w:sz w:val="22"/>
                <w:szCs w:val="22"/>
              </w:rPr>
            </w:pPr>
            <w:r w:rsidRPr="00EB272B">
              <w:rPr>
                <w:rFonts w:cstheme="minorHAnsi"/>
                <w:sz w:val="22"/>
                <w:szCs w:val="22"/>
              </w:rPr>
              <w:t>16200000</w:t>
            </w:r>
          </w:p>
        </w:tc>
        <w:tc>
          <w:tcPr>
            <w:tcW w:w="1620" w:type="dxa"/>
            <w:hideMark/>
          </w:tcPr>
          <w:p w14:paraId="75F6715F" w14:textId="77777777" w:rsidR="00E953EE" w:rsidRPr="00EB272B" w:rsidRDefault="00E953EE" w:rsidP="006909EB">
            <w:pPr>
              <w:jc w:val="right"/>
              <w:rPr>
                <w:rFonts w:cstheme="minorHAnsi"/>
                <w:sz w:val="22"/>
                <w:szCs w:val="22"/>
              </w:rPr>
            </w:pPr>
            <w:r w:rsidRPr="00EB272B">
              <w:rPr>
                <w:rFonts w:cstheme="minorHAnsi"/>
                <w:sz w:val="22"/>
                <w:szCs w:val="22"/>
              </w:rPr>
              <w:t>99000000</w:t>
            </w:r>
          </w:p>
        </w:tc>
      </w:tr>
      <w:tr w:rsidR="00E953EE" w:rsidRPr="00EB272B" w14:paraId="390887BA" w14:textId="77777777" w:rsidTr="006909EB">
        <w:trPr>
          <w:trHeight w:val="600"/>
        </w:trPr>
        <w:tc>
          <w:tcPr>
            <w:tcW w:w="1820" w:type="dxa"/>
            <w:hideMark/>
          </w:tcPr>
          <w:p w14:paraId="5ECF5891" w14:textId="77777777" w:rsidR="00E953EE" w:rsidRPr="00EB272B" w:rsidRDefault="00E953EE" w:rsidP="006909EB">
            <w:pPr>
              <w:rPr>
                <w:rFonts w:cstheme="minorHAnsi"/>
                <w:sz w:val="22"/>
                <w:szCs w:val="22"/>
              </w:rPr>
            </w:pPr>
            <w:r w:rsidRPr="00EB272B">
              <w:rPr>
                <w:rFonts w:cstheme="minorHAnsi"/>
                <w:sz w:val="22"/>
                <w:szCs w:val="22"/>
              </w:rPr>
              <w:t>China</w:t>
            </w:r>
          </w:p>
        </w:tc>
        <w:tc>
          <w:tcPr>
            <w:tcW w:w="1840" w:type="dxa"/>
            <w:hideMark/>
          </w:tcPr>
          <w:p w14:paraId="53859D39" w14:textId="77777777" w:rsidR="00E953EE" w:rsidRPr="00EB272B" w:rsidRDefault="00E953EE" w:rsidP="006909EB">
            <w:pPr>
              <w:rPr>
                <w:rFonts w:cstheme="minorHAnsi"/>
                <w:sz w:val="22"/>
                <w:szCs w:val="22"/>
              </w:rPr>
            </w:pPr>
            <w:r w:rsidRPr="00EB272B">
              <w:rPr>
                <w:rFonts w:cstheme="minorHAnsi"/>
                <w:sz w:val="22"/>
                <w:szCs w:val="22"/>
              </w:rPr>
              <w:t> </w:t>
            </w:r>
          </w:p>
        </w:tc>
        <w:tc>
          <w:tcPr>
            <w:tcW w:w="960" w:type="dxa"/>
            <w:hideMark/>
          </w:tcPr>
          <w:p w14:paraId="47ED78C9" w14:textId="77777777" w:rsidR="00E953EE" w:rsidRPr="00EB272B" w:rsidRDefault="00E953EE" w:rsidP="006909EB">
            <w:pPr>
              <w:rPr>
                <w:rFonts w:cstheme="minorHAnsi"/>
                <w:sz w:val="22"/>
                <w:szCs w:val="22"/>
              </w:rPr>
            </w:pPr>
            <w:r w:rsidRPr="00EB272B">
              <w:rPr>
                <w:rFonts w:cstheme="minorHAnsi"/>
                <w:sz w:val="22"/>
                <w:szCs w:val="22"/>
              </w:rPr>
              <w:t>W</w:t>
            </w:r>
          </w:p>
        </w:tc>
        <w:tc>
          <w:tcPr>
            <w:tcW w:w="5380" w:type="dxa"/>
            <w:hideMark/>
          </w:tcPr>
          <w:p w14:paraId="7C3F9221" w14:textId="77777777" w:rsidR="00E953EE" w:rsidRPr="00EB272B" w:rsidRDefault="00E953EE" w:rsidP="006909EB">
            <w:pPr>
              <w:rPr>
                <w:rFonts w:cstheme="minorHAnsi"/>
                <w:sz w:val="22"/>
                <w:szCs w:val="22"/>
              </w:rPr>
            </w:pPr>
            <w:r w:rsidRPr="00EB272B">
              <w:rPr>
                <w:rFonts w:cstheme="minorHAnsi"/>
                <w:sz w:val="22"/>
                <w:szCs w:val="22"/>
              </w:rPr>
              <w:t>Capacity Strengthening for Implementation of Minamata Convention on Mercury</w:t>
            </w:r>
          </w:p>
        </w:tc>
        <w:tc>
          <w:tcPr>
            <w:tcW w:w="960" w:type="dxa"/>
            <w:hideMark/>
          </w:tcPr>
          <w:p w14:paraId="2DD5F766" w14:textId="77777777" w:rsidR="00E953EE" w:rsidRPr="00EB272B" w:rsidRDefault="00E953EE" w:rsidP="006909EB">
            <w:pPr>
              <w:rPr>
                <w:rFonts w:cstheme="minorHAnsi"/>
                <w:sz w:val="22"/>
                <w:szCs w:val="22"/>
              </w:rPr>
            </w:pPr>
            <w:r w:rsidRPr="00EB272B">
              <w:rPr>
                <w:rFonts w:cstheme="minorHAnsi"/>
                <w:sz w:val="22"/>
                <w:szCs w:val="22"/>
              </w:rPr>
              <w:t>GEF-6</w:t>
            </w:r>
          </w:p>
        </w:tc>
        <w:tc>
          <w:tcPr>
            <w:tcW w:w="960" w:type="dxa"/>
            <w:hideMark/>
          </w:tcPr>
          <w:p w14:paraId="0480BDD4" w14:textId="77777777" w:rsidR="00E953EE" w:rsidRPr="00EB272B" w:rsidRDefault="00E953EE" w:rsidP="006909EB">
            <w:pPr>
              <w:rPr>
                <w:rFonts w:cstheme="minorHAnsi"/>
                <w:sz w:val="22"/>
                <w:szCs w:val="22"/>
              </w:rPr>
            </w:pPr>
            <w:r w:rsidRPr="00EB272B">
              <w:rPr>
                <w:rFonts w:cstheme="minorHAnsi"/>
                <w:sz w:val="22"/>
                <w:szCs w:val="22"/>
              </w:rPr>
              <w:t>FSP</w:t>
            </w:r>
          </w:p>
        </w:tc>
        <w:tc>
          <w:tcPr>
            <w:tcW w:w="960" w:type="dxa"/>
            <w:hideMark/>
          </w:tcPr>
          <w:p w14:paraId="59FF2337" w14:textId="77777777" w:rsidR="00E953EE" w:rsidRPr="00EB272B" w:rsidRDefault="00E953EE" w:rsidP="006909EB">
            <w:pPr>
              <w:rPr>
                <w:rFonts w:cstheme="minorHAnsi"/>
                <w:sz w:val="22"/>
                <w:szCs w:val="22"/>
              </w:rPr>
            </w:pPr>
            <w:r w:rsidRPr="00EB272B">
              <w:rPr>
                <w:rFonts w:cstheme="minorHAnsi"/>
                <w:sz w:val="22"/>
                <w:szCs w:val="22"/>
              </w:rPr>
              <w:t>World Bank</w:t>
            </w:r>
          </w:p>
        </w:tc>
        <w:tc>
          <w:tcPr>
            <w:tcW w:w="1660" w:type="dxa"/>
            <w:hideMark/>
          </w:tcPr>
          <w:p w14:paraId="2BF6CD79" w14:textId="77777777" w:rsidR="00E953EE" w:rsidRPr="00EB272B" w:rsidRDefault="00E953EE" w:rsidP="006909EB">
            <w:pPr>
              <w:jc w:val="right"/>
              <w:rPr>
                <w:rFonts w:cstheme="minorHAnsi"/>
                <w:sz w:val="22"/>
                <w:szCs w:val="22"/>
              </w:rPr>
            </w:pPr>
            <w:r w:rsidRPr="00EB272B">
              <w:rPr>
                <w:rFonts w:cstheme="minorHAnsi"/>
                <w:sz w:val="22"/>
                <w:szCs w:val="22"/>
              </w:rPr>
              <w:t>8000000</w:t>
            </w:r>
          </w:p>
        </w:tc>
        <w:tc>
          <w:tcPr>
            <w:tcW w:w="1620" w:type="dxa"/>
            <w:hideMark/>
          </w:tcPr>
          <w:p w14:paraId="3635624A" w14:textId="77777777" w:rsidR="00E953EE" w:rsidRPr="00EB272B" w:rsidRDefault="00E953EE" w:rsidP="006909EB">
            <w:pPr>
              <w:jc w:val="right"/>
              <w:rPr>
                <w:rFonts w:cstheme="minorHAnsi"/>
                <w:sz w:val="22"/>
                <w:szCs w:val="22"/>
              </w:rPr>
            </w:pPr>
            <w:r w:rsidRPr="00EB272B">
              <w:rPr>
                <w:rFonts w:cstheme="minorHAnsi"/>
                <w:sz w:val="22"/>
                <w:szCs w:val="22"/>
              </w:rPr>
              <w:t>8000000</w:t>
            </w:r>
          </w:p>
        </w:tc>
      </w:tr>
      <w:tr w:rsidR="00E953EE" w:rsidRPr="00EB272B" w14:paraId="59A6C357" w14:textId="77777777" w:rsidTr="006909EB">
        <w:trPr>
          <w:trHeight w:val="600"/>
        </w:trPr>
        <w:tc>
          <w:tcPr>
            <w:tcW w:w="1820" w:type="dxa"/>
            <w:hideMark/>
          </w:tcPr>
          <w:p w14:paraId="174BB20E" w14:textId="77777777" w:rsidR="00E953EE" w:rsidRPr="00EB272B" w:rsidRDefault="00E953EE" w:rsidP="006909EB">
            <w:pPr>
              <w:rPr>
                <w:rFonts w:cstheme="minorHAnsi"/>
                <w:sz w:val="22"/>
                <w:szCs w:val="22"/>
              </w:rPr>
            </w:pPr>
            <w:r w:rsidRPr="00EB272B">
              <w:rPr>
                <w:rFonts w:cstheme="minorHAnsi"/>
                <w:sz w:val="22"/>
                <w:szCs w:val="22"/>
              </w:rPr>
              <w:t>China</w:t>
            </w:r>
          </w:p>
        </w:tc>
        <w:tc>
          <w:tcPr>
            <w:tcW w:w="1840" w:type="dxa"/>
            <w:hideMark/>
          </w:tcPr>
          <w:p w14:paraId="4DFA8180" w14:textId="77777777" w:rsidR="00E953EE" w:rsidRPr="00EB272B" w:rsidRDefault="00E953EE" w:rsidP="006909EB">
            <w:pPr>
              <w:rPr>
                <w:rFonts w:cstheme="minorHAnsi"/>
                <w:sz w:val="22"/>
                <w:szCs w:val="22"/>
              </w:rPr>
            </w:pPr>
            <w:r w:rsidRPr="00EB272B">
              <w:rPr>
                <w:rFonts w:cstheme="minorHAnsi"/>
                <w:sz w:val="22"/>
                <w:szCs w:val="22"/>
              </w:rPr>
              <w:t> </w:t>
            </w:r>
          </w:p>
        </w:tc>
        <w:tc>
          <w:tcPr>
            <w:tcW w:w="960" w:type="dxa"/>
            <w:hideMark/>
          </w:tcPr>
          <w:p w14:paraId="1E46F11B" w14:textId="77777777" w:rsidR="00E953EE" w:rsidRPr="00EB272B" w:rsidRDefault="00E953EE" w:rsidP="006909EB">
            <w:pPr>
              <w:rPr>
                <w:rFonts w:cstheme="minorHAnsi"/>
                <w:sz w:val="22"/>
                <w:szCs w:val="22"/>
              </w:rPr>
            </w:pPr>
            <w:r w:rsidRPr="00EB272B">
              <w:rPr>
                <w:rFonts w:cstheme="minorHAnsi"/>
                <w:sz w:val="22"/>
                <w:szCs w:val="22"/>
              </w:rPr>
              <w:t>P</w:t>
            </w:r>
          </w:p>
        </w:tc>
        <w:tc>
          <w:tcPr>
            <w:tcW w:w="5380" w:type="dxa"/>
            <w:hideMark/>
          </w:tcPr>
          <w:p w14:paraId="229C57FA" w14:textId="77777777" w:rsidR="00E953EE" w:rsidRPr="00EB272B" w:rsidRDefault="00E953EE" w:rsidP="006909EB">
            <w:pPr>
              <w:rPr>
                <w:rFonts w:cstheme="minorHAnsi"/>
                <w:sz w:val="22"/>
                <w:szCs w:val="22"/>
              </w:rPr>
            </w:pPr>
            <w:r w:rsidRPr="00EB272B">
              <w:rPr>
                <w:rFonts w:cstheme="minorHAnsi"/>
                <w:sz w:val="22"/>
                <w:szCs w:val="22"/>
              </w:rPr>
              <w:t>Minamata Convention Initial Assessment in the People’s Republic of China</w:t>
            </w:r>
          </w:p>
        </w:tc>
        <w:tc>
          <w:tcPr>
            <w:tcW w:w="960" w:type="dxa"/>
            <w:hideMark/>
          </w:tcPr>
          <w:p w14:paraId="62E7CA04" w14:textId="77777777" w:rsidR="00E953EE" w:rsidRPr="00EB272B" w:rsidRDefault="00E953EE" w:rsidP="006909EB">
            <w:pPr>
              <w:rPr>
                <w:rFonts w:cstheme="minorHAnsi"/>
                <w:sz w:val="22"/>
                <w:szCs w:val="22"/>
              </w:rPr>
            </w:pPr>
            <w:r w:rsidRPr="00EB272B">
              <w:rPr>
                <w:rFonts w:cstheme="minorHAnsi"/>
                <w:sz w:val="22"/>
                <w:szCs w:val="22"/>
              </w:rPr>
              <w:t>GEF-5</w:t>
            </w:r>
          </w:p>
        </w:tc>
        <w:tc>
          <w:tcPr>
            <w:tcW w:w="960" w:type="dxa"/>
            <w:hideMark/>
          </w:tcPr>
          <w:p w14:paraId="713DDE22" w14:textId="77777777" w:rsidR="00E953EE" w:rsidRPr="00EB272B" w:rsidRDefault="00E953EE" w:rsidP="006909EB">
            <w:pPr>
              <w:rPr>
                <w:rFonts w:cstheme="minorHAnsi"/>
                <w:sz w:val="22"/>
                <w:szCs w:val="22"/>
              </w:rPr>
            </w:pPr>
            <w:r w:rsidRPr="00EB272B">
              <w:rPr>
                <w:rFonts w:cstheme="minorHAnsi"/>
                <w:sz w:val="22"/>
                <w:szCs w:val="22"/>
              </w:rPr>
              <w:t>EA</w:t>
            </w:r>
          </w:p>
        </w:tc>
        <w:tc>
          <w:tcPr>
            <w:tcW w:w="960" w:type="dxa"/>
            <w:hideMark/>
          </w:tcPr>
          <w:p w14:paraId="6D7FA0A8" w14:textId="77777777" w:rsidR="00E953EE" w:rsidRPr="00EB272B" w:rsidRDefault="00E953EE" w:rsidP="006909EB">
            <w:pPr>
              <w:rPr>
                <w:rFonts w:cstheme="minorHAnsi"/>
                <w:sz w:val="22"/>
                <w:szCs w:val="22"/>
              </w:rPr>
            </w:pPr>
            <w:r w:rsidRPr="00EB272B">
              <w:rPr>
                <w:rFonts w:cstheme="minorHAnsi"/>
                <w:sz w:val="22"/>
                <w:szCs w:val="22"/>
              </w:rPr>
              <w:t>UNIDO</w:t>
            </w:r>
          </w:p>
        </w:tc>
        <w:tc>
          <w:tcPr>
            <w:tcW w:w="1660" w:type="dxa"/>
            <w:hideMark/>
          </w:tcPr>
          <w:p w14:paraId="544332DC" w14:textId="77777777" w:rsidR="00E953EE" w:rsidRPr="00EB272B" w:rsidRDefault="00E953EE" w:rsidP="006909EB">
            <w:pPr>
              <w:jc w:val="right"/>
              <w:rPr>
                <w:rFonts w:cstheme="minorHAnsi"/>
                <w:sz w:val="22"/>
                <w:szCs w:val="22"/>
              </w:rPr>
            </w:pPr>
            <w:r w:rsidRPr="00EB272B">
              <w:rPr>
                <w:rFonts w:cstheme="minorHAnsi"/>
                <w:sz w:val="22"/>
                <w:szCs w:val="22"/>
              </w:rPr>
              <w:t>1000000</w:t>
            </w:r>
          </w:p>
        </w:tc>
        <w:tc>
          <w:tcPr>
            <w:tcW w:w="1620" w:type="dxa"/>
            <w:hideMark/>
          </w:tcPr>
          <w:p w14:paraId="3102F611" w14:textId="77777777" w:rsidR="00E953EE" w:rsidRPr="00EB272B" w:rsidRDefault="00E953EE" w:rsidP="006909EB">
            <w:pPr>
              <w:jc w:val="right"/>
              <w:rPr>
                <w:rFonts w:cstheme="minorHAnsi"/>
                <w:sz w:val="22"/>
                <w:szCs w:val="22"/>
              </w:rPr>
            </w:pPr>
            <w:r w:rsidRPr="00EB272B">
              <w:rPr>
                <w:rFonts w:cstheme="minorHAnsi"/>
                <w:sz w:val="22"/>
                <w:szCs w:val="22"/>
              </w:rPr>
              <w:t>975000</w:t>
            </w:r>
          </w:p>
        </w:tc>
      </w:tr>
      <w:tr w:rsidR="00E953EE" w:rsidRPr="00EB272B" w14:paraId="451C7E9A" w14:textId="77777777" w:rsidTr="006909EB">
        <w:trPr>
          <w:trHeight w:val="600"/>
        </w:trPr>
        <w:tc>
          <w:tcPr>
            <w:tcW w:w="1820" w:type="dxa"/>
            <w:hideMark/>
          </w:tcPr>
          <w:p w14:paraId="6DA0C049" w14:textId="77777777" w:rsidR="00E953EE" w:rsidRPr="00EB272B" w:rsidRDefault="00E953EE" w:rsidP="006909EB">
            <w:pPr>
              <w:rPr>
                <w:rFonts w:cstheme="minorHAnsi"/>
                <w:sz w:val="22"/>
                <w:szCs w:val="22"/>
              </w:rPr>
            </w:pPr>
            <w:r w:rsidRPr="00EB272B">
              <w:rPr>
                <w:rFonts w:cstheme="minorHAnsi"/>
                <w:sz w:val="22"/>
                <w:szCs w:val="22"/>
              </w:rPr>
              <w:t>China</w:t>
            </w:r>
          </w:p>
        </w:tc>
        <w:tc>
          <w:tcPr>
            <w:tcW w:w="1840" w:type="dxa"/>
            <w:hideMark/>
          </w:tcPr>
          <w:p w14:paraId="4AFDAF00" w14:textId="77777777" w:rsidR="00E953EE" w:rsidRPr="00EB272B" w:rsidRDefault="00E953EE" w:rsidP="006909EB">
            <w:pPr>
              <w:rPr>
                <w:rFonts w:cstheme="minorHAnsi"/>
                <w:sz w:val="22"/>
                <w:szCs w:val="22"/>
              </w:rPr>
            </w:pPr>
            <w:r w:rsidRPr="00EB272B">
              <w:rPr>
                <w:rFonts w:cstheme="minorHAnsi"/>
                <w:sz w:val="22"/>
                <w:szCs w:val="22"/>
              </w:rPr>
              <w:t> </w:t>
            </w:r>
          </w:p>
        </w:tc>
        <w:tc>
          <w:tcPr>
            <w:tcW w:w="960" w:type="dxa"/>
            <w:hideMark/>
          </w:tcPr>
          <w:p w14:paraId="012F5DDC" w14:textId="77777777" w:rsidR="00E953EE" w:rsidRPr="00EB272B" w:rsidRDefault="00E953EE" w:rsidP="006909EB">
            <w:pPr>
              <w:rPr>
                <w:rFonts w:cstheme="minorHAnsi"/>
                <w:sz w:val="22"/>
                <w:szCs w:val="22"/>
              </w:rPr>
            </w:pPr>
            <w:r w:rsidRPr="00EB272B">
              <w:rPr>
                <w:rFonts w:cstheme="minorHAnsi"/>
                <w:sz w:val="22"/>
                <w:szCs w:val="22"/>
              </w:rPr>
              <w:t>P</w:t>
            </w:r>
          </w:p>
        </w:tc>
        <w:tc>
          <w:tcPr>
            <w:tcW w:w="5380" w:type="dxa"/>
            <w:hideMark/>
          </w:tcPr>
          <w:p w14:paraId="11305FA5" w14:textId="77777777" w:rsidR="00E953EE" w:rsidRPr="00EB272B" w:rsidRDefault="00E953EE" w:rsidP="006909EB">
            <w:pPr>
              <w:rPr>
                <w:rFonts w:cstheme="minorHAnsi"/>
                <w:sz w:val="22"/>
                <w:szCs w:val="22"/>
              </w:rPr>
            </w:pPr>
            <w:r w:rsidRPr="00EB272B">
              <w:rPr>
                <w:rFonts w:cstheme="minorHAnsi"/>
                <w:sz w:val="22"/>
                <w:szCs w:val="22"/>
              </w:rPr>
              <w:t>Pilot project on the development of a mercury inventory in China</w:t>
            </w:r>
          </w:p>
        </w:tc>
        <w:tc>
          <w:tcPr>
            <w:tcW w:w="960" w:type="dxa"/>
            <w:hideMark/>
          </w:tcPr>
          <w:p w14:paraId="07D2028E" w14:textId="77777777" w:rsidR="00E953EE" w:rsidRPr="00EB272B" w:rsidRDefault="00E953EE" w:rsidP="006909EB">
            <w:pPr>
              <w:rPr>
                <w:rFonts w:cstheme="minorHAnsi"/>
                <w:sz w:val="22"/>
                <w:szCs w:val="22"/>
              </w:rPr>
            </w:pPr>
            <w:r w:rsidRPr="00EB272B">
              <w:rPr>
                <w:rFonts w:cstheme="minorHAnsi"/>
                <w:sz w:val="22"/>
                <w:szCs w:val="22"/>
              </w:rPr>
              <w:t>GEF-5</w:t>
            </w:r>
          </w:p>
        </w:tc>
        <w:tc>
          <w:tcPr>
            <w:tcW w:w="960" w:type="dxa"/>
            <w:hideMark/>
          </w:tcPr>
          <w:p w14:paraId="1EB8B6C0" w14:textId="77777777" w:rsidR="00E953EE" w:rsidRPr="00EB272B" w:rsidRDefault="00E953EE" w:rsidP="006909EB">
            <w:pPr>
              <w:rPr>
                <w:rFonts w:cstheme="minorHAnsi"/>
                <w:sz w:val="22"/>
                <w:szCs w:val="22"/>
              </w:rPr>
            </w:pPr>
            <w:r w:rsidRPr="00EB272B">
              <w:rPr>
                <w:rFonts w:cstheme="minorHAnsi"/>
                <w:sz w:val="22"/>
                <w:szCs w:val="22"/>
              </w:rPr>
              <w:t>MSP</w:t>
            </w:r>
          </w:p>
        </w:tc>
        <w:tc>
          <w:tcPr>
            <w:tcW w:w="960" w:type="dxa"/>
            <w:hideMark/>
          </w:tcPr>
          <w:p w14:paraId="2F47A593" w14:textId="77777777" w:rsidR="00E953EE" w:rsidRPr="00EB272B" w:rsidRDefault="00E953EE" w:rsidP="006909EB">
            <w:pPr>
              <w:rPr>
                <w:rFonts w:cstheme="minorHAnsi"/>
                <w:sz w:val="22"/>
                <w:szCs w:val="22"/>
              </w:rPr>
            </w:pPr>
            <w:r w:rsidRPr="00EB272B">
              <w:rPr>
                <w:rFonts w:cstheme="minorHAnsi"/>
                <w:sz w:val="22"/>
                <w:szCs w:val="22"/>
              </w:rPr>
              <w:t>UNEP</w:t>
            </w:r>
          </w:p>
        </w:tc>
        <w:tc>
          <w:tcPr>
            <w:tcW w:w="1660" w:type="dxa"/>
            <w:hideMark/>
          </w:tcPr>
          <w:p w14:paraId="6AA7D4F9" w14:textId="77777777" w:rsidR="00E953EE" w:rsidRPr="00EB272B" w:rsidRDefault="00E953EE" w:rsidP="006909EB">
            <w:pPr>
              <w:jc w:val="right"/>
              <w:rPr>
                <w:rFonts w:cstheme="minorHAnsi"/>
                <w:sz w:val="22"/>
                <w:szCs w:val="22"/>
              </w:rPr>
            </w:pPr>
            <w:r w:rsidRPr="00EB272B">
              <w:rPr>
                <w:rFonts w:cstheme="minorHAnsi"/>
                <w:sz w:val="22"/>
                <w:szCs w:val="22"/>
              </w:rPr>
              <w:t>1000000</w:t>
            </w:r>
          </w:p>
        </w:tc>
        <w:tc>
          <w:tcPr>
            <w:tcW w:w="1620" w:type="dxa"/>
            <w:hideMark/>
          </w:tcPr>
          <w:p w14:paraId="43A2517A" w14:textId="77777777" w:rsidR="00E953EE" w:rsidRPr="00EB272B" w:rsidRDefault="00E953EE" w:rsidP="006909EB">
            <w:pPr>
              <w:jc w:val="right"/>
              <w:rPr>
                <w:rFonts w:cstheme="minorHAnsi"/>
                <w:sz w:val="22"/>
                <w:szCs w:val="22"/>
              </w:rPr>
            </w:pPr>
            <w:r w:rsidRPr="00EB272B">
              <w:rPr>
                <w:rFonts w:cstheme="minorHAnsi"/>
                <w:sz w:val="22"/>
                <w:szCs w:val="22"/>
              </w:rPr>
              <w:t>3146265</w:t>
            </w:r>
          </w:p>
        </w:tc>
      </w:tr>
      <w:tr w:rsidR="00E953EE" w:rsidRPr="00EB272B" w14:paraId="37888130" w14:textId="77777777" w:rsidTr="006909EB">
        <w:trPr>
          <w:trHeight w:val="900"/>
        </w:trPr>
        <w:tc>
          <w:tcPr>
            <w:tcW w:w="1820" w:type="dxa"/>
            <w:hideMark/>
          </w:tcPr>
          <w:p w14:paraId="7131A625" w14:textId="77777777" w:rsidR="00E953EE" w:rsidRPr="00EB272B" w:rsidRDefault="00E953EE" w:rsidP="006909EB">
            <w:pPr>
              <w:rPr>
                <w:rFonts w:cstheme="minorHAnsi"/>
                <w:sz w:val="22"/>
                <w:szCs w:val="22"/>
              </w:rPr>
            </w:pPr>
            <w:r w:rsidRPr="00EB272B">
              <w:rPr>
                <w:rFonts w:cstheme="minorHAnsi"/>
                <w:sz w:val="22"/>
                <w:szCs w:val="22"/>
              </w:rPr>
              <w:t>China</w:t>
            </w:r>
          </w:p>
        </w:tc>
        <w:tc>
          <w:tcPr>
            <w:tcW w:w="1840" w:type="dxa"/>
            <w:hideMark/>
          </w:tcPr>
          <w:p w14:paraId="18BFCF3B" w14:textId="77777777" w:rsidR="00E953EE" w:rsidRPr="00EB272B" w:rsidRDefault="00E953EE" w:rsidP="006909EB">
            <w:pPr>
              <w:rPr>
                <w:rFonts w:cstheme="minorHAnsi"/>
                <w:sz w:val="22"/>
                <w:szCs w:val="22"/>
              </w:rPr>
            </w:pPr>
            <w:r w:rsidRPr="00EB272B">
              <w:rPr>
                <w:rFonts w:cstheme="minorHAnsi"/>
                <w:sz w:val="22"/>
                <w:szCs w:val="22"/>
              </w:rPr>
              <w:t> </w:t>
            </w:r>
          </w:p>
        </w:tc>
        <w:tc>
          <w:tcPr>
            <w:tcW w:w="960" w:type="dxa"/>
            <w:hideMark/>
          </w:tcPr>
          <w:p w14:paraId="117DD298" w14:textId="77777777" w:rsidR="00E953EE" w:rsidRPr="00EB272B" w:rsidRDefault="00E953EE" w:rsidP="006909EB">
            <w:pPr>
              <w:rPr>
                <w:rFonts w:cstheme="minorHAnsi"/>
                <w:sz w:val="22"/>
                <w:szCs w:val="22"/>
              </w:rPr>
            </w:pPr>
            <w:r w:rsidRPr="00EB272B">
              <w:rPr>
                <w:rFonts w:cstheme="minorHAnsi"/>
                <w:sz w:val="22"/>
                <w:szCs w:val="22"/>
              </w:rPr>
              <w:t>P</w:t>
            </w:r>
          </w:p>
        </w:tc>
        <w:tc>
          <w:tcPr>
            <w:tcW w:w="5380" w:type="dxa"/>
            <w:hideMark/>
          </w:tcPr>
          <w:p w14:paraId="2304C1A0" w14:textId="77777777" w:rsidR="00E953EE" w:rsidRPr="00EB272B" w:rsidRDefault="00E953EE" w:rsidP="006909EB">
            <w:pPr>
              <w:rPr>
                <w:rFonts w:cstheme="minorHAnsi"/>
                <w:sz w:val="22"/>
                <w:szCs w:val="22"/>
              </w:rPr>
            </w:pPr>
            <w:r w:rsidRPr="00EB272B">
              <w:rPr>
                <w:rFonts w:cstheme="minorHAnsi"/>
                <w:sz w:val="22"/>
                <w:szCs w:val="22"/>
              </w:rPr>
              <w:t>Reduction of Mercury Emissions and Promotion of Sound Chemical Management in Zinc Smelting Operations</w:t>
            </w:r>
          </w:p>
        </w:tc>
        <w:tc>
          <w:tcPr>
            <w:tcW w:w="960" w:type="dxa"/>
            <w:hideMark/>
          </w:tcPr>
          <w:p w14:paraId="0884D7A4" w14:textId="77777777" w:rsidR="00E953EE" w:rsidRPr="00EB272B" w:rsidRDefault="00E953EE" w:rsidP="006909EB">
            <w:pPr>
              <w:rPr>
                <w:rFonts w:cstheme="minorHAnsi"/>
                <w:sz w:val="22"/>
                <w:szCs w:val="22"/>
              </w:rPr>
            </w:pPr>
            <w:r w:rsidRPr="00EB272B">
              <w:rPr>
                <w:rFonts w:cstheme="minorHAnsi"/>
                <w:sz w:val="22"/>
                <w:szCs w:val="22"/>
              </w:rPr>
              <w:t>GEF-5</w:t>
            </w:r>
          </w:p>
        </w:tc>
        <w:tc>
          <w:tcPr>
            <w:tcW w:w="960" w:type="dxa"/>
            <w:hideMark/>
          </w:tcPr>
          <w:p w14:paraId="6B51711D" w14:textId="77777777" w:rsidR="00E953EE" w:rsidRPr="00EB272B" w:rsidRDefault="00E953EE" w:rsidP="006909EB">
            <w:pPr>
              <w:rPr>
                <w:rFonts w:cstheme="minorHAnsi"/>
                <w:sz w:val="22"/>
                <w:szCs w:val="22"/>
              </w:rPr>
            </w:pPr>
            <w:r w:rsidRPr="00EB272B">
              <w:rPr>
                <w:rFonts w:cstheme="minorHAnsi"/>
                <w:sz w:val="22"/>
                <w:szCs w:val="22"/>
              </w:rPr>
              <w:t>MSP</w:t>
            </w:r>
          </w:p>
        </w:tc>
        <w:tc>
          <w:tcPr>
            <w:tcW w:w="960" w:type="dxa"/>
            <w:hideMark/>
          </w:tcPr>
          <w:p w14:paraId="2E6D4AC4" w14:textId="77777777" w:rsidR="00E953EE" w:rsidRPr="00EB272B" w:rsidRDefault="00E953EE" w:rsidP="006909EB">
            <w:pPr>
              <w:rPr>
                <w:rFonts w:cstheme="minorHAnsi"/>
                <w:sz w:val="22"/>
                <w:szCs w:val="22"/>
              </w:rPr>
            </w:pPr>
            <w:r w:rsidRPr="00EB272B">
              <w:rPr>
                <w:rFonts w:cstheme="minorHAnsi"/>
                <w:sz w:val="22"/>
                <w:szCs w:val="22"/>
              </w:rPr>
              <w:t>UNIDO</w:t>
            </w:r>
          </w:p>
        </w:tc>
        <w:tc>
          <w:tcPr>
            <w:tcW w:w="1660" w:type="dxa"/>
            <w:hideMark/>
          </w:tcPr>
          <w:p w14:paraId="31DA03F7" w14:textId="77777777" w:rsidR="00E953EE" w:rsidRPr="00EB272B" w:rsidRDefault="00E953EE" w:rsidP="006909EB">
            <w:pPr>
              <w:jc w:val="right"/>
              <w:rPr>
                <w:rFonts w:cstheme="minorHAnsi"/>
                <w:sz w:val="22"/>
                <w:szCs w:val="22"/>
              </w:rPr>
            </w:pPr>
            <w:r w:rsidRPr="00EB272B">
              <w:rPr>
                <w:rFonts w:cstheme="minorHAnsi"/>
                <w:sz w:val="22"/>
                <w:szCs w:val="22"/>
              </w:rPr>
              <w:t>990000</w:t>
            </w:r>
          </w:p>
        </w:tc>
        <w:tc>
          <w:tcPr>
            <w:tcW w:w="1620" w:type="dxa"/>
            <w:hideMark/>
          </w:tcPr>
          <w:p w14:paraId="13D6EE81" w14:textId="77777777" w:rsidR="00E953EE" w:rsidRPr="00EB272B" w:rsidRDefault="00E953EE" w:rsidP="006909EB">
            <w:pPr>
              <w:jc w:val="right"/>
              <w:rPr>
                <w:rFonts w:cstheme="minorHAnsi"/>
                <w:sz w:val="22"/>
                <w:szCs w:val="22"/>
              </w:rPr>
            </w:pPr>
            <w:r w:rsidRPr="00EB272B">
              <w:rPr>
                <w:rFonts w:cstheme="minorHAnsi"/>
                <w:sz w:val="22"/>
                <w:szCs w:val="22"/>
              </w:rPr>
              <w:t>4000000</w:t>
            </w:r>
          </w:p>
        </w:tc>
      </w:tr>
      <w:tr w:rsidR="00E953EE" w:rsidRPr="00EB272B" w14:paraId="39D2E7C1" w14:textId="77777777" w:rsidTr="006909EB">
        <w:trPr>
          <w:trHeight w:val="600"/>
        </w:trPr>
        <w:tc>
          <w:tcPr>
            <w:tcW w:w="1820" w:type="dxa"/>
            <w:hideMark/>
          </w:tcPr>
          <w:p w14:paraId="0AD0DC5E" w14:textId="77777777" w:rsidR="00E953EE" w:rsidRPr="00EB272B" w:rsidRDefault="00E953EE" w:rsidP="006909EB">
            <w:pPr>
              <w:rPr>
                <w:rFonts w:cstheme="minorHAnsi"/>
                <w:sz w:val="22"/>
                <w:szCs w:val="22"/>
              </w:rPr>
            </w:pPr>
            <w:r w:rsidRPr="00EB272B">
              <w:rPr>
                <w:rFonts w:cstheme="minorHAnsi"/>
                <w:sz w:val="22"/>
                <w:szCs w:val="22"/>
              </w:rPr>
              <w:t>Colombia</w:t>
            </w:r>
          </w:p>
        </w:tc>
        <w:tc>
          <w:tcPr>
            <w:tcW w:w="1840" w:type="dxa"/>
            <w:hideMark/>
          </w:tcPr>
          <w:p w14:paraId="09A2B208" w14:textId="77777777" w:rsidR="00E953EE" w:rsidRPr="00EB272B" w:rsidRDefault="00E953EE" w:rsidP="006909EB">
            <w:pPr>
              <w:rPr>
                <w:rFonts w:cstheme="minorHAnsi"/>
                <w:sz w:val="22"/>
                <w:szCs w:val="22"/>
              </w:rPr>
            </w:pPr>
            <w:r w:rsidRPr="00EB272B">
              <w:rPr>
                <w:rFonts w:cstheme="minorHAnsi"/>
                <w:sz w:val="22"/>
                <w:szCs w:val="22"/>
              </w:rPr>
              <w:t> </w:t>
            </w:r>
          </w:p>
        </w:tc>
        <w:tc>
          <w:tcPr>
            <w:tcW w:w="960" w:type="dxa"/>
            <w:hideMark/>
          </w:tcPr>
          <w:p w14:paraId="41949301" w14:textId="77777777" w:rsidR="00E953EE" w:rsidRPr="00EB272B" w:rsidRDefault="00E953EE" w:rsidP="006909EB">
            <w:pPr>
              <w:rPr>
                <w:rFonts w:cstheme="minorHAnsi"/>
                <w:sz w:val="22"/>
                <w:szCs w:val="22"/>
              </w:rPr>
            </w:pPr>
            <w:r w:rsidRPr="00EB272B">
              <w:rPr>
                <w:rFonts w:cstheme="minorHAnsi"/>
                <w:sz w:val="22"/>
                <w:szCs w:val="22"/>
              </w:rPr>
              <w:t>W</w:t>
            </w:r>
          </w:p>
        </w:tc>
        <w:tc>
          <w:tcPr>
            <w:tcW w:w="5380" w:type="dxa"/>
            <w:hideMark/>
          </w:tcPr>
          <w:p w14:paraId="7BD86CBE" w14:textId="77777777" w:rsidR="00E953EE" w:rsidRPr="00EB272B" w:rsidRDefault="00E953EE" w:rsidP="006909EB">
            <w:pPr>
              <w:rPr>
                <w:rFonts w:cstheme="minorHAnsi"/>
                <w:sz w:val="22"/>
                <w:szCs w:val="22"/>
              </w:rPr>
            </w:pPr>
            <w:r w:rsidRPr="00EB272B">
              <w:rPr>
                <w:rFonts w:cstheme="minorHAnsi"/>
                <w:sz w:val="22"/>
                <w:szCs w:val="22"/>
              </w:rPr>
              <w:t>Minamata Convention Initial Assessment (MIA) in the Republic of Colombia</w:t>
            </w:r>
          </w:p>
        </w:tc>
        <w:tc>
          <w:tcPr>
            <w:tcW w:w="960" w:type="dxa"/>
            <w:hideMark/>
          </w:tcPr>
          <w:p w14:paraId="38D0BDFE" w14:textId="77777777" w:rsidR="00E953EE" w:rsidRPr="00EB272B" w:rsidRDefault="00E953EE" w:rsidP="006909EB">
            <w:pPr>
              <w:rPr>
                <w:rFonts w:cstheme="minorHAnsi"/>
                <w:sz w:val="22"/>
                <w:szCs w:val="22"/>
              </w:rPr>
            </w:pPr>
            <w:r w:rsidRPr="00EB272B">
              <w:rPr>
                <w:rFonts w:cstheme="minorHAnsi"/>
                <w:sz w:val="22"/>
                <w:szCs w:val="22"/>
              </w:rPr>
              <w:t>GEF-6</w:t>
            </w:r>
          </w:p>
        </w:tc>
        <w:tc>
          <w:tcPr>
            <w:tcW w:w="960" w:type="dxa"/>
            <w:hideMark/>
          </w:tcPr>
          <w:p w14:paraId="3B15949D" w14:textId="77777777" w:rsidR="00E953EE" w:rsidRPr="00EB272B" w:rsidRDefault="00E953EE" w:rsidP="006909EB">
            <w:pPr>
              <w:rPr>
                <w:rFonts w:cstheme="minorHAnsi"/>
                <w:sz w:val="22"/>
                <w:szCs w:val="22"/>
              </w:rPr>
            </w:pPr>
            <w:r w:rsidRPr="00EB272B">
              <w:rPr>
                <w:rFonts w:cstheme="minorHAnsi"/>
                <w:sz w:val="22"/>
                <w:szCs w:val="22"/>
              </w:rPr>
              <w:t>EA</w:t>
            </w:r>
          </w:p>
        </w:tc>
        <w:tc>
          <w:tcPr>
            <w:tcW w:w="960" w:type="dxa"/>
            <w:hideMark/>
          </w:tcPr>
          <w:p w14:paraId="45F30E9F" w14:textId="77777777" w:rsidR="00E953EE" w:rsidRPr="00EB272B" w:rsidRDefault="00E953EE" w:rsidP="006909EB">
            <w:pPr>
              <w:rPr>
                <w:rFonts w:cstheme="minorHAnsi"/>
                <w:sz w:val="22"/>
                <w:szCs w:val="22"/>
              </w:rPr>
            </w:pPr>
            <w:r w:rsidRPr="00EB272B">
              <w:rPr>
                <w:rFonts w:cstheme="minorHAnsi"/>
                <w:sz w:val="22"/>
                <w:szCs w:val="22"/>
              </w:rPr>
              <w:t>UNIDO</w:t>
            </w:r>
          </w:p>
        </w:tc>
        <w:tc>
          <w:tcPr>
            <w:tcW w:w="1660" w:type="dxa"/>
            <w:hideMark/>
          </w:tcPr>
          <w:p w14:paraId="1884BD76" w14:textId="77777777" w:rsidR="00E953EE" w:rsidRPr="00EB272B" w:rsidRDefault="00E953EE" w:rsidP="006909EB">
            <w:pPr>
              <w:jc w:val="right"/>
              <w:rPr>
                <w:rFonts w:cstheme="minorHAnsi"/>
                <w:sz w:val="22"/>
                <w:szCs w:val="22"/>
              </w:rPr>
            </w:pPr>
            <w:r w:rsidRPr="00EB272B">
              <w:rPr>
                <w:rFonts w:cstheme="minorHAnsi"/>
                <w:sz w:val="22"/>
                <w:szCs w:val="22"/>
              </w:rPr>
              <w:t>200000</w:t>
            </w:r>
          </w:p>
        </w:tc>
        <w:tc>
          <w:tcPr>
            <w:tcW w:w="1620" w:type="dxa"/>
            <w:hideMark/>
          </w:tcPr>
          <w:p w14:paraId="37650739" w14:textId="77777777" w:rsidR="00E953EE" w:rsidRPr="00EB272B" w:rsidRDefault="00E953EE" w:rsidP="006909EB">
            <w:pPr>
              <w:jc w:val="right"/>
              <w:rPr>
                <w:rFonts w:cstheme="minorHAnsi"/>
                <w:sz w:val="22"/>
                <w:szCs w:val="22"/>
              </w:rPr>
            </w:pPr>
            <w:r w:rsidRPr="00EB272B">
              <w:rPr>
                <w:rFonts w:cstheme="minorHAnsi"/>
                <w:sz w:val="22"/>
                <w:szCs w:val="22"/>
              </w:rPr>
              <w:t>8000</w:t>
            </w:r>
          </w:p>
        </w:tc>
      </w:tr>
      <w:tr w:rsidR="00E953EE" w:rsidRPr="00EB272B" w14:paraId="7ADCF38A" w14:textId="77777777" w:rsidTr="006909EB">
        <w:trPr>
          <w:trHeight w:val="900"/>
        </w:trPr>
        <w:tc>
          <w:tcPr>
            <w:tcW w:w="1820" w:type="dxa"/>
            <w:hideMark/>
          </w:tcPr>
          <w:p w14:paraId="6B11ACFB" w14:textId="77777777" w:rsidR="00E953EE" w:rsidRPr="00EB272B" w:rsidRDefault="00E953EE" w:rsidP="006909EB">
            <w:pPr>
              <w:rPr>
                <w:rFonts w:cstheme="minorHAnsi"/>
                <w:sz w:val="22"/>
                <w:szCs w:val="22"/>
              </w:rPr>
            </w:pPr>
            <w:r w:rsidRPr="00EB272B">
              <w:rPr>
                <w:rFonts w:cstheme="minorHAnsi"/>
                <w:sz w:val="22"/>
                <w:szCs w:val="22"/>
              </w:rPr>
              <w:lastRenderedPageBreak/>
              <w:t>Colombia</w:t>
            </w:r>
          </w:p>
        </w:tc>
        <w:tc>
          <w:tcPr>
            <w:tcW w:w="1840" w:type="dxa"/>
            <w:hideMark/>
          </w:tcPr>
          <w:p w14:paraId="2025F92B" w14:textId="77777777" w:rsidR="00E953EE" w:rsidRPr="00EB272B" w:rsidRDefault="00E953EE" w:rsidP="006909EB">
            <w:pPr>
              <w:rPr>
                <w:rFonts w:cstheme="minorHAnsi"/>
                <w:sz w:val="22"/>
                <w:szCs w:val="22"/>
              </w:rPr>
            </w:pPr>
            <w:r w:rsidRPr="00EB272B">
              <w:rPr>
                <w:rFonts w:cstheme="minorHAnsi"/>
                <w:sz w:val="22"/>
                <w:szCs w:val="22"/>
              </w:rPr>
              <w:t> </w:t>
            </w:r>
          </w:p>
        </w:tc>
        <w:tc>
          <w:tcPr>
            <w:tcW w:w="960" w:type="dxa"/>
            <w:hideMark/>
          </w:tcPr>
          <w:p w14:paraId="6BD4B452" w14:textId="77777777" w:rsidR="00E953EE" w:rsidRPr="00EB272B" w:rsidRDefault="00E953EE" w:rsidP="006909EB">
            <w:pPr>
              <w:rPr>
                <w:rFonts w:cstheme="minorHAnsi"/>
                <w:sz w:val="22"/>
                <w:szCs w:val="22"/>
              </w:rPr>
            </w:pPr>
            <w:r w:rsidRPr="00EB272B">
              <w:rPr>
                <w:rFonts w:cstheme="minorHAnsi"/>
                <w:sz w:val="22"/>
                <w:szCs w:val="22"/>
              </w:rPr>
              <w:t>W</w:t>
            </w:r>
          </w:p>
        </w:tc>
        <w:tc>
          <w:tcPr>
            <w:tcW w:w="5380" w:type="dxa"/>
            <w:hideMark/>
          </w:tcPr>
          <w:p w14:paraId="5A16957D" w14:textId="77777777" w:rsidR="00E953EE" w:rsidRPr="00EB272B" w:rsidRDefault="00E953EE" w:rsidP="006909EB">
            <w:pPr>
              <w:rPr>
                <w:rFonts w:cstheme="minorHAnsi"/>
                <w:sz w:val="22"/>
                <w:szCs w:val="22"/>
              </w:rPr>
            </w:pPr>
            <w:r w:rsidRPr="00EB272B">
              <w:rPr>
                <w:rFonts w:cstheme="minorHAnsi"/>
                <w:sz w:val="22"/>
                <w:szCs w:val="22"/>
              </w:rPr>
              <w:t>Reducing UPOPs and Mercury Releases from Healthcare Waste Management, e-Waste Treatment, Scrap Processing and Biomass Burning</w:t>
            </w:r>
          </w:p>
        </w:tc>
        <w:tc>
          <w:tcPr>
            <w:tcW w:w="960" w:type="dxa"/>
            <w:hideMark/>
          </w:tcPr>
          <w:p w14:paraId="2F71C53C" w14:textId="77777777" w:rsidR="00E953EE" w:rsidRPr="00EB272B" w:rsidRDefault="00E953EE" w:rsidP="006909EB">
            <w:pPr>
              <w:rPr>
                <w:rFonts w:cstheme="minorHAnsi"/>
                <w:sz w:val="22"/>
                <w:szCs w:val="22"/>
              </w:rPr>
            </w:pPr>
            <w:r w:rsidRPr="00EB272B">
              <w:rPr>
                <w:rFonts w:cstheme="minorHAnsi"/>
                <w:sz w:val="22"/>
                <w:szCs w:val="22"/>
              </w:rPr>
              <w:t>GEF-6</w:t>
            </w:r>
          </w:p>
        </w:tc>
        <w:tc>
          <w:tcPr>
            <w:tcW w:w="960" w:type="dxa"/>
            <w:hideMark/>
          </w:tcPr>
          <w:p w14:paraId="3AA86D0F" w14:textId="77777777" w:rsidR="00E953EE" w:rsidRPr="00EB272B" w:rsidRDefault="00E953EE" w:rsidP="006909EB">
            <w:pPr>
              <w:rPr>
                <w:rFonts w:cstheme="minorHAnsi"/>
                <w:sz w:val="22"/>
                <w:szCs w:val="22"/>
              </w:rPr>
            </w:pPr>
            <w:r w:rsidRPr="00EB272B">
              <w:rPr>
                <w:rFonts w:cstheme="minorHAnsi"/>
                <w:sz w:val="22"/>
                <w:szCs w:val="22"/>
              </w:rPr>
              <w:t>FSP</w:t>
            </w:r>
          </w:p>
        </w:tc>
        <w:tc>
          <w:tcPr>
            <w:tcW w:w="960" w:type="dxa"/>
            <w:hideMark/>
          </w:tcPr>
          <w:p w14:paraId="6A6C9F41" w14:textId="77777777" w:rsidR="00E953EE" w:rsidRPr="00EB272B" w:rsidRDefault="00E953EE" w:rsidP="006909EB">
            <w:pPr>
              <w:rPr>
                <w:rFonts w:cstheme="minorHAnsi"/>
                <w:sz w:val="22"/>
                <w:szCs w:val="22"/>
              </w:rPr>
            </w:pPr>
            <w:r w:rsidRPr="00EB272B">
              <w:rPr>
                <w:rFonts w:cstheme="minorHAnsi"/>
                <w:sz w:val="22"/>
                <w:szCs w:val="22"/>
              </w:rPr>
              <w:t>UNDP</w:t>
            </w:r>
          </w:p>
        </w:tc>
        <w:tc>
          <w:tcPr>
            <w:tcW w:w="1660" w:type="dxa"/>
            <w:hideMark/>
          </w:tcPr>
          <w:p w14:paraId="64267367" w14:textId="77777777" w:rsidR="00E953EE" w:rsidRPr="00EB272B" w:rsidRDefault="00E953EE" w:rsidP="006909EB">
            <w:pPr>
              <w:jc w:val="right"/>
              <w:rPr>
                <w:rFonts w:cstheme="minorHAnsi"/>
                <w:sz w:val="22"/>
                <w:szCs w:val="22"/>
              </w:rPr>
            </w:pPr>
            <w:r w:rsidRPr="00EB272B">
              <w:rPr>
                <w:rFonts w:cstheme="minorHAnsi"/>
                <w:sz w:val="22"/>
                <w:szCs w:val="22"/>
              </w:rPr>
              <w:t>686000</w:t>
            </w:r>
          </w:p>
        </w:tc>
        <w:tc>
          <w:tcPr>
            <w:tcW w:w="1620" w:type="dxa"/>
            <w:hideMark/>
          </w:tcPr>
          <w:p w14:paraId="32261AC0" w14:textId="77777777" w:rsidR="00E953EE" w:rsidRPr="00EB272B" w:rsidRDefault="00E953EE" w:rsidP="006909EB">
            <w:pPr>
              <w:jc w:val="right"/>
              <w:rPr>
                <w:rFonts w:cstheme="minorHAnsi"/>
                <w:sz w:val="22"/>
                <w:szCs w:val="22"/>
              </w:rPr>
            </w:pPr>
            <w:r w:rsidRPr="00EB272B">
              <w:rPr>
                <w:rFonts w:cstheme="minorHAnsi"/>
                <w:sz w:val="22"/>
                <w:szCs w:val="22"/>
              </w:rPr>
              <w:t>1000000</w:t>
            </w:r>
          </w:p>
        </w:tc>
      </w:tr>
      <w:tr w:rsidR="00E953EE" w:rsidRPr="00EB272B" w14:paraId="2C985142" w14:textId="77777777" w:rsidTr="006909EB">
        <w:trPr>
          <w:trHeight w:val="600"/>
        </w:trPr>
        <w:tc>
          <w:tcPr>
            <w:tcW w:w="1820" w:type="dxa"/>
            <w:hideMark/>
          </w:tcPr>
          <w:p w14:paraId="0977F364" w14:textId="77777777" w:rsidR="00E953EE" w:rsidRPr="00EB272B" w:rsidRDefault="00E953EE" w:rsidP="006909EB">
            <w:pPr>
              <w:rPr>
                <w:rFonts w:cstheme="minorHAnsi"/>
                <w:sz w:val="22"/>
                <w:szCs w:val="22"/>
              </w:rPr>
            </w:pPr>
            <w:r w:rsidRPr="00EB272B">
              <w:rPr>
                <w:rFonts w:cstheme="minorHAnsi"/>
                <w:sz w:val="22"/>
                <w:szCs w:val="22"/>
              </w:rPr>
              <w:t>Comoros</w:t>
            </w:r>
          </w:p>
        </w:tc>
        <w:tc>
          <w:tcPr>
            <w:tcW w:w="1840" w:type="dxa"/>
            <w:hideMark/>
          </w:tcPr>
          <w:p w14:paraId="59C0F95A" w14:textId="77777777" w:rsidR="00E953EE" w:rsidRPr="00EB272B" w:rsidRDefault="00E953EE" w:rsidP="006909EB">
            <w:pPr>
              <w:rPr>
                <w:rFonts w:cstheme="minorHAnsi"/>
                <w:sz w:val="22"/>
                <w:szCs w:val="22"/>
              </w:rPr>
            </w:pPr>
            <w:r w:rsidRPr="00EB272B">
              <w:rPr>
                <w:rFonts w:cstheme="minorHAnsi"/>
                <w:sz w:val="22"/>
                <w:szCs w:val="22"/>
              </w:rPr>
              <w:t> </w:t>
            </w:r>
          </w:p>
        </w:tc>
        <w:tc>
          <w:tcPr>
            <w:tcW w:w="960" w:type="dxa"/>
            <w:hideMark/>
          </w:tcPr>
          <w:p w14:paraId="5B2ACA1C" w14:textId="77777777" w:rsidR="00E953EE" w:rsidRPr="00EB272B" w:rsidRDefault="00E953EE" w:rsidP="006909EB">
            <w:pPr>
              <w:rPr>
                <w:rFonts w:cstheme="minorHAnsi"/>
                <w:sz w:val="22"/>
                <w:szCs w:val="22"/>
              </w:rPr>
            </w:pPr>
            <w:r w:rsidRPr="00EB272B">
              <w:rPr>
                <w:rFonts w:cstheme="minorHAnsi"/>
                <w:sz w:val="22"/>
                <w:szCs w:val="22"/>
              </w:rPr>
              <w:t>P</w:t>
            </w:r>
          </w:p>
        </w:tc>
        <w:tc>
          <w:tcPr>
            <w:tcW w:w="5380" w:type="dxa"/>
            <w:hideMark/>
          </w:tcPr>
          <w:p w14:paraId="13987AE7" w14:textId="77777777" w:rsidR="00E953EE" w:rsidRPr="00EB272B" w:rsidRDefault="00E953EE" w:rsidP="006909EB">
            <w:pPr>
              <w:rPr>
                <w:rFonts w:cstheme="minorHAnsi"/>
                <w:sz w:val="22"/>
                <w:szCs w:val="22"/>
              </w:rPr>
            </w:pPr>
            <w:r w:rsidRPr="00EB272B">
              <w:rPr>
                <w:rFonts w:cstheme="minorHAnsi"/>
                <w:sz w:val="22"/>
                <w:szCs w:val="22"/>
              </w:rPr>
              <w:t>Minamata Convention Initial Assessment in the Comoros</w:t>
            </w:r>
          </w:p>
        </w:tc>
        <w:tc>
          <w:tcPr>
            <w:tcW w:w="960" w:type="dxa"/>
            <w:hideMark/>
          </w:tcPr>
          <w:p w14:paraId="5BAFA484" w14:textId="77777777" w:rsidR="00E953EE" w:rsidRPr="00EB272B" w:rsidRDefault="00E953EE" w:rsidP="006909EB">
            <w:pPr>
              <w:rPr>
                <w:rFonts w:cstheme="minorHAnsi"/>
                <w:sz w:val="22"/>
                <w:szCs w:val="22"/>
              </w:rPr>
            </w:pPr>
            <w:r w:rsidRPr="00EB272B">
              <w:rPr>
                <w:rFonts w:cstheme="minorHAnsi"/>
                <w:sz w:val="22"/>
                <w:szCs w:val="22"/>
              </w:rPr>
              <w:t>GEF-5</w:t>
            </w:r>
          </w:p>
        </w:tc>
        <w:tc>
          <w:tcPr>
            <w:tcW w:w="960" w:type="dxa"/>
            <w:hideMark/>
          </w:tcPr>
          <w:p w14:paraId="7C47496C" w14:textId="77777777" w:rsidR="00E953EE" w:rsidRPr="00EB272B" w:rsidRDefault="00E953EE" w:rsidP="006909EB">
            <w:pPr>
              <w:rPr>
                <w:rFonts w:cstheme="minorHAnsi"/>
                <w:sz w:val="22"/>
                <w:szCs w:val="22"/>
              </w:rPr>
            </w:pPr>
            <w:r w:rsidRPr="00EB272B">
              <w:rPr>
                <w:rFonts w:cstheme="minorHAnsi"/>
                <w:sz w:val="22"/>
                <w:szCs w:val="22"/>
              </w:rPr>
              <w:t>EA</w:t>
            </w:r>
          </w:p>
        </w:tc>
        <w:tc>
          <w:tcPr>
            <w:tcW w:w="960" w:type="dxa"/>
            <w:hideMark/>
          </w:tcPr>
          <w:p w14:paraId="55D89C89" w14:textId="77777777" w:rsidR="00E953EE" w:rsidRPr="00EB272B" w:rsidRDefault="00E953EE" w:rsidP="006909EB">
            <w:pPr>
              <w:rPr>
                <w:rFonts w:cstheme="minorHAnsi"/>
                <w:sz w:val="22"/>
                <w:szCs w:val="22"/>
              </w:rPr>
            </w:pPr>
            <w:r w:rsidRPr="00EB272B">
              <w:rPr>
                <w:rFonts w:cstheme="minorHAnsi"/>
                <w:sz w:val="22"/>
                <w:szCs w:val="22"/>
              </w:rPr>
              <w:t>UNIDO</w:t>
            </w:r>
          </w:p>
        </w:tc>
        <w:tc>
          <w:tcPr>
            <w:tcW w:w="1660" w:type="dxa"/>
            <w:hideMark/>
          </w:tcPr>
          <w:p w14:paraId="71FA079D" w14:textId="77777777" w:rsidR="00E953EE" w:rsidRPr="00EB272B" w:rsidRDefault="00E953EE" w:rsidP="006909EB">
            <w:pPr>
              <w:jc w:val="right"/>
              <w:rPr>
                <w:rFonts w:cstheme="minorHAnsi"/>
                <w:sz w:val="22"/>
                <w:szCs w:val="22"/>
              </w:rPr>
            </w:pPr>
            <w:r w:rsidRPr="00EB272B">
              <w:rPr>
                <w:rFonts w:cstheme="minorHAnsi"/>
                <w:sz w:val="22"/>
                <w:szCs w:val="22"/>
              </w:rPr>
              <w:t>200000</w:t>
            </w:r>
          </w:p>
        </w:tc>
        <w:tc>
          <w:tcPr>
            <w:tcW w:w="1620" w:type="dxa"/>
            <w:hideMark/>
          </w:tcPr>
          <w:p w14:paraId="2002F5B1" w14:textId="77777777" w:rsidR="00E953EE" w:rsidRPr="00EB272B" w:rsidRDefault="00E953EE" w:rsidP="006909EB">
            <w:pPr>
              <w:jc w:val="right"/>
              <w:rPr>
                <w:rFonts w:cstheme="minorHAnsi"/>
                <w:sz w:val="22"/>
                <w:szCs w:val="22"/>
              </w:rPr>
            </w:pPr>
            <w:r w:rsidRPr="00EB272B">
              <w:rPr>
                <w:rFonts w:cstheme="minorHAnsi"/>
                <w:sz w:val="22"/>
                <w:szCs w:val="22"/>
              </w:rPr>
              <w:t>67000</w:t>
            </w:r>
          </w:p>
        </w:tc>
      </w:tr>
      <w:tr w:rsidR="00E953EE" w:rsidRPr="00EB272B" w14:paraId="4B74480A" w14:textId="77777777" w:rsidTr="006909EB">
        <w:trPr>
          <w:trHeight w:val="900"/>
        </w:trPr>
        <w:tc>
          <w:tcPr>
            <w:tcW w:w="1820" w:type="dxa"/>
            <w:hideMark/>
          </w:tcPr>
          <w:p w14:paraId="6A720F2A" w14:textId="77777777" w:rsidR="00E953EE" w:rsidRPr="00EB272B" w:rsidRDefault="00E953EE" w:rsidP="006909EB">
            <w:pPr>
              <w:rPr>
                <w:rFonts w:cstheme="minorHAnsi"/>
                <w:sz w:val="22"/>
                <w:szCs w:val="22"/>
              </w:rPr>
            </w:pPr>
            <w:r w:rsidRPr="00EB272B">
              <w:rPr>
                <w:rFonts w:cstheme="minorHAnsi"/>
                <w:sz w:val="22"/>
                <w:szCs w:val="22"/>
              </w:rPr>
              <w:t>Congo DR</w:t>
            </w:r>
          </w:p>
        </w:tc>
        <w:tc>
          <w:tcPr>
            <w:tcW w:w="1840" w:type="dxa"/>
            <w:hideMark/>
          </w:tcPr>
          <w:p w14:paraId="34BCB552" w14:textId="77777777" w:rsidR="00E953EE" w:rsidRPr="00EB272B" w:rsidRDefault="00E953EE" w:rsidP="006909EB">
            <w:pPr>
              <w:rPr>
                <w:rFonts w:cstheme="minorHAnsi"/>
                <w:sz w:val="22"/>
                <w:szCs w:val="22"/>
              </w:rPr>
            </w:pPr>
            <w:r w:rsidRPr="00EB272B">
              <w:rPr>
                <w:rFonts w:cstheme="minorHAnsi"/>
                <w:sz w:val="22"/>
                <w:szCs w:val="22"/>
              </w:rPr>
              <w:t> </w:t>
            </w:r>
          </w:p>
        </w:tc>
        <w:tc>
          <w:tcPr>
            <w:tcW w:w="960" w:type="dxa"/>
            <w:hideMark/>
          </w:tcPr>
          <w:p w14:paraId="4684D651" w14:textId="77777777" w:rsidR="00E953EE" w:rsidRPr="00EB272B" w:rsidRDefault="00E953EE" w:rsidP="006909EB">
            <w:pPr>
              <w:rPr>
                <w:rFonts w:cstheme="minorHAnsi"/>
                <w:sz w:val="22"/>
                <w:szCs w:val="22"/>
              </w:rPr>
            </w:pPr>
            <w:r w:rsidRPr="00EB272B">
              <w:rPr>
                <w:rFonts w:cstheme="minorHAnsi"/>
                <w:sz w:val="22"/>
                <w:szCs w:val="22"/>
              </w:rPr>
              <w:t>W</w:t>
            </w:r>
          </w:p>
        </w:tc>
        <w:tc>
          <w:tcPr>
            <w:tcW w:w="5380" w:type="dxa"/>
            <w:hideMark/>
          </w:tcPr>
          <w:p w14:paraId="711EBEDC" w14:textId="77777777" w:rsidR="00E953EE" w:rsidRPr="00EB272B" w:rsidRDefault="00E953EE" w:rsidP="006909EB">
            <w:pPr>
              <w:rPr>
                <w:rFonts w:cstheme="minorHAnsi"/>
                <w:sz w:val="22"/>
                <w:szCs w:val="22"/>
              </w:rPr>
            </w:pPr>
            <w:r w:rsidRPr="00EB272B">
              <w:rPr>
                <w:rFonts w:cstheme="minorHAnsi"/>
                <w:sz w:val="22"/>
                <w:szCs w:val="22"/>
              </w:rPr>
              <w:t>Development of Minamata Initial Assessment and National Action Plan for Artisanal and Small-Scale Gold Mining in Democratic Republic of Congo (DRC)</w:t>
            </w:r>
          </w:p>
        </w:tc>
        <w:tc>
          <w:tcPr>
            <w:tcW w:w="960" w:type="dxa"/>
            <w:hideMark/>
          </w:tcPr>
          <w:p w14:paraId="438CEB2B" w14:textId="77777777" w:rsidR="00E953EE" w:rsidRPr="00EB272B" w:rsidRDefault="00E953EE" w:rsidP="006909EB">
            <w:pPr>
              <w:rPr>
                <w:rFonts w:cstheme="minorHAnsi"/>
                <w:sz w:val="22"/>
                <w:szCs w:val="22"/>
              </w:rPr>
            </w:pPr>
            <w:r w:rsidRPr="00EB272B">
              <w:rPr>
                <w:rFonts w:cstheme="minorHAnsi"/>
                <w:sz w:val="22"/>
                <w:szCs w:val="22"/>
              </w:rPr>
              <w:t>GEF-6</w:t>
            </w:r>
          </w:p>
        </w:tc>
        <w:tc>
          <w:tcPr>
            <w:tcW w:w="960" w:type="dxa"/>
            <w:hideMark/>
          </w:tcPr>
          <w:p w14:paraId="1026A42B" w14:textId="77777777" w:rsidR="00E953EE" w:rsidRPr="00EB272B" w:rsidRDefault="00E953EE" w:rsidP="006909EB">
            <w:pPr>
              <w:rPr>
                <w:rFonts w:cstheme="minorHAnsi"/>
                <w:sz w:val="22"/>
                <w:szCs w:val="22"/>
              </w:rPr>
            </w:pPr>
            <w:r w:rsidRPr="00EB272B">
              <w:rPr>
                <w:rFonts w:cstheme="minorHAnsi"/>
                <w:sz w:val="22"/>
                <w:szCs w:val="22"/>
              </w:rPr>
              <w:t>EA</w:t>
            </w:r>
          </w:p>
        </w:tc>
        <w:tc>
          <w:tcPr>
            <w:tcW w:w="960" w:type="dxa"/>
            <w:hideMark/>
          </w:tcPr>
          <w:p w14:paraId="3574CD67" w14:textId="77777777" w:rsidR="00E953EE" w:rsidRPr="00EB272B" w:rsidRDefault="00E953EE" w:rsidP="006909EB">
            <w:pPr>
              <w:rPr>
                <w:rFonts w:cstheme="minorHAnsi"/>
                <w:sz w:val="22"/>
                <w:szCs w:val="22"/>
              </w:rPr>
            </w:pPr>
            <w:r w:rsidRPr="00EB272B">
              <w:rPr>
                <w:rFonts w:cstheme="minorHAnsi"/>
                <w:sz w:val="22"/>
                <w:szCs w:val="22"/>
              </w:rPr>
              <w:t>UNEP</w:t>
            </w:r>
          </w:p>
        </w:tc>
        <w:tc>
          <w:tcPr>
            <w:tcW w:w="1660" w:type="dxa"/>
            <w:hideMark/>
          </w:tcPr>
          <w:p w14:paraId="5CF8C2B5" w14:textId="77777777" w:rsidR="00E953EE" w:rsidRPr="00EB272B" w:rsidRDefault="00E953EE" w:rsidP="006909EB">
            <w:pPr>
              <w:jc w:val="right"/>
              <w:rPr>
                <w:rFonts w:cstheme="minorHAnsi"/>
                <w:sz w:val="22"/>
                <w:szCs w:val="22"/>
              </w:rPr>
            </w:pPr>
            <w:r w:rsidRPr="00EB272B">
              <w:rPr>
                <w:rFonts w:cstheme="minorHAnsi"/>
                <w:sz w:val="22"/>
                <w:szCs w:val="22"/>
              </w:rPr>
              <w:t>1000000</w:t>
            </w:r>
          </w:p>
        </w:tc>
        <w:tc>
          <w:tcPr>
            <w:tcW w:w="1620" w:type="dxa"/>
            <w:hideMark/>
          </w:tcPr>
          <w:p w14:paraId="4E526EDF" w14:textId="77777777" w:rsidR="00E953EE" w:rsidRPr="00EB272B" w:rsidRDefault="00E953EE" w:rsidP="006909EB">
            <w:pPr>
              <w:jc w:val="right"/>
              <w:rPr>
                <w:rFonts w:cstheme="minorHAnsi"/>
                <w:sz w:val="22"/>
                <w:szCs w:val="22"/>
              </w:rPr>
            </w:pPr>
            <w:r>
              <w:rPr>
                <w:rFonts w:cstheme="minorHAnsi"/>
                <w:sz w:val="22"/>
                <w:szCs w:val="22"/>
              </w:rPr>
              <w:t>0</w:t>
            </w:r>
            <w:r w:rsidRPr="00EB272B">
              <w:rPr>
                <w:rFonts w:cstheme="minorHAnsi"/>
                <w:sz w:val="22"/>
                <w:szCs w:val="22"/>
              </w:rPr>
              <w:t> </w:t>
            </w:r>
          </w:p>
        </w:tc>
      </w:tr>
      <w:tr w:rsidR="00E953EE" w:rsidRPr="00EB272B" w14:paraId="5DE98D54" w14:textId="77777777" w:rsidTr="006909EB">
        <w:trPr>
          <w:trHeight w:val="300"/>
        </w:trPr>
        <w:tc>
          <w:tcPr>
            <w:tcW w:w="1820" w:type="dxa"/>
            <w:hideMark/>
          </w:tcPr>
          <w:p w14:paraId="46FC781B" w14:textId="77777777" w:rsidR="00E953EE" w:rsidRPr="00EB272B" w:rsidRDefault="00E953EE" w:rsidP="006909EB">
            <w:pPr>
              <w:rPr>
                <w:rFonts w:cstheme="minorHAnsi"/>
                <w:sz w:val="22"/>
                <w:szCs w:val="22"/>
              </w:rPr>
            </w:pPr>
            <w:r w:rsidRPr="00EB272B">
              <w:rPr>
                <w:rFonts w:cstheme="minorHAnsi"/>
                <w:sz w:val="22"/>
                <w:szCs w:val="22"/>
              </w:rPr>
              <w:t>Costa Rica</w:t>
            </w:r>
          </w:p>
        </w:tc>
        <w:tc>
          <w:tcPr>
            <w:tcW w:w="1840" w:type="dxa"/>
            <w:hideMark/>
          </w:tcPr>
          <w:p w14:paraId="5E9880CB" w14:textId="77777777" w:rsidR="00E953EE" w:rsidRPr="00EB272B" w:rsidRDefault="00E953EE" w:rsidP="006909EB">
            <w:pPr>
              <w:rPr>
                <w:rFonts w:cstheme="minorHAnsi"/>
                <w:sz w:val="22"/>
                <w:szCs w:val="22"/>
              </w:rPr>
            </w:pPr>
            <w:r w:rsidRPr="00EB272B">
              <w:rPr>
                <w:rFonts w:cstheme="minorHAnsi"/>
                <w:sz w:val="22"/>
                <w:szCs w:val="22"/>
              </w:rPr>
              <w:t> </w:t>
            </w:r>
          </w:p>
        </w:tc>
        <w:tc>
          <w:tcPr>
            <w:tcW w:w="960" w:type="dxa"/>
            <w:hideMark/>
          </w:tcPr>
          <w:p w14:paraId="1B91D58C" w14:textId="77777777" w:rsidR="00E953EE" w:rsidRPr="00EB272B" w:rsidRDefault="00E953EE" w:rsidP="006909EB">
            <w:pPr>
              <w:rPr>
                <w:rFonts w:cstheme="minorHAnsi"/>
                <w:sz w:val="22"/>
                <w:szCs w:val="22"/>
              </w:rPr>
            </w:pPr>
            <w:r w:rsidRPr="00EB272B">
              <w:rPr>
                <w:rFonts w:cstheme="minorHAnsi"/>
                <w:sz w:val="22"/>
                <w:szCs w:val="22"/>
              </w:rPr>
              <w:t>P</w:t>
            </w:r>
          </w:p>
        </w:tc>
        <w:tc>
          <w:tcPr>
            <w:tcW w:w="5380" w:type="dxa"/>
            <w:hideMark/>
          </w:tcPr>
          <w:p w14:paraId="44BA219E" w14:textId="77777777" w:rsidR="00E953EE" w:rsidRPr="00EB272B" w:rsidRDefault="00E953EE" w:rsidP="006909EB">
            <w:pPr>
              <w:rPr>
                <w:rFonts w:cstheme="minorHAnsi"/>
                <w:sz w:val="22"/>
                <w:szCs w:val="22"/>
              </w:rPr>
            </w:pPr>
            <w:r w:rsidRPr="00EB272B">
              <w:rPr>
                <w:rFonts w:cstheme="minorHAnsi"/>
                <w:sz w:val="22"/>
                <w:szCs w:val="22"/>
              </w:rPr>
              <w:t>Minamata Initial Assessment for Costa Rica</w:t>
            </w:r>
          </w:p>
        </w:tc>
        <w:tc>
          <w:tcPr>
            <w:tcW w:w="960" w:type="dxa"/>
            <w:hideMark/>
          </w:tcPr>
          <w:p w14:paraId="33A8885C" w14:textId="77777777" w:rsidR="00E953EE" w:rsidRPr="00EB272B" w:rsidRDefault="00E953EE" w:rsidP="006909EB">
            <w:pPr>
              <w:rPr>
                <w:rFonts w:cstheme="minorHAnsi"/>
                <w:sz w:val="22"/>
                <w:szCs w:val="22"/>
              </w:rPr>
            </w:pPr>
            <w:r w:rsidRPr="00EB272B">
              <w:rPr>
                <w:rFonts w:cstheme="minorHAnsi"/>
                <w:sz w:val="22"/>
                <w:szCs w:val="22"/>
              </w:rPr>
              <w:t>GEF-5</w:t>
            </w:r>
          </w:p>
        </w:tc>
        <w:tc>
          <w:tcPr>
            <w:tcW w:w="960" w:type="dxa"/>
            <w:hideMark/>
          </w:tcPr>
          <w:p w14:paraId="638402B8" w14:textId="77777777" w:rsidR="00E953EE" w:rsidRPr="00EB272B" w:rsidRDefault="00E953EE" w:rsidP="006909EB">
            <w:pPr>
              <w:rPr>
                <w:rFonts w:cstheme="minorHAnsi"/>
                <w:sz w:val="22"/>
                <w:szCs w:val="22"/>
              </w:rPr>
            </w:pPr>
            <w:r w:rsidRPr="00EB272B">
              <w:rPr>
                <w:rFonts w:cstheme="minorHAnsi"/>
                <w:sz w:val="22"/>
                <w:szCs w:val="22"/>
              </w:rPr>
              <w:t>EA</w:t>
            </w:r>
          </w:p>
        </w:tc>
        <w:tc>
          <w:tcPr>
            <w:tcW w:w="960" w:type="dxa"/>
            <w:hideMark/>
          </w:tcPr>
          <w:p w14:paraId="5A6929C1" w14:textId="77777777" w:rsidR="00E953EE" w:rsidRPr="00EB272B" w:rsidRDefault="00E953EE" w:rsidP="006909EB">
            <w:pPr>
              <w:rPr>
                <w:rFonts w:cstheme="minorHAnsi"/>
                <w:sz w:val="22"/>
                <w:szCs w:val="22"/>
              </w:rPr>
            </w:pPr>
            <w:r w:rsidRPr="00EB272B">
              <w:rPr>
                <w:rFonts w:cstheme="minorHAnsi"/>
                <w:sz w:val="22"/>
                <w:szCs w:val="22"/>
              </w:rPr>
              <w:t>UNDP</w:t>
            </w:r>
          </w:p>
        </w:tc>
        <w:tc>
          <w:tcPr>
            <w:tcW w:w="1660" w:type="dxa"/>
            <w:hideMark/>
          </w:tcPr>
          <w:p w14:paraId="0F73B3F2" w14:textId="77777777" w:rsidR="00E953EE" w:rsidRPr="00EB272B" w:rsidRDefault="00E953EE" w:rsidP="006909EB">
            <w:pPr>
              <w:jc w:val="right"/>
              <w:rPr>
                <w:rFonts w:cstheme="minorHAnsi"/>
                <w:sz w:val="22"/>
                <w:szCs w:val="22"/>
              </w:rPr>
            </w:pPr>
            <w:r w:rsidRPr="00EB272B">
              <w:rPr>
                <w:rFonts w:cstheme="minorHAnsi"/>
                <w:sz w:val="22"/>
                <w:szCs w:val="22"/>
              </w:rPr>
              <w:t>200000</w:t>
            </w:r>
          </w:p>
        </w:tc>
        <w:tc>
          <w:tcPr>
            <w:tcW w:w="1620" w:type="dxa"/>
            <w:hideMark/>
          </w:tcPr>
          <w:p w14:paraId="64CB14CB" w14:textId="77777777" w:rsidR="00E953EE" w:rsidRPr="00EB272B" w:rsidRDefault="00E953EE" w:rsidP="006909EB">
            <w:pPr>
              <w:jc w:val="right"/>
              <w:rPr>
                <w:rFonts w:cstheme="minorHAnsi"/>
                <w:sz w:val="22"/>
                <w:szCs w:val="22"/>
              </w:rPr>
            </w:pPr>
            <w:r w:rsidRPr="00EB272B">
              <w:rPr>
                <w:rFonts w:cstheme="minorHAnsi"/>
                <w:sz w:val="22"/>
                <w:szCs w:val="22"/>
              </w:rPr>
              <w:t>0</w:t>
            </w:r>
          </w:p>
        </w:tc>
      </w:tr>
      <w:tr w:rsidR="00E953EE" w:rsidRPr="00EB272B" w14:paraId="221D7DAB" w14:textId="77777777" w:rsidTr="006909EB">
        <w:trPr>
          <w:trHeight w:val="600"/>
        </w:trPr>
        <w:tc>
          <w:tcPr>
            <w:tcW w:w="1820" w:type="dxa"/>
            <w:hideMark/>
          </w:tcPr>
          <w:p w14:paraId="63DFCAB2" w14:textId="77777777" w:rsidR="00E953EE" w:rsidRPr="00EB272B" w:rsidRDefault="00E953EE" w:rsidP="006909EB">
            <w:pPr>
              <w:rPr>
                <w:rFonts w:cstheme="minorHAnsi"/>
                <w:sz w:val="22"/>
                <w:szCs w:val="22"/>
              </w:rPr>
            </w:pPr>
            <w:r w:rsidRPr="00EB272B">
              <w:rPr>
                <w:rFonts w:cstheme="minorHAnsi"/>
                <w:sz w:val="22"/>
                <w:szCs w:val="22"/>
              </w:rPr>
              <w:t>Djibouti</w:t>
            </w:r>
          </w:p>
        </w:tc>
        <w:tc>
          <w:tcPr>
            <w:tcW w:w="1840" w:type="dxa"/>
            <w:hideMark/>
          </w:tcPr>
          <w:p w14:paraId="1B70002F" w14:textId="77777777" w:rsidR="00E953EE" w:rsidRPr="00EB272B" w:rsidRDefault="00E953EE" w:rsidP="006909EB">
            <w:pPr>
              <w:rPr>
                <w:rFonts w:cstheme="minorHAnsi"/>
                <w:sz w:val="22"/>
                <w:szCs w:val="22"/>
              </w:rPr>
            </w:pPr>
            <w:r w:rsidRPr="00EB272B">
              <w:rPr>
                <w:rFonts w:cstheme="minorHAnsi"/>
                <w:sz w:val="22"/>
                <w:szCs w:val="22"/>
              </w:rPr>
              <w:t> </w:t>
            </w:r>
          </w:p>
        </w:tc>
        <w:tc>
          <w:tcPr>
            <w:tcW w:w="960" w:type="dxa"/>
            <w:hideMark/>
          </w:tcPr>
          <w:p w14:paraId="32C3C5AB" w14:textId="77777777" w:rsidR="00E953EE" w:rsidRPr="00EB272B" w:rsidRDefault="00E953EE" w:rsidP="006909EB">
            <w:pPr>
              <w:rPr>
                <w:rFonts w:cstheme="minorHAnsi"/>
                <w:sz w:val="22"/>
                <w:szCs w:val="22"/>
              </w:rPr>
            </w:pPr>
            <w:r w:rsidRPr="00EB272B">
              <w:rPr>
                <w:rFonts w:cstheme="minorHAnsi"/>
                <w:sz w:val="22"/>
                <w:szCs w:val="22"/>
              </w:rPr>
              <w:t>W</w:t>
            </w:r>
          </w:p>
        </w:tc>
        <w:tc>
          <w:tcPr>
            <w:tcW w:w="5380" w:type="dxa"/>
            <w:hideMark/>
          </w:tcPr>
          <w:p w14:paraId="1B830C9C" w14:textId="77777777" w:rsidR="00E953EE" w:rsidRPr="00EB272B" w:rsidRDefault="00E953EE" w:rsidP="006909EB">
            <w:pPr>
              <w:rPr>
                <w:rFonts w:cstheme="minorHAnsi"/>
                <w:sz w:val="22"/>
                <w:szCs w:val="22"/>
              </w:rPr>
            </w:pPr>
            <w:r w:rsidRPr="00EB272B">
              <w:rPr>
                <w:rFonts w:cstheme="minorHAnsi"/>
                <w:sz w:val="22"/>
                <w:szCs w:val="22"/>
              </w:rPr>
              <w:t>Development of a Minamata Initial Assessment in Djibouti</w:t>
            </w:r>
          </w:p>
        </w:tc>
        <w:tc>
          <w:tcPr>
            <w:tcW w:w="960" w:type="dxa"/>
            <w:hideMark/>
          </w:tcPr>
          <w:p w14:paraId="0D878E32" w14:textId="77777777" w:rsidR="00E953EE" w:rsidRPr="00EB272B" w:rsidRDefault="00E953EE" w:rsidP="006909EB">
            <w:pPr>
              <w:rPr>
                <w:rFonts w:cstheme="minorHAnsi"/>
                <w:sz w:val="22"/>
                <w:szCs w:val="22"/>
              </w:rPr>
            </w:pPr>
            <w:r w:rsidRPr="00EB272B">
              <w:rPr>
                <w:rFonts w:cstheme="minorHAnsi"/>
                <w:sz w:val="22"/>
                <w:szCs w:val="22"/>
              </w:rPr>
              <w:t>GEF-6</w:t>
            </w:r>
          </w:p>
        </w:tc>
        <w:tc>
          <w:tcPr>
            <w:tcW w:w="960" w:type="dxa"/>
            <w:hideMark/>
          </w:tcPr>
          <w:p w14:paraId="2466DF9E" w14:textId="77777777" w:rsidR="00E953EE" w:rsidRPr="00EB272B" w:rsidRDefault="00E953EE" w:rsidP="006909EB">
            <w:pPr>
              <w:rPr>
                <w:rFonts w:cstheme="minorHAnsi"/>
                <w:sz w:val="22"/>
                <w:szCs w:val="22"/>
              </w:rPr>
            </w:pPr>
            <w:r w:rsidRPr="00EB272B">
              <w:rPr>
                <w:rFonts w:cstheme="minorHAnsi"/>
                <w:sz w:val="22"/>
                <w:szCs w:val="22"/>
              </w:rPr>
              <w:t>EA</w:t>
            </w:r>
          </w:p>
        </w:tc>
        <w:tc>
          <w:tcPr>
            <w:tcW w:w="960" w:type="dxa"/>
            <w:hideMark/>
          </w:tcPr>
          <w:p w14:paraId="199D86DE" w14:textId="77777777" w:rsidR="00E953EE" w:rsidRPr="00EB272B" w:rsidRDefault="00E953EE" w:rsidP="006909EB">
            <w:pPr>
              <w:rPr>
                <w:rFonts w:cstheme="minorHAnsi"/>
                <w:sz w:val="22"/>
                <w:szCs w:val="22"/>
              </w:rPr>
            </w:pPr>
            <w:r w:rsidRPr="00EB272B">
              <w:rPr>
                <w:rFonts w:cstheme="minorHAnsi"/>
                <w:sz w:val="22"/>
                <w:szCs w:val="22"/>
              </w:rPr>
              <w:t>UNEP</w:t>
            </w:r>
          </w:p>
        </w:tc>
        <w:tc>
          <w:tcPr>
            <w:tcW w:w="1660" w:type="dxa"/>
            <w:hideMark/>
          </w:tcPr>
          <w:p w14:paraId="4B4BBDA7" w14:textId="77777777" w:rsidR="00E953EE" w:rsidRPr="00EB272B" w:rsidRDefault="00E953EE" w:rsidP="006909EB">
            <w:pPr>
              <w:jc w:val="right"/>
              <w:rPr>
                <w:rFonts w:cstheme="minorHAnsi"/>
                <w:sz w:val="22"/>
                <w:szCs w:val="22"/>
              </w:rPr>
            </w:pPr>
            <w:r w:rsidRPr="00EB272B">
              <w:rPr>
                <w:rFonts w:cstheme="minorHAnsi"/>
                <w:sz w:val="22"/>
                <w:szCs w:val="22"/>
              </w:rPr>
              <w:t>200000</w:t>
            </w:r>
          </w:p>
        </w:tc>
        <w:tc>
          <w:tcPr>
            <w:tcW w:w="1620" w:type="dxa"/>
            <w:hideMark/>
          </w:tcPr>
          <w:p w14:paraId="33B782B1" w14:textId="77777777" w:rsidR="00E953EE" w:rsidRPr="00EB272B" w:rsidRDefault="00E953EE" w:rsidP="006909EB">
            <w:pPr>
              <w:jc w:val="right"/>
              <w:rPr>
                <w:rFonts w:cstheme="minorHAnsi"/>
                <w:sz w:val="22"/>
                <w:szCs w:val="22"/>
              </w:rPr>
            </w:pPr>
            <w:r>
              <w:rPr>
                <w:rFonts w:cstheme="minorHAnsi"/>
                <w:sz w:val="22"/>
                <w:szCs w:val="22"/>
              </w:rPr>
              <w:t>0</w:t>
            </w:r>
            <w:r w:rsidRPr="00EB272B">
              <w:rPr>
                <w:rFonts w:cstheme="minorHAnsi"/>
                <w:sz w:val="22"/>
                <w:szCs w:val="22"/>
              </w:rPr>
              <w:t> </w:t>
            </w:r>
          </w:p>
        </w:tc>
      </w:tr>
      <w:tr w:rsidR="00E953EE" w:rsidRPr="00EB272B" w14:paraId="4DA5D42D" w14:textId="77777777" w:rsidTr="006909EB">
        <w:trPr>
          <w:trHeight w:val="600"/>
        </w:trPr>
        <w:tc>
          <w:tcPr>
            <w:tcW w:w="1820" w:type="dxa"/>
            <w:hideMark/>
          </w:tcPr>
          <w:p w14:paraId="606AD9E4" w14:textId="77777777" w:rsidR="00E953EE" w:rsidRPr="00EB272B" w:rsidRDefault="00E953EE" w:rsidP="006909EB">
            <w:pPr>
              <w:rPr>
                <w:rFonts w:cstheme="minorHAnsi"/>
                <w:sz w:val="22"/>
                <w:szCs w:val="22"/>
              </w:rPr>
            </w:pPr>
            <w:r w:rsidRPr="00EB272B">
              <w:rPr>
                <w:rFonts w:cstheme="minorHAnsi"/>
                <w:sz w:val="22"/>
                <w:szCs w:val="22"/>
              </w:rPr>
              <w:t>Ecuador</w:t>
            </w:r>
          </w:p>
        </w:tc>
        <w:tc>
          <w:tcPr>
            <w:tcW w:w="1840" w:type="dxa"/>
            <w:hideMark/>
          </w:tcPr>
          <w:p w14:paraId="7E35F8AF" w14:textId="77777777" w:rsidR="00E953EE" w:rsidRPr="00EB272B" w:rsidRDefault="00E953EE" w:rsidP="006909EB">
            <w:pPr>
              <w:rPr>
                <w:rFonts w:cstheme="minorHAnsi"/>
                <w:sz w:val="22"/>
                <w:szCs w:val="22"/>
              </w:rPr>
            </w:pPr>
            <w:r w:rsidRPr="00EB272B">
              <w:rPr>
                <w:rFonts w:cstheme="minorHAnsi"/>
                <w:sz w:val="22"/>
                <w:szCs w:val="22"/>
              </w:rPr>
              <w:t> </w:t>
            </w:r>
          </w:p>
        </w:tc>
        <w:tc>
          <w:tcPr>
            <w:tcW w:w="960" w:type="dxa"/>
            <w:hideMark/>
          </w:tcPr>
          <w:p w14:paraId="77925140" w14:textId="77777777" w:rsidR="00E953EE" w:rsidRPr="00EB272B" w:rsidRDefault="00E953EE" w:rsidP="006909EB">
            <w:pPr>
              <w:rPr>
                <w:rFonts w:cstheme="minorHAnsi"/>
                <w:sz w:val="22"/>
                <w:szCs w:val="22"/>
              </w:rPr>
            </w:pPr>
            <w:r w:rsidRPr="00EB272B">
              <w:rPr>
                <w:rFonts w:cstheme="minorHAnsi"/>
                <w:sz w:val="22"/>
                <w:szCs w:val="22"/>
              </w:rPr>
              <w:t>W</w:t>
            </w:r>
          </w:p>
        </w:tc>
        <w:tc>
          <w:tcPr>
            <w:tcW w:w="5380" w:type="dxa"/>
            <w:hideMark/>
          </w:tcPr>
          <w:p w14:paraId="4343F1DF" w14:textId="77777777" w:rsidR="00E953EE" w:rsidRPr="00EB272B" w:rsidRDefault="00E953EE" w:rsidP="006909EB">
            <w:pPr>
              <w:rPr>
                <w:rFonts w:cstheme="minorHAnsi"/>
                <w:sz w:val="22"/>
                <w:szCs w:val="22"/>
              </w:rPr>
            </w:pPr>
            <w:r w:rsidRPr="00EB272B">
              <w:rPr>
                <w:rFonts w:cstheme="minorHAnsi"/>
                <w:sz w:val="22"/>
                <w:szCs w:val="22"/>
              </w:rPr>
              <w:t>National Action Plan on Mercury in the Artisanal and Small-Scale Gold Mining Sector in Ecuador</w:t>
            </w:r>
          </w:p>
        </w:tc>
        <w:tc>
          <w:tcPr>
            <w:tcW w:w="960" w:type="dxa"/>
            <w:hideMark/>
          </w:tcPr>
          <w:p w14:paraId="20A2C7F6" w14:textId="77777777" w:rsidR="00E953EE" w:rsidRPr="00EB272B" w:rsidRDefault="00E953EE" w:rsidP="006909EB">
            <w:pPr>
              <w:rPr>
                <w:rFonts w:cstheme="minorHAnsi"/>
                <w:sz w:val="22"/>
                <w:szCs w:val="22"/>
              </w:rPr>
            </w:pPr>
            <w:r w:rsidRPr="00EB272B">
              <w:rPr>
                <w:rFonts w:cstheme="minorHAnsi"/>
                <w:sz w:val="22"/>
                <w:szCs w:val="22"/>
              </w:rPr>
              <w:t>GEF-6</w:t>
            </w:r>
          </w:p>
        </w:tc>
        <w:tc>
          <w:tcPr>
            <w:tcW w:w="960" w:type="dxa"/>
            <w:hideMark/>
          </w:tcPr>
          <w:p w14:paraId="1FDDFAF1" w14:textId="77777777" w:rsidR="00E953EE" w:rsidRPr="00EB272B" w:rsidRDefault="00E953EE" w:rsidP="006909EB">
            <w:pPr>
              <w:rPr>
                <w:rFonts w:cstheme="minorHAnsi"/>
                <w:sz w:val="22"/>
                <w:szCs w:val="22"/>
              </w:rPr>
            </w:pPr>
            <w:r w:rsidRPr="00EB272B">
              <w:rPr>
                <w:rFonts w:cstheme="minorHAnsi"/>
                <w:sz w:val="22"/>
                <w:szCs w:val="22"/>
              </w:rPr>
              <w:t>EA</w:t>
            </w:r>
          </w:p>
        </w:tc>
        <w:tc>
          <w:tcPr>
            <w:tcW w:w="960" w:type="dxa"/>
            <w:hideMark/>
          </w:tcPr>
          <w:p w14:paraId="21F0A979" w14:textId="77777777" w:rsidR="00E953EE" w:rsidRPr="00EB272B" w:rsidRDefault="00E953EE" w:rsidP="006909EB">
            <w:pPr>
              <w:rPr>
                <w:rFonts w:cstheme="minorHAnsi"/>
                <w:sz w:val="22"/>
                <w:szCs w:val="22"/>
              </w:rPr>
            </w:pPr>
            <w:r w:rsidRPr="00EB272B">
              <w:rPr>
                <w:rFonts w:cstheme="minorHAnsi"/>
                <w:sz w:val="22"/>
                <w:szCs w:val="22"/>
              </w:rPr>
              <w:t>UNIDO</w:t>
            </w:r>
          </w:p>
        </w:tc>
        <w:tc>
          <w:tcPr>
            <w:tcW w:w="1660" w:type="dxa"/>
            <w:hideMark/>
          </w:tcPr>
          <w:p w14:paraId="28A24A18" w14:textId="77777777" w:rsidR="00E953EE" w:rsidRPr="00EB272B" w:rsidRDefault="00E953EE" w:rsidP="006909EB">
            <w:pPr>
              <w:jc w:val="right"/>
              <w:rPr>
                <w:rFonts w:cstheme="minorHAnsi"/>
                <w:sz w:val="22"/>
                <w:szCs w:val="22"/>
              </w:rPr>
            </w:pPr>
            <w:r w:rsidRPr="00EB272B">
              <w:rPr>
                <w:rFonts w:cstheme="minorHAnsi"/>
                <w:sz w:val="22"/>
                <w:szCs w:val="22"/>
              </w:rPr>
              <w:t>500000</w:t>
            </w:r>
          </w:p>
        </w:tc>
        <w:tc>
          <w:tcPr>
            <w:tcW w:w="1620" w:type="dxa"/>
            <w:hideMark/>
          </w:tcPr>
          <w:p w14:paraId="75014AF7" w14:textId="77777777" w:rsidR="00E953EE" w:rsidRPr="00EB272B" w:rsidRDefault="00E953EE" w:rsidP="006909EB">
            <w:pPr>
              <w:jc w:val="right"/>
              <w:rPr>
                <w:rFonts w:cstheme="minorHAnsi"/>
                <w:sz w:val="22"/>
                <w:szCs w:val="22"/>
              </w:rPr>
            </w:pPr>
            <w:r w:rsidRPr="00EB272B">
              <w:rPr>
                <w:rFonts w:cstheme="minorHAnsi"/>
                <w:sz w:val="22"/>
                <w:szCs w:val="22"/>
              </w:rPr>
              <w:t>81000</w:t>
            </w:r>
          </w:p>
        </w:tc>
      </w:tr>
      <w:tr w:rsidR="00E953EE" w:rsidRPr="00EB272B" w14:paraId="388B296D" w14:textId="77777777" w:rsidTr="006909EB">
        <w:trPr>
          <w:trHeight w:val="900"/>
        </w:trPr>
        <w:tc>
          <w:tcPr>
            <w:tcW w:w="1820" w:type="dxa"/>
            <w:hideMark/>
          </w:tcPr>
          <w:p w14:paraId="6DC9924B" w14:textId="77777777" w:rsidR="00E953EE" w:rsidRPr="00EB272B" w:rsidRDefault="00E953EE" w:rsidP="006909EB">
            <w:pPr>
              <w:rPr>
                <w:rFonts w:cstheme="minorHAnsi"/>
                <w:sz w:val="22"/>
                <w:szCs w:val="22"/>
              </w:rPr>
            </w:pPr>
            <w:r w:rsidRPr="00EB272B">
              <w:rPr>
                <w:rFonts w:cstheme="minorHAnsi"/>
                <w:sz w:val="22"/>
                <w:szCs w:val="22"/>
              </w:rPr>
              <w:t>Ecuador</w:t>
            </w:r>
          </w:p>
        </w:tc>
        <w:tc>
          <w:tcPr>
            <w:tcW w:w="1840" w:type="dxa"/>
            <w:hideMark/>
          </w:tcPr>
          <w:p w14:paraId="68FE402E" w14:textId="77777777" w:rsidR="00E953EE" w:rsidRPr="00EB272B" w:rsidRDefault="00E953EE" w:rsidP="006909EB">
            <w:pPr>
              <w:rPr>
                <w:rFonts w:cstheme="minorHAnsi"/>
                <w:sz w:val="22"/>
                <w:szCs w:val="22"/>
              </w:rPr>
            </w:pPr>
            <w:r w:rsidRPr="00EB272B">
              <w:rPr>
                <w:rFonts w:cstheme="minorHAnsi"/>
                <w:sz w:val="22"/>
                <w:szCs w:val="22"/>
              </w:rPr>
              <w:t> </w:t>
            </w:r>
          </w:p>
        </w:tc>
        <w:tc>
          <w:tcPr>
            <w:tcW w:w="960" w:type="dxa"/>
            <w:hideMark/>
          </w:tcPr>
          <w:p w14:paraId="7CF10524" w14:textId="77777777" w:rsidR="00E953EE" w:rsidRPr="00EB272B" w:rsidRDefault="00E953EE" w:rsidP="006909EB">
            <w:pPr>
              <w:rPr>
                <w:rFonts w:cstheme="minorHAnsi"/>
                <w:sz w:val="22"/>
                <w:szCs w:val="22"/>
              </w:rPr>
            </w:pPr>
            <w:r w:rsidRPr="00EB272B">
              <w:rPr>
                <w:rFonts w:cstheme="minorHAnsi"/>
                <w:sz w:val="22"/>
                <w:szCs w:val="22"/>
              </w:rPr>
              <w:t>W</w:t>
            </w:r>
          </w:p>
        </w:tc>
        <w:tc>
          <w:tcPr>
            <w:tcW w:w="5380" w:type="dxa"/>
            <w:hideMark/>
          </w:tcPr>
          <w:p w14:paraId="455F2D84" w14:textId="77777777" w:rsidR="00E953EE" w:rsidRPr="00EB272B" w:rsidRDefault="00E953EE" w:rsidP="006909EB">
            <w:pPr>
              <w:rPr>
                <w:rFonts w:cstheme="minorHAnsi"/>
                <w:sz w:val="22"/>
                <w:szCs w:val="22"/>
              </w:rPr>
            </w:pPr>
            <w:r w:rsidRPr="00EB272B">
              <w:rPr>
                <w:rFonts w:cstheme="minorHAnsi"/>
                <w:sz w:val="22"/>
                <w:szCs w:val="22"/>
              </w:rPr>
              <w:t>National Program for the Environmental Sound Management and Live Cycle Management of Chemical Substances</w:t>
            </w:r>
          </w:p>
        </w:tc>
        <w:tc>
          <w:tcPr>
            <w:tcW w:w="960" w:type="dxa"/>
            <w:hideMark/>
          </w:tcPr>
          <w:p w14:paraId="6F61E91B" w14:textId="77777777" w:rsidR="00E953EE" w:rsidRPr="00EB272B" w:rsidRDefault="00E953EE" w:rsidP="006909EB">
            <w:pPr>
              <w:rPr>
                <w:rFonts w:cstheme="minorHAnsi"/>
                <w:sz w:val="22"/>
                <w:szCs w:val="22"/>
              </w:rPr>
            </w:pPr>
            <w:r w:rsidRPr="00EB272B">
              <w:rPr>
                <w:rFonts w:cstheme="minorHAnsi"/>
                <w:sz w:val="22"/>
                <w:szCs w:val="22"/>
              </w:rPr>
              <w:t>GEF-6</w:t>
            </w:r>
          </w:p>
        </w:tc>
        <w:tc>
          <w:tcPr>
            <w:tcW w:w="960" w:type="dxa"/>
            <w:hideMark/>
          </w:tcPr>
          <w:p w14:paraId="1A38ADF1" w14:textId="77777777" w:rsidR="00E953EE" w:rsidRPr="00EB272B" w:rsidRDefault="00E953EE" w:rsidP="006909EB">
            <w:pPr>
              <w:rPr>
                <w:rFonts w:cstheme="minorHAnsi"/>
                <w:sz w:val="22"/>
                <w:szCs w:val="22"/>
              </w:rPr>
            </w:pPr>
            <w:r w:rsidRPr="00EB272B">
              <w:rPr>
                <w:rFonts w:cstheme="minorHAnsi"/>
                <w:sz w:val="22"/>
                <w:szCs w:val="22"/>
              </w:rPr>
              <w:t>FSP</w:t>
            </w:r>
          </w:p>
        </w:tc>
        <w:tc>
          <w:tcPr>
            <w:tcW w:w="960" w:type="dxa"/>
            <w:hideMark/>
          </w:tcPr>
          <w:p w14:paraId="0B75B738" w14:textId="77777777" w:rsidR="00E953EE" w:rsidRPr="00EB272B" w:rsidRDefault="00E953EE" w:rsidP="006909EB">
            <w:pPr>
              <w:rPr>
                <w:rFonts w:cstheme="minorHAnsi"/>
                <w:sz w:val="22"/>
                <w:szCs w:val="22"/>
              </w:rPr>
            </w:pPr>
            <w:r w:rsidRPr="00EB272B">
              <w:rPr>
                <w:rFonts w:cstheme="minorHAnsi"/>
                <w:sz w:val="22"/>
                <w:szCs w:val="22"/>
              </w:rPr>
              <w:t>UNDP</w:t>
            </w:r>
          </w:p>
        </w:tc>
        <w:tc>
          <w:tcPr>
            <w:tcW w:w="1660" w:type="dxa"/>
            <w:hideMark/>
          </w:tcPr>
          <w:p w14:paraId="3E028974" w14:textId="77777777" w:rsidR="00E953EE" w:rsidRPr="00EB272B" w:rsidRDefault="00E953EE" w:rsidP="006909EB">
            <w:pPr>
              <w:jc w:val="right"/>
              <w:rPr>
                <w:rFonts w:cstheme="minorHAnsi"/>
                <w:sz w:val="22"/>
                <w:szCs w:val="22"/>
              </w:rPr>
            </w:pPr>
            <w:r w:rsidRPr="00EB272B">
              <w:rPr>
                <w:rFonts w:cstheme="minorHAnsi"/>
                <w:sz w:val="22"/>
                <w:szCs w:val="22"/>
              </w:rPr>
              <w:t>3795000</w:t>
            </w:r>
          </w:p>
        </w:tc>
        <w:tc>
          <w:tcPr>
            <w:tcW w:w="1620" w:type="dxa"/>
            <w:hideMark/>
          </w:tcPr>
          <w:p w14:paraId="02600421" w14:textId="77777777" w:rsidR="00E953EE" w:rsidRPr="00EB272B" w:rsidRDefault="00E953EE" w:rsidP="006909EB">
            <w:pPr>
              <w:jc w:val="right"/>
              <w:rPr>
                <w:rFonts w:cstheme="minorHAnsi"/>
                <w:sz w:val="22"/>
                <w:szCs w:val="22"/>
              </w:rPr>
            </w:pPr>
            <w:r w:rsidRPr="00EB272B">
              <w:rPr>
                <w:rFonts w:cstheme="minorHAnsi"/>
                <w:sz w:val="22"/>
                <w:szCs w:val="22"/>
              </w:rPr>
              <w:t>15131702</w:t>
            </w:r>
          </w:p>
        </w:tc>
      </w:tr>
      <w:tr w:rsidR="00E953EE" w:rsidRPr="00EB272B" w14:paraId="30BDC4E8" w14:textId="77777777" w:rsidTr="006909EB">
        <w:trPr>
          <w:trHeight w:val="1200"/>
        </w:trPr>
        <w:tc>
          <w:tcPr>
            <w:tcW w:w="1820" w:type="dxa"/>
            <w:hideMark/>
          </w:tcPr>
          <w:p w14:paraId="4DC1005C" w14:textId="77777777" w:rsidR="00E953EE" w:rsidRPr="00EB272B" w:rsidRDefault="00E953EE" w:rsidP="006909EB">
            <w:pPr>
              <w:rPr>
                <w:rFonts w:cstheme="minorHAnsi"/>
                <w:sz w:val="22"/>
                <w:szCs w:val="22"/>
              </w:rPr>
            </w:pPr>
            <w:r w:rsidRPr="00EB272B">
              <w:rPr>
                <w:rFonts w:cstheme="minorHAnsi"/>
                <w:sz w:val="22"/>
                <w:szCs w:val="22"/>
              </w:rPr>
              <w:t>Egypt</w:t>
            </w:r>
          </w:p>
        </w:tc>
        <w:tc>
          <w:tcPr>
            <w:tcW w:w="1840" w:type="dxa"/>
            <w:hideMark/>
          </w:tcPr>
          <w:p w14:paraId="00379807" w14:textId="77777777" w:rsidR="00E953EE" w:rsidRPr="00EB272B" w:rsidRDefault="00E953EE" w:rsidP="006909EB">
            <w:pPr>
              <w:rPr>
                <w:rFonts w:cstheme="minorHAnsi"/>
                <w:sz w:val="22"/>
                <w:szCs w:val="22"/>
              </w:rPr>
            </w:pPr>
            <w:r w:rsidRPr="00EB272B">
              <w:rPr>
                <w:rFonts w:cstheme="minorHAnsi"/>
                <w:sz w:val="22"/>
                <w:szCs w:val="22"/>
              </w:rPr>
              <w:t> </w:t>
            </w:r>
          </w:p>
        </w:tc>
        <w:tc>
          <w:tcPr>
            <w:tcW w:w="960" w:type="dxa"/>
            <w:hideMark/>
          </w:tcPr>
          <w:p w14:paraId="6FCFE668" w14:textId="77777777" w:rsidR="00E953EE" w:rsidRPr="00EB272B" w:rsidRDefault="00E953EE" w:rsidP="006909EB">
            <w:pPr>
              <w:rPr>
                <w:rFonts w:cstheme="minorHAnsi"/>
                <w:sz w:val="22"/>
                <w:szCs w:val="22"/>
              </w:rPr>
            </w:pPr>
            <w:r w:rsidRPr="00EB272B">
              <w:rPr>
                <w:rFonts w:cstheme="minorHAnsi"/>
                <w:sz w:val="22"/>
                <w:szCs w:val="22"/>
              </w:rPr>
              <w:t>P</w:t>
            </w:r>
          </w:p>
        </w:tc>
        <w:tc>
          <w:tcPr>
            <w:tcW w:w="5380" w:type="dxa"/>
            <w:hideMark/>
          </w:tcPr>
          <w:p w14:paraId="15C727E2" w14:textId="77777777" w:rsidR="00E953EE" w:rsidRPr="00EB272B" w:rsidRDefault="00E953EE" w:rsidP="006909EB">
            <w:pPr>
              <w:rPr>
                <w:rFonts w:cstheme="minorHAnsi"/>
                <w:sz w:val="22"/>
                <w:szCs w:val="22"/>
              </w:rPr>
            </w:pPr>
            <w:r w:rsidRPr="00EB272B">
              <w:rPr>
                <w:rFonts w:cstheme="minorHAnsi"/>
                <w:sz w:val="22"/>
                <w:szCs w:val="22"/>
              </w:rPr>
              <w:t>Protect Human Health and the Environment from Unintentional Releases of POPs Originating from Incineration and Open Burning of Health Care- and Electronic-waste</w:t>
            </w:r>
          </w:p>
        </w:tc>
        <w:tc>
          <w:tcPr>
            <w:tcW w:w="960" w:type="dxa"/>
            <w:hideMark/>
          </w:tcPr>
          <w:p w14:paraId="1451D3F5" w14:textId="77777777" w:rsidR="00E953EE" w:rsidRPr="00EB272B" w:rsidRDefault="00E953EE" w:rsidP="006909EB">
            <w:pPr>
              <w:rPr>
                <w:rFonts w:cstheme="minorHAnsi"/>
                <w:sz w:val="22"/>
                <w:szCs w:val="22"/>
              </w:rPr>
            </w:pPr>
            <w:r w:rsidRPr="00EB272B">
              <w:rPr>
                <w:rFonts w:cstheme="minorHAnsi"/>
                <w:sz w:val="22"/>
                <w:szCs w:val="22"/>
              </w:rPr>
              <w:t>GEF-5</w:t>
            </w:r>
          </w:p>
        </w:tc>
        <w:tc>
          <w:tcPr>
            <w:tcW w:w="960" w:type="dxa"/>
            <w:hideMark/>
          </w:tcPr>
          <w:p w14:paraId="223D2317" w14:textId="77777777" w:rsidR="00E953EE" w:rsidRPr="00EB272B" w:rsidRDefault="00E953EE" w:rsidP="006909EB">
            <w:pPr>
              <w:rPr>
                <w:rFonts w:cstheme="minorHAnsi"/>
                <w:sz w:val="22"/>
                <w:szCs w:val="22"/>
              </w:rPr>
            </w:pPr>
            <w:r w:rsidRPr="00EB272B">
              <w:rPr>
                <w:rFonts w:cstheme="minorHAnsi"/>
                <w:sz w:val="22"/>
                <w:szCs w:val="22"/>
              </w:rPr>
              <w:t>FSP</w:t>
            </w:r>
          </w:p>
        </w:tc>
        <w:tc>
          <w:tcPr>
            <w:tcW w:w="960" w:type="dxa"/>
            <w:hideMark/>
          </w:tcPr>
          <w:p w14:paraId="1E77EEF7" w14:textId="77777777" w:rsidR="00E953EE" w:rsidRPr="00EB272B" w:rsidRDefault="00E953EE" w:rsidP="006909EB">
            <w:pPr>
              <w:rPr>
                <w:rFonts w:cstheme="minorHAnsi"/>
                <w:sz w:val="22"/>
                <w:szCs w:val="22"/>
              </w:rPr>
            </w:pPr>
            <w:r w:rsidRPr="00EB272B">
              <w:rPr>
                <w:rFonts w:cstheme="minorHAnsi"/>
                <w:sz w:val="22"/>
                <w:szCs w:val="22"/>
              </w:rPr>
              <w:t>UNDP</w:t>
            </w:r>
          </w:p>
        </w:tc>
        <w:tc>
          <w:tcPr>
            <w:tcW w:w="1660" w:type="dxa"/>
            <w:hideMark/>
          </w:tcPr>
          <w:p w14:paraId="7A1749C0" w14:textId="77777777" w:rsidR="00E953EE" w:rsidRPr="00EB272B" w:rsidRDefault="00E953EE" w:rsidP="006909EB">
            <w:pPr>
              <w:jc w:val="right"/>
              <w:rPr>
                <w:rFonts w:cstheme="minorHAnsi"/>
                <w:sz w:val="22"/>
                <w:szCs w:val="22"/>
              </w:rPr>
            </w:pPr>
            <w:r w:rsidRPr="00EB272B">
              <w:rPr>
                <w:rFonts w:cstheme="minorHAnsi"/>
                <w:sz w:val="22"/>
                <w:szCs w:val="22"/>
              </w:rPr>
              <w:t>550000</w:t>
            </w:r>
          </w:p>
        </w:tc>
        <w:tc>
          <w:tcPr>
            <w:tcW w:w="1620" w:type="dxa"/>
            <w:hideMark/>
          </w:tcPr>
          <w:p w14:paraId="6A754AA6" w14:textId="77777777" w:rsidR="00E953EE" w:rsidRPr="00EB272B" w:rsidRDefault="00E953EE" w:rsidP="006909EB">
            <w:pPr>
              <w:jc w:val="right"/>
              <w:rPr>
                <w:rFonts w:cstheme="minorHAnsi"/>
                <w:sz w:val="22"/>
                <w:szCs w:val="22"/>
              </w:rPr>
            </w:pPr>
            <w:r w:rsidRPr="00EB272B">
              <w:rPr>
                <w:rFonts w:cstheme="minorHAnsi"/>
                <w:sz w:val="22"/>
                <w:szCs w:val="22"/>
              </w:rPr>
              <w:t>1600000</w:t>
            </w:r>
          </w:p>
        </w:tc>
      </w:tr>
      <w:tr w:rsidR="00E953EE" w:rsidRPr="00EB272B" w14:paraId="16C44548" w14:textId="77777777" w:rsidTr="006909EB">
        <w:trPr>
          <w:trHeight w:val="600"/>
        </w:trPr>
        <w:tc>
          <w:tcPr>
            <w:tcW w:w="1820" w:type="dxa"/>
            <w:hideMark/>
          </w:tcPr>
          <w:p w14:paraId="7B37C2C2" w14:textId="77777777" w:rsidR="00E953EE" w:rsidRPr="00EB272B" w:rsidRDefault="00E953EE" w:rsidP="006909EB">
            <w:pPr>
              <w:rPr>
                <w:rFonts w:cstheme="minorHAnsi"/>
                <w:sz w:val="22"/>
                <w:szCs w:val="22"/>
              </w:rPr>
            </w:pPr>
            <w:r w:rsidRPr="00EB272B">
              <w:rPr>
                <w:rFonts w:cstheme="minorHAnsi"/>
                <w:sz w:val="22"/>
                <w:szCs w:val="22"/>
              </w:rPr>
              <w:t>El Salvador</w:t>
            </w:r>
          </w:p>
        </w:tc>
        <w:tc>
          <w:tcPr>
            <w:tcW w:w="1840" w:type="dxa"/>
            <w:hideMark/>
          </w:tcPr>
          <w:p w14:paraId="25377B73" w14:textId="77777777" w:rsidR="00E953EE" w:rsidRPr="00EB272B" w:rsidRDefault="00E953EE" w:rsidP="006909EB">
            <w:pPr>
              <w:rPr>
                <w:rFonts w:cstheme="minorHAnsi"/>
                <w:sz w:val="22"/>
                <w:szCs w:val="22"/>
              </w:rPr>
            </w:pPr>
            <w:r w:rsidRPr="00EB272B">
              <w:rPr>
                <w:rFonts w:cstheme="minorHAnsi"/>
                <w:sz w:val="22"/>
                <w:szCs w:val="22"/>
              </w:rPr>
              <w:t> </w:t>
            </w:r>
          </w:p>
        </w:tc>
        <w:tc>
          <w:tcPr>
            <w:tcW w:w="960" w:type="dxa"/>
            <w:hideMark/>
          </w:tcPr>
          <w:p w14:paraId="5C879EB4" w14:textId="77777777" w:rsidR="00E953EE" w:rsidRPr="00EB272B" w:rsidRDefault="00E953EE" w:rsidP="006909EB">
            <w:pPr>
              <w:rPr>
                <w:rFonts w:cstheme="minorHAnsi"/>
                <w:sz w:val="22"/>
                <w:szCs w:val="22"/>
              </w:rPr>
            </w:pPr>
            <w:r w:rsidRPr="00EB272B">
              <w:rPr>
                <w:rFonts w:cstheme="minorHAnsi"/>
                <w:sz w:val="22"/>
                <w:szCs w:val="22"/>
              </w:rPr>
              <w:t>W</w:t>
            </w:r>
          </w:p>
        </w:tc>
        <w:tc>
          <w:tcPr>
            <w:tcW w:w="5380" w:type="dxa"/>
            <w:hideMark/>
          </w:tcPr>
          <w:p w14:paraId="59E03482" w14:textId="77777777" w:rsidR="00E953EE" w:rsidRPr="00EB272B" w:rsidRDefault="00E953EE" w:rsidP="006909EB">
            <w:pPr>
              <w:rPr>
                <w:rFonts w:cstheme="minorHAnsi"/>
                <w:sz w:val="22"/>
                <w:szCs w:val="22"/>
              </w:rPr>
            </w:pPr>
            <w:r w:rsidRPr="00EB272B">
              <w:rPr>
                <w:rFonts w:cstheme="minorHAnsi"/>
                <w:sz w:val="22"/>
                <w:szCs w:val="22"/>
              </w:rPr>
              <w:t>Development of a Minamata Initial Assessment in El Salvador</w:t>
            </w:r>
          </w:p>
        </w:tc>
        <w:tc>
          <w:tcPr>
            <w:tcW w:w="960" w:type="dxa"/>
            <w:hideMark/>
          </w:tcPr>
          <w:p w14:paraId="094B4642" w14:textId="77777777" w:rsidR="00E953EE" w:rsidRPr="00EB272B" w:rsidRDefault="00E953EE" w:rsidP="006909EB">
            <w:pPr>
              <w:rPr>
                <w:rFonts w:cstheme="minorHAnsi"/>
                <w:sz w:val="22"/>
                <w:szCs w:val="22"/>
              </w:rPr>
            </w:pPr>
            <w:r w:rsidRPr="00EB272B">
              <w:rPr>
                <w:rFonts w:cstheme="minorHAnsi"/>
                <w:sz w:val="22"/>
                <w:szCs w:val="22"/>
              </w:rPr>
              <w:t>GEF-6</w:t>
            </w:r>
          </w:p>
        </w:tc>
        <w:tc>
          <w:tcPr>
            <w:tcW w:w="960" w:type="dxa"/>
            <w:hideMark/>
          </w:tcPr>
          <w:p w14:paraId="27D2FC17" w14:textId="77777777" w:rsidR="00E953EE" w:rsidRPr="00EB272B" w:rsidRDefault="00E953EE" w:rsidP="006909EB">
            <w:pPr>
              <w:rPr>
                <w:rFonts w:cstheme="minorHAnsi"/>
                <w:sz w:val="22"/>
                <w:szCs w:val="22"/>
              </w:rPr>
            </w:pPr>
            <w:r w:rsidRPr="00EB272B">
              <w:rPr>
                <w:rFonts w:cstheme="minorHAnsi"/>
                <w:sz w:val="22"/>
                <w:szCs w:val="22"/>
              </w:rPr>
              <w:t>EA</w:t>
            </w:r>
          </w:p>
        </w:tc>
        <w:tc>
          <w:tcPr>
            <w:tcW w:w="960" w:type="dxa"/>
            <w:hideMark/>
          </w:tcPr>
          <w:p w14:paraId="641DB4FA" w14:textId="77777777" w:rsidR="00E953EE" w:rsidRPr="00EB272B" w:rsidRDefault="00E953EE" w:rsidP="006909EB">
            <w:pPr>
              <w:rPr>
                <w:rFonts w:cstheme="minorHAnsi"/>
                <w:sz w:val="22"/>
                <w:szCs w:val="22"/>
              </w:rPr>
            </w:pPr>
            <w:r w:rsidRPr="00EB272B">
              <w:rPr>
                <w:rFonts w:cstheme="minorHAnsi"/>
                <w:sz w:val="22"/>
                <w:szCs w:val="22"/>
              </w:rPr>
              <w:t>UNEP</w:t>
            </w:r>
          </w:p>
        </w:tc>
        <w:tc>
          <w:tcPr>
            <w:tcW w:w="1660" w:type="dxa"/>
            <w:hideMark/>
          </w:tcPr>
          <w:p w14:paraId="62B4C49E" w14:textId="77777777" w:rsidR="00E953EE" w:rsidRPr="00EB272B" w:rsidRDefault="00E953EE" w:rsidP="006909EB">
            <w:pPr>
              <w:jc w:val="right"/>
              <w:rPr>
                <w:rFonts w:cstheme="minorHAnsi"/>
                <w:sz w:val="22"/>
                <w:szCs w:val="22"/>
              </w:rPr>
            </w:pPr>
            <w:r w:rsidRPr="00EB272B">
              <w:rPr>
                <w:rFonts w:cstheme="minorHAnsi"/>
                <w:sz w:val="22"/>
                <w:szCs w:val="22"/>
              </w:rPr>
              <w:t>200000</w:t>
            </w:r>
          </w:p>
        </w:tc>
        <w:tc>
          <w:tcPr>
            <w:tcW w:w="1620" w:type="dxa"/>
            <w:hideMark/>
          </w:tcPr>
          <w:p w14:paraId="4BE7CD85" w14:textId="77777777" w:rsidR="00E953EE" w:rsidRPr="00EB272B" w:rsidRDefault="00E953EE" w:rsidP="006909EB">
            <w:pPr>
              <w:jc w:val="right"/>
              <w:rPr>
                <w:rFonts w:cstheme="minorHAnsi"/>
                <w:sz w:val="22"/>
                <w:szCs w:val="22"/>
              </w:rPr>
            </w:pPr>
            <w:r>
              <w:rPr>
                <w:rFonts w:cstheme="minorHAnsi"/>
                <w:sz w:val="22"/>
                <w:szCs w:val="22"/>
              </w:rPr>
              <w:t>0</w:t>
            </w:r>
            <w:r w:rsidRPr="00EB272B">
              <w:rPr>
                <w:rFonts w:cstheme="minorHAnsi"/>
                <w:sz w:val="22"/>
                <w:szCs w:val="22"/>
              </w:rPr>
              <w:t> </w:t>
            </w:r>
          </w:p>
        </w:tc>
      </w:tr>
      <w:tr w:rsidR="00E953EE" w:rsidRPr="00EB272B" w14:paraId="4AA58B00" w14:textId="77777777" w:rsidTr="006909EB">
        <w:trPr>
          <w:trHeight w:val="900"/>
        </w:trPr>
        <w:tc>
          <w:tcPr>
            <w:tcW w:w="1820" w:type="dxa"/>
            <w:hideMark/>
          </w:tcPr>
          <w:p w14:paraId="02A28618" w14:textId="77777777" w:rsidR="00E953EE" w:rsidRPr="00EB272B" w:rsidRDefault="00E953EE" w:rsidP="006909EB">
            <w:pPr>
              <w:rPr>
                <w:rFonts w:cstheme="minorHAnsi"/>
                <w:sz w:val="22"/>
                <w:szCs w:val="22"/>
              </w:rPr>
            </w:pPr>
            <w:r w:rsidRPr="00EB272B">
              <w:rPr>
                <w:rFonts w:cstheme="minorHAnsi"/>
                <w:sz w:val="22"/>
                <w:szCs w:val="22"/>
              </w:rPr>
              <w:t>Eritrea</w:t>
            </w:r>
          </w:p>
        </w:tc>
        <w:tc>
          <w:tcPr>
            <w:tcW w:w="1840" w:type="dxa"/>
            <w:hideMark/>
          </w:tcPr>
          <w:p w14:paraId="2FFEFD45" w14:textId="77777777" w:rsidR="00E953EE" w:rsidRPr="00EB272B" w:rsidRDefault="00E953EE" w:rsidP="006909EB">
            <w:pPr>
              <w:rPr>
                <w:rFonts w:cstheme="minorHAnsi"/>
                <w:sz w:val="22"/>
                <w:szCs w:val="22"/>
              </w:rPr>
            </w:pPr>
            <w:r w:rsidRPr="00EB272B">
              <w:rPr>
                <w:rFonts w:cstheme="minorHAnsi"/>
                <w:sz w:val="22"/>
                <w:szCs w:val="22"/>
              </w:rPr>
              <w:t> </w:t>
            </w:r>
          </w:p>
        </w:tc>
        <w:tc>
          <w:tcPr>
            <w:tcW w:w="960" w:type="dxa"/>
            <w:hideMark/>
          </w:tcPr>
          <w:p w14:paraId="6446FC89" w14:textId="77777777" w:rsidR="00E953EE" w:rsidRPr="00EB272B" w:rsidRDefault="00E953EE" w:rsidP="006909EB">
            <w:pPr>
              <w:rPr>
                <w:rFonts w:cstheme="minorHAnsi"/>
                <w:sz w:val="22"/>
                <w:szCs w:val="22"/>
              </w:rPr>
            </w:pPr>
            <w:r w:rsidRPr="00EB272B">
              <w:rPr>
                <w:rFonts w:cstheme="minorHAnsi"/>
                <w:sz w:val="22"/>
                <w:szCs w:val="22"/>
              </w:rPr>
              <w:t>W</w:t>
            </w:r>
          </w:p>
        </w:tc>
        <w:tc>
          <w:tcPr>
            <w:tcW w:w="5380" w:type="dxa"/>
            <w:hideMark/>
          </w:tcPr>
          <w:p w14:paraId="1252F4A8" w14:textId="77777777" w:rsidR="00E953EE" w:rsidRPr="00EB272B" w:rsidRDefault="00E953EE" w:rsidP="006909EB">
            <w:pPr>
              <w:rPr>
                <w:rFonts w:cstheme="minorHAnsi"/>
                <w:sz w:val="22"/>
                <w:szCs w:val="22"/>
              </w:rPr>
            </w:pPr>
            <w:r w:rsidRPr="00EB272B">
              <w:rPr>
                <w:rFonts w:cstheme="minorHAnsi"/>
                <w:sz w:val="22"/>
                <w:szCs w:val="22"/>
              </w:rPr>
              <w:t>Development of Minamata Initial Assessment and National Action Plan for Artisanal and Small-Scale Gold Mining in Eritrea</w:t>
            </w:r>
          </w:p>
        </w:tc>
        <w:tc>
          <w:tcPr>
            <w:tcW w:w="960" w:type="dxa"/>
            <w:hideMark/>
          </w:tcPr>
          <w:p w14:paraId="13807F31" w14:textId="77777777" w:rsidR="00E953EE" w:rsidRPr="00EB272B" w:rsidRDefault="00E953EE" w:rsidP="006909EB">
            <w:pPr>
              <w:rPr>
                <w:rFonts w:cstheme="minorHAnsi"/>
                <w:sz w:val="22"/>
                <w:szCs w:val="22"/>
              </w:rPr>
            </w:pPr>
            <w:r w:rsidRPr="00EB272B">
              <w:rPr>
                <w:rFonts w:cstheme="minorHAnsi"/>
                <w:sz w:val="22"/>
                <w:szCs w:val="22"/>
              </w:rPr>
              <w:t>GEF-6</w:t>
            </w:r>
          </w:p>
        </w:tc>
        <w:tc>
          <w:tcPr>
            <w:tcW w:w="960" w:type="dxa"/>
            <w:hideMark/>
          </w:tcPr>
          <w:p w14:paraId="439C2A15" w14:textId="77777777" w:rsidR="00E953EE" w:rsidRPr="00EB272B" w:rsidRDefault="00E953EE" w:rsidP="006909EB">
            <w:pPr>
              <w:rPr>
                <w:rFonts w:cstheme="minorHAnsi"/>
                <w:sz w:val="22"/>
                <w:szCs w:val="22"/>
              </w:rPr>
            </w:pPr>
            <w:r w:rsidRPr="00EB272B">
              <w:rPr>
                <w:rFonts w:cstheme="minorHAnsi"/>
                <w:sz w:val="22"/>
                <w:szCs w:val="22"/>
              </w:rPr>
              <w:t>EA</w:t>
            </w:r>
          </w:p>
        </w:tc>
        <w:tc>
          <w:tcPr>
            <w:tcW w:w="960" w:type="dxa"/>
            <w:hideMark/>
          </w:tcPr>
          <w:p w14:paraId="590732B5" w14:textId="77777777" w:rsidR="00E953EE" w:rsidRPr="00EB272B" w:rsidRDefault="00E953EE" w:rsidP="006909EB">
            <w:pPr>
              <w:rPr>
                <w:rFonts w:cstheme="minorHAnsi"/>
                <w:sz w:val="22"/>
                <w:szCs w:val="22"/>
              </w:rPr>
            </w:pPr>
            <w:r w:rsidRPr="00EB272B">
              <w:rPr>
                <w:rFonts w:cstheme="minorHAnsi"/>
                <w:sz w:val="22"/>
                <w:szCs w:val="22"/>
              </w:rPr>
              <w:t>UNEP</w:t>
            </w:r>
          </w:p>
        </w:tc>
        <w:tc>
          <w:tcPr>
            <w:tcW w:w="1660" w:type="dxa"/>
            <w:hideMark/>
          </w:tcPr>
          <w:p w14:paraId="043123BF" w14:textId="77777777" w:rsidR="00E953EE" w:rsidRPr="00EB272B" w:rsidRDefault="00E953EE" w:rsidP="006909EB">
            <w:pPr>
              <w:jc w:val="right"/>
              <w:rPr>
                <w:rFonts w:cstheme="minorHAnsi"/>
                <w:sz w:val="22"/>
                <w:szCs w:val="22"/>
              </w:rPr>
            </w:pPr>
            <w:r w:rsidRPr="00EB272B">
              <w:rPr>
                <w:rFonts w:cstheme="minorHAnsi"/>
                <w:sz w:val="22"/>
                <w:szCs w:val="22"/>
              </w:rPr>
              <w:t>700000</w:t>
            </w:r>
          </w:p>
        </w:tc>
        <w:tc>
          <w:tcPr>
            <w:tcW w:w="1620" w:type="dxa"/>
            <w:hideMark/>
          </w:tcPr>
          <w:p w14:paraId="6C350FA1" w14:textId="77777777" w:rsidR="00E953EE" w:rsidRPr="00EB272B" w:rsidRDefault="00E953EE" w:rsidP="006909EB">
            <w:pPr>
              <w:jc w:val="right"/>
              <w:rPr>
                <w:rFonts w:cstheme="minorHAnsi"/>
                <w:sz w:val="22"/>
                <w:szCs w:val="22"/>
              </w:rPr>
            </w:pPr>
            <w:r w:rsidRPr="00EB272B">
              <w:rPr>
                <w:rFonts w:cstheme="minorHAnsi"/>
                <w:sz w:val="22"/>
                <w:szCs w:val="22"/>
              </w:rPr>
              <w:t> </w:t>
            </w:r>
            <w:r>
              <w:rPr>
                <w:rFonts w:cstheme="minorHAnsi"/>
                <w:sz w:val="22"/>
                <w:szCs w:val="22"/>
              </w:rPr>
              <w:t>0</w:t>
            </w:r>
          </w:p>
        </w:tc>
      </w:tr>
      <w:tr w:rsidR="00E953EE" w:rsidRPr="00EB272B" w14:paraId="3E6D5933" w14:textId="77777777" w:rsidTr="006909EB">
        <w:trPr>
          <w:trHeight w:val="600"/>
        </w:trPr>
        <w:tc>
          <w:tcPr>
            <w:tcW w:w="1820" w:type="dxa"/>
            <w:hideMark/>
          </w:tcPr>
          <w:p w14:paraId="4BD24E0D" w14:textId="77777777" w:rsidR="00E953EE" w:rsidRPr="00EB272B" w:rsidRDefault="00E953EE" w:rsidP="006909EB">
            <w:pPr>
              <w:rPr>
                <w:rFonts w:cstheme="minorHAnsi"/>
                <w:sz w:val="22"/>
                <w:szCs w:val="22"/>
              </w:rPr>
            </w:pPr>
            <w:r w:rsidRPr="00EB272B">
              <w:rPr>
                <w:rFonts w:cstheme="minorHAnsi"/>
                <w:sz w:val="22"/>
                <w:szCs w:val="22"/>
              </w:rPr>
              <w:t>Gabon</w:t>
            </w:r>
          </w:p>
        </w:tc>
        <w:tc>
          <w:tcPr>
            <w:tcW w:w="1840" w:type="dxa"/>
            <w:hideMark/>
          </w:tcPr>
          <w:p w14:paraId="5E091466" w14:textId="77777777" w:rsidR="00E953EE" w:rsidRPr="00EB272B" w:rsidRDefault="00E953EE" w:rsidP="006909EB">
            <w:pPr>
              <w:rPr>
                <w:rFonts w:cstheme="minorHAnsi"/>
                <w:sz w:val="22"/>
                <w:szCs w:val="22"/>
              </w:rPr>
            </w:pPr>
            <w:r w:rsidRPr="00EB272B">
              <w:rPr>
                <w:rFonts w:cstheme="minorHAnsi"/>
                <w:sz w:val="22"/>
                <w:szCs w:val="22"/>
              </w:rPr>
              <w:t> </w:t>
            </w:r>
          </w:p>
        </w:tc>
        <w:tc>
          <w:tcPr>
            <w:tcW w:w="960" w:type="dxa"/>
            <w:hideMark/>
          </w:tcPr>
          <w:p w14:paraId="1D60786E" w14:textId="77777777" w:rsidR="00E953EE" w:rsidRPr="00EB272B" w:rsidRDefault="00E953EE" w:rsidP="006909EB">
            <w:pPr>
              <w:rPr>
                <w:rFonts w:cstheme="minorHAnsi"/>
                <w:sz w:val="22"/>
                <w:szCs w:val="22"/>
              </w:rPr>
            </w:pPr>
            <w:r w:rsidRPr="00EB272B">
              <w:rPr>
                <w:rFonts w:cstheme="minorHAnsi"/>
                <w:sz w:val="22"/>
                <w:szCs w:val="22"/>
              </w:rPr>
              <w:t>W</w:t>
            </w:r>
          </w:p>
        </w:tc>
        <w:tc>
          <w:tcPr>
            <w:tcW w:w="5380" w:type="dxa"/>
            <w:hideMark/>
          </w:tcPr>
          <w:p w14:paraId="18F8D29B" w14:textId="77777777" w:rsidR="00E953EE" w:rsidRPr="00EB272B" w:rsidRDefault="00E953EE" w:rsidP="006909EB">
            <w:pPr>
              <w:rPr>
                <w:rFonts w:cstheme="minorHAnsi"/>
                <w:sz w:val="22"/>
                <w:szCs w:val="22"/>
              </w:rPr>
            </w:pPr>
            <w:r w:rsidRPr="00EB272B">
              <w:rPr>
                <w:rFonts w:cstheme="minorHAnsi"/>
                <w:sz w:val="22"/>
                <w:szCs w:val="22"/>
              </w:rPr>
              <w:t>National Action Plan on Mercury in the Artisanal and Small-Scale Gold Mining sector in Gabon</w:t>
            </w:r>
          </w:p>
        </w:tc>
        <w:tc>
          <w:tcPr>
            <w:tcW w:w="960" w:type="dxa"/>
            <w:hideMark/>
          </w:tcPr>
          <w:p w14:paraId="1CB43218" w14:textId="77777777" w:rsidR="00E953EE" w:rsidRPr="00EB272B" w:rsidRDefault="00E953EE" w:rsidP="006909EB">
            <w:pPr>
              <w:rPr>
                <w:rFonts w:cstheme="minorHAnsi"/>
                <w:sz w:val="22"/>
                <w:szCs w:val="22"/>
              </w:rPr>
            </w:pPr>
            <w:r w:rsidRPr="00EB272B">
              <w:rPr>
                <w:rFonts w:cstheme="minorHAnsi"/>
                <w:sz w:val="22"/>
                <w:szCs w:val="22"/>
              </w:rPr>
              <w:t>GEF-6</w:t>
            </w:r>
          </w:p>
        </w:tc>
        <w:tc>
          <w:tcPr>
            <w:tcW w:w="960" w:type="dxa"/>
            <w:hideMark/>
          </w:tcPr>
          <w:p w14:paraId="47F27585" w14:textId="77777777" w:rsidR="00E953EE" w:rsidRPr="00EB272B" w:rsidRDefault="00E953EE" w:rsidP="006909EB">
            <w:pPr>
              <w:rPr>
                <w:rFonts w:cstheme="minorHAnsi"/>
                <w:sz w:val="22"/>
                <w:szCs w:val="22"/>
              </w:rPr>
            </w:pPr>
            <w:r w:rsidRPr="00EB272B">
              <w:rPr>
                <w:rFonts w:cstheme="minorHAnsi"/>
                <w:sz w:val="22"/>
                <w:szCs w:val="22"/>
              </w:rPr>
              <w:t>EA</w:t>
            </w:r>
          </w:p>
        </w:tc>
        <w:tc>
          <w:tcPr>
            <w:tcW w:w="960" w:type="dxa"/>
            <w:hideMark/>
          </w:tcPr>
          <w:p w14:paraId="3B934F00" w14:textId="77777777" w:rsidR="00E953EE" w:rsidRPr="00EB272B" w:rsidRDefault="00E953EE" w:rsidP="006909EB">
            <w:pPr>
              <w:rPr>
                <w:rFonts w:cstheme="minorHAnsi"/>
                <w:sz w:val="22"/>
                <w:szCs w:val="22"/>
              </w:rPr>
            </w:pPr>
            <w:r w:rsidRPr="00EB272B">
              <w:rPr>
                <w:rFonts w:cstheme="minorHAnsi"/>
                <w:sz w:val="22"/>
                <w:szCs w:val="22"/>
              </w:rPr>
              <w:t>UNIDO</w:t>
            </w:r>
          </w:p>
        </w:tc>
        <w:tc>
          <w:tcPr>
            <w:tcW w:w="1660" w:type="dxa"/>
            <w:hideMark/>
          </w:tcPr>
          <w:p w14:paraId="1D4A8B1E" w14:textId="77777777" w:rsidR="00E953EE" w:rsidRPr="00EB272B" w:rsidRDefault="00E953EE" w:rsidP="006909EB">
            <w:pPr>
              <w:jc w:val="right"/>
              <w:rPr>
                <w:rFonts w:cstheme="minorHAnsi"/>
                <w:sz w:val="22"/>
                <w:szCs w:val="22"/>
              </w:rPr>
            </w:pPr>
            <w:r w:rsidRPr="00EB272B">
              <w:rPr>
                <w:rFonts w:cstheme="minorHAnsi"/>
                <w:sz w:val="22"/>
                <w:szCs w:val="22"/>
              </w:rPr>
              <w:t>500000</w:t>
            </w:r>
          </w:p>
        </w:tc>
        <w:tc>
          <w:tcPr>
            <w:tcW w:w="1620" w:type="dxa"/>
            <w:hideMark/>
          </w:tcPr>
          <w:p w14:paraId="4FC7C8C0" w14:textId="77777777" w:rsidR="00E953EE" w:rsidRPr="00EB272B" w:rsidRDefault="00E953EE" w:rsidP="006909EB">
            <w:pPr>
              <w:jc w:val="right"/>
              <w:rPr>
                <w:rFonts w:cstheme="minorHAnsi"/>
                <w:sz w:val="22"/>
                <w:szCs w:val="22"/>
              </w:rPr>
            </w:pPr>
            <w:r w:rsidRPr="00EB272B">
              <w:rPr>
                <w:rFonts w:cstheme="minorHAnsi"/>
                <w:sz w:val="22"/>
                <w:szCs w:val="22"/>
              </w:rPr>
              <w:t>161000</w:t>
            </w:r>
          </w:p>
        </w:tc>
      </w:tr>
      <w:tr w:rsidR="00E953EE" w:rsidRPr="00EB272B" w14:paraId="2134B14A" w14:textId="77777777" w:rsidTr="006909EB">
        <w:trPr>
          <w:trHeight w:val="900"/>
        </w:trPr>
        <w:tc>
          <w:tcPr>
            <w:tcW w:w="1820" w:type="dxa"/>
            <w:hideMark/>
          </w:tcPr>
          <w:p w14:paraId="0403BF24" w14:textId="77777777" w:rsidR="00E953EE" w:rsidRPr="00EB272B" w:rsidRDefault="00E953EE" w:rsidP="006909EB">
            <w:pPr>
              <w:rPr>
                <w:rFonts w:cstheme="minorHAnsi"/>
                <w:sz w:val="22"/>
                <w:szCs w:val="22"/>
              </w:rPr>
            </w:pPr>
            <w:r w:rsidRPr="00EB272B">
              <w:rPr>
                <w:rFonts w:cstheme="minorHAnsi"/>
                <w:sz w:val="22"/>
                <w:szCs w:val="22"/>
              </w:rPr>
              <w:lastRenderedPageBreak/>
              <w:t>Georgia</w:t>
            </w:r>
          </w:p>
        </w:tc>
        <w:tc>
          <w:tcPr>
            <w:tcW w:w="1840" w:type="dxa"/>
            <w:hideMark/>
          </w:tcPr>
          <w:p w14:paraId="1EC871BE" w14:textId="77777777" w:rsidR="00E953EE" w:rsidRPr="00EB272B" w:rsidRDefault="00E953EE" w:rsidP="006909EB">
            <w:pPr>
              <w:rPr>
                <w:rFonts w:cstheme="minorHAnsi"/>
                <w:sz w:val="22"/>
                <w:szCs w:val="22"/>
              </w:rPr>
            </w:pPr>
            <w:r w:rsidRPr="00EB272B">
              <w:rPr>
                <w:rFonts w:cstheme="minorHAnsi"/>
                <w:sz w:val="22"/>
                <w:szCs w:val="22"/>
              </w:rPr>
              <w:t> </w:t>
            </w:r>
          </w:p>
        </w:tc>
        <w:tc>
          <w:tcPr>
            <w:tcW w:w="960" w:type="dxa"/>
            <w:hideMark/>
          </w:tcPr>
          <w:p w14:paraId="0AC03934" w14:textId="77777777" w:rsidR="00E953EE" w:rsidRPr="00EB272B" w:rsidRDefault="00E953EE" w:rsidP="006909EB">
            <w:pPr>
              <w:rPr>
                <w:rFonts w:cstheme="minorHAnsi"/>
                <w:sz w:val="22"/>
                <w:szCs w:val="22"/>
              </w:rPr>
            </w:pPr>
            <w:r w:rsidRPr="00EB272B">
              <w:rPr>
                <w:rFonts w:cstheme="minorHAnsi"/>
                <w:sz w:val="22"/>
                <w:szCs w:val="22"/>
              </w:rPr>
              <w:t>P</w:t>
            </w:r>
          </w:p>
        </w:tc>
        <w:tc>
          <w:tcPr>
            <w:tcW w:w="5380" w:type="dxa"/>
            <w:hideMark/>
          </w:tcPr>
          <w:p w14:paraId="0B5F35B1" w14:textId="77777777" w:rsidR="00E953EE" w:rsidRPr="00EB272B" w:rsidRDefault="00E953EE" w:rsidP="006909EB">
            <w:pPr>
              <w:rPr>
                <w:rFonts w:cstheme="minorHAnsi"/>
                <w:sz w:val="22"/>
                <w:szCs w:val="22"/>
              </w:rPr>
            </w:pPr>
            <w:r w:rsidRPr="00EB272B">
              <w:rPr>
                <w:rFonts w:cstheme="minorHAnsi"/>
                <w:sz w:val="22"/>
                <w:szCs w:val="22"/>
              </w:rPr>
              <w:t>Strengthen national decision making towards ratification of the Minamata Convention and build capacity towards implementation of future provisions</w:t>
            </w:r>
          </w:p>
        </w:tc>
        <w:tc>
          <w:tcPr>
            <w:tcW w:w="960" w:type="dxa"/>
            <w:hideMark/>
          </w:tcPr>
          <w:p w14:paraId="5E9B8ACF" w14:textId="77777777" w:rsidR="00E953EE" w:rsidRPr="00EB272B" w:rsidRDefault="00E953EE" w:rsidP="006909EB">
            <w:pPr>
              <w:rPr>
                <w:rFonts w:cstheme="minorHAnsi"/>
                <w:sz w:val="22"/>
                <w:szCs w:val="22"/>
              </w:rPr>
            </w:pPr>
            <w:r w:rsidRPr="00EB272B">
              <w:rPr>
                <w:rFonts w:cstheme="minorHAnsi"/>
                <w:sz w:val="22"/>
                <w:szCs w:val="22"/>
              </w:rPr>
              <w:t>GEF-5</w:t>
            </w:r>
          </w:p>
        </w:tc>
        <w:tc>
          <w:tcPr>
            <w:tcW w:w="960" w:type="dxa"/>
            <w:hideMark/>
          </w:tcPr>
          <w:p w14:paraId="10291A4B" w14:textId="77777777" w:rsidR="00E953EE" w:rsidRPr="00EB272B" w:rsidRDefault="00E953EE" w:rsidP="006909EB">
            <w:pPr>
              <w:rPr>
                <w:rFonts w:cstheme="minorHAnsi"/>
                <w:sz w:val="22"/>
                <w:szCs w:val="22"/>
              </w:rPr>
            </w:pPr>
            <w:r w:rsidRPr="00EB272B">
              <w:rPr>
                <w:rFonts w:cstheme="minorHAnsi"/>
                <w:sz w:val="22"/>
                <w:szCs w:val="22"/>
              </w:rPr>
              <w:t>EA</w:t>
            </w:r>
          </w:p>
        </w:tc>
        <w:tc>
          <w:tcPr>
            <w:tcW w:w="960" w:type="dxa"/>
            <w:hideMark/>
          </w:tcPr>
          <w:p w14:paraId="13E262BA" w14:textId="77777777" w:rsidR="00E953EE" w:rsidRPr="00EB272B" w:rsidRDefault="00E953EE" w:rsidP="006909EB">
            <w:pPr>
              <w:rPr>
                <w:rFonts w:cstheme="minorHAnsi"/>
                <w:sz w:val="22"/>
                <w:szCs w:val="22"/>
              </w:rPr>
            </w:pPr>
            <w:r w:rsidRPr="00EB272B">
              <w:rPr>
                <w:rFonts w:cstheme="minorHAnsi"/>
                <w:sz w:val="22"/>
                <w:szCs w:val="22"/>
              </w:rPr>
              <w:t>UNDP</w:t>
            </w:r>
          </w:p>
        </w:tc>
        <w:tc>
          <w:tcPr>
            <w:tcW w:w="1660" w:type="dxa"/>
            <w:hideMark/>
          </w:tcPr>
          <w:p w14:paraId="6EF224E0" w14:textId="77777777" w:rsidR="00E953EE" w:rsidRPr="00EB272B" w:rsidRDefault="00E953EE" w:rsidP="006909EB">
            <w:pPr>
              <w:jc w:val="right"/>
              <w:rPr>
                <w:rFonts w:cstheme="minorHAnsi"/>
                <w:sz w:val="22"/>
                <w:szCs w:val="22"/>
              </w:rPr>
            </w:pPr>
            <w:r w:rsidRPr="00EB272B">
              <w:rPr>
                <w:rFonts w:cstheme="minorHAnsi"/>
                <w:sz w:val="22"/>
                <w:szCs w:val="22"/>
              </w:rPr>
              <w:t>200000</w:t>
            </w:r>
          </w:p>
        </w:tc>
        <w:tc>
          <w:tcPr>
            <w:tcW w:w="1620" w:type="dxa"/>
            <w:hideMark/>
          </w:tcPr>
          <w:p w14:paraId="5A7DA520" w14:textId="77777777" w:rsidR="00E953EE" w:rsidRPr="00EB272B" w:rsidRDefault="00E953EE" w:rsidP="006909EB">
            <w:pPr>
              <w:jc w:val="right"/>
              <w:rPr>
                <w:rFonts w:cstheme="minorHAnsi"/>
                <w:sz w:val="22"/>
                <w:szCs w:val="22"/>
              </w:rPr>
            </w:pPr>
            <w:r w:rsidRPr="00EB272B">
              <w:rPr>
                <w:rFonts w:cstheme="minorHAnsi"/>
                <w:sz w:val="22"/>
                <w:szCs w:val="22"/>
              </w:rPr>
              <w:t>0</w:t>
            </w:r>
          </w:p>
        </w:tc>
      </w:tr>
      <w:tr w:rsidR="00E953EE" w:rsidRPr="00EB272B" w14:paraId="6A8E1BC4" w14:textId="77777777" w:rsidTr="006909EB">
        <w:trPr>
          <w:trHeight w:val="600"/>
        </w:trPr>
        <w:tc>
          <w:tcPr>
            <w:tcW w:w="1820" w:type="dxa"/>
            <w:hideMark/>
          </w:tcPr>
          <w:p w14:paraId="7D82369A" w14:textId="77777777" w:rsidR="00E953EE" w:rsidRPr="00EB272B" w:rsidRDefault="00E953EE" w:rsidP="006909EB">
            <w:pPr>
              <w:rPr>
                <w:rFonts w:cstheme="minorHAnsi"/>
                <w:sz w:val="22"/>
                <w:szCs w:val="22"/>
              </w:rPr>
            </w:pPr>
            <w:r w:rsidRPr="00EB272B">
              <w:rPr>
                <w:rFonts w:cstheme="minorHAnsi"/>
                <w:sz w:val="22"/>
                <w:szCs w:val="22"/>
              </w:rPr>
              <w:t>Ghana</w:t>
            </w:r>
          </w:p>
        </w:tc>
        <w:tc>
          <w:tcPr>
            <w:tcW w:w="1840" w:type="dxa"/>
            <w:hideMark/>
          </w:tcPr>
          <w:p w14:paraId="0775A02B" w14:textId="77777777" w:rsidR="00E953EE" w:rsidRPr="00EB272B" w:rsidRDefault="00E953EE" w:rsidP="006909EB">
            <w:pPr>
              <w:rPr>
                <w:rFonts w:cstheme="minorHAnsi"/>
                <w:sz w:val="22"/>
                <w:szCs w:val="22"/>
              </w:rPr>
            </w:pPr>
            <w:r w:rsidRPr="00EB272B">
              <w:rPr>
                <w:rFonts w:cstheme="minorHAnsi"/>
                <w:sz w:val="22"/>
                <w:szCs w:val="22"/>
              </w:rPr>
              <w:t> </w:t>
            </w:r>
          </w:p>
        </w:tc>
        <w:tc>
          <w:tcPr>
            <w:tcW w:w="960" w:type="dxa"/>
            <w:hideMark/>
          </w:tcPr>
          <w:p w14:paraId="468E4C97" w14:textId="77777777" w:rsidR="00E953EE" w:rsidRPr="00EB272B" w:rsidRDefault="00E953EE" w:rsidP="006909EB">
            <w:pPr>
              <w:rPr>
                <w:rFonts w:cstheme="minorHAnsi"/>
                <w:sz w:val="22"/>
                <w:szCs w:val="22"/>
              </w:rPr>
            </w:pPr>
            <w:r w:rsidRPr="00EB272B">
              <w:rPr>
                <w:rFonts w:cstheme="minorHAnsi"/>
                <w:sz w:val="22"/>
                <w:szCs w:val="22"/>
              </w:rPr>
              <w:t>W</w:t>
            </w:r>
          </w:p>
        </w:tc>
        <w:tc>
          <w:tcPr>
            <w:tcW w:w="5380" w:type="dxa"/>
            <w:hideMark/>
          </w:tcPr>
          <w:p w14:paraId="5C1D14D2" w14:textId="77777777" w:rsidR="00E953EE" w:rsidRPr="00EB272B" w:rsidRDefault="00E953EE" w:rsidP="006909EB">
            <w:pPr>
              <w:rPr>
                <w:rFonts w:cstheme="minorHAnsi"/>
                <w:sz w:val="22"/>
                <w:szCs w:val="22"/>
              </w:rPr>
            </w:pPr>
            <w:r w:rsidRPr="00EB272B">
              <w:rPr>
                <w:rFonts w:cstheme="minorHAnsi"/>
                <w:sz w:val="22"/>
                <w:szCs w:val="22"/>
              </w:rPr>
              <w:t xml:space="preserve">Development of Minamata Convention Initial Assessment (MIA) for Ghana </w:t>
            </w:r>
          </w:p>
        </w:tc>
        <w:tc>
          <w:tcPr>
            <w:tcW w:w="960" w:type="dxa"/>
            <w:hideMark/>
          </w:tcPr>
          <w:p w14:paraId="62B49F91" w14:textId="77777777" w:rsidR="00E953EE" w:rsidRPr="00EB272B" w:rsidRDefault="00E953EE" w:rsidP="006909EB">
            <w:pPr>
              <w:rPr>
                <w:rFonts w:cstheme="minorHAnsi"/>
                <w:sz w:val="22"/>
                <w:szCs w:val="22"/>
              </w:rPr>
            </w:pPr>
            <w:r w:rsidRPr="00EB272B">
              <w:rPr>
                <w:rFonts w:cstheme="minorHAnsi"/>
                <w:sz w:val="22"/>
                <w:szCs w:val="22"/>
              </w:rPr>
              <w:t>GEF-6</w:t>
            </w:r>
          </w:p>
        </w:tc>
        <w:tc>
          <w:tcPr>
            <w:tcW w:w="960" w:type="dxa"/>
            <w:hideMark/>
          </w:tcPr>
          <w:p w14:paraId="465A715D" w14:textId="77777777" w:rsidR="00E953EE" w:rsidRPr="00EB272B" w:rsidRDefault="00E953EE" w:rsidP="006909EB">
            <w:pPr>
              <w:rPr>
                <w:rFonts w:cstheme="minorHAnsi"/>
                <w:sz w:val="22"/>
                <w:szCs w:val="22"/>
              </w:rPr>
            </w:pPr>
            <w:r w:rsidRPr="00EB272B">
              <w:rPr>
                <w:rFonts w:cstheme="minorHAnsi"/>
                <w:sz w:val="22"/>
                <w:szCs w:val="22"/>
              </w:rPr>
              <w:t>EA</w:t>
            </w:r>
          </w:p>
        </w:tc>
        <w:tc>
          <w:tcPr>
            <w:tcW w:w="960" w:type="dxa"/>
            <w:hideMark/>
          </w:tcPr>
          <w:p w14:paraId="16BBE803" w14:textId="77777777" w:rsidR="00E953EE" w:rsidRPr="00EB272B" w:rsidRDefault="00E953EE" w:rsidP="006909EB">
            <w:pPr>
              <w:rPr>
                <w:rFonts w:cstheme="minorHAnsi"/>
                <w:sz w:val="22"/>
                <w:szCs w:val="22"/>
              </w:rPr>
            </w:pPr>
            <w:r w:rsidRPr="00EB272B">
              <w:rPr>
                <w:rFonts w:cstheme="minorHAnsi"/>
                <w:sz w:val="22"/>
                <w:szCs w:val="22"/>
              </w:rPr>
              <w:t>UNDP</w:t>
            </w:r>
          </w:p>
        </w:tc>
        <w:tc>
          <w:tcPr>
            <w:tcW w:w="1660" w:type="dxa"/>
            <w:hideMark/>
          </w:tcPr>
          <w:p w14:paraId="41C06BCB" w14:textId="77777777" w:rsidR="00E953EE" w:rsidRPr="00EB272B" w:rsidRDefault="00E953EE" w:rsidP="006909EB">
            <w:pPr>
              <w:jc w:val="right"/>
              <w:rPr>
                <w:rFonts w:cstheme="minorHAnsi"/>
                <w:sz w:val="22"/>
                <w:szCs w:val="22"/>
              </w:rPr>
            </w:pPr>
            <w:r w:rsidRPr="00EB272B">
              <w:rPr>
                <w:rFonts w:cstheme="minorHAnsi"/>
                <w:sz w:val="22"/>
                <w:szCs w:val="22"/>
              </w:rPr>
              <w:t>200000</w:t>
            </w:r>
          </w:p>
        </w:tc>
        <w:tc>
          <w:tcPr>
            <w:tcW w:w="1620" w:type="dxa"/>
            <w:hideMark/>
          </w:tcPr>
          <w:p w14:paraId="0DF42723" w14:textId="77777777" w:rsidR="00E953EE" w:rsidRPr="00EB272B" w:rsidRDefault="00E953EE" w:rsidP="006909EB">
            <w:pPr>
              <w:jc w:val="right"/>
              <w:rPr>
                <w:rFonts w:cstheme="minorHAnsi"/>
                <w:sz w:val="22"/>
                <w:szCs w:val="22"/>
              </w:rPr>
            </w:pPr>
            <w:r w:rsidRPr="00EB272B">
              <w:rPr>
                <w:rFonts w:cstheme="minorHAnsi"/>
                <w:sz w:val="22"/>
                <w:szCs w:val="22"/>
              </w:rPr>
              <w:t> </w:t>
            </w:r>
          </w:p>
        </w:tc>
      </w:tr>
      <w:tr w:rsidR="00E953EE" w:rsidRPr="00EB272B" w14:paraId="64FFEBF8" w14:textId="77777777" w:rsidTr="006909EB">
        <w:trPr>
          <w:trHeight w:val="600"/>
        </w:trPr>
        <w:tc>
          <w:tcPr>
            <w:tcW w:w="1820" w:type="dxa"/>
            <w:hideMark/>
          </w:tcPr>
          <w:p w14:paraId="68CC14ED" w14:textId="77777777" w:rsidR="00E953EE" w:rsidRPr="00EB272B" w:rsidRDefault="00E953EE" w:rsidP="006909EB">
            <w:pPr>
              <w:rPr>
                <w:rFonts w:cstheme="minorHAnsi"/>
                <w:sz w:val="22"/>
                <w:szCs w:val="22"/>
              </w:rPr>
            </w:pPr>
            <w:r w:rsidRPr="00EB272B">
              <w:rPr>
                <w:rFonts w:cstheme="minorHAnsi"/>
                <w:sz w:val="22"/>
                <w:szCs w:val="22"/>
              </w:rPr>
              <w:t>Ghana</w:t>
            </w:r>
          </w:p>
        </w:tc>
        <w:tc>
          <w:tcPr>
            <w:tcW w:w="1840" w:type="dxa"/>
            <w:hideMark/>
          </w:tcPr>
          <w:p w14:paraId="784BC96C" w14:textId="77777777" w:rsidR="00E953EE" w:rsidRPr="00EB272B" w:rsidRDefault="00E953EE" w:rsidP="006909EB">
            <w:pPr>
              <w:rPr>
                <w:rFonts w:cstheme="minorHAnsi"/>
                <w:sz w:val="22"/>
                <w:szCs w:val="22"/>
              </w:rPr>
            </w:pPr>
            <w:r w:rsidRPr="00EB272B">
              <w:rPr>
                <w:rFonts w:cstheme="minorHAnsi"/>
                <w:sz w:val="22"/>
                <w:szCs w:val="22"/>
              </w:rPr>
              <w:t> </w:t>
            </w:r>
          </w:p>
        </w:tc>
        <w:tc>
          <w:tcPr>
            <w:tcW w:w="960" w:type="dxa"/>
            <w:hideMark/>
          </w:tcPr>
          <w:p w14:paraId="0E7B21B5" w14:textId="77777777" w:rsidR="00E953EE" w:rsidRPr="00EB272B" w:rsidRDefault="00E953EE" w:rsidP="006909EB">
            <w:pPr>
              <w:rPr>
                <w:rFonts w:cstheme="minorHAnsi"/>
                <w:sz w:val="22"/>
                <w:szCs w:val="22"/>
              </w:rPr>
            </w:pPr>
            <w:r w:rsidRPr="00EB272B">
              <w:rPr>
                <w:rFonts w:cstheme="minorHAnsi"/>
                <w:sz w:val="22"/>
                <w:szCs w:val="22"/>
              </w:rPr>
              <w:t>W</w:t>
            </w:r>
          </w:p>
        </w:tc>
        <w:tc>
          <w:tcPr>
            <w:tcW w:w="5380" w:type="dxa"/>
            <w:hideMark/>
          </w:tcPr>
          <w:p w14:paraId="24C8DEC5" w14:textId="77777777" w:rsidR="00E953EE" w:rsidRPr="00EB272B" w:rsidRDefault="00E953EE" w:rsidP="006909EB">
            <w:pPr>
              <w:rPr>
                <w:rFonts w:cstheme="minorHAnsi"/>
                <w:sz w:val="22"/>
                <w:szCs w:val="22"/>
              </w:rPr>
            </w:pPr>
            <w:r w:rsidRPr="00EB272B">
              <w:rPr>
                <w:rFonts w:cstheme="minorHAnsi"/>
                <w:sz w:val="22"/>
                <w:szCs w:val="22"/>
              </w:rPr>
              <w:t>National Action Plan on Mercury in the Artisanal and Small-scale Gold Mining Sector in Ghana</w:t>
            </w:r>
          </w:p>
        </w:tc>
        <w:tc>
          <w:tcPr>
            <w:tcW w:w="960" w:type="dxa"/>
            <w:hideMark/>
          </w:tcPr>
          <w:p w14:paraId="4916E004" w14:textId="77777777" w:rsidR="00E953EE" w:rsidRPr="00EB272B" w:rsidRDefault="00E953EE" w:rsidP="006909EB">
            <w:pPr>
              <w:rPr>
                <w:rFonts w:cstheme="minorHAnsi"/>
                <w:sz w:val="22"/>
                <w:szCs w:val="22"/>
              </w:rPr>
            </w:pPr>
            <w:r w:rsidRPr="00EB272B">
              <w:rPr>
                <w:rFonts w:cstheme="minorHAnsi"/>
                <w:sz w:val="22"/>
                <w:szCs w:val="22"/>
              </w:rPr>
              <w:t>GEF-6</w:t>
            </w:r>
          </w:p>
        </w:tc>
        <w:tc>
          <w:tcPr>
            <w:tcW w:w="960" w:type="dxa"/>
            <w:hideMark/>
          </w:tcPr>
          <w:p w14:paraId="0D9CD8FD" w14:textId="77777777" w:rsidR="00E953EE" w:rsidRPr="00EB272B" w:rsidRDefault="00E953EE" w:rsidP="006909EB">
            <w:pPr>
              <w:rPr>
                <w:rFonts w:cstheme="minorHAnsi"/>
                <w:sz w:val="22"/>
                <w:szCs w:val="22"/>
              </w:rPr>
            </w:pPr>
            <w:r w:rsidRPr="00EB272B">
              <w:rPr>
                <w:rFonts w:cstheme="minorHAnsi"/>
                <w:sz w:val="22"/>
                <w:szCs w:val="22"/>
              </w:rPr>
              <w:t>EA</w:t>
            </w:r>
          </w:p>
        </w:tc>
        <w:tc>
          <w:tcPr>
            <w:tcW w:w="960" w:type="dxa"/>
            <w:hideMark/>
          </w:tcPr>
          <w:p w14:paraId="553D2C17" w14:textId="77777777" w:rsidR="00E953EE" w:rsidRPr="00EB272B" w:rsidRDefault="00E953EE" w:rsidP="006909EB">
            <w:pPr>
              <w:rPr>
                <w:rFonts w:cstheme="minorHAnsi"/>
                <w:sz w:val="22"/>
                <w:szCs w:val="22"/>
              </w:rPr>
            </w:pPr>
            <w:r w:rsidRPr="00EB272B">
              <w:rPr>
                <w:rFonts w:cstheme="minorHAnsi"/>
                <w:sz w:val="22"/>
                <w:szCs w:val="22"/>
              </w:rPr>
              <w:t>UNIDO</w:t>
            </w:r>
          </w:p>
        </w:tc>
        <w:tc>
          <w:tcPr>
            <w:tcW w:w="1660" w:type="dxa"/>
            <w:hideMark/>
          </w:tcPr>
          <w:p w14:paraId="26D14174" w14:textId="77777777" w:rsidR="00E953EE" w:rsidRPr="00EB272B" w:rsidRDefault="00E953EE" w:rsidP="006909EB">
            <w:pPr>
              <w:jc w:val="right"/>
              <w:rPr>
                <w:rFonts w:cstheme="minorHAnsi"/>
                <w:sz w:val="22"/>
                <w:szCs w:val="22"/>
              </w:rPr>
            </w:pPr>
            <w:r w:rsidRPr="00EB272B">
              <w:rPr>
                <w:rFonts w:cstheme="minorHAnsi"/>
                <w:sz w:val="22"/>
                <w:szCs w:val="22"/>
              </w:rPr>
              <w:t>500000</w:t>
            </w:r>
          </w:p>
        </w:tc>
        <w:tc>
          <w:tcPr>
            <w:tcW w:w="1620" w:type="dxa"/>
            <w:hideMark/>
          </w:tcPr>
          <w:p w14:paraId="44C8C37A" w14:textId="77777777" w:rsidR="00E953EE" w:rsidRPr="00EB272B" w:rsidRDefault="00E953EE" w:rsidP="006909EB">
            <w:pPr>
              <w:jc w:val="right"/>
              <w:rPr>
                <w:rFonts w:cstheme="minorHAnsi"/>
                <w:sz w:val="22"/>
                <w:szCs w:val="22"/>
              </w:rPr>
            </w:pPr>
            <w:r w:rsidRPr="00EB272B">
              <w:rPr>
                <w:rFonts w:cstheme="minorHAnsi"/>
                <w:sz w:val="22"/>
                <w:szCs w:val="22"/>
              </w:rPr>
              <w:t>55250</w:t>
            </w:r>
          </w:p>
        </w:tc>
      </w:tr>
      <w:tr w:rsidR="00E953EE" w:rsidRPr="00EB272B" w14:paraId="129FAEDF" w14:textId="77777777" w:rsidTr="006909EB">
        <w:trPr>
          <w:trHeight w:val="1500"/>
        </w:trPr>
        <w:tc>
          <w:tcPr>
            <w:tcW w:w="1820" w:type="dxa"/>
            <w:hideMark/>
          </w:tcPr>
          <w:p w14:paraId="490C8254" w14:textId="77777777" w:rsidR="00E953EE" w:rsidRPr="00EB272B" w:rsidRDefault="00E953EE" w:rsidP="006909EB">
            <w:pPr>
              <w:rPr>
                <w:rFonts w:cstheme="minorHAnsi"/>
                <w:sz w:val="22"/>
                <w:szCs w:val="22"/>
              </w:rPr>
            </w:pPr>
            <w:r w:rsidRPr="00EB272B">
              <w:rPr>
                <w:rFonts w:cstheme="minorHAnsi"/>
                <w:sz w:val="22"/>
                <w:szCs w:val="22"/>
              </w:rPr>
              <w:t>Global</w:t>
            </w:r>
          </w:p>
        </w:tc>
        <w:tc>
          <w:tcPr>
            <w:tcW w:w="1840" w:type="dxa"/>
            <w:hideMark/>
          </w:tcPr>
          <w:p w14:paraId="7FF0A64E" w14:textId="77777777" w:rsidR="00E953EE" w:rsidRPr="002F7012" w:rsidRDefault="00E953EE" w:rsidP="006909EB">
            <w:pPr>
              <w:rPr>
                <w:rFonts w:cstheme="minorHAnsi"/>
                <w:sz w:val="22"/>
                <w:szCs w:val="22"/>
                <w:lang w:val="fr-CA"/>
              </w:rPr>
            </w:pPr>
            <w:r w:rsidRPr="002F7012">
              <w:rPr>
                <w:rFonts w:cstheme="minorHAnsi"/>
                <w:sz w:val="22"/>
                <w:szCs w:val="22"/>
                <w:lang w:val="fr-CA"/>
              </w:rPr>
              <w:t>Bangladesh, Guinea-Bissau, Mauritania, Mozambique, Samoa</w:t>
            </w:r>
          </w:p>
        </w:tc>
        <w:tc>
          <w:tcPr>
            <w:tcW w:w="960" w:type="dxa"/>
            <w:hideMark/>
          </w:tcPr>
          <w:p w14:paraId="4E28FDB7" w14:textId="77777777" w:rsidR="00E953EE" w:rsidRPr="00EB272B" w:rsidRDefault="00E953EE" w:rsidP="006909EB">
            <w:pPr>
              <w:rPr>
                <w:rFonts w:cstheme="minorHAnsi"/>
                <w:sz w:val="22"/>
                <w:szCs w:val="22"/>
              </w:rPr>
            </w:pPr>
            <w:r w:rsidRPr="00EB272B">
              <w:rPr>
                <w:rFonts w:cstheme="minorHAnsi"/>
                <w:sz w:val="22"/>
                <w:szCs w:val="22"/>
              </w:rPr>
              <w:t>W</w:t>
            </w:r>
          </w:p>
        </w:tc>
        <w:tc>
          <w:tcPr>
            <w:tcW w:w="5380" w:type="dxa"/>
            <w:hideMark/>
          </w:tcPr>
          <w:p w14:paraId="159A273B" w14:textId="77777777" w:rsidR="00E953EE" w:rsidRPr="00EB272B" w:rsidRDefault="00E953EE" w:rsidP="006909EB">
            <w:pPr>
              <w:rPr>
                <w:rFonts w:cstheme="minorHAnsi"/>
                <w:sz w:val="22"/>
                <w:szCs w:val="22"/>
              </w:rPr>
            </w:pPr>
            <w:r w:rsidRPr="00EB272B">
              <w:rPr>
                <w:rFonts w:cstheme="minorHAnsi"/>
                <w:sz w:val="22"/>
                <w:szCs w:val="22"/>
              </w:rPr>
              <w:t>Strengthen national decision making towards ratification of the Minamata Convention and build capacity towards implementation of future provisions</w:t>
            </w:r>
          </w:p>
        </w:tc>
        <w:tc>
          <w:tcPr>
            <w:tcW w:w="960" w:type="dxa"/>
            <w:hideMark/>
          </w:tcPr>
          <w:p w14:paraId="55DFBC6D" w14:textId="77777777" w:rsidR="00E953EE" w:rsidRPr="00EB272B" w:rsidRDefault="00E953EE" w:rsidP="006909EB">
            <w:pPr>
              <w:rPr>
                <w:rFonts w:cstheme="minorHAnsi"/>
                <w:sz w:val="22"/>
                <w:szCs w:val="22"/>
              </w:rPr>
            </w:pPr>
            <w:r w:rsidRPr="00EB272B">
              <w:rPr>
                <w:rFonts w:cstheme="minorHAnsi"/>
                <w:sz w:val="22"/>
                <w:szCs w:val="22"/>
              </w:rPr>
              <w:t>GEF-6</w:t>
            </w:r>
          </w:p>
        </w:tc>
        <w:tc>
          <w:tcPr>
            <w:tcW w:w="960" w:type="dxa"/>
            <w:hideMark/>
          </w:tcPr>
          <w:p w14:paraId="034C9212" w14:textId="77777777" w:rsidR="00E953EE" w:rsidRPr="00EB272B" w:rsidRDefault="00E953EE" w:rsidP="006909EB">
            <w:pPr>
              <w:rPr>
                <w:rFonts w:cstheme="minorHAnsi"/>
                <w:sz w:val="22"/>
                <w:szCs w:val="22"/>
              </w:rPr>
            </w:pPr>
            <w:r w:rsidRPr="00EB272B">
              <w:rPr>
                <w:rFonts w:cstheme="minorHAnsi"/>
                <w:sz w:val="22"/>
                <w:szCs w:val="22"/>
              </w:rPr>
              <w:t>EA</w:t>
            </w:r>
          </w:p>
        </w:tc>
        <w:tc>
          <w:tcPr>
            <w:tcW w:w="960" w:type="dxa"/>
            <w:hideMark/>
          </w:tcPr>
          <w:p w14:paraId="2B8C624E" w14:textId="77777777" w:rsidR="00E953EE" w:rsidRPr="00EB272B" w:rsidRDefault="00E953EE" w:rsidP="006909EB">
            <w:pPr>
              <w:rPr>
                <w:rFonts w:cstheme="minorHAnsi"/>
                <w:sz w:val="22"/>
                <w:szCs w:val="22"/>
              </w:rPr>
            </w:pPr>
            <w:r w:rsidRPr="00EB272B">
              <w:rPr>
                <w:rFonts w:cstheme="minorHAnsi"/>
                <w:sz w:val="22"/>
                <w:szCs w:val="22"/>
              </w:rPr>
              <w:t>UNDP</w:t>
            </w:r>
          </w:p>
        </w:tc>
        <w:tc>
          <w:tcPr>
            <w:tcW w:w="1660" w:type="dxa"/>
            <w:hideMark/>
          </w:tcPr>
          <w:p w14:paraId="43A412CB" w14:textId="77777777" w:rsidR="00E953EE" w:rsidRPr="00EB272B" w:rsidRDefault="00E953EE" w:rsidP="006909EB">
            <w:pPr>
              <w:jc w:val="right"/>
              <w:rPr>
                <w:rFonts w:cstheme="minorHAnsi"/>
                <w:sz w:val="22"/>
                <w:szCs w:val="22"/>
              </w:rPr>
            </w:pPr>
            <w:r w:rsidRPr="00EB272B">
              <w:rPr>
                <w:rFonts w:cstheme="minorHAnsi"/>
                <w:sz w:val="22"/>
                <w:szCs w:val="22"/>
              </w:rPr>
              <w:t>1000000</w:t>
            </w:r>
          </w:p>
        </w:tc>
        <w:tc>
          <w:tcPr>
            <w:tcW w:w="1620" w:type="dxa"/>
            <w:hideMark/>
          </w:tcPr>
          <w:p w14:paraId="0871D908" w14:textId="77777777" w:rsidR="00E953EE" w:rsidRPr="00EB272B" w:rsidRDefault="00E953EE" w:rsidP="006909EB">
            <w:pPr>
              <w:jc w:val="right"/>
              <w:rPr>
                <w:rFonts w:cstheme="minorHAnsi"/>
                <w:sz w:val="22"/>
                <w:szCs w:val="22"/>
              </w:rPr>
            </w:pPr>
            <w:r>
              <w:rPr>
                <w:rFonts w:cstheme="minorHAnsi"/>
                <w:sz w:val="22"/>
                <w:szCs w:val="22"/>
              </w:rPr>
              <w:t>0</w:t>
            </w:r>
            <w:r w:rsidRPr="00EB272B">
              <w:rPr>
                <w:rFonts w:cstheme="minorHAnsi"/>
                <w:sz w:val="22"/>
                <w:szCs w:val="22"/>
              </w:rPr>
              <w:t> </w:t>
            </w:r>
          </w:p>
        </w:tc>
      </w:tr>
      <w:tr w:rsidR="00E953EE" w:rsidRPr="00EB272B" w14:paraId="5195264D" w14:textId="77777777" w:rsidTr="006909EB">
        <w:trPr>
          <w:trHeight w:val="1800"/>
        </w:trPr>
        <w:tc>
          <w:tcPr>
            <w:tcW w:w="1820" w:type="dxa"/>
            <w:hideMark/>
          </w:tcPr>
          <w:p w14:paraId="130465E0" w14:textId="77777777" w:rsidR="00E953EE" w:rsidRPr="00EB272B" w:rsidRDefault="00E953EE" w:rsidP="006909EB">
            <w:pPr>
              <w:rPr>
                <w:rFonts w:cstheme="minorHAnsi"/>
                <w:sz w:val="22"/>
                <w:szCs w:val="22"/>
              </w:rPr>
            </w:pPr>
            <w:r w:rsidRPr="00EB272B">
              <w:rPr>
                <w:rFonts w:cstheme="minorHAnsi"/>
                <w:sz w:val="22"/>
                <w:szCs w:val="22"/>
              </w:rPr>
              <w:t>Global</w:t>
            </w:r>
          </w:p>
        </w:tc>
        <w:tc>
          <w:tcPr>
            <w:tcW w:w="1840" w:type="dxa"/>
            <w:hideMark/>
          </w:tcPr>
          <w:p w14:paraId="2AC4F314" w14:textId="77777777" w:rsidR="00E953EE" w:rsidRPr="00D7403E" w:rsidRDefault="00E953EE" w:rsidP="006909EB">
            <w:pPr>
              <w:rPr>
                <w:rFonts w:cstheme="minorHAnsi"/>
                <w:sz w:val="22"/>
                <w:szCs w:val="22"/>
                <w:lang w:val="es-ES"/>
              </w:rPr>
            </w:pPr>
            <w:r w:rsidRPr="00D7403E">
              <w:rPr>
                <w:rFonts w:cstheme="minorHAnsi"/>
                <w:sz w:val="22"/>
                <w:szCs w:val="22"/>
                <w:lang w:val="es-ES"/>
              </w:rPr>
              <w:t>Burkina Faso, Colombia, Guyana, Indonesia, Kenya, Mongolia, Peru, Philippines</w:t>
            </w:r>
          </w:p>
        </w:tc>
        <w:tc>
          <w:tcPr>
            <w:tcW w:w="960" w:type="dxa"/>
            <w:hideMark/>
          </w:tcPr>
          <w:p w14:paraId="60AE22A7" w14:textId="77777777" w:rsidR="00E953EE" w:rsidRPr="00EB272B" w:rsidRDefault="00E953EE" w:rsidP="006909EB">
            <w:pPr>
              <w:rPr>
                <w:rFonts w:cstheme="minorHAnsi"/>
                <w:sz w:val="22"/>
                <w:szCs w:val="22"/>
              </w:rPr>
            </w:pPr>
            <w:r w:rsidRPr="00EB272B">
              <w:rPr>
                <w:rFonts w:cstheme="minorHAnsi"/>
                <w:sz w:val="22"/>
                <w:szCs w:val="22"/>
              </w:rPr>
              <w:t>W</w:t>
            </w:r>
          </w:p>
        </w:tc>
        <w:tc>
          <w:tcPr>
            <w:tcW w:w="5380" w:type="dxa"/>
            <w:hideMark/>
          </w:tcPr>
          <w:p w14:paraId="13743916" w14:textId="77777777" w:rsidR="00E953EE" w:rsidRPr="00EB272B" w:rsidRDefault="00E953EE" w:rsidP="006909EB">
            <w:pPr>
              <w:rPr>
                <w:rFonts w:cstheme="minorHAnsi"/>
                <w:sz w:val="22"/>
                <w:szCs w:val="22"/>
              </w:rPr>
            </w:pPr>
            <w:r w:rsidRPr="00EB272B">
              <w:rPr>
                <w:rFonts w:cstheme="minorHAnsi"/>
                <w:sz w:val="22"/>
                <w:szCs w:val="22"/>
              </w:rPr>
              <w:t>Global Opportunities for Long-term Development of ASGM Sector - GEF GOLD</w:t>
            </w:r>
          </w:p>
        </w:tc>
        <w:tc>
          <w:tcPr>
            <w:tcW w:w="960" w:type="dxa"/>
            <w:hideMark/>
          </w:tcPr>
          <w:p w14:paraId="6CBEC15A" w14:textId="77777777" w:rsidR="00E953EE" w:rsidRPr="00EB272B" w:rsidRDefault="00E953EE" w:rsidP="006909EB">
            <w:pPr>
              <w:rPr>
                <w:rFonts w:cstheme="minorHAnsi"/>
                <w:sz w:val="22"/>
                <w:szCs w:val="22"/>
              </w:rPr>
            </w:pPr>
            <w:r w:rsidRPr="00EB272B">
              <w:rPr>
                <w:rFonts w:cstheme="minorHAnsi"/>
                <w:sz w:val="22"/>
                <w:szCs w:val="22"/>
              </w:rPr>
              <w:t>GEF-6</w:t>
            </w:r>
          </w:p>
        </w:tc>
        <w:tc>
          <w:tcPr>
            <w:tcW w:w="960" w:type="dxa"/>
            <w:hideMark/>
          </w:tcPr>
          <w:p w14:paraId="6D0C9B05" w14:textId="77777777" w:rsidR="00E953EE" w:rsidRPr="00EB272B" w:rsidRDefault="00E953EE" w:rsidP="006909EB">
            <w:pPr>
              <w:rPr>
                <w:rFonts w:cstheme="minorHAnsi"/>
                <w:sz w:val="22"/>
                <w:szCs w:val="22"/>
              </w:rPr>
            </w:pPr>
            <w:r w:rsidRPr="00EB272B">
              <w:rPr>
                <w:rFonts w:cstheme="minorHAnsi"/>
                <w:sz w:val="22"/>
                <w:szCs w:val="22"/>
              </w:rPr>
              <w:t>PFD</w:t>
            </w:r>
          </w:p>
        </w:tc>
        <w:tc>
          <w:tcPr>
            <w:tcW w:w="960" w:type="dxa"/>
            <w:hideMark/>
          </w:tcPr>
          <w:p w14:paraId="17A3FC70" w14:textId="77777777" w:rsidR="00E953EE" w:rsidRPr="00EB272B" w:rsidRDefault="00E953EE" w:rsidP="006909EB">
            <w:pPr>
              <w:rPr>
                <w:rFonts w:cstheme="minorHAnsi"/>
                <w:sz w:val="22"/>
                <w:szCs w:val="22"/>
              </w:rPr>
            </w:pPr>
            <w:r w:rsidRPr="00EB272B">
              <w:rPr>
                <w:rFonts w:cstheme="minorHAnsi"/>
                <w:sz w:val="22"/>
                <w:szCs w:val="22"/>
              </w:rPr>
              <w:t>UNEP, UNDP, UNIDO, CI</w:t>
            </w:r>
          </w:p>
        </w:tc>
        <w:tc>
          <w:tcPr>
            <w:tcW w:w="1660" w:type="dxa"/>
            <w:hideMark/>
          </w:tcPr>
          <w:p w14:paraId="091824A4" w14:textId="77777777" w:rsidR="00E953EE" w:rsidRPr="00EB272B" w:rsidRDefault="00E953EE" w:rsidP="006909EB">
            <w:pPr>
              <w:jc w:val="right"/>
              <w:rPr>
                <w:rFonts w:cstheme="minorHAnsi"/>
                <w:sz w:val="22"/>
                <w:szCs w:val="22"/>
              </w:rPr>
            </w:pPr>
            <w:r w:rsidRPr="00EB272B">
              <w:rPr>
                <w:rFonts w:cstheme="minorHAnsi"/>
                <w:sz w:val="22"/>
                <w:szCs w:val="22"/>
              </w:rPr>
              <w:t>45262294</w:t>
            </w:r>
          </w:p>
        </w:tc>
        <w:tc>
          <w:tcPr>
            <w:tcW w:w="1620" w:type="dxa"/>
            <w:hideMark/>
          </w:tcPr>
          <w:p w14:paraId="7E4253C8" w14:textId="77777777" w:rsidR="00E953EE" w:rsidRPr="00EB272B" w:rsidRDefault="00E953EE" w:rsidP="006909EB">
            <w:pPr>
              <w:jc w:val="right"/>
              <w:rPr>
                <w:rFonts w:cstheme="minorHAnsi"/>
                <w:sz w:val="22"/>
                <w:szCs w:val="22"/>
              </w:rPr>
            </w:pPr>
            <w:r w:rsidRPr="00EB272B">
              <w:rPr>
                <w:rFonts w:cstheme="minorHAnsi"/>
                <w:sz w:val="22"/>
                <w:szCs w:val="22"/>
              </w:rPr>
              <w:t>135174956</w:t>
            </w:r>
          </w:p>
        </w:tc>
      </w:tr>
      <w:tr w:rsidR="00E953EE" w:rsidRPr="00EB272B" w14:paraId="524DF132" w14:textId="77777777" w:rsidTr="006909EB">
        <w:trPr>
          <w:trHeight w:val="900"/>
        </w:trPr>
        <w:tc>
          <w:tcPr>
            <w:tcW w:w="1820" w:type="dxa"/>
            <w:hideMark/>
          </w:tcPr>
          <w:p w14:paraId="61EB418B" w14:textId="77777777" w:rsidR="00E953EE" w:rsidRPr="00EB272B" w:rsidRDefault="00E953EE" w:rsidP="006909EB">
            <w:pPr>
              <w:rPr>
                <w:rFonts w:cstheme="minorHAnsi"/>
                <w:sz w:val="22"/>
                <w:szCs w:val="22"/>
              </w:rPr>
            </w:pPr>
            <w:r w:rsidRPr="00EB272B">
              <w:rPr>
                <w:rFonts w:cstheme="minorHAnsi"/>
                <w:sz w:val="22"/>
                <w:szCs w:val="22"/>
              </w:rPr>
              <w:t>Global</w:t>
            </w:r>
          </w:p>
        </w:tc>
        <w:tc>
          <w:tcPr>
            <w:tcW w:w="1840" w:type="dxa"/>
            <w:hideMark/>
          </w:tcPr>
          <w:p w14:paraId="193E6F14" w14:textId="77777777" w:rsidR="00E953EE" w:rsidRPr="00EB272B" w:rsidRDefault="00E953EE" w:rsidP="006909EB">
            <w:pPr>
              <w:rPr>
                <w:rFonts w:cstheme="minorHAnsi"/>
                <w:sz w:val="22"/>
                <w:szCs w:val="22"/>
              </w:rPr>
            </w:pPr>
            <w:r w:rsidRPr="00EB272B">
              <w:rPr>
                <w:rFonts w:cstheme="minorHAnsi"/>
                <w:sz w:val="22"/>
                <w:szCs w:val="22"/>
              </w:rPr>
              <w:t> </w:t>
            </w:r>
          </w:p>
        </w:tc>
        <w:tc>
          <w:tcPr>
            <w:tcW w:w="960" w:type="dxa"/>
            <w:hideMark/>
          </w:tcPr>
          <w:p w14:paraId="0B38163B" w14:textId="77777777" w:rsidR="00E953EE" w:rsidRPr="00EB272B" w:rsidRDefault="00E953EE" w:rsidP="006909EB">
            <w:pPr>
              <w:rPr>
                <w:rFonts w:cstheme="minorHAnsi"/>
                <w:sz w:val="22"/>
                <w:szCs w:val="22"/>
              </w:rPr>
            </w:pPr>
            <w:r w:rsidRPr="00EB272B">
              <w:rPr>
                <w:rFonts w:cstheme="minorHAnsi"/>
                <w:sz w:val="22"/>
                <w:szCs w:val="22"/>
              </w:rPr>
              <w:t>P</w:t>
            </w:r>
          </w:p>
        </w:tc>
        <w:tc>
          <w:tcPr>
            <w:tcW w:w="5380" w:type="dxa"/>
            <w:hideMark/>
          </w:tcPr>
          <w:p w14:paraId="01B97F3F" w14:textId="77777777" w:rsidR="00E953EE" w:rsidRPr="00EB272B" w:rsidRDefault="00E953EE" w:rsidP="006909EB">
            <w:pPr>
              <w:rPr>
                <w:rFonts w:cstheme="minorHAnsi"/>
                <w:sz w:val="22"/>
                <w:szCs w:val="22"/>
              </w:rPr>
            </w:pPr>
            <w:r w:rsidRPr="00EB272B">
              <w:rPr>
                <w:rFonts w:cstheme="minorHAnsi"/>
                <w:sz w:val="22"/>
                <w:szCs w:val="22"/>
              </w:rPr>
              <w:t>Development of a Plan for Global Monitoring of Human Exposure to and Environmental Concentrations of Mercury</w:t>
            </w:r>
          </w:p>
        </w:tc>
        <w:tc>
          <w:tcPr>
            <w:tcW w:w="960" w:type="dxa"/>
            <w:hideMark/>
          </w:tcPr>
          <w:p w14:paraId="44535500" w14:textId="77777777" w:rsidR="00E953EE" w:rsidRPr="00EB272B" w:rsidRDefault="00E953EE" w:rsidP="006909EB">
            <w:pPr>
              <w:rPr>
                <w:rFonts w:cstheme="minorHAnsi"/>
                <w:sz w:val="22"/>
                <w:szCs w:val="22"/>
              </w:rPr>
            </w:pPr>
            <w:r w:rsidRPr="00EB272B">
              <w:rPr>
                <w:rFonts w:cstheme="minorHAnsi"/>
                <w:sz w:val="22"/>
                <w:szCs w:val="22"/>
              </w:rPr>
              <w:t>GEF-5</w:t>
            </w:r>
          </w:p>
        </w:tc>
        <w:tc>
          <w:tcPr>
            <w:tcW w:w="960" w:type="dxa"/>
            <w:hideMark/>
          </w:tcPr>
          <w:p w14:paraId="4BF0B4EC" w14:textId="77777777" w:rsidR="00E953EE" w:rsidRPr="00EB272B" w:rsidRDefault="00E953EE" w:rsidP="006909EB">
            <w:pPr>
              <w:rPr>
                <w:rFonts w:cstheme="minorHAnsi"/>
                <w:sz w:val="22"/>
                <w:szCs w:val="22"/>
              </w:rPr>
            </w:pPr>
            <w:r w:rsidRPr="00EB272B">
              <w:rPr>
                <w:rFonts w:cstheme="minorHAnsi"/>
                <w:sz w:val="22"/>
                <w:szCs w:val="22"/>
              </w:rPr>
              <w:t>MSP</w:t>
            </w:r>
          </w:p>
        </w:tc>
        <w:tc>
          <w:tcPr>
            <w:tcW w:w="960" w:type="dxa"/>
            <w:hideMark/>
          </w:tcPr>
          <w:p w14:paraId="6C599CFF" w14:textId="77777777" w:rsidR="00E953EE" w:rsidRPr="00EB272B" w:rsidRDefault="00E953EE" w:rsidP="006909EB">
            <w:pPr>
              <w:rPr>
                <w:rFonts w:cstheme="minorHAnsi"/>
                <w:sz w:val="22"/>
                <w:szCs w:val="22"/>
              </w:rPr>
            </w:pPr>
            <w:r w:rsidRPr="00EB272B">
              <w:rPr>
                <w:rFonts w:cstheme="minorHAnsi"/>
                <w:sz w:val="22"/>
                <w:szCs w:val="22"/>
              </w:rPr>
              <w:t>UNEP</w:t>
            </w:r>
          </w:p>
        </w:tc>
        <w:tc>
          <w:tcPr>
            <w:tcW w:w="1660" w:type="dxa"/>
            <w:hideMark/>
          </w:tcPr>
          <w:p w14:paraId="44E8C59E" w14:textId="77777777" w:rsidR="00E953EE" w:rsidRPr="00EB272B" w:rsidRDefault="00E953EE" w:rsidP="006909EB">
            <w:pPr>
              <w:jc w:val="right"/>
              <w:rPr>
                <w:rFonts w:cstheme="minorHAnsi"/>
                <w:sz w:val="22"/>
                <w:szCs w:val="22"/>
              </w:rPr>
            </w:pPr>
            <w:r w:rsidRPr="00EB272B">
              <w:rPr>
                <w:rFonts w:cstheme="minorHAnsi"/>
                <w:sz w:val="22"/>
                <w:szCs w:val="22"/>
              </w:rPr>
              <w:t>850000</w:t>
            </w:r>
          </w:p>
        </w:tc>
        <w:tc>
          <w:tcPr>
            <w:tcW w:w="1620" w:type="dxa"/>
            <w:hideMark/>
          </w:tcPr>
          <w:p w14:paraId="30F2164A" w14:textId="77777777" w:rsidR="00E953EE" w:rsidRPr="00EB272B" w:rsidRDefault="00E953EE" w:rsidP="006909EB">
            <w:pPr>
              <w:jc w:val="right"/>
              <w:rPr>
                <w:rFonts w:cstheme="minorHAnsi"/>
                <w:sz w:val="22"/>
                <w:szCs w:val="22"/>
              </w:rPr>
            </w:pPr>
            <w:r w:rsidRPr="00EB272B">
              <w:rPr>
                <w:rFonts w:cstheme="minorHAnsi"/>
                <w:sz w:val="22"/>
                <w:szCs w:val="22"/>
              </w:rPr>
              <w:t>3005411</w:t>
            </w:r>
          </w:p>
        </w:tc>
      </w:tr>
      <w:tr w:rsidR="00E953EE" w:rsidRPr="00EB272B" w14:paraId="1DBF0914" w14:textId="77777777" w:rsidTr="006909EB">
        <w:trPr>
          <w:trHeight w:val="600"/>
        </w:trPr>
        <w:tc>
          <w:tcPr>
            <w:tcW w:w="1820" w:type="dxa"/>
            <w:hideMark/>
          </w:tcPr>
          <w:p w14:paraId="132ADC9D" w14:textId="77777777" w:rsidR="00E953EE" w:rsidRPr="00EB272B" w:rsidRDefault="00E953EE" w:rsidP="006909EB">
            <w:pPr>
              <w:rPr>
                <w:rFonts w:cstheme="minorHAnsi"/>
                <w:sz w:val="22"/>
                <w:szCs w:val="22"/>
              </w:rPr>
            </w:pPr>
            <w:r w:rsidRPr="00EB272B">
              <w:rPr>
                <w:rFonts w:cstheme="minorHAnsi"/>
                <w:sz w:val="22"/>
                <w:szCs w:val="22"/>
              </w:rPr>
              <w:t>Guatemala</w:t>
            </w:r>
          </w:p>
        </w:tc>
        <w:tc>
          <w:tcPr>
            <w:tcW w:w="1840" w:type="dxa"/>
            <w:hideMark/>
          </w:tcPr>
          <w:p w14:paraId="6E5E3784" w14:textId="77777777" w:rsidR="00E953EE" w:rsidRPr="00EB272B" w:rsidRDefault="00E953EE" w:rsidP="006909EB">
            <w:pPr>
              <w:rPr>
                <w:rFonts w:cstheme="minorHAnsi"/>
                <w:sz w:val="22"/>
                <w:szCs w:val="22"/>
              </w:rPr>
            </w:pPr>
            <w:r w:rsidRPr="00EB272B">
              <w:rPr>
                <w:rFonts w:cstheme="minorHAnsi"/>
                <w:sz w:val="22"/>
                <w:szCs w:val="22"/>
              </w:rPr>
              <w:t> </w:t>
            </w:r>
          </w:p>
        </w:tc>
        <w:tc>
          <w:tcPr>
            <w:tcW w:w="960" w:type="dxa"/>
            <w:hideMark/>
          </w:tcPr>
          <w:p w14:paraId="2F84C3E8" w14:textId="77777777" w:rsidR="00E953EE" w:rsidRPr="00EB272B" w:rsidRDefault="00E953EE" w:rsidP="006909EB">
            <w:pPr>
              <w:rPr>
                <w:rFonts w:cstheme="minorHAnsi"/>
                <w:sz w:val="22"/>
                <w:szCs w:val="22"/>
              </w:rPr>
            </w:pPr>
            <w:r w:rsidRPr="00EB272B">
              <w:rPr>
                <w:rFonts w:cstheme="minorHAnsi"/>
                <w:sz w:val="22"/>
                <w:szCs w:val="22"/>
              </w:rPr>
              <w:t>W</w:t>
            </w:r>
          </w:p>
        </w:tc>
        <w:tc>
          <w:tcPr>
            <w:tcW w:w="5380" w:type="dxa"/>
            <w:hideMark/>
          </w:tcPr>
          <w:p w14:paraId="135C65FD" w14:textId="46924EB4" w:rsidR="00E953EE" w:rsidRPr="00EB272B" w:rsidRDefault="00E953EE" w:rsidP="006909EB">
            <w:pPr>
              <w:rPr>
                <w:rFonts w:cstheme="minorHAnsi"/>
                <w:sz w:val="22"/>
                <w:szCs w:val="22"/>
              </w:rPr>
            </w:pPr>
            <w:r w:rsidRPr="00EB272B">
              <w:rPr>
                <w:rFonts w:cstheme="minorHAnsi"/>
                <w:sz w:val="22"/>
                <w:szCs w:val="22"/>
              </w:rPr>
              <w:t>Minamata Convention: Initial Assessment in Guatemala</w:t>
            </w:r>
            <w:r w:rsidR="00E56515">
              <w:rPr>
                <w:rFonts w:cstheme="minorHAnsi"/>
                <w:sz w:val="22"/>
                <w:szCs w:val="22"/>
              </w:rPr>
              <w:t xml:space="preserve">   </w:t>
            </w:r>
          </w:p>
        </w:tc>
        <w:tc>
          <w:tcPr>
            <w:tcW w:w="960" w:type="dxa"/>
            <w:hideMark/>
          </w:tcPr>
          <w:p w14:paraId="5AC1520E" w14:textId="77777777" w:rsidR="00E953EE" w:rsidRPr="00EB272B" w:rsidRDefault="00E953EE" w:rsidP="006909EB">
            <w:pPr>
              <w:rPr>
                <w:rFonts w:cstheme="minorHAnsi"/>
                <w:sz w:val="22"/>
                <w:szCs w:val="22"/>
              </w:rPr>
            </w:pPr>
            <w:r w:rsidRPr="00EB272B">
              <w:rPr>
                <w:rFonts w:cstheme="minorHAnsi"/>
                <w:sz w:val="22"/>
                <w:szCs w:val="22"/>
              </w:rPr>
              <w:t>GEF-6</w:t>
            </w:r>
          </w:p>
        </w:tc>
        <w:tc>
          <w:tcPr>
            <w:tcW w:w="960" w:type="dxa"/>
            <w:hideMark/>
          </w:tcPr>
          <w:p w14:paraId="4575D74D" w14:textId="77777777" w:rsidR="00E953EE" w:rsidRPr="00EB272B" w:rsidRDefault="00E953EE" w:rsidP="006909EB">
            <w:pPr>
              <w:rPr>
                <w:rFonts w:cstheme="minorHAnsi"/>
                <w:sz w:val="22"/>
                <w:szCs w:val="22"/>
              </w:rPr>
            </w:pPr>
            <w:r w:rsidRPr="00EB272B">
              <w:rPr>
                <w:rFonts w:cstheme="minorHAnsi"/>
                <w:sz w:val="22"/>
                <w:szCs w:val="22"/>
              </w:rPr>
              <w:t>EA</w:t>
            </w:r>
          </w:p>
        </w:tc>
        <w:tc>
          <w:tcPr>
            <w:tcW w:w="960" w:type="dxa"/>
            <w:hideMark/>
          </w:tcPr>
          <w:p w14:paraId="54D1743F" w14:textId="77777777" w:rsidR="00E953EE" w:rsidRPr="00EB272B" w:rsidRDefault="00E953EE" w:rsidP="006909EB">
            <w:pPr>
              <w:rPr>
                <w:rFonts w:cstheme="minorHAnsi"/>
                <w:sz w:val="22"/>
                <w:szCs w:val="22"/>
              </w:rPr>
            </w:pPr>
            <w:r w:rsidRPr="00EB272B">
              <w:rPr>
                <w:rFonts w:cstheme="minorHAnsi"/>
                <w:sz w:val="22"/>
                <w:szCs w:val="22"/>
              </w:rPr>
              <w:t>UNIDO</w:t>
            </w:r>
          </w:p>
        </w:tc>
        <w:tc>
          <w:tcPr>
            <w:tcW w:w="1660" w:type="dxa"/>
            <w:hideMark/>
          </w:tcPr>
          <w:p w14:paraId="02657579" w14:textId="77777777" w:rsidR="00E953EE" w:rsidRPr="00EB272B" w:rsidRDefault="00E953EE" w:rsidP="006909EB">
            <w:pPr>
              <w:jc w:val="right"/>
              <w:rPr>
                <w:rFonts w:cstheme="minorHAnsi"/>
                <w:sz w:val="22"/>
                <w:szCs w:val="22"/>
              </w:rPr>
            </w:pPr>
            <w:r w:rsidRPr="00EB272B">
              <w:rPr>
                <w:rFonts w:cstheme="minorHAnsi"/>
                <w:sz w:val="22"/>
                <w:szCs w:val="22"/>
              </w:rPr>
              <w:t>200000</w:t>
            </w:r>
          </w:p>
        </w:tc>
        <w:tc>
          <w:tcPr>
            <w:tcW w:w="1620" w:type="dxa"/>
            <w:hideMark/>
          </w:tcPr>
          <w:p w14:paraId="09585B9B" w14:textId="77777777" w:rsidR="00E953EE" w:rsidRPr="00EB272B" w:rsidRDefault="00E953EE" w:rsidP="006909EB">
            <w:pPr>
              <w:jc w:val="right"/>
              <w:rPr>
                <w:rFonts w:cstheme="minorHAnsi"/>
                <w:sz w:val="22"/>
                <w:szCs w:val="22"/>
              </w:rPr>
            </w:pPr>
            <w:r w:rsidRPr="00EB272B">
              <w:rPr>
                <w:rFonts w:cstheme="minorHAnsi"/>
                <w:sz w:val="22"/>
                <w:szCs w:val="22"/>
              </w:rPr>
              <w:t>78600</w:t>
            </w:r>
          </w:p>
        </w:tc>
      </w:tr>
      <w:tr w:rsidR="00E953EE" w:rsidRPr="00EB272B" w14:paraId="55234911" w14:textId="77777777" w:rsidTr="006909EB">
        <w:trPr>
          <w:trHeight w:val="300"/>
        </w:trPr>
        <w:tc>
          <w:tcPr>
            <w:tcW w:w="1820" w:type="dxa"/>
            <w:hideMark/>
          </w:tcPr>
          <w:p w14:paraId="44CBFE7A" w14:textId="77777777" w:rsidR="00E953EE" w:rsidRPr="00EB272B" w:rsidRDefault="00E953EE" w:rsidP="006909EB">
            <w:pPr>
              <w:rPr>
                <w:rFonts w:cstheme="minorHAnsi"/>
                <w:sz w:val="22"/>
                <w:szCs w:val="22"/>
              </w:rPr>
            </w:pPr>
            <w:r w:rsidRPr="00EB272B">
              <w:rPr>
                <w:rFonts w:cstheme="minorHAnsi"/>
                <w:sz w:val="22"/>
                <w:szCs w:val="22"/>
              </w:rPr>
              <w:t>Guyana</w:t>
            </w:r>
          </w:p>
        </w:tc>
        <w:tc>
          <w:tcPr>
            <w:tcW w:w="1840" w:type="dxa"/>
            <w:hideMark/>
          </w:tcPr>
          <w:p w14:paraId="60EE5E14" w14:textId="77777777" w:rsidR="00E953EE" w:rsidRPr="00EB272B" w:rsidRDefault="00E953EE" w:rsidP="006909EB">
            <w:pPr>
              <w:rPr>
                <w:rFonts w:cstheme="minorHAnsi"/>
                <w:sz w:val="22"/>
                <w:szCs w:val="22"/>
              </w:rPr>
            </w:pPr>
            <w:r w:rsidRPr="00EB272B">
              <w:rPr>
                <w:rFonts w:cstheme="minorHAnsi"/>
                <w:sz w:val="22"/>
                <w:szCs w:val="22"/>
              </w:rPr>
              <w:t> </w:t>
            </w:r>
          </w:p>
        </w:tc>
        <w:tc>
          <w:tcPr>
            <w:tcW w:w="960" w:type="dxa"/>
            <w:hideMark/>
          </w:tcPr>
          <w:p w14:paraId="339C2000" w14:textId="77777777" w:rsidR="00E953EE" w:rsidRPr="00EB272B" w:rsidRDefault="00E953EE" w:rsidP="006909EB">
            <w:pPr>
              <w:rPr>
                <w:rFonts w:cstheme="minorHAnsi"/>
                <w:sz w:val="22"/>
                <w:szCs w:val="22"/>
              </w:rPr>
            </w:pPr>
            <w:r w:rsidRPr="00EB272B">
              <w:rPr>
                <w:rFonts w:cstheme="minorHAnsi"/>
                <w:sz w:val="22"/>
                <w:szCs w:val="22"/>
              </w:rPr>
              <w:t>W</w:t>
            </w:r>
          </w:p>
        </w:tc>
        <w:tc>
          <w:tcPr>
            <w:tcW w:w="5380" w:type="dxa"/>
            <w:hideMark/>
          </w:tcPr>
          <w:p w14:paraId="078467B6" w14:textId="77777777" w:rsidR="00E953EE" w:rsidRPr="00EB272B" w:rsidRDefault="00E953EE" w:rsidP="006909EB">
            <w:pPr>
              <w:rPr>
                <w:rFonts w:cstheme="minorHAnsi"/>
                <w:sz w:val="22"/>
                <w:szCs w:val="22"/>
              </w:rPr>
            </w:pPr>
            <w:r w:rsidRPr="00EB272B">
              <w:rPr>
                <w:rFonts w:cstheme="minorHAnsi"/>
                <w:sz w:val="22"/>
                <w:szCs w:val="22"/>
              </w:rPr>
              <w:t>Minamata Initial Assessment for Guyana</w:t>
            </w:r>
          </w:p>
        </w:tc>
        <w:tc>
          <w:tcPr>
            <w:tcW w:w="960" w:type="dxa"/>
            <w:hideMark/>
          </w:tcPr>
          <w:p w14:paraId="7D8B5E12" w14:textId="77777777" w:rsidR="00E953EE" w:rsidRPr="00EB272B" w:rsidRDefault="00E953EE" w:rsidP="006909EB">
            <w:pPr>
              <w:rPr>
                <w:rFonts w:cstheme="minorHAnsi"/>
                <w:sz w:val="22"/>
                <w:szCs w:val="22"/>
              </w:rPr>
            </w:pPr>
            <w:r w:rsidRPr="00EB272B">
              <w:rPr>
                <w:rFonts w:cstheme="minorHAnsi"/>
                <w:sz w:val="22"/>
                <w:szCs w:val="22"/>
              </w:rPr>
              <w:t>GEF-6</w:t>
            </w:r>
          </w:p>
        </w:tc>
        <w:tc>
          <w:tcPr>
            <w:tcW w:w="960" w:type="dxa"/>
            <w:hideMark/>
          </w:tcPr>
          <w:p w14:paraId="66A4D824" w14:textId="77777777" w:rsidR="00E953EE" w:rsidRPr="00EB272B" w:rsidRDefault="00E953EE" w:rsidP="006909EB">
            <w:pPr>
              <w:rPr>
                <w:rFonts w:cstheme="minorHAnsi"/>
                <w:sz w:val="22"/>
                <w:szCs w:val="22"/>
              </w:rPr>
            </w:pPr>
            <w:r w:rsidRPr="00EB272B">
              <w:rPr>
                <w:rFonts w:cstheme="minorHAnsi"/>
                <w:sz w:val="22"/>
                <w:szCs w:val="22"/>
              </w:rPr>
              <w:t>EA</w:t>
            </w:r>
          </w:p>
        </w:tc>
        <w:tc>
          <w:tcPr>
            <w:tcW w:w="960" w:type="dxa"/>
            <w:hideMark/>
          </w:tcPr>
          <w:p w14:paraId="5D04C3CE" w14:textId="77777777" w:rsidR="00E953EE" w:rsidRPr="00EB272B" w:rsidRDefault="00E953EE" w:rsidP="006909EB">
            <w:pPr>
              <w:rPr>
                <w:rFonts w:cstheme="minorHAnsi"/>
                <w:sz w:val="22"/>
                <w:szCs w:val="22"/>
              </w:rPr>
            </w:pPr>
            <w:r w:rsidRPr="00EB272B">
              <w:rPr>
                <w:rFonts w:cstheme="minorHAnsi"/>
                <w:sz w:val="22"/>
                <w:szCs w:val="22"/>
              </w:rPr>
              <w:t>UNDP</w:t>
            </w:r>
          </w:p>
        </w:tc>
        <w:tc>
          <w:tcPr>
            <w:tcW w:w="1660" w:type="dxa"/>
            <w:hideMark/>
          </w:tcPr>
          <w:p w14:paraId="1AD890CD" w14:textId="77777777" w:rsidR="00E953EE" w:rsidRPr="00EB272B" w:rsidRDefault="00E953EE" w:rsidP="006909EB">
            <w:pPr>
              <w:jc w:val="right"/>
              <w:rPr>
                <w:rFonts w:cstheme="minorHAnsi"/>
                <w:sz w:val="22"/>
                <w:szCs w:val="22"/>
              </w:rPr>
            </w:pPr>
            <w:r w:rsidRPr="00EB272B">
              <w:rPr>
                <w:rFonts w:cstheme="minorHAnsi"/>
                <w:sz w:val="22"/>
                <w:szCs w:val="22"/>
              </w:rPr>
              <w:t>200000</w:t>
            </w:r>
          </w:p>
        </w:tc>
        <w:tc>
          <w:tcPr>
            <w:tcW w:w="1620" w:type="dxa"/>
            <w:hideMark/>
          </w:tcPr>
          <w:p w14:paraId="0137CF95" w14:textId="77777777" w:rsidR="00E953EE" w:rsidRPr="00EB272B" w:rsidRDefault="00E953EE" w:rsidP="006909EB">
            <w:pPr>
              <w:jc w:val="right"/>
              <w:rPr>
                <w:rFonts w:cstheme="minorHAnsi"/>
                <w:sz w:val="22"/>
                <w:szCs w:val="22"/>
              </w:rPr>
            </w:pPr>
            <w:r>
              <w:rPr>
                <w:rFonts w:cstheme="minorHAnsi"/>
                <w:sz w:val="22"/>
                <w:szCs w:val="22"/>
              </w:rPr>
              <w:t>0</w:t>
            </w:r>
            <w:r w:rsidRPr="00EB272B">
              <w:rPr>
                <w:rFonts w:cstheme="minorHAnsi"/>
                <w:sz w:val="22"/>
                <w:szCs w:val="22"/>
              </w:rPr>
              <w:t> </w:t>
            </w:r>
          </w:p>
        </w:tc>
      </w:tr>
      <w:tr w:rsidR="00E953EE" w:rsidRPr="00EB272B" w14:paraId="6EFAE6A9" w14:textId="77777777" w:rsidTr="006909EB">
        <w:trPr>
          <w:trHeight w:val="900"/>
        </w:trPr>
        <w:tc>
          <w:tcPr>
            <w:tcW w:w="1820" w:type="dxa"/>
            <w:hideMark/>
          </w:tcPr>
          <w:p w14:paraId="45B6E506" w14:textId="77777777" w:rsidR="00E953EE" w:rsidRPr="00EB272B" w:rsidRDefault="00E953EE" w:rsidP="006909EB">
            <w:pPr>
              <w:rPr>
                <w:rFonts w:cstheme="minorHAnsi"/>
                <w:sz w:val="22"/>
                <w:szCs w:val="22"/>
              </w:rPr>
            </w:pPr>
            <w:r w:rsidRPr="00EB272B">
              <w:rPr>
                <w:rFonts w:cstheme="minorHAnsi"/>
                <w:sz w:val="22"/>
                <w:szCs w:val="22"/>
              </w:rPr>
              <w:t>Guyana</w:t>
            </w:r>
          </w:p>
        </w:tc>
        <w:tc>
          <w:tcPr>
            <w:tcW w:w="1840" w:type="dxa"/>
            <w:hideMark/>
          </w:tcPr>
          <w:p w14:paraId="147CDFF0" w14:textId="77777777" w:rsidR="00E953EE" w:rsidRPr="00EB272B" w:rsidRDefault="00E953EE" w:rsidP="006909EB">
            <w:pPr>
              <w:rPr>
                <w:rFonts w:cstheme="minorHAnsi"/>
                <w:sz w:val="22"/>
                <w:szCs w:val="22"/>
              </w:rPr>
            </w:pPr>
            <w:r w:rsidRPr="00EB272B">
              <w:rPr>
                <w:rFonts w:cstheme="minorHAnsi"/>
                <w:sz w:val="22"/>
                <w:szCs w:val="22"/>
              </w:rPr>
              <w:t> </w:t>
            </w:r>
          </w:p>
        </w:tc>
        <w:tc>
          <w:tcPr>
            <w:tcW w:w="960" w:type="dxa"/>
            <w:hideMark/>
          </w:tcPr>
          <w:p w14:paraId="15A7BBFA" w14:textId="77777777" w:rsidR="00E953EE" w:rsidRPr="00EB272B" w:rsidRDefault="00E953EE" w:rsidP="006909EB">
            <w:pPr>
              <w:rPr>
                <w:rFonts w:cstheme="minorHAnsi"/>
                <w:sz w:val="22"/>
                <w:szCs w:val="22"/>
              </w:rPr>
            </w:pPr>
            <w:r w:rsidRPr="00EB272B">
              <w:rPr>
                <w:rFonts w:cstheme="minorHAnsi"/>
                <w:sz w:val="22"/>
                <w:szCs w:val="22"/>
              </w:rPr>
              <w:t>MFA</w:t>
            </w:r>
            <w:r>
              <w:rPr>
                <w:rStyle w:val="FootnoteReference"/>
                <w:rFonts w:cstheme="minorHAnsi"/>
                <w:sz w:val="22"/>
                <w:szCs w:val="22"/>
              </w:rPr>
              <w:footnoteReference w:id="18"/>
            </w:r>
          </w:p>
        </w:tc>
        <w:tc>
          <w:tcPr>
            <w:tcW w:w="5380" w:type="dxa"/>
            <w:hideMark/>
          </w:tcPr>
          <w:p w14:paraId="5EE32BBA" w14:textId="77777777" w:rsidR="00E953EE" w:rsidRPr="00EB272B" w:rsidRDefault="00E953EE" w:rsidP="006909EB">
            <w:pPr>
              <w:rPr>
                <w:rFonts w:cstheme="minorHAnsi"/>
                <w:sz w:val="22"/>
                <w:szCs w:val="22"/>
              </w:rPr>
            </w:pPr>
            <w:r w:rsidRPr="00EB272B">
              <w:rPr>
                <w:rFonts w:cstheme="minorHAnsi"/>
                <w:sz w:val="22"/>
                <w:szCs w:val="22"/>
              </w:rPr>
              <w:t>Strengthening the Enabling Framework for Biodiversity Mainstreaming and Mercury Reduction in Small and Medium-scale Gold Mining Operations</w:t>
            </w:r>
          </w:p>
        </w:tc>
        <w:tc>
          <w:tcPr>
            <w:tcW w:w="960" w:type="dxa"/>
            <w:hideMark/>
          </w:tcPr>
          <w:p w14:paraId="4C116A77" w14:textId="77777777" w:rsidR="00E953EE" w:rsidRPr="00EB272B" w:rsidRDefault="00E953EE" w:rsidP="006909EB">
            <w:pPr>
              <w:rPr>
                <w:rFonts w:cstheme="minorHAnsi"/>
                <w:sz w:val="22"/>
                <w:szCs w:val="22"/>
              </w:rPr>
            </w:pPr>
            <w:r w:rsidRPr="00EB272B">
              <w:rPr>
                <w:rFonts w:cstheme="minorHAnsi"/>
                <w:sz w:val="22"/>
                <w:szCs w:val="22"/>
              </w:rPr>
              <w:t>GEF-6</w:t>
            </w:r>
          </w:p>
        </w:tc>
        <w:tc>
          <w:tcPr>
            <w:tcW w:w="960" w:type="dxa"/>
            <w:hideMark/>
          </w:tcPr>
          <w:p w14:paraId="532E46A6" w14:textId="77777777" w:rsidR="00E953EE" w:rsidRPr="00EB272B" w:rsidRDefault="00E953EE" w:rsidP="006909EB">
            <w:pPr>
              <w:rPr>
                <w:rFonts w:cstheme="minorHAnsi"/>
                <w:sz w:val="22"/>
                <w:szCs w:val="22"/>
              </w:rPr>
            </w:pPr>
            <w:r w:rsidRPr="00EB272B">
              <w:rPr>
                <w:rFonts w:cstheme="minorHAnsi"/>
                <w:sz w:val="22"/>
                <w:szCs w:val="22"/>
              </w:rPr>
              <w:t>FSP</w:t>
            </w:r>
          </w:p>
        </w:tc>
        <w:tc>
          <w:tcPr>
            <w:tcW w:w="960" w:type="dxa"/>
            <w:hideMark/>
          </w:tcPr>
          <w:p w14:paraId="31592BF7" w14:textId="77777777" w:rsidR="00E953EE" w:rsidRPr="00EB272B" w:rsidRDefault="00E953EE" w:rsidP="006909EB">
            <w:pPr>
              <w:rPr>
                <w:rFonts w:cstheme="minorHAnsi"/>
                <w:sz w:val="22"/>
                <w:szCs w:val="22"/>
              </w:rPr>
            </w:pPr>
            <w:r w:rsidRPr="00EB272B">
              <w:rPr>
                <w:rFonts w:cstheme="minorHAnsi"/>
                <w:sz w:val="22"/>
                <w:szCs w:val="22"/>
              </w:rPr>
              <w:t>UNDP</w:t>
            </w:r>
          </w:p>
        </w:tc>
        <w:tc>
          <w:tcPr>
            <w:tcW w:w="1660" w:type="dxa"/>
            <w:hideMark/>
          </w:tcPr>
          <w:p w14:paraId="44F87E85" w14:textId="77777777" w:rsidR="00E953EE" w:rsidRPr="00EB272B" w:rsidRDefault="00E953EE" w:rsidP="006909EB">
            <w:pPr>
              <w:jc w:val="right"/>
              <w:rPr>
                <w:rFonts w:cstheme="minorHAnsi"/>
                <w:sz w:val="22"/>
                <w:szCs w:val="22"/>
              </w:rPr>
            </w:pPr>
            <w:r w:rsidRPr="00EB272B">
              <w:rPr>
                <w:rFonts w:cstheme="minorHAnsi"/>
                <w:sz w:val="22"/>
                <w:szCs w:val="22"/>
              </w:rPr>
              <w:t>892759</w:t>
            </w:r>
          </w:p>
        </w:tc>
        <w:tc>
          <w:tcPr>
            <w:tcW w:w="1620" w:type="dxa"/>
            <w:hideMark/>
          </w:tcPr>
          <w:p w14:paraId="0C1A7B5A" w14:textId="77777777" w:rsidR="00E953EE" w:rsidRPr="00EB272B" w:rsidRDefault="00E953EE" w:rsidP="006909EB">
            <w:pPr>
              <w:jc w:val="right"/>
              <w:rPr>
                <w:rFonts w:cstheme="minorHAnsi"/>
                <w:sz w:val="22"/>
                <w:szCs w:val="22"/>
              </w:rPr>
            </w:pPr>
            <w:r w:rsidRPr="00EB272B">
              <w:rPr>
                <w:rFonts w:cstheme="minorHAnsi"/>
                <w:sz w:val="22"/>
                <w:szCs w:val="22"/>
              </w:rPr>
              <w:t>29662745</w:t>
            </w:r>
          </w:p>
        </w:tc>
      </w:tr>
      <w:tr w:rsidR="00E953EE" w:rsidRPr="00EB272B" w14:paraId="26FF8E6B" w14:textId="77777777" w:rsidTr="006909EB">
        <w:trPr>
          <w:trHeight w:val="900"/>
        </w:trPr>
        <w:tc>
          <w:tcPr>
            <w:tcW w:w="1820" w:type="dxa"/>
            <w:hideMark/>
          </w:tcPr>
          <w:p w14:paraId="2A6FDFBA" w14:textId="77777777" w:rsidR="00E953EE" w:rsidRPr="00EB272B" w:rsidRDefault="00E953EE" w:rsidP="006909EB">
            <w:pPr>
              <w:rPr>
                <w:rFonts w:cstheme="minorHAnsi"/>
                <w:sz w:val="22"/>
                <w:szCs w:val="22"/>
              </w:rPr>
            </w:pPr>
            <w:r w:rsidRPr="00EB272B">
              <w:rPr>
                <w:rFonts w:cstheme="minorHAnsi"/>
                <w:sz w:val="22"/>
                <w:szCs w:val="22"/>
              </w:rPr>
              <w:lastRenderedPageBreak/>
              <w:t>Honduras</w:t>
            </w:r>
          </w:p>
        </w:tc>
        <w:tc>
          <w:tcPr>
            <w:tcW w:w="1840" w:type="dxa"/>
            <w:hideMark/>
          </w:tcPr>
          <w:p w14:paraId="20E69FA4" w14:textId="77777777" w:rsidR="00E953EE" w:rsidRPr="00EB272B" w:rsidRDefault="00E953EE" w:rsidP="006909EB">
            <w:pPr>
              <w:rPr>
                <w:rFonts w:cstheme="minorHAnsi"/>
                <w:sz w:val="22"/>
                <w:szCs w:val="22"/>
              </w:rPr>
            </w:pPr>
            <w:r w:rsidRPr="00EB272B">
              <w:rPr>
                <w:rFonts w:cstheme="minorHAnsi"/>
                <w:sz w:val="22"/>
                <w:szCs w:val="22"/>
              </w:rPr>
              <w:t> </w:t>
            </w:r>
          </w:p>
        </w:tc>
        <w:tc>
          <w:tcPr>
            <w:tcW w:w="960" w:type="dxa"/>
            <w:hideMark/>
          </w:tcPr>
          <w:p w14:paraId="4A870B7A" w14:textId="77777777" w:rsidR="00E953EE" w:rsidRPr="00EB272B" w:rsidRDefault="00E953EE" w:rsidP="006909EB">
            <w:pPr>
              <w:rPr>
                <w:rFonts w:cstheme="minorHAnsi"/>
                <w:sz w:val="22"/>
                <w:szCs w:val="22"/>
              </w:rPr>
            </w:pPr>
            <w:r w:rsidRPr="00EB272B">
              <w:rPr>
                <w:rFonts w:cstheme="minorHAnsi"/>
                <w:sz w:val="22"/>
                <w:szCs w:val="22"/>
              </w:rPr>
              <w:t>W</w:t>
            </w:r>
          </w:p>
        </w:tc>
        <w:tc>
          <w:tcPr>
            <w:tcW w:w="5380" w:type="dxa"/>
            <w:hideMark/>
          </w:tcPr>
          <w:p w14:paraId="39D02A4D" w14:textId="77777777" w:rsidR="00E953EE" w:rsidRPr="00EB272B" w:rsidRDefault="00E953EE" w:rsidP="006909EB">
            <w:pPr>
              <w:rPr>
                <w:rFonts w:cstheme="minorHAnsi"/>
                <w:sz w:val="22"/>
                <w:szCs w:val="22"/>
              </w:rPr>
            </w:pPr>
            <w:r w:rsidRPr="00EB272B">
              <w:rPr>
                <w:rFonts w:cstheme="minorHAnsi"/>
                <w:sz w:val="22"/>
                <w:szCs w:val="22"/>
              </w:rPr>
              <w:t>Development of Minamata Initial Assessment and National Action Plan for Artisanal and Small-Scale Gold Mining in Honduras</w:t>
            </w:r>
          </w:p>
        </w:tc>
        <w:tc>
          <w:tcPr>
            <w:tcW w:w="960" w:type="dxa"/>
            <w:hideMark/>
          </w:tcPr>
          <w:p w14:paraId="01F3A3CB" w14:textId="77777777" w:rsidR="00E953EE" w:rsidRPr="00EB272B" w:rsidRDefault="00E953EE" w:rsidP="006909EB">
            <w:pPr>
              <w:rPr>
                <w:rFonts w:cstheme="minorHAnsi"/>
                <w:sz w:val="22"/>
                <w:szCs w:val="22"/>
              </w:rPr>
            </w:pPr>
            <w:r w:rsidRPr="00EB272B">
              <w:rPr>
                <w:rFonts w:cstheme="minorHAnsi"/>
                <w:sz w:val="22"/>
                <w:szCs w:val="22"/>
              </w:rPr>
              <w:t>GEF-6</w:t>
            </w:r>
          </w:p>
        </w:tc>
        <w:tc>
          <w:tcPr>
            <w:tcW w:w="960" w:type="dxa"/>
            <w:hideMark/>
          </w:tcPr>
          <w:p w14:paraId="7ADF51B9" w14:textId="77777777" w:rsidR="00E953EE" w:rsidRPr="00EB272B" w:rsidRDefault="00E953EE" w:rsidP="006909EB">
            <w:pPr>
              <w:rPr>
                <w:rFonts w:cstheme="minorHAnsi"/>
                <w:sz w:val="22"/>
                <w:szCs w:val="22"/>
              </w:rPr>
            </w:pPr>
            <w:r w:rsidRPr="00EB272B">
              <w:rPr>
                <w:rFonts w:cstheme="minorHAnsi"/>
                <w:sz w:val="22"/>
                <w:szCs w:val="22"/>
              </w:rPr>
              <w:t>EA</w:t>
            </w:r>
          </w:p>
        </w:tc>
        <w:tc>
          <w:tcPr>
            <w:tcW w:w="960" w:type="dxa"/>
            <w:hideMark/>
          </w:tcPr>
          <w:p w14:paraId="644F2224" w14:textId="77777777" w:rsidR="00E953EE" w:rsidRPr="00EB272B" w:rsidRDefault="00E953EE" w:rsidP="006909EB">
            <w:pPr>
              <w:rPr>
                <w:rFonts w:cstheme="minorHAnsi"/>
                <w:sz w:val="22"/>
                <w:szCs w:val="22"/>
              </w:rPr>
            </w:pPr>
            <w:r w:rsidRPr="00EB272B">
              <w:rPr>
                <w:rFonts w:cstheme="minorHAnsi"/>
                <w:sz w:val="22"/>
                <w:szCs w:val="22"/>
              </w:rPr>
              <w:t>UNEP</w:t>
            </w:r>
          </w:p>
        </w:tc>
        <w:tc>
          <w:tcPr>
            <w:tcW w:w="1660" w:type="dxa"/>
            <w:hideMark/>
          </w:tcPr>
          <w:p w14:paraId="4ADD9A44" w14:textId="77777777" w:rsidR="00E953EE" w:rsidRPr="00EB272B" w:rsidRDefault="00E953EE" w:rsidP="006909EB">
            <w:pPr>
              <w:jc w:val="right"/>
              <w:rPr>
                <w:rFonts w:cstheme="minorHAnsi"/>
                <w:sz w:val="22"/>
                <w:szCs w:val="22"/>
              </w:rPr>
            </w:pPr>
            <w:r w:rsidRPr="00EB272B">
              <w:rPr>
                <w:rFonts w:cstheme="minorHAnsi"/>
                <w:sz w:val="22"/>
                <w:szCs w:val="22"/>
              </w:rPr>
              <w:t>700000</w:t>
            </w:r>
          </w:p>
        </w:tc>
        <w:tc>
          <w:tcPr>
            <w:tcW w:w="1620" w:type="dxa"/>
            <w:hideMark/>
          </w:tcPr>
          <w:p w14:paraId="3273FEB7" w14:textId="77777777" w:rsidR="00E953EE" w:rsidRPr="00EB272B" w:rsidRDefault="00E953EE" w:rsidP="006909EB">
            <w:pPr>
              <w:jc w:val="right"/>
              <w:rPr>
                <w:rFonts w:cstheme="minorHAnsi"/>
                <w:sz w:val="22"/>
                <w:szCs w:val="22"/>
              </w:rPr>
            </w:pPr>
            <w:r>
              <w:rPr>
                <w:rFonts w:cstheme="minorHAnsi"/>
                <w:sz w:val="22"/>
                <w:szCs w:val="22"/>
              </w:rPr>
              <w:t>0</w:t>
            </w:r>
            <w:r w:rsidRPr="00EB272B">
              <w:rPr>
                <w:rFonts w:cstheme="minorHAnsi"/>
                <w:sz w:val="22"/>
                <w:szCs w:val="22"/>
              </w:rPr>
              <w:t> </w:t>
            </w:r>
          </w:p>
        </w:tc>
      </w:tr>
      <w:tr w:rsidR="00E953EE" w:rsidRPr="00EB272B" w14:paraId="25F36ACB" w14:textId="77777777" w:rsidTr="006909EB">
        <w:trPr>
          <w:trHeight w:val="900"/>
        </w:trPr>
        <w:tc>
          <w:tcPr>
            <w:tcW w:w="1820" w:type="dxa"/>
            <w:hideMark/>
          </w:tcPr>
          <w:p w14:paraId="350773D7" w14:textId="77777777" w:rsidR="00E953EE" w:rsidRPr="00EB272B" w:rsidRDefault="00E953EE" w:rsidP="006909EB">
            <w:pPr>
              <w:rPr>
                <w:rFonts w:cstheme="minorHAnsi"/>
                <w:sz w:val="22"/>
                <w:szCs w:val="22"/>
              </w:rPr>
            </w:pPr>
            <w:r w:rsidRPr="00EB272B">
              <w:rPr>
                <w:rFonts w:cstheme="minorHAnsi"/>
                <w:sz w:val="22"/>
                <w:szCs w:val="22"/>
              </w:rPr>
              <w:t>Honduras</w:t>
            </w:r>
          </w:p>
        </w:tc>
        <w:tc>
          <w:tcPr>
            <w:tcW w:w="1840" w:type="dxa"/>
            <w:hideMark/>
          </w:tcPr>
          <w:p w14:paraId="79F3D831" w14:textId="77777777" w:rsidR="00E953EE" w:rsidRPr="00EB272B" w:rsidRDefault="00E953EE" w:rsidP="006909EB">
            <w:pPr>
              <w:rPr>
                <w:rFonts w:cstheme="minorHAnsi"/>
                <w:sz w:val="22"/>
                <w:szCs w:val="22"/>
              </w:rPr>
            </w:pPr>
            <w:r w:rsidRPr="00EB272B">
              <w:rPr>
                <w:rFonts w:cstheme="minorHAnsi"/>
                <w:sz w:val="22"/>
                <w:szCs w:val="22"/>
              </w:rPr>
              <w:t> </w:t>
            </w:r>
          </w:p>
        </w:tc>
        <w:tc>
          <w:tcPr>
            <w:tcW w:w="960" w:type="dxa"/>
            <w:hideMark/>
          </w:tcPr>
          <w:p w14:paraId="1AB9CEE2" w14:textId="77777777" w:rsidR="00E953EE" w:rsidRPr="00EB272B" w:rsidRDefault="00E953EE" w:rsidP="006909EB">
            <w:pPr>
              <w:rPr>
                <w:rFonts w:cstheme="minorHAnsi"/>
                <w:sz w:val="22"/>
                <w:szCs w:val="22"/>
              </w:rPr>
            </w:pPr>
            <w:r w:rsidRPr="00EB272B">
              <w:rPr>
                <w:rFonts w:cstheme="minorHAnsi"/>
                <w:sz w:val="22"/>
                <w:szCs w:val="22"/>
              </w:rPr>
              <w:t>P</w:t>
            </w:r>
          </w:p>
        </w:tc>
        <w:tc>
          <w:tcPr>
            <w:tcW w:w="5380" w:type="dxa"/>
            <w:hideMark/>
          </w:tcPr>
          <w:p w14:paraId="654269F9" w14:textId="77777777" w:rsidR="00E953EE" w:rsidRPr="00EB272B" w:rsidRDefault="00E953EE" w:rsidP="006909EB">
            <w:pPr>
              <w:rPr>
                <w:rFonts w:cstheme="minorHAnsi"/>
                <w:sz w:val="22"/>
                <w:szCs w:val="22"/>
              </w:rPr>
            </w:pPr>
            <w:r w:rsidRPr="00EB272B">
              <w:rPr>
                <w:rFonts w:cstheme="minorHAnsi"/>
                <w:sz w:val="22"/>
                <w:szCs w:val="22"/>
              </w:rPr>
              <w:t>Environmental Sound Management of Mercury and Mercury Containing Products and their Wastes in Artisanal Small-scale Gold Mining and Healthcare</w:t>
            </w:r>
          </w:p>
        </w:tc>
        <w:tc>
          <w:tcPr>
            <w:tcW w:w="960" w:type="dxa"/>
            <w:hideMark/>
          </w:tcPr>
          <w:p w14:paraId="3FE8664D" w14:textId="77777777" w:rsidR="00E953EE" w:rsidRPr="00EB272B" w:rsidRDefault="00E953EE" w:rsidP="006909EB">
            <w:pPr>
              <w:rPr>
                <w:rFonts w:cstheme="minorHAnsi"/>
                <w:sz w:val="22"/>
                <w:szCs w:val="22"/>
              </w:rPr>
            </w:pPr>
            <w:r w:rsidRPr="00EB272B">
              <w:rPr>
                <w:rFonts w:cstheme="minorHAnsi"/>
                <w:sz w:val="22"/>
                <w:szCs w:val="22"/>
              </w:rPr>
              <w:t>GEF-5</w:t>
            </w:r>
          </w:p>
        </w:tc>
        <w:tc>
          <w:tcPr>
            <w:tcW w:w="960" w:type="dxa"/>
            <w:hideMark/>
          </w:tcPr>
          <w:p w14:paraId="51A96094" w14:textId="77777777" w:rsidR="00E953EE" w:rsidRPr="00EB272B" w:rsidRDefault="00E953EE" w:rsidP="006909EB">
            <w:pPr>
              <w:rPr>
                <w:rFonts w:cstheme="minorHAnsi"/>
                <w:sz w:val="22"/>
                <w:szCs w:val="22"/>
              </w:rPr>
            </w:pPr>
            <w:r w:rsidRPr="00EB272B">
              <w:rPr>
                <w:rFonts w:cstheme="minorHAnsi"/>
                <w:sz w:val="22"/>
                <w:szCs w:val="22"/>
              </w:rPr>
              <w:t>MSP</w:t>
            </w:r>
          </w:p>
        </w:tc>
        <w:tc>
          <w:tcPr>
            <w:tcW w:w="960" w:type="dxa"/>
            <w:hideMark/>
          </w:tcPr>
          <w:p w14:paraId="69EAE7FA" w14:textId="77777777" w:rsidR="00E953EE" w:rsidRPr="00EB272B" w:rsidRDefault="00E953EE" w:rsidP="006909EB">
            <w:pPr>
              <w:rPr>
                <w:rFonts w:cstheme="minorHAnsi"/>
                <w:sz w:val="22"/>
                <w:szCs w:val="22"/>
              </w:rPr>
            </w:pPr>
            <w:r w:rsidRPr="00EB272B">
              <w:rPr>
                <w:rFonts w:cstheme="minorHAnsi"/>
                <w:sz w:val="22"/>
                <w:szCs w:val="22"/>
              </w:rPr>
              <w:t>UNDP</w:t>
            </w:r>
          </w:p>
        </w:tc>
        <w:tc>
          <w:tcPr>
            <w:tcW w:w="1660" w:type="dxa"/>
            <w:hideMark/>
          </w:tcPr>
          <w:p w14:paraId="73D25655" w14:textId="77777777" w:rsidR="00E953EE" w:rsidRPr="00EB272B" w:rsidRDefault="00E953EE" w:rsidP="006909EB">
            <w:pPr>
              <w:jc w:val="right"/>
              <w:rPr>
                <w:rFonts w:cstheme="minorHAnsi"/>
                <w:sz w:val="22"/>
                <w:szCs w:val="22"/>
              </w:rPr>
            </w:pPr>
            <w:r w:rsidRPr="00EB272B">
              <w:rPr>
                <w:rFonts w:cstheme="minorHAnsi"/>
                <w:sz w:val="22"/>
                <w:szCs w:val="22"/>
              </w:rPr>
              <w:t>1300000</w:t>
            </w:r>
          </w:p>
        </w:tc>
        <w:tc>
          <w:tcPr>
            <w:tcW w:w="1620" w:type="dxa"/>
            <w:hideMark/>
          </w:tcPr>
          <w:p w14:paraId="6746E606" w14:textId="77777777" w:rsidR="00E953EE" w:rsidRPr="00EB272B" w:rsidRDefault="00E953EE" w:rsidP="006909EB">
            <w:pPr>
              <w:jc w:val="right"/>
              <w:rPr>
                <w:rFonts w:cstheme="minorHAnsi"/>
                <w:sz w:val="22"/>
                <w:szCs w:val="22"/>
              </w:rPr>
            </w:pPr>
            <w:r w:rsidRPr="00EB272B">
              <w:rPr>
                <w:rFonts w:cstheme="minorHAnsi"/>
                <w:sz w:val="22"/>
                <w:szCs w:val="22"/>
              </w:rPr>
              <w:t>3960000</w:t>
            </w:r>
          </w:p>
        </w:tc>
      </w:tr>
      <w:tr w:rsidR="00E953EE" w:rsidRPr="00EB272B" w14:paraId="137D6C1F" w14:textId="77777777" w:rsidTr="006909EB">
        <w:trPr>
          <w:trHeight w:val="300"/>
        </w:trPr>
        <w:tc>
          <w:tcPr>
            <w:tcW w:w="1820" w:type="dxa"/>
            <w:hideMark/>
          </w:tcPr>
          <w:p w14:paraId="0654B5D5" w14:textId="77777777" w:rsidR="00E953EE" w:rsidRPr="00EB272B" w:rsidRDefault="00E953EE" w:rsidP="006909EB">
            <w:pPr>
              <w:rPr>
                <w:rFonts w:cstheme="minorHAnsi"/>
                <w:sz w:val="22"/>
                <w:szCs w:val="22"/>
              </w:rPr>
            </w:pPr>
            <w:r w:rsidRPr="00EB272B">
              <w:rPr>
                <w:rFonts w:cstheme="minorHAnsi"/>
                <w:sz w:val="22"/>
                <w:szCs w:val="22"/>
              </w:rPr>
              <w:t>India</w:t>
            </w:r>
          </w:p>
        </w:tc>
        <w:tc>
          <w:tcPr>
            <w:tcW w:w="1840" w:type="dxa"/>
            <w:hideMark/>
          </w:tcPr>
          <w:p w14:paraId="7AD055D0" w14:textId="77777777" w:rsidR="00E953EE" w:rsidRPr="00EB272B" w:rsidRDefault="00E953EE" w:rsidP="006909EB">
            <w:pPr>
              <w:rPr>
                <w:rFonts w:cstheme="minorHAnsi"/>
                <w:sz w:val="22"/>
                <w:szCs w:val="22"/>
              </w:rPr>
            </w:pPr>
            <w:r w:rsidRPr="00EB272B">
              <w:rPr>
                <w:rFonts w:cstheme="minorHAnsi"/>
                <w:sz w:val="22"/>
                <w:szCs w:val="22"/>
              </w:rPr>
              <w:t> </w:t>
            </w:r>
          </w:p>
        </w:tc>
        <w:tc>
          <w:tcPr>
            <w:tcW w:w="960" w:type="dxa"/>
            <w:hideMark/>
          </w:tcPr>
          <w:p w14:paraId="2578F790" w14:textId="77777777" w:rsidR="00E953EE" w:rsidRPr="00EB272B" w:rsidRDefault="00E953EE" w:rsidP="006909EB">
            <w:pPr>
              <w:rPr>
                <w:rFonts w:cstheme="minorHAnsi"/>
                <w:sz w:val="22"/>
                <w:szCs w:val="22"/>
              </w:rPr>
            </w:pPr>
            <w:r w:rsidRPr="00EB272B">
              <w:rPr>
                <w:rFonts w:cstheme="minorHAnsi"/>
                <w:sz w:val="22"/>
                <w:szCs w:val="22"/>
              </w:rPr>
              <w:t>W</w:t>
            </w:r>
          </w:p>
        </w:tc>
        <w:tc>
          <w:tcPr>
            <w:tcW w:w="5380" w:type="dxa"/>
            <w:hideMark/>
          </w:tcPr>
          <w:p w14:paraId="2CBE117A" w14:textId="77777777" w:rsidR="00E953EE" w:rsidRPr="00EB272B" w:rsidRDefault="00E953EE" w:rsidP="006909EB">
            <w:pPr>
              <w:rPr>
                <w:rFonts w:cstheme="minorHAnsi"/>
                <w:sz w:val="22"/>
                <w:szCs w:val="22"/>
              </w:rPr>
            </w:pPr>
            <w:r w:rsidRPr="00EB272B">
              <w:rPr>
                <w:rFonts w:cstheme="minorHAnsi"/>
                <w:sz w:val="22"/>
                <w:szCs w:val="22"/>
              </w:rPr>
              <w:t>Improve Mercury Management in India</w:t>
            </w:r>
          </w:p>
        </w:tc>
        <w:tc>
          <w:tcPr>
            <w:tcW w:w="960" w:type="dxa"/>
            <w:hideMark/>
          </w:tcPr>
          <w:p w14:paraId="12B137B6" w14:textId="77777777" w:rsidR="00E953EE" w:rsidRPr="00EB272B" w:rsidRDefault="00E953EE" w:rsidP="006909EB">
            <w:pPr>
              <w:rPr>
                <w:rFonts w:cstheme="minorHAnsi"/>
                <w:sz w:val="22"/>
                <w:szCs w:val="22"/>
              </w:rPr>
            </w:pPr>
            <w:r w:rsidRPr="00EB272B">
              <w:rPr>
                <w:rFonts w:cstheme="minorHAnsi"/>
                <w:sz w:val="22"/>
                <w:szCs w:val="22"/>
              </w:rPr>
              <w:t>GEF-6</w:t>
            </w:r>
          </w:p>
        </w:tc>
        <w:tc>
          <w:tcPr>
            <w:tcW w:w="960" w:type="dxa"/>
            <w:hideMark/>
          </w:tcPr>
          <w:p w14:paraId="33B2F20C" w14:textId="77777777" w:rsidR="00E953EE" w:rsidRPr="00EB272B" w:rsidRDefault="00E953EE" w:rsidP="006909EB">
            <w:pPr>
              <w:rPr>
                <w:rFonts w:cstheme="minorHAnsi"/>
                <w:sz w:val="22"/>
                <w:szCs w:val="22"/>
              </w:rPr>
            </w:pPr>
            <w:r w:rsidRPr="00EB272B">
              <w:rPr>
                <w:rFonts w:cstheme="minorHAnsi"/>
                <w:sz w:val="22"/>
                <w:szCs w:val="22"/>
              </w:rPr>
              <w:t>EA</w:t>
            </w:r>
          </w:p>
        </w:tc>
        <w:tc>
          <w:tcPr>
            <w:tcW w:w="960" w:type="dxa"/>
            <w:hideMark/>
          </w:tcPr>
          <w:p w14:paraId="72FC8149" w14:textId="77777777" w:rsidR="00E953EE" w:rsidRPr="00EB272B" w:rsidRDefault="00E953EE" w:rsidP="006909EB">
            <w:pPr>
              <w:rPr>
                <w:rFonts w:cstheme="minorHAnsi"/>
                <w:sz w:val="22"/>
                <w:szCs w:val="22"/>
              </w:rPr>
            </w:pPr>
            <w:r w:rsidRPr="00EB272B">
              <w:rPr>
                <w:rFonts w:cstheme="minorHAnsi"/>
                <w:sz w:val="22"/>
                <w:szCs w:val="22"/>
              </w:rPr>
              <w:t>UNDP</w:t>
            </w:r>
          </w:p>
        </w:tc>
        <w:tc>
          <w:tcPr>
            <w:tcW w:w="1660" w:type="dxa"/>
            <w:hideMark/>
          </w:tcPr>
          <w:p w14:paraId="5BF8BFEF" w14:textId="77777777" w:rsidR="00E953EE" w:rsidRPr="00EB272B" w:rsidRDefault="00E953EE" w:rsidP="006909EB">
            <w:pPr>
              <w:jc w:val="right"/>
              <w:rPr>
                <w:rFonts w:cstheme="minorHAnsi"/>
                <w:sz w:val="22"/>
                <w:szCs w:val="22"/>
              </w:rPr>
            </w:pPr>
            <w:r w:rsidRPr="00EB272B">
              <w:rPr>
                <w:rFonts w:cstheme="minorHAnsi"/>
                <w:sz w:val="22"/>
                <w:szCs w:val="22"/>
              </w:rPr>
              <w:t>1000000</w:t>
            </w:r>
          </w:p>
        </w:tc>
        <w:tc>
          <w:tcPr>
            <w:tcW w:w="1620" w:type="dxa"/>
            <w:hideMark/>
          </w:tcPr>
          <w:p w14:paraId="70E81BBF" w14:textId="77777777" w:rsidR="00E953EE" w:rsidRPr="00EB272B" w:rsidRDefault="00E953EE" w:rsidP="006909EB">
            <w:pPr>
              <w:jc w:val="right"/>
              <w:rPr>
                <w:rFonts w:cstheme="minorHAnsi"/>
                <w:sz w:val="22"/>
                <w:szCs w:val="22"/>
              </w:rPr>
            </w:pPr>
            <w:r w:rsidRPr="00EB272B">
              <w:rPr>
                <w:rFonts w:cstheme="minorHAnsi"/>
                <w:sz w:val="22"/>
                <w:szCs w:val="22"/>
              </w:rPr>
              <w:t> </w:t>
            </w:r>
            <w:r>
              <w:rPr>
                <w:rFonts w:cstheme="minorHAnsi"/>
                <w:sz w:val="22"/>
                <w:szCs w:val="22"/>
              </w:rPr>
              <w:t>0</w:t>
            </w:r>
          </w:p>
        </w:tc>
      </w:tr>
      <w:tr w:rsidR="00E953EE" w:rsidRPr="00EB272B" w14:paraId="3AE7BB8B" w14:textId="77777777" w:rsidTr="006909EB">
        <w:trPr>
          <w:trHeight w:val="900"/>
        </w:trPr>
        <w:tc>
          <w:tcPr>
            <w:tcW w:w="1820" w:type="dxa"/>
            <w:hideMark/>
          </w:tcPr>
          <w:p w14:paraId="4DA98CF2" w14:textId="77777777" w:rsidR="00E953EE" w:rsidRPr="00EB272B" w:rsidRDefault="00E953EE" w:rsidP="006909EB">
            <w:pPr>
              <w:rPr>
                <w:rFonts w:cstheme="minorHAnsi"/>
                <w:sz w:val="22"/>
                <w:szCs w:val="22"/>
              </w:rPr>
            </w:pPr>
            <w:r w:rsidRPr="00EB272B">
              <w:rPr>
                <w:rFonts w:cstheme="minorHAnsi"/>
                <w:sz w:val="22"/>
                <w:szCs w:val="22"/>
              </w:rPr>
              <w:t>Indonesia</w:t>
            </w:r>
          </w:p>
        </w:tc>
        <w:tc>
          <w:tcPr>
            <w:tcW w:w="1840" w:type="dxa"/>
            <w:hideMark/>
          </w:tcPr>
          <w:p w14:paraId="7C90F5C7" w14:textId="77777777" w:rsidR="00E953EE" w:rsidRPr="00EB272B" w:rsidRDefault="00E953EE" w:rsidP="006909EB">
            <w:pPr>
              <w:rPr>
                <w:rFonts w:cstheme="minorHAnsi"/>
                <w:sz w:val="22"/>
                <w:szCs w:val="22"/>
              </w:rPr>
            </w:pPr>
            <w:r w:rsidRPr="00EB272B">
              <w:rPr>
                <w:rFonts w:cstheme="minorHAnsi"/>
                <w:sz w:val="22"/>
                <w:szCs w:val="22"/>
              </w:rPr>
              <w:t> </w:t>
            </w:r>
          </w:p>
        </w:tc>
        <w:tc>
          <w:tcPr>
            <w:tcW w:w="960" w:type="dxa"/>
            <w:hideMark/>
          </w:tcPr>
          <w:p w14:paraId="6031D9A3" w14:textId="77777777" w:rsidR="00E953EE" w:rsidRPr="00EB272B" w:rsidRDefault="00E953EE" w:rsidP="006909EB">
            <w:pPr>
              <w:rPr>
                <w:rFonts w:cstheme="minorHAnsi"/>
                <w:sz w:val="22"/>
                <w:szCs w:val="22"/>
              </w:rPr>
            </w:pPr>
            <w:r w:rsidRPr="00EB272B">
              <w:rPr>
                <w:rFonts w:cstheme="minorHAnsi"/>
                <w:sz w:val="22"/>
                <w:szCs w:val="22"/>
              </w:rPr>
              <w:t>W</w:t>
            </w:r>
          </w:p>
        </w:tc>
        <w:tc>
          <w:tcPr>
            <w:tcW w:w="5380" w:type="dxa"/>
            <w:hideMark/>
          </w:tcPr>
          <w:p w14:paraId="73773647" w14:textId="77777777" w:rsidR="00E953EE" w:rsidRPr="00EB272B" w:rsidRDefault="00E953EE" w:rsidP="006909EB">
            <w:pPr>
              <w:rPr>
                <w:rFonts w:cstheme="minorHAnsi"/>
                <w:sz w:val="22"/>
                <w:szCs w:val="22"/>
              </w:rPr>
            </w:pPr>
            <w:r w:rsidRPr="00EB272B">
              <w:rPr>
                <w:rFonts w:cstheme="minorHAnsi"/>
                <w:sz w:val="22"/>
                <w:szCs w:val="22"/>
              </w:rPr>
              <w:t>Development of Minamata Initial Assessment and National Action Plan for Artisanal and Small-Scale Gold Mining in Indonesia</w:t>
            </w:r>
          </w:p>
        </w:tc>
        <w:tc>
          <w:tcPr>
            <w:tcW w:w="960" w:type="dxa"/>
            <w:hideMark/>
          </w:tcPr>
          <w:p w14:paraId="3F6A297E" w14:textId="77777777" w:rsidR="00E953EE" w:rsidRPr="00EB272B" w:rsidRDefault="00E953EE" w:rsidP="006909EB">
            <w:pPr>
              <w:rPr>
                <w:rFonts w:cstheme="minorHAnsi"/>
                <w:sz w:val="22"/>
                <w:szCs w:val="22"/>
              </w:rPr>
            </w:pPr>
            <w:r w:rsidRPr="00EB272B">
              <w:rPr>
                <w:rFonts w:cstheme="minorHAnsi"/>
                <w:sz w:val="22"/>
                <w:szCs w:val="22"/>
              </w:rPr>
              <w:t>GEF-6</w:t>
            </w:r>
          </w:p>
        </w:tc>
        <w:tc>
          <w:tcPr>
            <w:tcW w:w="960" w:type="dxa"/>
            <w:hideMark/>
          </w:tcPr>
          <w:p w14:paraId="66C6AF99" w14:textId="77777777" w:rsidR="00E953EE" w:rsidRPr="00EB272B" w:rsidRDefault="00E953EE" w:rsidP="006909EB">
            <w:pPr>
              <w:rPr>
                <w:rFonts w:cstheme="minorHAnsi"/>
                <w:sz w:val="22"/>
                <w:szCs w:val="22"/>
              </w:rPr>
            </w:pPr>
            <w:r w:rsidRPr="00EB272B">
              <w:rPr>
                <w:rFonts w:cstheme="minorHAnsi"/>
                <w:sz w:val="22"/>
                <w:szCs w:val="22"/>
              </w:rPr>
              <w:t>EA</w:t>
            </w:r>
          </w:p>
        </w:tc>
        <w:tc>
          <w:tcPr>
            <w:tcW w:w="960" w:type="dxa"/>
            <w:hideMark/>
          </w:tcPr>
          <w:p w14:paraId="6F4B5ED7" w14:textId="77777777" w:rsidR="00E953EE" w:rsidRPr="00EB272B" w:rsidRDefault="00E953EE" w:rsidP="006909EB">
            <w:pPr>
              <w:rPr>
                <w:rFonts w:cstheme="minorHAnsi"/>
                <w:sz w:val="22"/>
                <w:szCs w:val="22"/>
              </w:rPr>
            </w:pPr>
            <w:r w:rsidRPr="00EB272B">
              <w:rPr>
                <w:rFonts w:cstheme="minorHAnsi"/>
                <w:sz w:val="22"/>
                <w:szCs w:val="22"/>
              </w:rPr>
              <w:t>UNEP</w:t>
            </w:r>
          </w:p>
        </w:tc>
        <w:tc>
          <w:tcPr>
            <w:tcW w:w="1660" w:type="dxa"/>
            <w:hideMark/>
          </w:tcPr>
          <w:p w14:paraId="39824B47" w14:textId="77777777" w:rsidR="00E953EE" w:rsidRPr="00EB272B" w:rsidRDefault="00E953EE" w:rsidP="006909EB">
            <w:pPr>
              <w:jc w:val="right"/>
              <w:rPr>
                <w:rFonts w:cstheme="minorHAnsi"/>
                <w:sz w:val="22"/>
                <w:szCs w:val="22"/>
              </w:rPr>
            </w:pPr>
            <w:r w:rsidRPr="00EB272B">
              <w:rPr>
                <w:rFonts w:cstheme="minorHAnsi"/>
                <w:sz w:val="22"/>
                <w:szCs w:val="22"/>
              </w:rPr>
              <w:t>700000</w:t>
            </w:r>
          </w:p>
        </w:tc>
        <w:tc>
          <w:tcPr>
            <w:tcW w:w="1620" w:type="dxa"/>
            <w:hideMark/>
          </w:tcPr>
          <w:p w14:paraId="568EAF4B" w14:textId="77777777" w:rsidR="00E953EE" w:rsidRPr="00EB272B" w:rsidRDefault="00E953EE" w:rsidP="006909EB">
            <w:pPr>
              <w:jc w:val="right"/>
              <w:rPr>
                <w:rFonts w:cstheme="minorHAnsi"/>
                <w:sz w:val="22"/>
                <w:szCs w:val="22"/>
              </w:rPr>
            </w:pPr>
            <w:r w:rsidRPr="00EB272B">
              <w:rPr>
                <w:rFonts w:cstheme="minorHAnsi"/>
                <w:sz w:val="22"/>
                <w:szCs w:val="22"/>
              </w:rPr>
              <w:t> </w:t>
            </w:r>
            <w:r>
              <w:rPr>
                <w:rFonts w:cstheme="minorHAnsi"/>
                <w:sz w:val="22"/>
                <w:szCs w:val="22"/>
              </w:rPr>
              <w:t>0</w:t>
            </w:r>
          </w:p>
        </w:tc>
      </w:tr>
      <w:tr w:rsidR="00E953EE" w:rsidRPr="00EB272B" w14:paraId="50E6F24A" w14:textId="77777777" w:rsidTr="006909EB">
        <w:trPr>
          <w:trHeight w:val="1200"/>
        </w:trPr>
        <w:tc>
          <w:tcPr>
            <w:tcW w:w="1820" w:type="dxa"/>
            <w:hideMark/>
          </w:tcPr>
          <w:p w14:paraId="6712A187" w14:textId="77777777" w:rsidR="00E953EE" w:rsidRPr="00EB272B" w:rsidRDefault="00E953EE" w:rsidP="006909EB">
            <w:pPr>
              <w:rPr>
                <w:rFonts w:cstheme="minorHAnsi"/>
                <w:sz w:val="22"/>
                <w:szCs w:val="22"/>
              </w:rPr>
            </w:pPr>
            <w:r w:rsidRPr="00EB272B">
              <w:rPr>
                <w:rFonts w:cstheme="minorHAnsi"/>
                <w:sz w:val="22"/>
                <w:szCs w:val="22"/>
              </w:rPr>
              <w:t>Iraq</w:t>
            </w:r>
          </w:p>
        </w:tc>
        <w:tc>
          <w:tcPr>
            <w:tcW w:w="1840" w:type="dxa"/>
            <w:hideMark/>
          </w:tcPr>
          <w:p w14:paraId="50CBB6AC" w14:textId="77777777" w:rsidR="00E953EE" w:rsidRPr="00EB272B" w:rsidRDefault="00E953EE" w:rsidP="006909EB">
            <w:pPr>
              <w:rPr>
                <w:rFonts w:cstheme="minorHAnsi"/>
                <w:sz w:val="22"/>
                <w:szCs w:val="22"/>
              </w:rPr>
            </w:pPr>
            <w:r w:rsidRPr="00EB272B">
              <w:rPr>
                <w:rFonts w:cstheme="minorHAnsi"/>
                <w:sz w:val="22"/>
                <w:szCs w:val="22"/>
              </w:rPr>
              <w:t> </w:t>
            </w:r>
          </w:p>
        </w:tc>
        <w:tc>
          <w:tcPr>
            <w:tcW w:w="960" w:type="dxa"/>
            <w:hideMark/>
          </w:tcPr>
          <w:p w14:paraId="322BBD47" w14:textId="77777777" w:rsidR="00E953EE" w:rsidRPr="00EB272B" w:rsidRDefault="00E953EE" w:rsidP="006909EB">
            <w:pPr>
              <w:rPr>
                <w:rFonts w:cstheme="minorHAnsi"/>
                <w:sz w:val="22"/>
                <w:szCs w:val="22"/>
              </w:rPr>
            </w:pPr>
            <w:r w:rsidRPr="00EB272B">
              <w:rPr>
                <w:rFonts w:cstheme="minorHAnsi"/>
                <w:sz w:val="22"/>
                <w:szCs w:val="22"/>
              </w:rPr>
              <w:t>W</w:t>
            </w:r>
          </w:p>
        </w:tc>
        <w:tc>
          <w:tcPr>
            <w:tcW w:w="5380" w:type="dxa"/>
            <w:hideMark/>
          </w:tcPr>
          <w:p w14:paraId="530909A2" w14:textId="77777777" w:rsidR="00E953EE" w:rsidRPr="00EB272B" w:rsidRDefault="00E953EE" w:rsidP="006909EB">
            <w:pPr>
              <w:rPr>
                <w:rFonts w:cstheme="minorHAnsi"/>
                <w:sz w:val="22"/>
                <w:szCs w:val="22"/>
              </w:rPr>
            </w:pPr>
            <w:r w:rsidRPr="00EB272B">
              <w:rPr>
                <w:rFonts w:cstheme="minorHAnsi"/>
                <w:sz w:val="22"/>
                <w:szCs w:val="22"/>
              </w:rPr>
              <w:t>Develop the National Implementation Plan for the Stockholm Convention on Persistent Organic Pollutants (POPs) and the Minamata Initial Assessment for the Minamata Convention on Mercury in Iraq</w:t>
            </w:r>
          </w:p>
        </w:tc>
        <w:tc>
          <w:tcPr>
            <w:tcW w:w="960" w:type="dxa"/>
            <w:hideMark/>
          </w:tcPr>
          <w:p w14:paraId="1CC37893" w14:textId="77777777" w:rsidR="00E953EE" w:rsidRPr="00EB272B" w:rsidRDefault="00E953EE" w:rsidP="006909EB">
            <w:pPr>
              <w:rPr>
                <w:rFonts w:cstheme="minorHAnsi"/>
                <w:sz w:val="22"/>
                <w:szCs w:val="22"/>
              </w:rPr>
            </w:pPr>
            <w:r w:rsidRPr="00EB272B">
              <w:rPr>
                <w:rFonts w:cstheme="minorHAnsi"/>
                <w:sz w:val="22"/>
                <w:szCs w:val="22"/>
              </w:rPr>
              <w:t>GEF-6</w:t>
            </w:r>
          </w:p>
        </w:tc>
        <w:tc>
          <w:tcPr>
            <w:tcW w:w="960" w:type="dxa"/>
            <w:hideMark/>
          </w:tcPr>
          <w:p w14:paraId="11F56863" w14:textId="77777777" w:rsidR="00E953EE" w:rsidRPr="00EB272B" w:rsidRDefault="00E953EE" w:rsidP="006909EB">
            <w:pPr>
              <w:rPr>
                <w:rFonts w:cstheme="minorHAnsi"/>
                <w:sz w:val="22"/>
                <w:szCs w:val="22"/>
              </w:rPr>
            </w:pPr>
            <w:r w:rsidRPr="00EB272B">
              <w:rPr>
                <w:rFonts w:cstheme="minorHAnsi"/>
                <w:sz w:val="22"/>
                <w:szCs w:val="22"/>
              </w:rPr>
              <w:t>EA</w:t>
            </w:r>
          </w:p>
        </w:tc>
        <w:tc>
          <w:tcPr>
            <w:tcW w:w="960" w:type="dxa"/>
            <w:hideMark/>
          </w:tcPr>
          <w:p w14:paraId="0EB24E4C" w14:textId="77777777" w:rsidR="00E953EE" w:rsidRPr="00EB272B" w:rsidRDefault="00E953EE" w:rsidP="006909EB">
            <w:pPr>
              <w:rPr>
                <w:rFonts w:cstheme="minorHAnsi"/>
                <w:sz w:val="22"/>
                <w:szCs w:val="22"/>
              </w:rPr>
            </w:pPr>
            <w:r w:rsidRPr="00EB272B">
              <w:rPr>
                <w:rFonts w:cstheme="minorHAnsi"/>
                <w:sz w:val="22"/>
                <w:szCs w:val="22"/>
              </w:rPr>
              <w:t>UNEP</w:t>
            </w:r>
          </w:p>
        </w:tc>
        <w:tc>
          <w:tcPr>
            <w:tcW w:w="1660" w:type="dxa"/>
            <w:hideMark/>
          </w:tcPr>
          <w:p w14:paraId="69727327" w14:textId="77777777" w:rsidR="00E953EE" w:rsidRPr="00EB272B" w:rsidRDefault="00E953EE" w:rsidP="006909EB">
            <w:pPr>
              <w:jc w:val="right"/>
              <w:rPr>
                <w:rFonts w:cstheme="minorHAnsi"/>
                <w:sz w:val="22"/>
                <w:szCs w:val="22"/>
              </w:rPr>
            </w:pPr>
            <w:r w:rsidRPr="00EB272B">
              <w:rPr>
                <w:rFonts w:cstheme="minorHAnsi"/>
                <w:sz w:val="22"/>
                <w:szCs w:val="22"/>
              </w:rPr>
              <w:t>200000</w:t>
            </w:r>
          </w:p>
        </w:tc>
        <w:tc>
          <w:tcPr>
            <w:tcW w:w="1620" w:type="dxa"/>
            <w:hideMark/>
          </w:tcPr>
          <w:p w14:paraId="66B88C30" w14:textId="77777777" w:rsidR="00E953EE" w:rsidRPr="00EB272B" w:rsidRDefault="00E953EE" w:rsidP="006909EB">
            <w:pPr>
              <w:jc w:val="right"/>
              <w:rPr>
                <w:rFonts w:cstheme="minorHAnsi"/>
                <w:sz w:val="22"/>
                <w:szCs w:val="22"/>
              </w:rPr>
            </w:pPr>
            <w:r>
              <w:rPr>
                <w:rFonts w:cstheme="minorHAnsi"/>
                <w:sz w:val="22"/>
                <w:szCs w:val="22"/>
              </w:rPr>
              <w:t>0</w:t>
            </w:r>
            <w:r w:rsidRPr="00EB272B">
              <w:rPr>
                <w:rFonts w:cstheme="minorHAnsi"/>
                <w:sz w:val="22"/>
                <w:szCs w:val="22"/>
              </w:rPr>
              <w:t> </w:t>
            </w:r>
          </w:p>
        </w:tc>
      </w:tr>
      <w:tr w:rsidR="00E953EE" w:rsidRPr="00EB272B" w14:paraId="4E84A7DC" w14:textId="77777777" w:rsidTr="006909EB">
        <w:trPr>
          <w:trHeight w:val="900"/>
        </w:trPr>
        <w:tc>
          <w:tcPr>
            <w:tcW w:w="1820" w:type="dxa"/>
            <w:hideMark/>
          </w:tcPr>
          <w:p w14:paraId="46E9ED74" w14:textId="77777777" w:rsidR="00E953EE" w:rsidRPr="00EB272B" w:rsidRDefault="00E953EE" w:rsidP="006909EB">
            <w:pPr>
              <w:rPr>
                <w:rFonts w:cstheme="minorHAnsi"/>
                <w:sz w:val="22"/>
                <w:szCs w:val="22"/>
              </w:rPr>
            </w:pPr>
            <w:r w:rsidRPr="00EB272B">
              <w:rPr>
                <w:rFonts w:cstheme="minorHAnsi"/>
                <w:sz w:val="22"/>
                <w:szCs w:val="22"/>
              </w:rPr>
              <w:t>Jordan</w:t>
            </w:r>
          </w:p>
        </w:tc>
        <w:tc>
          <w:tcPr>
            <w:tcW w:w="1840" w:type="dxa"/>
            <w:hideMark/>
          </w:tcPr>
          <w:p w14:paraId="17475C8D" w14:textId="77777777" w:rsidR="00E953EE" w:rsidRPr="00EB272B" w:rsidRDefault="00E953EE" w:rsidP="006909EB">
            <w:pPr>
              <w:rPr>
                <w:rFonts w:cstheme="minorHAnsi"/>
                <w:sz w:val="22"/>
                <w:szCs w:val="22"/>
              </w:rPr>
            </w:pPr>
            <w:r w:rsidRPr="00EB272B">
              <w:rPr>
                <w:rFonts w:cstheme="minorHAnsi"/>
                <w:sz w:val="22"/>
                <w:szCs w:val="22"/>
              </w:rPr>
              <w:t> </w:t>
            </w:r>
          </w:p>
        </w:tc>
        <w:tc>
          <w:tcPr>
            <w:tcW w:w="960" w:type="dxa"/>
            <w:hideMark/>
          </w:tcPr>
          <w:p w14:paraId="27B645CC" w14:textId="77777777" w:rsidR="00E953EE" w:rsidRPr="00EB272B" w:rsidRDefault="00E953EE" w:rsidP="006909EB">
            <w:pPr>
              <w:rPr>
                <w:rFonts w:cstheme="minorHAnsi"/>
                <w:sz w:val="22"/>
                <w:szCs w:val="22"/>
              </w:rPr>
            </w:pPr>
            <w:r w:rsidRPr="00EB272B">
              <w:rPr>
                <w:rFonts w:cstheme="minorHAnsi"/>
                <w:sz w:val="22"/>
                <w:szCs w:val="22"/>
              </w:rPr>
              <w:t>W</w:t>
            </w:r>
          </w:p>
        </w:tc>
        <w:tc>
          <w:tcPr>
            <w:tcW w:w="5380" w:type="dxa"/>
            <w:hideMark/>
          </w:tcPr>
          <w:p w14:paraId="16A05BE8" w14:textId="77777777" w:rsidR="00E953EE" w:rsidRPr="00EB272B" w:rsidRDefault="00E953EE" w:rsidP="006909EB">
            <w:pPr>
              <w:rPr>
                <w:rFonts w:cstheme="minorHAnsi"/>
                <w:sz w:val="22"/>
                <w:szCs w:val="22"/>
              </w:rPr>
            </w:pPr>
            <w:r w:rsidRPr="00EB272B">
              <w:rPr>
                <w:rFonts w:cstheme="minorHAnsi"/>
                <w:sz w:val="22"/>
                <w:szCs w:val="22"/>
              </w:rPr>
              <w:t>Strengthen national decision making towards ratification of the Minamata Convention and build capacity towards implementation of future provisions</w:t>
            </w:r>
          </w:p>
        </w:tc>
        <w:tc>
          <w:tcPr>
            <w:tcW w:w="960" w:type="dxa"/>
            <w:hideMark/>
          </w:tcPr>
          <w:p w14:paraId="20F2A0FC" w14:textId="77777777" w:rsidR="00E953EE" w:rsidRPr="00EB272B" w:rsidRDefault="00E953EE" w:rsidP="006909EB">
            <w:pPr>
              <w:rPr>
                <w:rFonts w:cstheme="minorHAnsi"/>
                <w:sz w:val="22"/>
                <w:szCs w:val="22"/>
              </w:rPr>
            </w:pPr>
            <w:r w:rsidRPr="00EB272B">
              <w:rPr>
                <w:rFonts w:cstheme="minorHAnsi"/>
                <w:sz w:val="22"/>
                <w:szCs w:val="22"/>
              </w:rPr>
              <w:t>GEF-6</w:t>
            </w:r>
          </w:p>
        </w:tc>
        <w:tc>
          <w:tcPr>
            <w:tcW w:w="960" w:type="dxa"/>
            <w:hideMark/>
          </w:tcPr>
          <w:p w14:paraId="1716A4E3" w14:textId="77777777" w:rsidR="00E953EE" w:rsidRPr="00EB272B" w:rsidRDefault="00E953EE" w:rsidP="006909EB">
            <w:pPr>
              <w:rPr>
                <w:rFonts w:cstheme="minorHAnsi"/>
                <w:sz w:val="22"/>
                <w:szCs w:val="22"/>
              </w:rPr>
            </w:pPr>
            <w:r w:rsidRPr="00EB272B">
              <w:rPr>
                <w:rFonts w:cstheme="minorHAnsi"/>
                <w:sz w:val="22"/>
                <w:szCs w:val="22"/>
              </w:rPr>
              <w:t>EA</w:t>
            </w:r>
          </w:p>
        </w:tc>
        <w:tc>
          <w:tcPr>
            <w:tcW w:w="960" w:type="dxa"/>
            <w:hideMark/>
          </w:tcPr>
          <w:p w14:paraId="5AC05AED" w14:textId="77777777" w:rsidR="00E953EE" w:rsidRPr="00EB272B" w:rsidRDefault="00E953EE" w:rsidP="006909EB">
            <w:pPr>
              <w:rPr>
                <w:rFonts w:cstheme="minorHAnsi"/>
                <w:sz w:val="22"/>
                <w:szCs w:val="22"/>
              </w:rPr>
            </w:pPr>
            <w:r w:rsidRPr="00EB272B">
              <w:rPr>
                <w:rFonts w:cstheme="minorHAnsi"/>
                <w:sz w:val="22"/>
                <w:szCs w:val="22"/>
              </w:rPr>
              <w:t>UNDP</w:t>
            </w:r>
          </w:p>
        </w:tc>
        <w:tc>
          <w:tcPr>
            <w:tcW w:w="1660" w:type="dxa"/>
            <w:hideMark/>
          </w:tcPr>
          <w:p w14:paraId="206D145C" w14:textId="77777777" w:rsidR="00E953EE" w:rsidRPr="00EB272B" w:rsidRDefault="00E953EE" w:rsidP="006909EB">
            <w:pPr>
              <w:jc w:val="right"/>
              <w:rPr>
                <w:rFonts w:cstheme="minorHAnsi"/>
                <w:sz w:val="22"/>
                <w:szCs w:val="22"/>
              </w:rPr>
            </w:pPr>
            <w:r w:rsidRPr="00EB272B">
              <w:rPr>
                <w:rFonts w:cstheme="minorHAnsi"/>
                <w:sz w:val="22"/>
                <w:szCs w:val="22"/>
              </w:rPr>
              <w:t>200000</w:t>
            </w:r>
          </w:p>
        </w:tc>
        <w:tc>
          <w:tcPr>
            <w:tcW w:w="1620" w:type="dxa"/>
            <w:hideMark/>
          </w:tcPr>
          <w:p w14:paraId="13B2D43B" w14:textId="77777777" w:rsidR="00E953EE" w:rsidRPr="00EB272B" w:rsidRDefault="00E953EE" w:rsidP="006909EB">
            <w:pPr>
              <w:jc w:val="right"/>
              <w:rPr>
                <w:rFonts w:cstheme="minorHAnsi"/>
                <w:sz w:val="22"/>
                <w:szCs w:val="22"/>
              </w:rPr>
            </w:pPr>
            <w:r w:rsidRPr="00EB272B">
              <w:rPr>
                <w:rFonts w:cstheme="minorHAnsi"/>
                <w:sz w:val="22"/>
                <w:szCs w:val="22"/>
              </w:rPr>
              <w:t> </w:t>
            </w:r>
          </w:p>
        </w:tc>
      </w:tr>
      <w:tr w:rsidR="00E953EE" w:rsidRPr="00EB272B" w14:paraId="7D8D4765" w14:textId="77777777" w:rsidTr="006909EB">
        <w:trPr>
          <w:trHeight w:val="300"/>
        </w:trPr>
        <w:tc>
          <w:tcPr>
            <w:tcW w:w="1820" w:type="dxa"/>
            <w:hideMark/>
          </w:tcPr>
          <w:p w14:paraId="52288740" w14:textId="77777777" w:rsidR="00E953EE" w:rsidRPr="00EB272B" w:rsidRDefault="00E953EE" w:rsidP="006909EB">
            <w:pPr>
              <w:rPr>
                <w:rFonts w:cstheme="minorHAnsi"/>
                <w:sz w:val="22"/>
                <w:szCs w:val="22"/>
              </w:rPr>
            </w:pPr>
            <w:r w:rsidRPr="00EB272B">
              <w:rPr>
                <w:rFonts w:cstheme="minorHAnsi"/>
                <w:sz w:val="22"/>
                <w:szCs w:val="22"/>
              </w:rPr>
              <w:t>Kazakhstan</w:t>
            </w:r>
          </w:p>
        </w:tc>
        <w:tc>
          <w:tcPr>
            <w:tcW w:w="1840" w:type="dxa"/>
            <w:hideMark/>
          </w:tcPr>
          <w:p w14:paraId="77D98467" w14:textId="77777777" w:rsidR="00E953EE" w:rsidRPr="00EB272B" w:rsidRDefault="00E953EE" w:rsidP="006909EB">
            <w:pPr>
              <w:rPr>
                <w:rFonts w:cstheme="minorHAnsi"/>
                <w:sz w:val="22"/>
                <w:szCs w:val="22"/>
              </w:rPr>
            </w:pPr>
            <w:r w:rsidRPr="00EB272B">
              <w:rPr>
                <w:rFonts w:cstheme="minorHAnsi"/>
                <w:sz w:val="22"/>
                <w:szCs w:val="22"/>
              </w:rPr>
              <w:t> </w:t>
            </w:r>
          </w:p>
        </w:tc>
        <w:tc>
          <w:tcPr>
            <w:tcW w:w="960" w:type="dxa"/>
            <w:hideMark/>
          </w:tcPr>
          <w:p w14:paraId="6EB961AB" w14:textId="77777777" w:rsidR="00E953EE" w:rsidRPr="00EB272B" w:rsidRDefault="00E953EE" w:rsidP="006909EB">
            <w:pPr>
              <w:rPr>
                <w:rFonts w:cstheme="minorHAnsi"/>
                <w:sz w:val="22"/>
                <w:szCs w:val="22"/>
              </w:rPr>
            </w:pPr>
            <w:r w:rsidRPr="00EB272B">
              <w:rPr>
                <w:rFonts w:cstheme="minorHAnsi"/>
                <w:sz w:val="22"/>
                <w:szCs w:val="22"/>
              </w:rPr>
              <w:t>W</w:t>
            </w:r>
          </w:p>
        </w:tc>
        <w:tc>
          <w:tcPr>
            <w:tcW w:w="5380" w:type="dxa"/>
            <w:hideMark/>
          </w:tcPr>
          <w:p w14:paraId="58E4DFDF" w14:textId="77777777" w:rsidR="00E953EE" w:rsidRPr="00EB272B" w:rsidRDefault="00E953EE" w:rsidP="006909EB">
            <w:pPr>
              <w:rPr>
                <w:rFonts w:cstheme="minorHAnsi"/>
                <w:sz w:val="22"/>
                <w:szCs w:val="22"/>
              </w:rPr>
            </w:pPr>
            <w:r w:rsidRPr="00EB272B">
              <w:rPr>
                <w:rFonts w:cstheme="minorHAnsi"/>
                <w:sz w:val="22"/>
                <w:szCs w:val="22"/>
              </w:rPr>
              <w:t>Minamata Initial Assessment</w:t>
            </w:r>
          </w:p>
        </w:tc>
        <w:tc>
          <w:tcPr>
            <w:tcW w:w="960" w:type="dxa"/>
            <w:hideMark/>
          </w:tcPr>
          <w:p w14:paraId="5F6D4680" w14:textId="77777777" w:rsidR="00E953EE" w:rsidRPr="00EB272B" w:rsidRDefault="00E953EE" w:rsidP="006909EB">
            <w:pPr>
              <w:rPr>
                <w:rFonts w:cstheme="minorHAnsi"/>
                <w:sz w:val="22"/>
                <w:szCs w:val="22"/>
              </w:rPr>
            </w:pPr>
            <w:r w:rsidRPr="00EB272B">
              <w:rPr>
                <w:rFonts w:cstheme="minorHAnsi"/>
                <w:sz w:val="22"/>
                <w:szCs w:val="22"/>
              </w:rPr>
              <w:t>GEF-6</w:t>
            </w:r>
          </w:p>
        </w:tc>
        <w:tc>
          <w:tcPr>
            <w:tcW w:w="960" w:type="dxa"/>
            <w:hideMark/>
          </w:tcPr>
          <w:p w14:paraId="7E368A31" w14:textId="77777777" w:rsidR="00E953EE" w:rsidRPr="00EB272B" w:rsidRDefault="00E953EE" w:rsidP="006909EB">
            <w:pPr>
              <w:rPr>
                <w:rFonts w:cstheme="minorHAnsi"/>
                <w:sz w:val="22"/>
                <w:szCs w:val="22"/>
              </w:rPr>
            </w:pPr>
            <w:r w:rsidRPr="00EB272B">
              <w:rPr>
                <w:rFonts w:cstheme="minorHAnsi"/>
                <w:sz w:val="22"/>
                <w:szCs w:val="22"/>
              </w:rPr>
              <w:t>EA</w:t>
            </w:r>
          </w:p>
        </w:tc>
        <w:tc>
          <w:tcPr>
            <w:tcW w:w="960" w:type="dxa"/>
            <w:hideMark/>
          </w:tcPr>
          <w:p w14:paraId="0D607702" w14:textId="77777777" w:rsidR="00E953EE" w:rsidRPr="00EB272B" w:rsidRDefault="00E953EE" w:rsidP="006909EB">
            <w:pPr>
              <w:rPr>
                <w:rFonts w:cstheme="minorHAnsi"/>
                <w:sz w:val="22"/>
                <w:szCs w:val="22"/>
              </w:rPr>
            </w:pPr>
            <w:r w:rsidRPr="00EB272B">
              <w:rPr>
                <w:rFonts w:cstheme="minorHAnsi"/>
                <w:sz w:val="22"/>
                <w:szCs w:val="22"/>
              </w:rPr>
              <w:t>UNDP</w:t>
            </w:r>
          </w:p>
        </w:tc>
        <w:tc>
          <w:tcPr>
            <w:tcW w:w="1660" w:type="dxa"/>
            <w:hideMark/>
          </w:tcPr>
          <w:p w14:paraId="48C24F48" w14:textId="77777777" w:rsidR="00E953EE" w:rsidRPr="00EB272B" w:rsidRDefault="00E953EE" w:rsidP="006909EB">
            <w:pPr>
              <w:jc w:val="right"/>
              <w:rPr>
                <w:rFonts w:cstheme="minorHAnsi"/>
                <w:sz w:val="22"/>
                <w:szCs w:val="22"/>
              </w:rPr>
            </w:pPr>
            <w:r w:rsidRPr="00EB272B">
              <w:rPr>
                <w:rFonts w:cstheme="minorHAnsi"/>
                <w:sz w:val="22"/>
                <w:szCs w:val="22"/>
              </w:rPr>
              <w:t>400000</w:t>
            </w:r>
          </w:p>
        </w:tc>
        <w:tc>
          <w:tcPr>
            <w:tcW w:w="1620" w:type="dxa"/>
            <w:hideMark/>
          </w:tcPr>
          <w:p w14:paraId="616868E7" w14:textId="77777777" w:rsidR="00E953EE" w:rsidRPr="00EB272B" w:rsidRDefault="00E953EE" w:rsidP="006909EB">
            <w:pPr>
              <w:jc w:val="right"/>
              <w:rPr>
                <w:rFonts w:cstheme="minorHAnsi"/>
                <w:sz w:val="22"/>
                <w:szCs w:val="22"/>
              </w:rPr>
            </w:pPr>
            <w:r w:rsidRPr="00EB272B">
              <w:rPr>
                <w:rFonts w:cstheme="minorHAnsi"/>
                <w:sz w:val="22"/>
                <w:szCs w:val="22"/>
              </w:rPr>
              <w:t> </w:t>
            </w:r>
            <w:r>
              <w:rPr>
                <w:rFonts w:cstheme="minorHAnsi"/>
                <w:sz w:val="22"/>
                <w:szCs w:val="22"/>
              </w:rPr>
              <w:t>0</w:t>
            </w:r>
          </w:p>
        </w:tc>
      </w:tr>
      <w:tr w:rsidR="00E953EE" w:rsidRPr="00EB272B" w14:paraId="0CE68E7F" w14:textId="77777777" w:rsidTr="006909EB">
        <w:trPr>
          <w:trHeight w:val="900"/>
        </w:trPr>
        <w:tc>
          <w:tcPr>
            <w:tcW w:w="1820" w:type="dxa"/>
            <w:hideMark/>
          </w:tcPr>
          <w:p w14:paraId="2FF8F9F5" w14:textId="77777777" w:rsidR="00E953EE" w:rsidRPr="00EB272B" w:rsidRDefault="00E953EE" w:rsidP="006909EB">
            <w:pPr>
              <w:rPr>
                <w:rFonts w:cstheme="minorHAnsi"/>
                <w:sz w:val="22"/>
                <w:szCs w:val="22"/>
              </w:rPr>
            </w:pPr>
            <w:r w:rsidRPr="00EB272B">
              <w:rPr>
                <w:rFonts w:cstheme="minorHAnsi"/>
                <w:sz w:val="22"/>
                <w:szCs w:val="22"/>
              </w:rPr>
              <w:t>Kazakhstan</w:t>
            </w:r>
          </w:p>
        </w:tc>
        <w:tc>
          <w:tcPr>
            <w:tcW w:w="1840" w:type="dxa"/>
            <w:hideMark/>
          </w:tcPr>
          <w:p w14:paraId="7D9A070A" w14:textId="77777777" w:rsidR="00E953EE" w:rsidRPr="00EB272B" w:rsidRDefault="00E953EE" w:rsidP="006909EB">
            <w:pPr>
              <w:rPr>
                <w:rFonts w:cstheme="minorHAnsi"/>
                <w:sz w:val="22"/>
                <w:szCs w:val="22"/>
              </w:rPr>
            </w:pPr>
            <w:r w:rsidRPr="00EB272B">
              <w:rPr>
                <w:rFonts w:cstheme="minorHAnsi"/>
                <w:sz w:val="22"/>
                <w:szCs w:val="22"/>
              </w:rPr>
              <w:t> </w:t>
            </w:r>
          </w:p>
        </w:tc>
        <w:tc>
          <w:tcPr>
            <w:tcW w:w="960" w:type="dxa"/>
            <w:hideMark/>
          </w:tcPr>
          <w:p w14:paraId="190CFF13" w14:textId="77777777" w:rsidR="00E953EE" w:rsidRPr="00EB272B" w:rsidRDefault="00E953EE" w:rsidP="006909EB">
            <w:pPr>
              <w:rPr>
                <w:rFonts w:cstheme="minorHAnsi"/>
                <w:sz w:val="22"/>
                <w:szCs w:val="22"/>
              </w:rPr>
            </w:pPr>
            <w:r w:rsidRPr="00EB272B">
              <w:rPr>
                <w:rFonts w:cstheme="minorHAnsi"/>
                <w:sz w:val="22"/>
                <w:szCs w:val="22"/>
              </w:rPr>
              <w:t>P</w:t>
            </w:r>
          </w:p>
        </w:tc>
        <w:tc>
          <w:tcPr>
            <w:tcW w:w="5380" w:type="dxa"/>
            <w:hideMark/>
          </w:tcPr>
          <w:p w14:paraId="22A239DF" w14:textId="77777777" w:rsidR="00E953EE" w:rsidRPr="00EB272B" w:rsidRDefault="00E953EE" w:rsidP="006909EB">
            <w:pPr>
              <w:rPr>
                <w:rFonts w:cstheme="minorHAnsi"/>
                <w:sz w:val="22"/>
                <w:szCs w:val="22"/>
              </w:rPr>
            </w:pPr>
            <w:r w:rsidRPr="00EB272B">
              <w:rPr>
                <w:rFonts w:cstheme="minorHAnsi"/>
                <w:sz w:val="22"/>
                <w:szCs w:val="22"/>
              </w:rPr>
              <w:t>NIP Update, Integration of POPs into National Planning and Promoting Sound Healthcare Waste Management in Kazakhstan</w:t>
            </w:r>
          </w:p>
        </w:tc>
        <w:tc>
          <w:tcPr>
            <w:tcW w:w="960" w:type="dxa"/>
            <w:hideMark/>
          </w:tcPr>
          <w:p w14:paraId="4492DBCE" w14:textId="77777777" w:rsidR="00E953EE" w:rsidRPr="00EB272B" w:rsidRDefault="00E953EE" w:rsidP="006909EB">
            <w:pPr>
              <w:rPr>
                <w:rFonts w:cstheme="minorHAnsi"/>
                <w:sz w:val="22"/>
                <w:szCs w:val="22"/>
              </w:rPr>
            </w:pPr>
            <w:r w:rsidRPr="00EB272B">
              <w:rPr>
                <w:rFonts w:cstheme="minorHAnsi"/>
                <w:sz w:val="22"/>
                <w:szCs w:val="22"/>
              </w:rPr>
              <w:t>GEF-5</w:t>
            </w:r>
          </w:p>
        </w:tc>
        <w:tc>
          <w:tcPr>
            <w:tcW w:w="960" w:type="dxa"/>
            <w:hideMark/>
          </w:tcPr>
          <w:p w14:paraId="510745BA" w14:textId="77777777" w:rsidR="00E953EE" w:rsidRPr="00EB272B" w:rsidRDefault="00E953EE" w:rsidP="006909EB">
            <w:pPr>
              <w:rPr>
                <w:rFonts w:cstheme="minorHAnsi"/>
                <w:sz w:val="22"/>
                <w:szCs w:val="22"/>
              </w:rPr>
            </w:pPr>
            <w:r w:rsidRPr="00EB272B">
              <w:rPr>
                <w:rFonts w:cstheme="minorHAnsi"/>
                <w:sz w:val="22"/>
                <w:szCs w:val="22"/>
              </w:rPr>
              <w:t>FSP</w:t>
            </w:r>
          </w:p>
        </w:tc>
        <w:tc>
          <w:tcPr>
            <w:tcW w:w="960" w:type="dxa"/>
            <w:hideMark/>
          </w:tcPr>
          <w:p w14:paraId="1F0ACCE2" w14:textId="77777777" w:rsidR="00E953EE" w:rsidRPr="00EB272B" w:rsidRDefault="00E953EE" w:rsidP="006909EB">
            <w:pPr>
              <w:rPr>
                <w:rFonts w:cstheme="minorHAnsi"/>
                <w:sz w:val="22"/>
                <w:szCs w:val="22"/>
              </w:rPr>
            </w:pPr>
            <w:r w:rsidRPr="00EB272B">
              <w:rPr>
                <w:rFonts w:cstheme="minorHAnsi"/>
                <w:sz w:val="22"/>
                <w:szCs w:val="22"/>
              </w:rPr>
              <w:t>UNDP</w:t>
            </w:r>
          </w:p>
        </w:tc>
        <w:tc>
          <w:tcPr>
            <w:tcW w:w="1660" w:type="dxa"/>
            <w:hideMark/>
          </w:tcPr>
          <w:p w14:paraId="7C62CB8C" w14:textId="77777777" w:rsidR="00E953EE" w:rsidRPr="00EB272B" w:rsidRDefault="00E953EE" w:rsidP="006909EB">
            <w:pPr>
              <w:jc w:val="right"/>
              <w:rPr>
                <w:rFonts w:cstheme="minorHAnsi"/>
                <w:sz w:val="22"/>
                <w:szCs w:val="22"/>
              </w:rPr>
            </w:pPr>
            <w:r w:rsidRPr="00EB272B">
              <w:rPr>
                <w:rFonts w:cstheme="minorHAnsi"/>
                <w:sz w:val="22"/>
                <w:szCs w:val="22"/>
              </w:rPr>
              <w:t>200000</w:t>
            </w:r>
          </w:p>
        </w:tc>
        <w:tc>
          <w:tcPr>
            <w:tcW w:w="1620" w:type="dxa"/>
            <w:hideMark/>
          </w:tcPr>
          <w:p w14:paraId="7527A4B4" w14:textId="77777777" w:rsidR="00E953EE" w:rsidRPr="00EB272B" w:rsidRDefault="00E953EE" w:rsidP="006909EB">
            <w:pPr>
              <w:jc w:val="right"/>
              <w:rPr>
                <w:rFonts w:cstheme="minorHAnsi"/>
                <w:sz w:val="22"/>
                <w:szCs w:val="22"/>
              </w:rPr>
            </w:pPr>
            <w:r w:rsidRPr="00EB272B">
              <w:rPr>
                <w:rFonts w:cstheme="minorHAnsi"/>
                <w:sz w:val="22"/>
                <w:szCs w:val="22"/>
              </w:rPr>
              <w:t>470000</w:t>
            </w:r>
          </w:p>
        </w:tc>
      </w:tr>
      <w:tr w:rsidR="00E953EE" w:rsidRPr="00EB272B" w14:paraId="0BC032AB" w14:textId="77777777" w:rsidTr="006909EB">
        <w:trPr>
          <w:trHeight w:val="600"/>
        </w:trPr>
        <w:tc>
          <w:tcPr>
            <w:tcW w:w="1820" w:type="dxa"/>
            <w:hideMark/>
          </w:tcPr>
          <w:p w14:paraId="03F5506B" w14:textId="77777777" w:rsidR="00E953EE" w:rsidRPr="00EB272B" w:rsidRDefault="00E953EE" w:rsidP="006909EB">
            <w:pPr>
              <w:rPr>
                <w:rFonts w:cstheme="minorHAnsi"/>
                <w:sz w:val="22"/>
                <w:szCs w:val="22"/>
              </w:rPr>
            </w:pPr>
            <w:r w:rsidRPr="00EB272B">
              <w:rPr>
                <w:rFonts w:cstheme="minorHAnsi"/>
                <w:sz w:val="22"/>
                <w:szCs w:val="22"/>
              </w:rPr>
              <w:t>Kenya</w:t>
            </w:r>
          </w:p>
        </w:tc>
        <w:tc>
          <w:tcPr>
            <w:tcW w:w="1840" w:type="dxa"/>
            <w:hideMark/>
          </w:tcPr>
          <w:p w14:paraId="751AC7C6" w14:textId="77777777" w:rsidR="00E953EE" w:rsidRPr="00EB272B" w:rsidRDefault="00E953EE" w:rsidP="006909EB">
            <w:pPr>
              <w:rPr>
                <w:rFonts w:cstheme="minorHAnsi"/>
                <w:sz w:val="22"/>
                <w:szCs w:val="22"/>
              </w:rPr>
            </w:pPr>
            <w:r w:rsidRPr="00EB272B">
              <w:rPr>
                <w:rFonts w:cstheme="minorHAnsi"/>
                <w:sz w:val="22"/>
                <w:szCs w:val="22"/>
              </w:rPr>
              <w:t> </w:t>
            </w:r>
          </w:p>
        </w:tc>
        <w:tc>
          <w:tcPr>
            <w:tcW w:w="960" w:type="dxa"/>
            <w:hideMark/>
          </w:tcPr>
          <w:p w14:paraId="1F6EEBE5" w14:textId="77777777" w:rsidR="00E953EE" w:rsidRPr="00EB272B" w:rsidRDefault="00E953EE" w:rsidP="006909EB">
            <w:pPr>
              <w:rPr>
                <w:rFonts w:cstheme="minorHAnsi"/>
                <w:sz w:val="22"/>
                <w:szCs w:val="22"/>
              </w:rPr>
            </w:pPr>
            <w:r w:rsidRPr="00EB272B">
              <w:rPr>
                <w:rFonts w:cstheme="minorHAnsi"/>
                <w:sz w:val="22"/>
                <w:szCs w:val="22"/>
              </w:rPr>
              <w:t>W</w:t>
            </w:r>
          </w:p>
        </w:tc>
        <w:tc>
          <w:tcPr>
            <w:tcW w:w="5380" w:type="dxa"/>
            <w:hideMark/>
          </w:tcPr>
          <w:p w14:paraId="7D5C787E" w14:textId="77777777" w:rsidR="00E953EE" w:rsidRPr="00EB272B" w:rsidRDefault="00E953EE" w:rsidP="006909EB">
            <w:pPr>
              <w:rPr>
                <w:rFonts w:cstheme="minorHAnsi"/>
                <w:sz w:val="22"/>
                <w:szCs w:val="22"/>
              </w:rPr>
            </w:pPr>
            <w:r w:rsidRPr="00EB272B">
              <w:rPr>
                <w:rFonts w:cstheme="minorHAnsi"/>
                <w:sz w:val="22"/>
                <w:szCs w:val="22"/>
              </w:rPr>
              <w:t xml:space="preserve">Development of a Minamata Initial Assessment </w:t>
            </w:r>
          </w:p>
        </w:tc>
        <w:tc>
          <w:tcPr>
            <w:tcW w:w="960" w:type="dxa"/>
            <w:hideMark/>
          </w:tcPr>
          <w:p w14:paraId="5F8784D7" w14:textId="77777777" w:rsidR="00E953EE" w:rsidRPr="00EB272B" w:rsidRDefault="00E953EE" w:rsidP="006909EB">
            <w:pPr>
              <w:rPr>
                <w:rFonts w:cstheme="minorHAnsi"/>
                <w:sz w:val="22"/>
                <w:szCs w:val="22"/>
              </w:rPr>
            </w:pPr>
            <w:r w:rsidRPr="00EB272B">
              <w:rPr>
                <w:rFonts w:cstheme="minorHAnsi"/>
                <w:sz w:val="22"/>
                <w:szCs w:val="22"/>
              </w:rPr>
              <w:t>GEF-6</w:t>
            </w:r>
          </w:p>
        </w:tc>
        <w:tc>
          <w:tcPr>
            <w:tcW w:w="960" w:type="dxa"/>
            <w:hideMark/>
          </w:tcPr>
          <w:p w14:paraId="6D000ABD" w14:textId="77777777" w:rsidR="00E953EE" w:rsidRPr="00EB272B" w:rsidRDefault="00E953EE" w:rsidP="006909EB">
            <w:pPr>
              <w:rPr>
                <w:rFonts w:cstheme="minorHAnsi"/>
                <w:sz w:val="22"/>
                <w:szCs w:val="22"/>
              </w:rPr>
            </w:pPr>
            <w:r w:rsidRPr="00EB272B">
              <w:rPr>
                <w:rFonts w:cstheme="minorHAnsi"/>
                <w:sz w:val="22"/>
                <w:szCs w:val="22"/>
              </w:rPr>
              <w:t>EA</w:t>
            </w:r>
          </w:p>
        </w:tc>
        <w:tc>
          <w:tcPr>
            <w:tcW w:w="960" w:type="dxa"/>
            <w:hideMark/>
          </w:tcPr>
          <w:p w14:paraId="35A8DE4F" w14:textId="77777777" w:rsidR="00E953EE" w:rsidRPr="00EB272B" w:rsidRDefault="00E953EE" w:rsidP="006909EB">
            <w:pPr>
              <w:rPr>
                <w:rFonts w:cstheme="minorHAnsi"/>
                <w:sz w:val="22"/>
                <w:szCs w:val="22"/>
              </w:rPr>
            </w:pPr>
            <w:r w:rsidRPr="00EB272B">
              <w:rPr>
                <w:rFonts w:cstheme="minorHAnsi"/>
                <w:sz w:val="22"/>
                <w:szCs w:val="22"/>
              </w:rPr>
              <w:t>Direct access</w:t>
            </w:r>
          </w:p>
        </w:tc>
        <w:tc>
          <w:tcPr>
            <w:tcW w:w="1660" w:type="dxa"/>
            <w:hideMark/>
          </w:tcPr>
          <w:p w14:paraId="2A655B09" w14:textId="77777777" w:rsidR="00E953EE" w:rsidRPr="00EB272B" w:rsidRDefault="00E953EE" w:rsidP="006909EB">
            <w:pPr>
              <w:jc w:val="right"/>
              <w:rPr>
                <w:rFonts w:cstheme="minorHAnsi"/>
                <w:sz w:val="22"/>
                <w:szCs w:val="22"/>
              </w:rPr>
            </w:pPr>
            <w:r w:rsidRPr="00EB272B">
              <w:rPr>
                <w:rFonts w:cstheme="minorHAnsi"/>
                <w:sz w:val="22"/>
                <w:szCs w:val="22"/>
              </w:rPr>
              <w:t>200000</w:t>
            </w:r>
          </w:p>
        </w:tc>
        <w:tc>
          <w:tcPr>
            <w:tcW w:w="1620" w:type="dxa"/>
            <w:hideMark/>
          </w:tcPr>
          <w:p w14:paraId="0D62360C" w14:textId="77777777" w:rsidR="00E953EE" w:rsidRPr="00EB272B" w:rsidRDefault="00E953EE" w:rsidP="006909EB">
            <w:pPr>
              <w:jc w:val="right"/>
              <w:rPr>
                <w:rFonts w:cstheme="minorHAnsi"/>
                <w:sz w:val="22"/>
                <w:szCs w:val="22"/>
              </w:rPr>
            </w:pPr>
            <w:r>
              <w:rPr>
                <w:rFonts w:cstheme="minorHAnsi"/>
                <w:sz w:val="22"/>
                <w:szCs w:val="22"/>
              </w:rPr>
              <w:t>0</w:t>
            </w:r>
            <w:r w:rsidRPr="00EB272B">
              <w:rPr>
                <w:rFonts w:cstheme="minorHAnsi"/>
                <w:sz w:val="22"/>
                <w:szCs w:val="22"/>
              </w:rPr>
              <w:t> </w:t>
            </w:r>
          </w:p>
        </w:tc>
      </w:tr>
      <w:tr w:rsidR="00E953EE" w:rsidRPr="00EB272B" w14:paraId="4D945151" w14:textId="77777777" w:rsidTr="006909EB">
        <w:trPr>
          <w:trHeight w:val="300"/>
        </w:trPr>
        <w:tc>
          <w:tcPr>
            <w:tcW w:w="1820" w:type="dxa"/>
            <w:hideMark/>
          </w:tcPr>
          <w:p w14:paraId="67648876" w14:textId="77777777" w:rsidR="00E953EE" w:rsidRPr="00EB272B" w:rsidRDefault="00E953EE" w:rsidP="006909EB">
            <w:pPr>
              <w:rPr>
                <w:rFonts w:cstheme="minorHAnsi"/>
                <w:sz w:val="22"/>
                <w:szCs w:val="22"/>
              </w:rPr>
            </w:pPr>
            <w:r w:rsidRPr="00EB272B">
              <w:rPr>
                <w:rFonts w:cstheme="minorHAnsi"/>
                <w:sz w:val="22"/>
                <w:szCs w:val="22"/>
              </w:rPr>
              <w:t>Kenya</w:t>
            </w:r>
          </w:p>
        </w:tc>
        <w:tc>
          <w:tcPr>
            <w:tcW w:w="1840" w:type="dxa"/>
            <w:hideMark/>
          </w:tcPr>
          <w:p w14:paraId="16D3F581" w14:textId="77777777" w:rsidR="00E953EE" w:rsidRPr="00EB272B" w:rsidRDefault="00E953EE" w:rsidP="006909EB">
            <w:pPr>
              <w:rPr>
                <w:rFonts w:cstheme="minorHAnsi"/>
                <w:sz w:val="22"/>
                <w:szCs w:val="22"/>
              </w:rPr>
            </w:pPr>
            <w:r w:rsidRPr="00EB272B">
              <w:rPr>
                <w:rFonts w:cstheme="minorHAnsi"/>
                <w:sz w:val="22"/>
                <w:szCs w:val="22"/>
              </w:rPr>
              <w:t> </w:t>
            </w:r>
          </w:p>
        </w:tc>
        <w:tc>
          <w:tcPr>
            <w:tcW w:w="960" w:type="dxa"/>
            <w:hideMark/>
          </w:tcPr>
          <w:p w14:paraId="5C7E1926" w14:textId="77777777" w:rsidR="00E953EE" w:rsidRPr="00EB272B" w:rsidRDefault="00E953EE" w:rsidP="006909EB">
            <w:pPr>
              <w:rPr>
                <w:rFonts w:cstheme="minorHAnsi"/>
                <w:sz w:val="22"/>
                <w:szCs w:val="22"/>
              </w:rPr>
            </w:pPr>
            <w:r w:rsidRPr="00EB272B">
              <w:rPr>
                <w:rFonts w:cstheme="minorHAnsi"/>
                <w:sz w:val="22"/>
                <w:szCs w:val="22"/>
              </w:rPr>
              <w:t>P</w:t>
            </w:r>
          </w:p>
        </w:tc>
        <w:tc>
          <w:tcPr>
            <w:tcW w:w="5380" w:type="dxa"/>
            <w:hideMark/>
          </w:tcPr>
          <w:p w14:paraId="6C97A4FD" w14:textId="77777777" w:rsidR="00E953EE" w:rsidRPr="00EB272B" w:rsidRDefault="00E953EE" w:rsidP="006909EB">
            <w:pPr>
              <w:rPr>
                <w:rFonts w:cstheme="minorHAnsi"/>
                <w:sz w:val="22"/>
                <w:szCs w:val="22"/>
              </w:rPr>
            </w:pPr>
            <w:r w:rsidRPr="00EB272B">
              <w:rPr>
                <w:rFonts w:cstheme="minorHAnsi"/>
                <w:sz w:val="22"/>
                <w:szCs w:val="22"/>
              </w:rPr>
              <w:t>Mercury Initial Actions for Kenya</w:t>
            </w:r>
          </w:p>
        </w:tc>
        <w:tc>
          <w:tcPr>
            <w:tcW w:w="960" w:type="dxa"/>
            <w:hideMark/>
          </w:tcPr>
          <w:p w14:paraId="10A1641E" w14:textId="77777777" w:rsidR="00E953EE" w:rsidRPr="00EB272B" w:rsidRDefault="00E953EE" w:rsidP="006909EB">
            <w:pPr>
              <w:rPr>
                <w:rFonts w:cstheme="minorHAnsi"/>
                <w:sz w:val="22"/>
                <w:szCs w:val="22"/>
              </w:rPr>
            </w:pPr>
            <w:r w:rsidRPr="00EB272B">
              <w:rPr>
                <w:rFonts w:cstheme="minorHAnsi"/>
                <w:sz w:val="22"/>
                <w:szCs w:val="22"/>
              </w:rPr>
              <w:t>GEF-5</w:t>
            </w:r>
          </w:p>
        </w:tc>
        <w:tc>
          <w:tcPr>
            <w:tcW w:w="960" w:type="dxa"/>
            <w:hideMark/>
          </w:tcPr>
          <w:p w14:paraId="1A8A7D16" w14:textId="77777777" w:rsidR="00E953EE" w:rsidRPr="00EB272B" w:rsidRDefault="00E953EE" w:rsidP="006909EB">
            <w:pPr>
              <w:rPr>
                <w:rFonts w:cstheme="minorHAnsi"/>
                <w:sz w:val="22"/>
                <w:szCs w:val="22"/>
              </w:rPr>
            </w:pPr>
            <w:r w:rsidRPr="00EB272B">
              <w:rPr>
                <w:rFonts w:cstheme="minorHAnsi"/>
                <w:sz w:val="22"/>
                <w:szCs w:val="22"/>
              </w:rPr>
              <w:t>EA</w:t>
            </w:r>
          </w:p>
        </w:tc>
        <w:tc>
          <w:tcPr>
            <w:tcW w:w="960" w:type="dxa"/>
            <w:hideMark/>
          </w:tcPr>
          <w:p w14:paraId="4DED7295" w14:textId="77777777" w:rsidR="00E953EE" w:rsidRPr="00EB272B" w:rsidRDefault="00E953EE" w:rsidP="006909EB">
            <w:pPr>
              <w:rPr>
                <w:rFonts w:cstheme="minorHAnsi"/>
                <w:sz w:val="22"/>
                <w:szCs w:val="22"/>
              </w:rPr>
            </w:pPr>
            <w:r w:rsidRPr="00EB272B">
              <w:rPr>
                <w:rFonts w:cstheme="minorHAnsi"/>
                <w:sz w:val="22"/>
                <w:szCs w:val="22"/>
              </w:rPr>
              <w:t>GEFSEC</w:t>
            </w:r>
          </w:p>
        </w:tc>
        <w:tc>
          <w:tcPr>
            <w:tcW w:w="1660" w:type="dxa"/>
            <w:hideMark/>
          </w:tcPr>
          <w:p w14:paraId="2951A3CF" w14:textId="77777777" w:rsidR="00E953EE" w:rsidRPr="00EB272B" w:rsidRDefault="00E953EE" w:rsidP="006909EB">
            <w:pPr>
              <w:jc w:val="right"/>
              <w:rPr>
                <w:rFonts w:cstheme="minorHAnsi"/>
                <w:sz w:val="22"/>
                <w:szCs w:val="22"/>
              </w:rPr>
            </w:pPr>
            <w:r w:rsidRPr="00EB272B">
              <w:rPr>
                <w:rFonts w:cstheme="minorHAnsi"/>
                <w:sz w:val="22"/>
                <w:szCs w:val="22"/>
              </w:rPr>
              <w:t>200000</w:t>
            </w:r>
          </w:p>
        </w:tc>
        <w:tc>
          <w:tcPr>
            <w:tcW w:w="1620" w:type="dxa"/>
            <w:hideMark/>
          </w:tcPr>
          <w:p w14:paraId="3C060255" w14:textId="77777777" w:rsidR="00E953EE" w:rsidRPr="00EB272B" w:rsidRDefault="00E953EE" w:rsidP="006909EB">
            <w:pPr>
              <w:jc w:val="right"/>
              <w:rPr>
                <w:rFonts w:cstheme="minorHAnsi"/>
                <w:sz w:val="22"/>
                <w:szCs w:val="22"/>
              </w:rPr>
            </w:pPr>
            <w:r w:rsidRPr="00EB272B">
              <w:rPr>
                <w:rFonts w:cstheme="minorHAnsi"/>
                <w:sz w:val="22"/>
                <w:szCs w:val="22"/>
              </w:rPr>
              <w:t>34000</w:t>
            </w:r>
          </w:p>
        </w:tc>
      </w:tr>
      <w:tr w:rsidR="00E953EE" w:rsidRPr="00EB272B" w14:paraId="789412B4" w14:textId="77777777" w:rsidTr="006909EB">
        <w:trPr>
          <w:trHeight w:val="900"/>
        </w:trPr>
        <w:tc>
          <w:tcPr>
            <w:tcW w:w="1820" w:type="dxa"/>
            <w:hideMark/>
          </w:tcPr>
          <w:p w14:paraId="4E00737B" w14:textId="77777777" w:rsidR="00E953EE" w:rsidRPr="00EB272B" w:rsidRDefault="00E953EE" w:rsidP="006909EB">
            <w:pPr>
              <w:rPr>
                <w:rFonts w:cstheme="minorHAnsi"/>
                <w:sz w:val="22"/>
                <w:szCs w:val="22"/>
              </w:rPr>
            </w:pPr>
            <w:r w:rsidRPr="00EB272B">
              <w:rPr>
                <w:rFonts w:cstheme="minorHAnsi"/>
                <w:sz w:val="22"/>
                <w:szCs w:val="22"/>
              </w:rPr>
              <w:t>Kyrgyz Republic</w:t>
            </w:r>
          </w:p>
        </w:tc>
        <w:tc>
          <w:tcPr>
            <w:tcW w:w="1840" w:type="dxa"/>
            <w:hideMark/>
          </w:tcPr>
          <w:p w14:paraId="025B1479" w14:textId="77777777" w:rsidR="00E953EE" w:rsidRPr="00EB272B" w:rsidRDefault="00E953EE" w:rsidP="006909EB">
            <w:pPr>
              <w:rPr>
                <w:rFonts w:cstheme="minorHAnsi"/>
                <w:sz w:val="22"/>
                <w:szCs w:val="22"/>
              </w:rPr>
            </w:pPr>
            <w:r w:rsidRPr="00EB272B">
              <w:rPr>
                <w:rFonts w:cstheme="minorHAnsi"/>
                <w:sz w:val="22"/>
                <w:szCs w:val="22"/>
              </w:rPr>
              <w:t> </w:t>
            </w:r>
          </w:p>
        </w:tc>
        <w:tc>
          <w:tcPr>
            <w:tcW w:w="960" w:type="dxa"/>
            <w:hideMark/>
          </w:tcPr>
          <w:p w14:paraId="7B2D10D0" w14:textId="77777777" w:rsidR="00E953EE" w:rsidRPr="00EB272B" w:rsidRDefault="00E953EE" w:rsidP="006909EB">
            <w:pPr>
              <w:rPr>
                <w:rFonts w:cstheme="minorHAnsi"/>
                <w:sz w:val="22"/>
                <w:szCs w:val="22"/>
              </w:rPr>
            </w:pPr>
            <w:r w:rsidRPr="00EB272B">
              <w:rPr>
                <w:rFonts w:cstheme="minorHAnsi"/>
                <w:sz w:val="22"/>
                <w:szCs w:val="22"/>
              </w:rPr>
              <w:t>W</w:t>
            </w:r>
          </w:p>
        </w:tc>
        <w:tc>
          <w:tcPr>
            <w:tcW w:w="5380" w:type="dxa"/>
            <w:hideMark/>
          </w:tcPr>
          <w:p w14:paraId="0AEAF7E0" w14:textId="77777777" w:rsidR="00E953EE" w:rsidRPr="00EB272B" w:rsidRDefault="00E953EE" w:rsidP="006909EB">
            <w:pPr>
              <w:rPr>
                <w:rFonts w:cstheme="minorHAnsi"/>
                <w:sz w:val="22"/>
                <w:szCs w:val="22"/>
              </w:rPr>
            </w:pPr>
            <w:r w:rsidRPr="00EB272B">
              <w:rPr>
                <w:rFonts w:cstheme="minorHAnsi"/>
                <w:sz w:val="22"/>
                <w:szCs w:val="22"/>
              </w:rPr>
              <w:t xml:space="preserve">Development of Minamata Initial Assessment and Updating of National Action Plan for Artisanal and Small-Scale Gold Mining </w:t>
            </w:r>
          </w:p>
        </w:tc>
        <w:tc>
          <w:tcPr>
            <w:tcW w:w="960" w:type="dxa"/>
            <w:hideMark/>
          </w:tcPr>
          <w:p w14:paraId="7333FD9A" w14:textId="77777777" w:rsidR="00E953EE" w:rsidRPr="00EB272B" w:rsidRDefault="00E953EE" w:rsidP="006909EB">
            <w:pPr>
              <w:rPr>
                <w:rFonts w:cstheme="minorHAnsi"/>
                <w:sz w:val="22"/>
                <w:szCs w:val="22"/>
              </w:rPr>
            </w:pPr>
            <w:r w:rsidRPr="00EB272B">
              <w:rPr>
                <w:rFonts w:cstheme="minorHAnsi"/>
                <w:sz w:val="22"/>
                <w:szCs w:val="22"/>
              </w:rPr>
              <w:t>GEF-6</w:t>
            </w:r>
          </w:p>
        </w:tc>
        <w:tc>
          <w:tcPr>
            <w:tcW w:w="960" w:type="dxa"/>
            <w:hideMark/>
          </w:tcPr>
          <w:p w14:paraId="2C94E3C0" w14:textId="77777777" w:rsidR="00E953EE" w:rsidRPr="00EB272B" w:rsidRDefault="00E953EE" w:rsidP="006909EB">
            <w:pPr>
              <w:rPr>
                <w:rFonts w:cstheme="minorHAnsi"/>
                <w:sz w:val="22"/>
                <w:szCs w:val="22"/>
              </w:rPr>
            </w:pPr>
            <w:r w:rsidRPr="00EB272B">
              <w:rPr>
                <w:rFonts w:cstheme="minorHAnsi"/>
                <w:sz w:val="22"/>
                <w:szCs w:val="22"/>
              </w:rPr>
              <w:t>EA</w:t>
            </w:r>
          </w:p>
        </w:tc>
        <w:tc>
          <w:tcPr>
            <w:tcW w:w="960" w:type="dxa"/>
            <w:hideMark/>
          </w:tcPr>
          <w:p w14:paraId="66F1F851" w14:textId="77777777" w:rsidR="00E953EE" w:rsidRPr="00EB272B" w:rsidRDefault="00E953EE" w:rsidP="006909EB">
            <w:pPr>
              <w:rPr>
                <w:rFonts w:cstheme="minorHAnsi"/>
                <w:sz w:val="22"/>
                <w:szCs w:val="22"/>
              </w:rPr>
            </w:pPr>
            <w:r w:rsidRPr="00EB272B">
              <w:rPr>
                <w:rFonts w:cstheme="minorHAnsi"/>
                <w:sz w:val="22"/>
                <w:szCs w:val="22"/>
              </w:rPr>
              <w:t>UNEP</w:t>
            </w:r>
          </w:p>
        </w:tc>
        <w:tc>
          <w:tcPr>
            <w:tcW w:w="1660" w:type="dxa"/>
            <w:hideMark/>
          </w:tcPr>
          <w:p w14:paraId="6BD024C6" w14:textId="77777777" w:rsidR="00E953EE" w:rsidRPr="00EB272B" w:rsidRDefault="00E953EE" w:rsidP="006909EB">
            <w:pPr>
              <w:jc w:val="right"/>
              <w:rPr>
                <w:rFonts w:cstheme="minorHAnsi"/>
                <w:sz w:val="22"/>
                <w:szCs w:val="22"/>
              </w:rPr>
            </w:pPr>
            <w:r w:rsidRPr="00EB272B">
              <w:rPr>
                <w:rFonts w:cstheme="minorHAnsi"/>
                <w:sz w:val="22"/>
                <w:szCs w:val="22"/>
              </w:rPr>
              <w:t>700000</w:t>
            </w:r>
          </w:p>
        </w:tc>
        <w:tc>
          <w:tcPr>
            <w:tcW w:w="1620" w:type="dxa"/>
            <w:hideMark/>
          </w:tcPr>
          <w:p w14:paraId="2B1FA89B" w14:textId="77777777" w:rsidR="00E953EE" w:rsidRPr="00EB272B" w:rsidRDefault="00E953EE" w:rsidP="006909EB">
            <w:pPr>
              <w:jc w:val="right"/>
              <w:rPr>
                <w:rFonts w:cstheme="minorHAnsi"/>
                <w:sz w:val="22"/>
                <w:szCs w:val="22"/>
              </w:rPr>
            </w:pPr>
            <w:r>
              <w:rPr>
                <w:rFonts w:cstheme="minorHAnsi"/>
                <w:sz w:val="22"/>
                <w:szCs w:val="22"/>
              </w:rPr>
              <w:t>0</w:t>
            </w:r>
            <w:r w:rsidRPr="00EB272B">
              <w:rPr>
                <w:rFonts w:cstheme="minorHAnsi"/>
                <w:sz w:val="22"/>
                <w:szCs w:val="22"/>
              </w:rPr>
              <w:t> </w:t>
            </w:r>
          </w:p>
        </w:tc>
      </w:tr>
      <w:tr w:rsidR="00E953EE" w:rsidRPr="00EB272B" w14:paraId="7D6519A5" w14:textId="77777777" w:rsidTr="006909EB">
        <w:trPr>
          <w:trHeight w:val="900"/>
        </w:trPr>
        <w:tc>
          <w:tcPr>
            <w:tcW w:w="1820" w:type="dxa"/>
            <w:hideMark/>
          </w:tcPr>
          <w:p w14:paraId="639E7FC5" w14:textId="77777777" w:rsidR="00E953EE" w:rsidRPr="00EB272B" w:rsidRDefault="00E953EE" w:rsidP="006909EB">
            <w:pPr>
              <w:rPr>
                <w:rFonts w:cstheme="minorHAnsi"/>
                <w:sz w:val="22"/>
                <w:szCs w:val="22"/>
              </w:rPr>
            </w:pPr>
            <w:r w:rsidRPr="00EB272B">
              <w:rPr>
                <w:rFonts w:cstheme="minorHAnsi"/>
                <w:sz w:val="22"/>
                <w:szCs w:val="22"/>
              </w:rPr>
              <w:lastRenderedPageBreak/>
              <w:t>Kyrgyz Republic</w:t>
            </w:r>
          </w:p>
        </w:tc>
        <w:tc>
          <w:tcPr>
            <w:tcW w:w="1840" w:type="dxa"/>
            <w:hideMark/>
          </w:tcPr>
          <w:p w14:paraId="5298967C" w14:textId="77777777" w:rsidR="00E953EE" w:rsidRPr="00EB272B" w:rsidRDefault="00E953EE" w:rsidP="006909EB">
            <w:pPr>
              <w:rPr>
                <w:rFonts w:cstheme="minorHAnsi"/>
                <w:sz w:val="22"/>
                <w:szCs w:val="22"/>
              </w:rPr>
            </w:pPr>
            <w:r w:rsidRPr="00EB272B">
              <w:rPr>
                <w:rFonts w:cstheme="minorHAnsi"/>
                <w:sz w:val="22"/>
                <w:szCs w:val="22"/>
              </w:rPr>
              <w:t> </w:t>
            </w:r>
          </w:p>
        </w:tc>
        <w:tc>
          <w:tcPr>
            <w:tcW w:w="960" w:type="dxa"/>
            <w:hideMark/>
          </w:tcPr>
          <w:p w14:paraId="42D1FECB" w14:textId="77777777" w:rsidR="00E953EE" w:rsidRPr="00EB272B" w:rsidRDefault="00E953EE" w:rsidP="006909EB">
            <w:pPr>
              <w:rPr>
                <w:rFonts w:cstheme="minorHAnsi"/>
                <w:sz w:val="22"/>
                <w:szCs w:val="22"/>
              </w:rPr>
            </w:pPr>
            <w:r w:rsidRPr="00EB272B">
              <w:rPr>
                <w:rFonts w:cstheme="minorHAnsi"/>
                <w:sz w:val="22"/>
                <w:szCs w:val="22"/>
              </w:rPr>
              <w:t>P</w:t>
            </w:r>
          </w:p>
        </w:tc>
        <w:tc>
          <w:tcPr>
            <w:tcW w:w="5380" w:type="dxa"/>
            <w:hideMark/>
          </w:tcPr>
          <w:p w14:paraId="0D28933B" w14:textId="77777777" w:rsidR="00E953EE" w:rsidRPr="00EB272B" w:rsidRDefault="00E953EE" w:rsidP="006909EB">
            <w:pPr>
              <w:rPr>
                <w:rFonts w:cstheme="minorHAnsi"/>
                <w:sz w:val="22"/>
                <w:szCs w:val="22"/>
              </w:rPr>
            </w:pPr>
            <w:r w:rsidRPr="00EB272B">
              <w:rPr>
                <w:rFonts w:cstheme="minorHAnsi"/>
                <w:sz w:val="22"/>
                <w:szCs w:val="22"/>
              </w:rPr>
              <w:t>Reducing global and local environmental risks from primary mercury mining in Khaidarkan the Kyrgyz Republic</w:t>
            </w:r>
          </w:p>
        </w:tc>
        <w:tc>
          <w:tcPr>
            <w:tcW w:w="960" w:type="dxa"/>
            <w:hideMark/>
          </w:tcPr>
          <w:p w14:paraId="68A4FDF8" w14:textId="77777777" w:rsidR="00E953EE" w:rsidRPr="00EB272B" w:rsidRDefault="00E953EE" w:rsidP="006909EB">
            <w:pPr>
              <w:rPr>
                <w:rFonts w:cstheme="minorHAnsi"/>
                <w:sz w:val="22"/>
                <w:szCs w:val="22"/>
              </w:rPr>
            </w:pPr>
            <w:r w:rsidRPr="00EB272B">
              <w:rPr>
                <w:rFonts w:cstheme="minorHAnsi"/>
                <w:sz w:val="22"/>
                <w:szCs w:val="22"/>
              </w:rPr>
              <w:t>GEF-5</w:t>
            </w:r>
          </w:p>
        </w:tc>
        <w:tc>
          <w:tcPr>
            <w:tcW w:w="960" w:type="dxa"/>
            <w:hideMark/>
          </w:tcPr>
          <w:p w14:paraId="1CB0147F" w14:textId="77777777" w:rsidR="00E953EE" w:rsidRPr="00EB272B" w:rsidRDefault="00E953EE" w:rsidP="006909EB">
            <w:pPr>
              <w:rPr>
                <w:rFonts w:cstheme="minorHAnsi"/>
                <w:sz w:val="22"/>
                <w:szCs w:val="22"/>
              </w:rPr>
            </w:pPr>
            <w:r w:rsidRPr="00EB272B">
              <w:rPr>
                <w:rFonts w:cstheme="minorHAnsi"/>
                <w:sz w:val="22"/>
                <w:szCs w:val="22"/>
              </w:rPr>
              <w:t>MSP</w:t>
            </w:r>
          </w:p>
        </w:tc>
        <w:tc>
          <w:tcPr>
            <w:tcW w:w="960" w:type="dxa"/>
            <w:hideMark/>
          </w:tcPr>
          <w:p w14:paraId="2A0F1A37" w14:textId="77777777" w:rsidR="00E953EE" w:rsidRPr="00EB272B" w:rsidRDefault="00E953EE" w:rsidP="006909EB">
            <w:pPr>
              <w:rPr>
                <w:rFonts w:cstheme="minorHAnsi"/>
                <w:sz w:val="22"/>
                <w:szCs w:val="22"/>
              </w:rPr>
            </w:pPr>
            <w:r w:rsidRPr="00EB272B">
              <w:rPr>
                <w:rFonts w:cstheme="minorHAnsi"/>
                <w:sz w:val="22"/>
                <w:szCs w:val="22"/>
              </w:rPr>
              <w:t>UNEP</w:t>
            </w:r>
          </w:p>
        </w:tc>
        <w:tc>
          <w:tcPr>
            <w:tcW w:w="1660" w:type="dxa"/>
            <w:hideMark/>
          </w:tcPr>
          <w:p w14:paraId="206D6DCC" w14:textId="77777777" w:rsidR="00E953EE" w:rsidRPr="00EB272B" w:rsidRDefault="00E953EE" w:rsidP="006909EB">
            <w:pPr>
              <w:jc w:val="right"/>
              <w:rPr>
                <w:rFonts w:cstheme="minorHAnsi"/>
                <w:sz w:val="22"/>
                <w:szCs w:val="22"/>
              </w:rPr>
            </w:pPr>
            <w:r w:rsidRPr="00EB272B">
              <w:rPr>
                <w:rFonts w:cstheme="minorHAnsi"/>
                <w:sz w:val="22"/>
                <w:szCs w:val="22"/>
              </w:rPr>
              <w:t>944000</w:t>
            </w:r>
          </w:p>
        </w:tc>
        <w:tc>
          <w:tcPr>
            <w:tcW w:w="1620" w:type="dxa"/>
            <w:hideMark/>
          </w:tcPr>
          <w:p w14:paraId="2119FF55" w14:textId="77777777" w:rsidR="00E953EE" w:rsidRPr="00EB272B" w:rsidRDefault="00E953EE" w:rsidP="006909EB">
            <w:pPr>
              <w:jc w:val="right"/>
              <w:rPr>
                <w:rFonts w:cstheme="minorHAnsi"/>
                <w:sz w:val="22"/>
                <w:szCs w:val="22"/>
              </w:rPr>
            </w:pPr>
            <w:r w:rsidRPr="00EB272B">
              <w:rPr>
                <w:rFonts w:cstheme="minorHAnsi"/>
                <w:sz w:val="22"/>
                <w:szCs w:val="22"/>
              </w:rPr>
              <w:t>3007000</w:t>
            </w:r>
          </w:p>
        </w:tc>
      </w:tr>
      <w:tr w:rsidR="00E953EE" w:rsidRPr="00EB272B" w14:paraId="55129C45" w14:textId="77777777" w:rsidTr="006909EB">
        <w:trPr>
          <w:trHeight w:val="900"/>
        </w:trPr>
        <w:tc>
          <w:tcPr>
            <w:tcW w:w="1820" w:type="dxa"/>
            <w:hideMark/>
          </w:tcPr>
          <w:p w14:paraId="2A95D0DE" w14:textId="77777777" w:rsidR="00E953EE" w:rsidRPr="00EB272B" w:rsidRDefault="00E953EE" w:rsidP="006909EB">
            <w:pPr>
              <w:rPr>
                <w:rFonts w:cstheme="minorHAnsi"/>
                <w:sz w:val="22"/>
                <w:szCs w:val="22"/>
              </w:rPr>
            </w:pPr>
            <w:r w:rsidRPr="00EB272B">
              <w:rPr>
                <w:rFonts w:cstheme="minorHAnsi"/>
                <w:sz w:val="22"/>
                <w:szCs w:val="22"/>
              </w:rPr>
              <w:t>Kyrgyz Republic</w:t>
            </w:r>
          </w:p>
        </w:tc>
        <w:tc>
          <w:tcPr>
            <w:tcW w:w="1840" w:type="dxa"/>
            <w:hideMark/>
          </w:tcPr>
          <w:p w14:paraId="507AAD4A" w14:textId="77777777" w:rsidR="00E953EE" w:rsidRPr="00EB272B" w:rsidRDefault="00E953EE" w:rsidP="006909EB">
            <w:pPr>
              <w:rPr>
                <w:rFonts w:cstheme="minorHAnsi"/>
                <w:sz w:val="22"/>
                <w:szCs w:val="22"/>
              </w:rPr>
            </w:pPr>
            <w:r w:rsidRPr="00EB272B">
              <w:rPr>
                <w:rFonts w:cstheme="minorHAnsi"/>
                <w:sz w:val="22"/>
                <w:szCs w:val="22"/>
              </w:rPr>
              <w:t> </w:t>
            </w:r>
          </w:p>
        </w:tc>
        <w:tc>
          <w:tcPr>
            <w:tcW w:w="960" w:type="dxa"/>
            <w:hideMark/>
          </w:tcPr>
          <w:p w14:paraId="0D56C528" w14:textId="77777777" w:rsidR="00E953EE" w:rsidRPr="00EB272B" w:rsidRDefault="00E953EE" w:rsidP="006909EB">
            <w:pPr>
              <w:rPr>
                <w:rFonts w:cstheme="minorHAnsi"/>
                <w:sz w:val="22"/>
                <w:szCs w:val="22"/>
              </w:rPr>
            </w:pPr>
            <w:r w:rsidRPr="00EB272B">
              <w:rPr>
                <w:rFonts w:cstheme="minorHAnsi"/>
                <w:sz w:val="22"/>
                <w:szCs w:val="22"/>
              </w:rPr>
              <w:t>P</w:t>
            </w:r>
          </w:p>
        </w:tc>
        <w:tc>
          <w:tcPr>
            <w:tcW w:w="5380" w:type="dxa"/>
            <w:hideMark/>
          </w:tcPr>
          <w:p w14:paraId="54D637C4" w14:textId="77777777" w:rsidR="00E953EE" w:rsidRPr="00EB272B" w:rsidRDefault="00E953EE" w:rsidP="006909EB">
            <w:pPr>
              <w:rPr>
                <w:rFonts w:cstheme="minorHAnsi"/>
                <w:sz w:val="22"/>
                <w:szCs w:val="22"/>
              </w:rPr>
            </w:pPr>
            <w:r w:rsidRPr="00EB272B">
              <w:rPr>
                <w:rFonts w:cstheme="minorHAnsi"/>
                <w:sz w:val="22"/>
                <w:szCs w:val="22"/>
              </w:rPr>
              <w:t>Protect Human Health and the Environment from Unintentional Releases of POPs and Mercury from the Unsound Disposal of Healthcare Waste in Kyrgyzstan</w:t>
            </w:r>
          </w:p>
        </w:tc>
        <w:tc>
          <w:tcPr>
            <w:tcW w:w="960" w:type="dxa"/>
            <w:hideMark/>
          </w:tcPr>
          <w:p w14:paraId="392648CC" w14:textId="77777777" w:rsidR="00E953EE" w:rsidRPr="00EB272B" w:rsidRDefault="00E953EE" w:rsidP="006909EB">
            <w:pPr>
              <w:rPr>
                <w:rFonts w:cstheme="minorHAnsi"/>
                <w:sz w:val="22"/>
                <w:szCs w:val="22"/>
              </w:rPr>
            </w:pPr>
            <w:r w:rsidRPr="00EB272B">
              <w:rPr>
                <w:rFonts w:cstheme="minorHAnsi"/>
                <w:sz w:val="22"/>
                <w:szCs w:val="22"/>
              </w:rPr>
              <w:t>GEF-5</w:t>
            </w:r>
          </w:p>
        </w:tc>
        <w:tc>
          <w:tcPr>
            <w:tcW w:w="960" w:type="dxa"/>
            <w:hideMark/>
          </w:tcPr>
          <w:p w14:paraId="0CC397D9" w14:textId="77777777" w:rsidR="00E953EE" w:rsidRPr="00EB272B" w:rsidRDefault="00E953EE" w:rsidP="006909EB">
            <w:pPr>
              <w:rPr>
                <w:rFonts w:cstheme="minorHAnsi"/>
                <w:sz w:val="22"/>
                <w:szCs w:val="22"/>
              </w:rPr>
            </w:pPr>
            <w:r w:rsidRPr="00EB272B">
              <w:rPr>
                <w:rFonts w:cstheme="minorHAnsi"/>
                <w:sz w:val="22"/>
                <w:szCs w:val="22"/>
              </w:rPr>
              <w:t>MSP</w:t>
            </w:r>
          </w:p>
        </w:tc>
        <w:tc>
          <w:tcPr>
            <w:tcW w:w="960" w:type="dxa"/>
            <w:hideMark/>
          </w:tcPr>
          <w:p w14:paraId="46A51C39" w14:textId="77777777" w:rsidR="00E953EE" w:rsidRPr="00EB272B" w:rsidRDefault="00E953EE" w:rsidP="006909EB">
            <w:pPr>
              <w:rPr>
                <w:rFonts w:cstheme="minorHAnsi"/>
                <w:sz w:val="22"/>
                <w:szCs w:val="22"/>
              </w:rPr>
            </w:pPr>
            <w:r w:rsidRPr="00EB272B">
              <w:rPr>
                <w:rFonts w:cstheme="minorHAnsi"/>
                <w:sz w:val="22"/>
                <w:szCs w:val="22"/>
              </w:rPr>
              <w:t>UNDP</w:t>
            </w:r>
          </w:p>
        </w:tc>
        <w:tc>
          <w:tcPr>
            <w:tcW w:w="1660" w:type="dxa"/>
            <w:hideMark/>
          </w:tcPr>
          <w:p w14:paraId="47389FFB" w14:textId="77777777" w:rsidR="00E953EE" w:rsidRPr="00EB272B" w:rsidRDefault="00E953EE" w:rsidP="006909EB">
            <w:pPr>
              <w:jc w:val="right"/>
              <w:rPr>
                <w:rFonts w:cstheme="minorHAnsi"/>
                <w:sz w:val="22"/>
                <w:szCs w:val="22"/>
              </w:rPr>
            </w:pPr>
            <w:r w:rsidRPr="00EB272B">
              <w:rPr>
                <w:rFonts w:cstheme="minorHAnsi"/>
                <w:sz w:val="22"/>
                <w:szCs w:val="22"/>
              </w:rPr>
              <w:t>120000</w:t>
            </w:r>
          </w:p>
        </w:tc>
        <w:tc>
          <w:tcPr>
            <w:tcW w:w="1620" w:type="dxa"/>
            <w:hideMark/>
          </w:tcPr>
          <w:p w14:paraId="625E41E3" w14:textId="77777777" w:rsidR="00E953EE" w:rsidRPr="00EB272B" w:rsidRDefault="00E953EE" w:rsidP="006909EB">
            <w:pPr>
              <w:jc w:val="right"/>
              <w:rPr>
                <w:rFonts w:cstheme="minorHAnsi"/>
                <w:sz w:val="22"/>
                <w:szCs w:val="22"/>
              </w:rPr>
            </w:pPr>
            <w:r w:rsidRPr="00EB272B">
              <w:rPr>
                <w:rFonts w:cstheme="minorHAnsi"/>
                <w:sz w:val="22"/>
                <w:szCs w:val="22"/>
              </w:rPr>
              <w:t>360000</w:t>
            </w:r>
          </w:p>
        </w:tc>
      </w:tr>
      <w:tr w:rsidR="00E953EE" w:rsidRPr="00EB272B" w14:paraId="24D3E288" w14:textId="77777777" w:rsidTr="006909EB">
        <w:trPr>
          <w:trHeight w:val="900"/>
        </w:trPr>
        <w:tc>
          <w:tcPr>
            <w:tcW w:w="1820" w:type="dxa"/>
            <w:hideMark/>
          </w:tcPr>
          <w:p w14:paraId="4601F81B" w14:textId="77777777" w:rsidR="00E953EE" w:rsidRPr="00EB272B" w:rsidRDefault="00E953EE" w:rsidP="006909EB">
            <w:pPr>
              <w:rPr>
                <w:rFonts w:cstheme="minorHAnsi"/>
                <w:sz w:val="22"/>
                <w:szCs w:val="22"/>
              </w:rPr>
            </w:pPr>
            <w:r w:rsidRPr="00EB272B">
              <w:rPr>
                <w:rFonts w:cstheme="minorHAnsi"/>
                <w:sz w:val="22"/>
                <w:szCs w:val="22"/>
              </w:rPr>
              <w:t>Lao PDR</w:t>
            </w:r>
          </w:p>
        </w:tc>
        <w:tc>
          <w:tcPr>
            <w:tcW w:w="1840" w:type="dxa"/>
            <w:hideMark/>
          </w:tcPr>
          <w:p w14:paraId="5497F302" w14:textId="77777777" w:rsidR="00E953EE" w:rsidRPr="00EB272B" w:rsidRDefault="00E953EE" w:rsidP="006909EB">
            <w:pPr>
              <w:rPr>
                <w:rFonts w:cstheme="minorHAnsi"/>
                <w:sz w:val="22"/>
                <w:szCs w:val="22"/>
              </w:rPr>
            </w:pPr>
            <w:r w:rsidRPr="00EB272B">
              <w:rPr>
                <w:rFonts w:cstheme="minorHAnsi"/>
                <w:sz w:val="22"/>
                <w:szCs w:val="22"/>
              </w:rPr>
              <w:t> </w:t>
            </w:r>
          </w:p>
        </w:tc>
        <w:tc>
          <w:tcPr>
            <w:tcW w:w="960" w:type="dxa"/>
            <w:hideMark/>
          </w:tcPr>
          <w:p w14:paraId="64526D57" w14:textId="77777777" w:rsidR="00E953EE" w:rsidRPr="00EB272B" w:rsidRDefault="00E953EE" w:rsidP="006909EB">
            <w:pPr>
              <w:rPr>
                <w:rFonts w:cstheme="minorHAnsi"/>
                <w:sz w:val="22"/>
                <w:szCs w:val="22"/>
              </w:rPr>
            </w:pPr>
            <w:r w:rsidRPr="00EB272B">
              <w:rPr>
                <w:rFonts w:cstheme="minorHAnsi"/>
                <w:sz w:val="22"/>
                <w:szCs w:val="22"/>
              </w:rPr>
              <w:t>W</w:t>
            </w:r>
          </w:p>
        </w:tc>
        <w:tc>
          <w:tcPr>
            <w:tcW w:w="5380" w:type="dxa"/>
            <w:hideMark/>
          </w:tcPr>
          <w:p w14:paraId="493985BC" w14:textId="77777777" w:rsidR="00E953EE" w:rsidRPr="00EB272B" w:rsidRDefault="00E953EE" w:rsidP="006909EB">
            <w:pPr>
              <w:rPr>
                <w:rFonts w:cstheme="minorHAnsi"/>
                <w:sz w:val="22"/>
                <w:szCs w:val="22"/>
              </w:rPr>
            </w:pPr>
            <w:r w:rsidRPr="00EB272B">
              <w:rPr>
                <w:rFonts w:cstheme="minorHAnsi"/>
                <w:sz w:val="22"/>
                <w:szCs w:val="22"/>
              </w:rPr>
              <w:t xml:space="preserve">Development of Minamata Initial Assessment and Updating of National Action Plan for Artisanal and Small-Scale Gold Mining </w:t>
            </w:r>
          </w:p>
        </w:tc>
        <w:tc>
          <w:tcPr>
            <w:tcW w:w="960" w:type="dxa"/>
            <w:hideMark/>
          </w:tcPr>
          <w:p w14:paraId="3ECC630D" w14:textId="77777777" w:rsidR="00E953EE" w:rsidRPr="00EB272B" w:rsidRDefault="00E953EE" w:rsidP="006909EB">
            <w:pPr>
              <w:rPr>
                <w:rFonts w:cstheme="minorHAnsi"/>
                <w:sz w:val="22"/>
                <w:szCs w:val="22"/>
              </w:rPr>
            </w:pPr>
            <w:r w:rsidRPr="00EB272B">
              <w:rPr>
                <w:rFonts w:cstheme="minorHAnsi"/>
                <w:sz w:val="22"/>
                <w:szCs w:val="22"/>
              </w:rPr>
              <w:t>GEF-6</w:t>
            </w:r>
          </w:p>
        </w:tc>
        <w:tc>
          <w:tcPr>
            <w:tcW w:w="960" w:type="dxa"/>
            <w:hideMark/>
          </w:tcPr>
          <w:p w14:paraId="4200B6D3" w14:textId="77777777" w:rsidR="00E953EE" w:rsidRPr="00EB272B" w:rsidRDefault="00E953EE" w:rsidP="006909EB">
            <w:pPr>
              <w:rPr>
                <w:rFonts w:cstheme="minorHAnsi"/>
                <w:sz w:val="22"/>
                <w:szCs w:val="22"/>
              </w:rPr>
            </w:pPr>
            <w:r w:rsidRPr="00EB272B">
              <w:rPr>
                <w:rFonts w:cstheme="minorHAnsi"/>
                <w:sz w:val="22"/>
                <w:szCs w:val="22"/>
              </w:rPr>
              <w:t>EA</w:t>
            </w:r>
          </w:p>
        </w:tc>
        <w:tc>
          <w:tcPr>
            <w:tcW w:w="960" w:type="dxa"/>
            <w:hideMark/>
          </w:tcPr>
          <w:p w14:paraId="307292F9" w14:textId="77777777" w:rsidR="00E953EE" w:rsidRPr="00EB272B" w:rsidRDefault="00E953EE" w:rsidP="006909EB">
            <w:pPr>
              <w:rPr>
                <w:rFonts w:cstheme="minorHAnsi"/>
                <w:sz w:val="22"/>
                <w:szCs w:val="22"/>
              </w:rPr>
            </w:pPr>
            <w:r w:rsidRPr="00EB272B">
              <w:rPr>
                <w:rFonts w:cstheme="minorHAnsi"/>
                <w:sz w:val="22"/>
                <w:szCs w:val="22"/>
              </w:rPr>
              <w:t>UNEP</w:t>
            </w:r>
          </w:p>
        </w:tc>
        <w:tc>
          <w:tcPr>
            <w:tcW w:w="1660" w:type="dxa"/>
            <w:hideMark/>
          </w:tcPr>
          <w:p w14:paraId="367D1786" w14:textId="77777777" w:rsidR="00E953EE" w:rsidRPr="00EB272B" w:rsidRDefault="00E953EE" w:rsidP="006909EB">
            <w:pPr>
              <w:jc w:val="right"/>
              <w:rPr>
                <w:rFonts w:cstheme="minorHAnsi"/>
                <w:sz w:val="22"/>
                <w:szCs w:val="22"/>
              </w:rPr>
            </w:pPr>
            <w:r w:rsidRPr="00EB272B">
              <w:rPr>
                <w:rFonts w:cstheme="minorHAnsi"/>
                <w:sz w:val="22"/>
                <w:szCs w:val="22"/>
              </w:rPr>
              <w:t>700000</w:t>
            </w:r>
          </w:p>
        </w:tc>
        <w:tc>
          <w:tcPr>
            <w:tcW w:w="1620" w:type="dxa"/>
            <w:hideMark/>
          </w:tcPr>
          <w:p w14:paraId="77FC4AF0" w14:textId="77777777" w:rsidR="00E953EE" w:rsidRPr="00EB272B" w:rsidRDefault="00E953EE" w:rsidP="006909EB">
            <w:pPr>
              <w:jc w:val="right"/>
              <w:rPr>
                <w:rFonts w:cstheme="minorHAnsi"/>
                <w:sz w:val="22"/>
                <w:szCs w:val="22"/>
              </w:rPr>
            </w:pPr>
            <w:r>
              <w:rPr>
                <w:rFonts w:cstheme="minorHAnsi"/>
                <w:sz w:val="22"/>
                <w:szCs w:val="22"/>
              </w:rPr>
              <w:t>0</w:t>
            </w:r>
            <w:r w:rsidRPr="00EB272B">
              <w:rPr>
                <w:rFonts w:cstheme="minorHAnsi"/>
                <w:sz w:val="22"/>
                <w:szCs w:val="22"/>
              </w:rPr>
              <w:t> </w:t>
            </w:r>
          </w:p>
        </w:tc>
      </w:tr>
      <w:tr w:rsidR="00E953EE" w:rsidRPr="00EB272B" w14:paraId="6FA887C7" w14:textId="77777777" w:rsidTr="006909EB">
        <w:trPr>
          <w:trHeight w:val="300"/>
        </w:trPr>
        <w:tc>
          <w:tcPr>
            <w:tcW w:w="1820" w:type="dxa"/>
            <w:hideMark/>
          </w:tcPr>
          <w:p w14:paraId="6FA6534B" w14:textId="77777777" w:rsidR="00E953EE" w:rsidRPr="00EB272B" w:rsidRDefault="00E953EE" w:rsidP="006909EB">
            <w:pPr>
              <w:rPr>
                <w:rFonts w:cstheme="minorHAnsi"/>
                <w:sz w:val="22"/>
                <w:szCs w:val="22"/>
              </w:rPr>
            </w:pPr>
            <w:r w:rsidRPr="00EB272B">
              <w:rPr>
                <w:rFonts w:cstheme="minorHAnsi"/>
                <w:sz w:val="22"/>
                <w:szCs w:val="22"/>
              </w:rPr>
              <w:t>Macedonia</w:t>
            </w:r>
          </w:p>
        </w:tc>
        <w:tc>
          <w:tcPr>
            <w:tcW w:w="1840" w:type="dxa"/>
            <w:hideMark/>
          </w:tcPr>
          <w:p w14:paraId="5AD666EB" w14:textId="77777777" w:rsidR="00E953EE" w:rsidRPr="00EB272B" w:rsidRDefault="00E953EE" w:rsidP="006909EB">
            <w:pPr>
              <w:rPr>
                <w:rFonts w:cstheme="minorHAnsi"/>
                <w:sz w:val="22"/>
                <w:szCs w:val="22"/>
              </w:rPr>
            </w:pPr>
            <w:r w:rsidRPr="00EB272B">
              <w:rPr>
                <w:rFonts w:cstheme="minorHAnsi"/>
                <w:sz w:val="22"/>
                <w:szCs w:val="22"/>
              </w:rPr>
              <w:t> </w:t>
            </w:r>
          </w:p>
        </w:tc>
        <w:tc>
          <w:tcPr>
            <w:tcW w:w="960" w:type="dxa"/>
            <w:hideMark/>
          </w:tcPr>
          <w:p w14:paraId="6E373D2E" w14:textId="77777777" w:rsidR="00E953EE" w:rsidRPr="00EB272B" w:rsidRDefault="00E953EE" w:rsidP="006909EB">
            <w:pPr>
              <w:rPr>
                <w:rFonts w:cstheme="minorHAnsi"/>
                <w:sz w:val="22"/>
                <w:szCs w:val="22"/>
              </w:rPr>
            </w:pPr>
            <w:r w:rsidRPr="00EB272B">
              <w:rPr>
                <w:rFonts w:cstheme="minorHAnsi"/>
                <w:sz w:val="22"/>
                <w:szCs w:val="22"/>
              </w:rPr>
              <w:t>W</w:t>
            </w:r>
          </w:p>
        </w:tc>
        <w:tc>
          <w:tcPr>
            <w:tcW w:w="5380" w:type="dxa"/>
            <w:hideMark/>
          </w:tcPr>
          <w:p w14:paraId="5832F88F" w14:textId="77777777" w:rsidR="00E953EE" w:rsidRPr="00EB272B" w:rsidRDefault="00E953EE" w:rsidP="006909EB">
            <w:pPr>
              <w:rPr>
                <w:rFonts w:cstheme="minorHAnsi"/>
                <w:sz w:val="22"/>
                <w:szCs w:val="22"/>
              </w:rPr>
            </w:pPr>
            <w:r w:rsidRPr="00EB272B">
              <w:rPr>
                <w:rFonts w:cstheme="minorHAnsi"/>
                <w:sz w:val="22"/>
                <w:szCs w:val="22"/>
              </w:rPr>
              <w:t xml:space="preserve">Development of a Minamata Initial Assessment </w:t>
            </w:r>
          </w:p>
        </w:tc>
        <w:tc>
          <w:tcPr>
            <w:tcW w:w="960" w:type="dxa"/>
            <w:hideMark/>
          </w:tcPr>
          <w:p w14:paraId="367660B0" w14:textId="77777777" w:rsidR="00E953EE" w:rsidRPr="00EB272B" w:rsidRDefault="00E953EE" w:rsidP="006909EB">
            <w:pPr>
              <w:rPr>
                <w:rFonts w:cstheme="minorHAnsi"/>
                <w:sz w:val="22"/>
                <w:szCs w:val="22"/>
              </w:rPr>
            </w:pPr>
            <w:r w:rsidRPr="00EB272B">
              <w:rPr>
                <w:rFonts w:cstheme="minorHAnsi"/>
                <w:sz w:val="22"/>
                <w:szCs w:val="22"/>
              </w:rPr>
              <w:t>GEF-6</w:t>
            </w:r>
          </w:p>
        </w:tc>
        <w:tc>
          <w:tcPr>
            <w:tcW w:w="960" w:type="dxa"/>
            <w:hideMark/>
          </w:tcPr>
          <w:p w14:paraId="76681880" w14:textId="77777777" w:rsidR="00E953EE" w:rsidRPr="00EB272B" w:rsidRDefault="00E953EE" w:rsidP="006909EB">
            <w:pPr>
              <w:rPr>
                <w:rFonts w:cstheme="minorHAnsi"/>
                <w:sz w:val="22"/>
                <w:szCs w:val="22"/>
              </w:rPr>
            </w:pPr>
            <w:r w:rsidRPr="00EB272B">
              <w:rPr>
                <w:rFonts w:cstheme="minorHAnsi"/>
                <w:sz w:val="22"/>
                <w:szCs w:val="22"/>
              </w:rPr>
              <w:t>EA</w:t>
            </w:r>
          </w:p>
        </w:tc>
        <w:tc>
          <w:tcPr>
            <w:tcW w:w="960" w:type="dxa"/>
            <w:hideMark/>
          </w:tcPr>
          <w:p w14:paraId="1280DB2B" w14:textId="77777777" w:rsidR="00E953EE" w:rsidRPr="00EB272B" w:rsidRDefault="00E953EE" w:rsidP="006909EB">
            <w:pPr>
              <w:rPr>
                <w:rFonts w:cstheme="minorHAnsi"/>
                <w:sz w:val="22"/>
                <w:szCs w:val="22"/>
              </w:rPr>
            </w:pPr>
            <w:r w:rsidRPr="00EB272B">
              <w:rPr>
                <w:rFonts w:cstheme="minorHAnsi"/>
                <w:sz w:val="22"/>
                <w:szCs w:val="22"/>
              </w:rPr>
              <w:t>UNEP</w:t>
            </w:r>
          </w:p>
        </w:tc>
        <w:tc>
          <w:tcPr>
            <w:tcW w:w="1660" w:type="dxa"/>
            <w:hideMark/>
          </w:tcPr>
          <w:p w14:paraId="7464AD0D" w14:textId="77777777" w:rsidR="00E953EE" w:rsidRPr="00EB272B" w:rsidRDefault="00E953EE" w:rsidP="006909EB">
            <w:pPr>
              <w:jc w:val="right"/>
              <w:rPr>
                <w:rFonts w:cstheme="minorHAnsi"/>
                <w:sz w:val="22"/>
                <w:szCs w:val="22"/>
              </w:rPr>
            </w:pPr>
            <w:r w:rsidRPr="00EB272B">
              <w:rPr>
                <w:rFonts w:cstheme="minorHAnsi"/>
                <w:sz w:val="22"/>
                <w:szCs w:val="22"/>
              </w:rPr>
              <w:t>200000</w:t>
            </w:r>
          </w:p>
        </w:tc>
        <w:tc>
          <w:tcPr>
            <w:tcW w:w="1620" w:type="dxa"/>
            <w:hideMark/>
          </w:tcPr>
          <w:p w14:paraId="554FC0E9" w14:textId="77777777" w:rsidR="00E953EE" w:rsidRPr="00EB272B" w:rsidRDefault="00E953EE" w:rsidP="006909EB">
            <w:pPr>
              <w:jc w:val="right"/>
              <w:rPr>
                <w:rFonts w:cstheme="minorHAnsi"/>
                <w:sz w:val="22"/>
                <w:szCs w:val="22"/>
              </w:rPr>
            </w:pPr>
            <w:r>
              <w:rPr>
                <w:rFonts w:cstheme="minorHAnsi"/>
                <w:sz w:val="22"/>
                <w:szCs w:val="22"/>
              </w:rPr>
              <w:t>0</w:t>
            </w:r>
            <w:r w:rsidRPr="00EB272B">
              <w:rPr>
                <w:rFonts w:cstheme="minorHAnsi"/>
                <w:sz w:val="22"/>
                <w:szCs w:val="22"/>
              </w:rPr>
              <w:t> </w:t>
            </w:r>
          </w:p>
        </w:tc>
      </w:tr>
      <w:tr w:rsidR="00E953EE" w:rsidRPr="00EB272B" w14:paraId="5CFCBDC3" w14:textId="77777777" w:rsidTr="006909EB">
        <w:trPr>
          <w:trHeight w:val="600"/>
        </w:trPr>
        <w:tc>
          <w:tcPr>
            <w:tcW w:w="1820" w:type="dxa"/>
            <w:hideMark/>
          </w:tcPr>
          <w:p w14:paraId="2F6DD508" w14:textId="77777777" w:rsidR="00E953EE" w:rsidRPr="00EB272B" w:rsidRDefault="00E953EE" w:rsidP="006909EB">
            <w:pPr>
              <w:rPr>
                <w:rFonts w:cstheme="minorHAnsi"/>
                <w:sz w:val="22"/>
                <w:szCs w:val="22"/>
              </w:rPr>
            </w:pPr>
            <w:r w:rsidRPr="00EB272B">
              <w:rPr>
                <w:rFonts w:cstheme="minorHAnsi"/>
                <w:sz w:val="22"/>
                <w:szCs w:val="22"/>
              </w:rPr>
              <w:t>Madagascar</w:t>
            </w:r>
          </w:p>
        </w:tc>
        <w:tc>
          <w:tcPr>
            <w:tcW w:w="1840" w:type="dxa"/>
            <w:hideMark/>
          </w:tcPr>
          <w:p w14:paraId="23925193" w14:textId="77777777" w:rsidR="00E953EE" w:rsidRPr="00EB272B" w:rsidRDefault="00E953EE" w:rsidP="006909EB">
            <w:pPr>
              <w:rPr>
                <w:rFonts w:cstheme="minorHAnsi"/>
                <w:sz w:val="22"/>
                <w:szCs w:val="22"/>
              </w:rPr>
            </w:pPr>
            <w:r w:rsidRPr="00EB272B">
              <w:rPr>
                <w:rFonts w:cstheme="minorHAnsi"/>
                <w:sz w:val="22"/>
                <w:szCs w:val="22"/>
              </w:rPr>
              <w:t> </w:t>
            </w:r>
          </w:p>
        </w:tc>
        <w:tc>
          <w:tcPr>
            <w:tcW w:w="960" w:type="dxa"/>
            <w:hideMark/>
          </w:tcPr>
          <w:p w14:paraId="3F503AAF" w14:textId="77777777" w:rsidR="00E953EE" w:rsidRPr="00EB272B" w:rsidRDefault="00E953EE" w:rsidP="006909EB">
            <w:pPr>
              <w:rPr>
                <w:rFonts w:cstheme="minorHAnsi"/>
                <w:sz w:val="22"/>
                <w:szCs w:val="22"/>
              </w:rPr>
            </w:pPr>
            <w:r w:rsidRPr="00EB272B">
              <w:rPr>
                <w:rFonts w:cstheme="minorHAnsi"/>
                <w:sz w:val="22"/>
                <w:szCs w:val="22"/>
              </w:rPr>
              <w:t>W</w:t>
            </w:r>
          </w:p>
        </w:tc>
        <w:tc>
          <w:tcPr>
            <w:tcW w:w="5380" w:type="dxa"/>
            <w:hideMark/>
          </w:tcPr>
          <w:p w14:paraId="03E833F4" w14:textId="77777777" w:rsidR="00E953EE" w:rsidRPr="00EB272B" w:rsidRDefault="00E953EE" w:rsidP="006909EB">
            <w:pPr>
              <w:rPr>
                <w:rFonts w:cstheme="minorHAnsi"/>
                <w:sz w:val="22"/>
                <w:szCs w:val="22"/>
              </w:rPr>
            </w:pPr>
            <w:r w:rsidRPr="00EB272B">
              <w:rPr>
                <w:rFonts w:cstheme="minorHAnsi"/>
                <w:sz w:val="22"/>
                <w:szCs w:val="22"/>
              </w:rPr>
              <w:t>Development of National Action Plan for Artisanal and Small-Scale Gold Mining in Madagascar</w:t>
            </w:r>
          </w:p>
        </w:tc>
        <w:tc>
          <w:tcPr>
            <w:tcW w:w="960" w:type="dxa"/>
            <w:hideMark/>
          </w:tcPr>
          <w:p w14:paraId="7E1DCC16" w14:textId="77777777" w:rsidR="00E953EE" w:rsidRPr="00EB272B" w:rsidRDefault="00E953EE" w:rsidP="006909EB">
            <w:pPr>
              <w:rPr>
                <w:rFonts w:cstheme="minorHAnsi"/>
                <w:sz w:val="22"/>
                <w:szCs w:val="22"/>
              </w:rPr>
            </w:pPr>
            <w:r w:rsidRPr="00EB272B">
              <w:rPr>
                <w:rFonts w:cstheme="minorHAnsi"/>
                <w:sz w:val="22"/>
                <w:szCs w:val="22"/>
              </w:rPr>
              <w:t>GEF-6</w:t>
            </w:r>
          </w:p>
        </w:tc>
        <w:tc>
          <w:tcPr>
            <w:tcW w:w="960" w:type="dxa"/>
            <w:hideMark/>
          </w:tcPr>
          <w:p w14:paraId="582B6DE3" w14:textId="77777777" w:rsidR="00E953EE" w:rsidRPr="00EB272B" w:rsidRDefault="00E953EE" w:rsidP="006909EB">
            <w:pPr>
              <w:rPr>
                <w:rFonts w:cstheme="minorHAnsi"/>
                <w:sz w:val="22"/>
                <w:szCs w:val="22"/>
              </w:rPr>
            </w:pPr>
            <w:r w:rsidRPr="00EB272B">
              <w:rPr>
                <w:rFonts w:cstheme="minorHAnsi"/>
                <w:sz w:val="22"/>
                <w:szCs w:val="22"/>
              </w:rPr>
              <w:t>EA</w:t>
            </w:r>
          </w:p>
        </w:tc>
        <w:tc>
          <w:tcPr>
            <w:tcW w:w="960" w:type="dxa"/>
            <w:hideMark/>
          </w:tcPr>
          <w:p w14:paraId="15238E16" w14:textId="77777777" w:rsidR="00E953EE" w:rsidRPr="00EB272B" w:rsidRDefault="00E953EE" w:rsidP="006909EB">
            <w:pPr>
              <w:rPr>
                <w:rFonts w:cstheme="minorHAnsi"/>
                <w:sz w:val="22"/>
                <w:szCs w:val="22"/>
              </w:rPr>
            </w:pPr>
            <w:r w:rsidRPr="00EB272B">
              <w:rPr>
                <w:rFonts w:cstheme="minorHAnsi"/>
                <w:sz w:val="22"/>
                <w:szCs w:val="22"/>
              </w:rPr>
              <w:t>UNEP</w:t>
            </w:r>
          </w:p>
        </w:tc>
        <w:tc>
          <w:tcPr>
            <w:tcW w:w="1660" w:type="dxa"/>
            <w:hideMark/>
          </w:tcPr>
          <w:p w14:paraId="100E95B2" w14:textId="77777777" w:rsidR="00E953EE" w:rsidRPr="00EB272B" w:rsidRDefault="00E953EE" w:rsidP="006909EB">
            <w:pPr>
              <w:jc w:val="right"/>
              <w:rPr>
                <w:rFonts w:cstheme="minorHAnsi"/>
                <w:sz w:val="22"/>
                <w:szCs w:val="22"/>
              </w:rPr>
            </w:pPr>
            <w:r w:rsidRPr="00EB272B">
              <w:rPr>
                <w:rFonts w:cstheme="minorHAnsi"/>
                <w:sz w:val="22"/>
                <w:szCs w:val="22"/>
              </w:rPr>
              <w:t>500000</w:t>
            </w:r>
          </w:p>
        </w:tc>
        <w:tc>
          <w:tcPr>
            <w:tcW w:w="1620" w:type="dxa"/>
            <w:hideMark/>
          </w:tcPr>
          <w:p w14:paraId="1A918DE1" w14:textId="77777777" w:rsidR="00E953EE" w:rsidRPr="00EB272B" w:rsidRDefault="00E953EE" w:rsidP="006909EB">
            <w:pPr>
              <w:jc w:val="right"/>
              <w:rPr>
                <w:rFonts w:cstheme="minorHAnsi"/>
                <w:sz w:val="22"/>
                <w:szCs w:val="22"/>
              </w:rPr>
            </w:pPr>
            <w:r>
              <w:rPr>
                <w:rFonts w:cstheme="minorHAnsi"/>
                <w:sz w:val="22"/>
                <w:szCs w:val="22"/>
              </w:rPr>
              <w:t>0</w:t>
            </w:r>
            <w:r w:rsidRPr="00EB272B">
              <w:rPr>
                <w:rFonts w:cstheme="minorHAnsi"/>
                <w:sz w:val="22"/>
                <w:szCs w:val="22"/>
              </w:rPr>
              <w:t> </w:t>
            </w:r>
          </w:p>
        </w:tc>
      </w:tr>
      <w:tr w:rsidR="00E953EE" w:rsidRPr="00EB272B" w14:paraId="786777C5" w14:textId="77777777" w:rsidTr="006909EB">
        <w:trPr>
          <w:trHeight w:val="600"/>
        </w:trPr>
        <w:tc>
          <w:tcPr>
            <w:tcW w:w="1820" w:type="dxa"/>
            <w:hideMark/>
          </w:tcPr>
          <w:p w14:paraId="6708D78D" w14:textId="77777777" w:rsidR="00E953EE" w:rsidRPr="00EB272B" w:rsidRDefault="00E953EE" w:rsidP="006909EB">
            <w:pPr>
              <w:rPr>
                <w:rFonts w:cstheme="minorHAnsi"/>
                <w:sz w:val="22"/>
                <w:szCs w:val="22"/>
              </w:rPr>
            </w:pPr>
            <w:r w:rsidRPr="00EB272B">
              <w:rPr>
                <w:rFonts w:cstheme="minorHAnsi"/>
                <w:sz w:val="22"/>
                <w:szCs w:val="22"/>
              </w:rPr>
              <w:t>Madagascar</w:t>
            </w:r>
          </w:p>
        </w:tc>
        <w:tc>
          <w:tcPr>
            <w:tcW w:w="1840" w:type="dxa"/>
            <w:hideMark/>
          </w:tcPr>
          <w:p w14:paraId="594223C6" w14:textId="77777777" w:rsidR="00E953EE" w:rsidRPr="00EB272B" w:rsidRDefault="00E953EE" w:rsidP="006909EB">
            <w:pPr>
              <w:rPr>
                <w:rFonts w:cstheme="minorHAnsi"/>
                <w:sz w:val="22"/>
                <w:szCs w:val="22"/>
              </w:rPr>
            </w:pPr>
            <w:r w:rsidRPr="00EB272B">
              <w:rPr>
                <w:rFonts w:cstheme="minorHAnsi"/>
                <w:sz w:val="22"/>
                <w:szCs w:val="22"/>
              </w:rPr>
              <w:t> </w:t>
            </w:r>
          </w:p>
        </w:tc>
        <w:tc>
          <w:tcPr>
            <w:tcW w:w="960" w:type="dxa"/>
            <w:hideMark/>
          </w:tcPr>
          <w:p w14:paraId="59633DD1" w14:textId="77777777" w:rsidR="00E953EE" w:rsidRPr="00EB272B" w:rsidRDefault="00E953EE" w:rsidP="006909EB">
            <w:pPr>
              <w:rPr>
                <w:rFonts w:cstheme="minorHAnsi"/>
                <w:sz w:val="22"/>
                <w:szCs w:val="22"/>
              </w:rPr>
            </w:pPr>
            <w:r w:rsidRPr="00EB272B">
              <w:rPr>
                <w:rFonts w:cstheme="minorHAnsi"/>
                <w:sz w:val="22"/>
                <w:szCs w:val="22"/>
              </w:rPr>
              <w:t>P</w:t>
            </w:r>
          </w:p>
        </w:tc>
        <w:tc>
          <w:tcPr>
            <w:tcW w:w="5380" w:type="dxa"/>
            <w:hideMark/>
          </w:tcPr>
          <w:p w14:paraId="4F47616D" w14:textId="77777777" w:rsidR="00E953EE" w:rsidRPr="00EB272B" w:rsidRDefault="00E953EE" w:rsidP="006909EB">
            <w:pPr>
              <w:rPr>
                <w:rFonts w:cstheme="minorHAnsi"/>
                <w:sz w:val="22"/>
                <w:szCs w:val="22"/>
              </w:rPr>
            </w:pPr>
            <w:r w:rsidRPr="00EB272B">
              <w:rPr>
                <w:rFonts w:cstheme="minorHAnsi"/>
                <w:sz w:val="22"/>
                <w:szCs w:val="22"/>
              </w:rPr>
              <w:t>Development of Minamata Initial Assessment in Madagascar</w:t>
            </w:r>
          </w:p>
        </w:tc>
        <w:tc>
          <w:tcPr>
            <w:tcW w:w="960" w:type="dxa"/>
            <w:hideMark/>
          </w:tcPr>
          <w:p w14:paraId="00717F06" w14:textId="77777777" w:rsidR="00E953EE" w:rsidRPr="00EB272B" w:rsidRDefault="00E953EE" w:rsidP="006909EB">
            <w:pPr>
              <w:rPr>
                <w:rFonts w:cstheme="minorHAnsi"/>
                <w:sz w:val="22"/>
                <w:szCs w:val="22"/>
              </w:rPr>
            </w:pPr>
            <w:r w:rsidRPr="00EB272B">
              <w:rPr>
                <w:rFonts w:cstheme="minorHAnsi"/>
                <w:sz w:val="22"/>
                <w:szCs w:val="22"/>
              </w:rPr>
              <w:t>GEF-5</w:t>
            </w:r>
          </w:p>
        </w:tc>
        <w:tc>
          <w:tcPr>
            <w:tcW w:w="960" w:type="dxa"/>
            <w:hideMark/>
          </w:tcPr>
          <w:p w14:paraId="1D22B64A" w14:textId="77777777" w:rsidR="00E953EE" w:rsidRPr="00EB272B" w:rsidRDefault="00E953EE" w:rsidP="006909EB">
            <w:pPr>
              <w:rPr>
                <w:rFonts w:cstheme="minorHAnsi"/>
                <w:sz w:val="22"/>
                <w:szCs w:val="22"/>
              </w:rPr>
            </w:pPr>
            <w:r w:rsidRPr="00EB272B">
              <w:rPr>
                <w:rFonts w:cstheme="minorHAnsi"/>
                <w:sz w:val="22"/>
                <w:szCs w:val="22"/>
              </w:rPr>
              <w:t>EA</w:t>
            </w:r>
          </w:p>
        </w:tc>
        <w:tc>
          <w:tcPr>
            <w:tcW w:w="960" w:type="dxa"/>
            <w:hideMark/>
          </w:tcPr>
          <w:p w14:paraId="57B7F5B2" w14:textId="77777777" w:rsidR="00E953EE" w:rsidRPr="00EB272B" w:rsidRDefault="00E953EE" w:rsidP="006909EB">
            <w:pPr>
              <w:rPr>
                <w:rFonts w:cstheme="minorHAnsi"/>
                <w:sz w:val="22"/>
                <w:szCs w:val="22"/>
              </w:rPr>
            </w:pPr>
            <w:r w:rsidRPr="00EB272B">
              <w:rPr>
                <w:rFonts w:cstheme="minorHAnsi"/>
                <w:sz w:val="22"/>
                <w:szCs w:val="22"/>
              </w:rPr>
              <w:t>UNEP</w:t>
            </w:r>
          </w:p>
        </w:tc>
        <w:tc>
          <w:tcPr>
            <w:tcW w:w="1660" w:type="dxa"/>
            <w:hideMark/>
          </w:tcPr>
          <w:p w14:paraId="47599793" w14:textId="77777777" w:rsidR="00E953EE" w:rsidRPr="00EB272B" w:rsidRDefault="00E953EE" w:rsidP="006909EB">
            <w:pPr>
              <w:jc w:val="right"/>
              <w:rPr>
                <w:rFonts w:cstheme="minorHAnsi"/>
                <w:sz w:val="22"/>
                <w:szCs w:val="22"/>
              </w:rPr>
            </w:pPr>
            <w:r w:rsidRPr="00EB272B">
              <w:rPr>
                <w:rFonts w:cstheme="minorHAnsi"/>
                <w:sz w:val="22"/>
                <w:szCs w:val="22"/>
              </w:rPr>
              <w:t>182648</w:t>
            </w:r>
          </w:p>
        </w:tc>
        <w:tc>
          <w:tcPr>
            <w:tcW w:w="1620" w:type="dxa"/>
            <w:hideMark/>
          </w:tcPr>
          <w:p w14:paraId="5318C5C2" w14:textId="77777777" w:rsidR="00E953EE" w:rsidRPr="00EB272B" w:rsidRDefault="00E953EE" w:rsidP="006909EB">
            <w:pPr>
              <w:jc w:val="right"/>
              <w:rPr>
                <w:rFonts w:cstheme="minorHAnsi"/>
                <w:sz w:val="22"/>
                <w:szCs w:val="22"/>
              </w:rPr>
            </w:pPr>
            <w:r w:rsidRPr="00EB272B">
              <w:rPr>
                <w:rFonts w:cstheme="minorHAnsi"/>
                <w:sz w:val="22"/>
                <w:szCs w:val="22"/>
              </w:rPr>
              <w:t>200000</w:t>
            </w:r>
          </w:p>
        </w:tc>
      </w:tr>
      <w:tr w:rsidR="00E953EE" w:rsidRPr="00EB272B" w14:paraId="6B7359E9" w14:textId="77777777" w:rsidTr="006909EB">
        <w:trPr>
          <w:trHeight w:val="300"/>
        </w:trPr>
        <w:tc>
          <w:tcPr>
            <w:tcW w:w="1820" w:type="dxa"/>
            <w:hideMark/>
          </w:tcPr>
          <w:p w14:paraId="346AA7AB" w14:textId="77777777" w:rsidR="00E953EE" w:rsidRPr="00EB272B" w:rsidRDefault="00E953EE" w:rsidP="006909EB">
            <w:pPr>
              <w:rPr>
                <w:rFonts w:cstheme="minorHAnsi"/>
                <w:sz w:val="22"/>
                <w:szCs w:val="22"/>
              </w:rPr>
            </w:pPr>
            <w:r w:rsidRPr="00EB272B">
              <w:rPr>
                <w:rFonts w:cstheme="minorHAnsi"/>
                <w:sz w:val="22"/>
                <w:szCs w:val="22"/>
              </w:rPr>
              <w:t>Malaysia</w:t>
            </w:r>
          </w:p>
        </w:tc>
        <w:tc>
          <w:tcPr>
            <w:tcW w:w="1840" w:type="dxa"/>
            <w:hideMark/>
          </w:tcPr>
          <w:p w14:paraId="7AAF228F" w14:textId="77777777" w:rsidR="00E953EE" w:rsidRPr="00EB272B" w:rsidRDefault="00E953EE" w:rsidP="006909EB">
            <w:pPr>
              <w:rPr>
                <w:rFonts w:cstheme="minorHAnsi"/>
                <w:sz w:val="22"/>
                <w:szCs w:val="22"/>
              </w:rPr>
            </w:pPr>
            <w:r w:rsidRPr="00EB272B">
              <w:rPr>
                <w:rFonts w:cstheme="minorHAnsi"/>
                <w:sz w:val="22"/>
                <w:szCs w:val="22"/>
              </w:rPr>
              <w:t> </w:t>
            </w:r>
          </w:p>
        </w:tc>
        <w:tc>
          <w:tcPr>
            <w:tcW w:w="960" w:type="dxa"/>
            <w:hideMark/>
          </w:tcPr>
          <w:p w14:paraId="2BCDC72E" w14:textId="77777777" w:rsidR="00E953EE" w:rsidRPr="00EB272B" w:rsidRDefault="00E953EE" w:rsidP="006909EB">
            <w:pPr>
              <w:rPr>
                <w:rFonts w:cstheme="minorHAnsi"/>
                <w:sz w:val="22"/>
                <w:szCs w:val="22"/>
              </w:rPr>
            </w:pPr>
            <w:r w:rsidRPr="00EB272B">
              <w:rPr>
                <w:rFonts w:cstheme="minorHAnsi"/>
                <w:sz w:val="22"/>
                <w:szCs w:val="22"/>
              </w:rPr>
              <w:t>W</w:t>
            </w:r>
          </w:p>
        </w:tc>
        <w:tc>
          <w:tcPr>
            <w:tcW w:w="5380" w:type="dxa"/>
            <w:hideMark/>
          </w:tcPr>
          <w:p w14:paraId="105EF3AD" w14:textId="77777777" w:rsidR="00E953EE" w:rsidRPr="00EB272B" w:rsidRDefault="00E953EE" w:rsidP="006909EB">
            <w:pPr>
              <w:rPr>
                <w:rFonts w:cstheme="minorHAnsi"/>
                <w:sz w:val="22"/>
                <w:szCs w:val="22"/>
              </w:rPr>
            </w:pPr>
            <w:r w:rsidRPr="00EB272B">
              <w:rPr>
                <w:rFonts w:cstheme="minorHAnsi"/>
                <w:sz w:val="22"/>
                <w:szCs w:val="22"/>
              </w:rPr>
              <w:t>Minamata Convention Initial Assessment in Malaysia</w:t>
            </w:r>
          </w:p>
        </w:tc>
        <w:tc>
          <w:tcPr>
            <w:tcW w:w="960" w:type="dxa"/>
            <w:hideMark/>
          </w:tcPr>
          <w:p w14:paraId="25B6DDA9" w14:textId="77777777" w:rsidR="00E953EE" w:rsidRPr="00EB272B" w:rsidRDefault="00E953EE" w:rsidP="006909EB">
            <w:pPr>
              <w:rPr>
                <w:rFonts w:cstheme="minorHAnsi"/>
                <w:sz w:val="22"/>
                <w:szCs w:val="22"/>
              </w:rPr>
            </w:pPr>
            <w:r w:rsidRPr="00EB272B">
              <w:rPr>
                <w:rFonts w:cstheme="minorHAnsi"/>
                <w:sz w:val="22"/>
                <w:szCs w:val="22"/>
              </w:rPr>
              <w:t>GEF-6</w:t>
            </w:r>
          </w:p>
        </w:tc>
        <w:tc>
          <w:tcPr>
            <w:tcW w:w="960" w:type="dxa"/>
            <w:hideMark/>
          </w:tcPr>
          <w:p w14:paraId="73625D81" w14:textId="77777777" w:rsidR="00E953EE" w:rsidRPr="00EB272B" w:rsidRDefault="00E953EE" w:rsidP="006909EB">
            <w:pPr>
              <w:rPr>
                <w:rFonts w:cstheme="minorHAnsi"/>
                <w:sz w:val="22"/>
                <w:szCs w:val="22"/>
              </w:rPr>
            </w:pPr>
            <w:r w:rsidRPr="00EB272B">
              <w:rPr>
                <w:rFonts w:cstheme="minorHAnsi"/>
                <w:sz w:val="22"/>
                <w:szCs w:val="22"/>
              </w:rPr>
              <w:t>EA</w:t>
            </w:r>
          </w:p>
        </w:tc>
        <w:tc>
          <w:tcPr>
            <w:tcW w:w="960" w:type="dxa"/>
            <w:hideMark/>
          </w:tcPr>
          <w:p w14:paraId="1FAA1826" w14:textId="77777777" w:rsidR="00E953EE" w:rsidRPr="00EB272B" w:rsidRDefault="00E953EE" w:rsidP="006909EB">
            <w:pPr>
              <w:rPr>
                <w:rFonts w:cstheme="minorHAnsi"/>
                <w:sz w:val="22"/>
                <w:szCs w:val="22"/>
              </w:rPr>
            </w:pPr>
            <w:r w:rsidRPr="00EB272B">
              <w:rPr>
                <w:rFonts w:cstheme="minorHAnsi"/>
                <w:sz w:val="22"/>
                <w:szCs w:val="22"/>
              </w:rPr>
              <w:t>UNDP</w:t>
            </w:r>
          </w:p>
        </w:tc>
        <w:tc>
          <w:tcPr>
            <w:tcW w:w="1660" w:type="dxa"/>
            <w:hideMark/>
          </w:tcPr>
          <w:p w14:paraId="5B6D2E10" w14:textId="77777777" w:rsidR="00E953EE" w:rsidRPr="00EB272B" w:rsidRDefault="00E953EE" w:rsidP="006909EB">
            <w:pPr>
              <w:jc w:val="right"/>
              <w:rPr>
                <w:rFonts w:cstheme="minorHAnsi"/>
                <w:sz w:val="22"/>
                <w:szCs w:val="22"/>
              </w:rPr>
            </w:pPr>
            <w:r w:rsidRPr="00EB272B">
              <w:rPr>
                <w:rFonts w:cstheme="minorHAnsi"/>
                <w:sz w:val="22"/>
                <w:szCs w:val="22"/>
              </w:rPr>
              <w:t>250000</w:t>
            </w:r>
          </w:p>
        </w:tc>
        <w:tc>
          <w:tcPr>
            <w:tcW w:w="1620" w:type="dxa"/>
            <w:hideMark/>
          </w:tcPr>
          <w:p w14:paraId="068D07DD" w14:textId="77777777" w:rsidR="00E953EE" w:rsidRPr="00EB272B" w:rsidRDefault="00E953EE" w:rsidP="006909EB">
            <w:pPr>
              <w:jc w:val="right"/>
              <w:rPr>
                <w:rFonts w:cstheme="minorHAnsi"/>
                <w:sz w:val="22"/>
                <w:szCs w:val="22"/>
              </w:rPr>
            </w:pPr>
            <w:r w:rsidRPr="00EB272B">
              <w:rPr>
                <w:rFonts w:cstheme="minorHAnsi"/>
                <w:sz w:val="22"/>
                <w:szCs w:val="22"/>
              </w:rPr>
              <w:t>250000</w:t>
            </w:r>
          </w:p>
        </w:tc>
      </w:tr>
      <w:tr w:rsidR="00E953EE" w:rsidRPr="00EB272B" w14:paraId="172A3996" w14:textId="77777777" w:rsidTr="006909EB">
        <w:trPr>
          <w:trHeight w:val="600"/>
        </w:trPr>
        <w:tc>
          <w:tcPr>
            <w:tcW w:w="1820" w:type="dxa"/>
            <w:hideMark/>
          </w:tcPr>
          <w:p w14:paraId="434D3B6D" w14:textId="77777777" w:rsidR="00E953EE" w:rsidRPr="00EB272B" w:rsidRDefault="00E953EE" w:rsidP="006909EB">
            <w:pPr>
              <w:rPr>
                <w:rFonts w:cstheme="minorHAnsi"/>
                <w:sz w:val="22"/>
                <w:szCs w:val="22"/>
              </w:rPr>
            </w:pPr>
            <w:r w:rsidRPr="00EB272B">
              <w:rPr>
                <w:rFonts w:cstheme="minorHAnsi"/>
                <w:sz w:val="22"/>
                <w:szCs w:val="22"/>
              </w:rPr>
              <w:t>Maldives</w:t>
            </w:r>
          </w:p>
        </w:tc>
        <w:tc>
          <w:tcPr>
            <w:tcW w:w="1840" w:type="dxa"/>
            <w:hideMark/>
          </w:tcPr>
          <w:p w14:paraId="04EDA123" w14:textId="77777777" w:rsidR="00E953EE" w:rsidRPr="00EB272B" w:rsidRDefault="00E953EE" w:rsidP="006909EB">
            <w:pPr>
              <w:rPr>
                <w:rFonts w:cstheme="minorHAnsi"/>
                <w:sz w:val="22"/>
                <w:szCs w:val="22"/>
              </w:rPr>
            </w:pPr>
            <w:r w:rsidRPr="00EB272B">
              <w:rPr>
                <w:rFonts w:cstheme="minorHAnsi"/>
                <w:sz w:val="22"/>
                <w:szCs w:val="22"/>
              </w:rPr>
              <w:t> </w:t>
            </w:r>
          </w:p>
        </w:tc>
        <w:tc>
          <w:tcPr>
            <w:tcW w:w="960" w:type="dxa"/>
            <w:hideMark/>
          </w:tcPr>
          <w:p w14:paraId="2B4B7BB5" w14:textId="77777777" w:rsidR="00E953EE" w:rsidRPr="00EB272B" w:rsidRDefault="00E953EE" w:rsidP="006909EB">
            <w:pPr>
              <w:rPr>
                <w:rFonts w:cstheme="minorHAnsi"/>
                <w:sz w:val="22"/>
                <w:szCs w:val="22"/>
              </w:rPr>
            </w:pPr>
            <w:r w:rsidRPr="00EB272B">
              <w:rPr>
                <w:rFonts w:cstheme="minorHAnsi"/>
                <w:sz w:val="22"/>
                <w:szCs w:val="22"/>
              </w:rPr>
              <w:t>W</w:t>
            </w:r>
          </w:p>
        </w:tc>
        <w:tc>
          <w:tcPr>
            <w:tcW w:w="5380" w:type="dxa"/>
            <w:hideMark/>
          </w:tcPr>
          <w:p w14:paraId="09D586E1" w14:textId="77777777" w:rsidR="00E953EE" w:rsidRPr="00EB272B" w:rsidRDefault="00E953EE" w:rsidP="006909EB">
            <w:pPr>
              <w:rPr>
                <w:rFonts w:cstheme="minorHAnsi"/>
                <w:sz w:val="22"/>
                <w:szCs w:val="22"/>
              </w:rPr>
            </w:pPr>
            <w:r w:rsidRPr="00EB272B">
              <w:rPr>
                <w:rFonts w:cstheme="minorHAnsi"/>
                <w:sz w:val="22"/>
                <w:szCs w:val="22"/>
              </w:rPr>
              <w:t>Development of a Minamata Initial Assessment in Maldives</w:t>
            </w:r>
          </w:p>
        </w:tc>
        <w:tc>
          <w:tcPr>
            <w:tcW w:w="960" w:type="dxa"/>
            <w:hideMark/>
          </w:tcPr>
          <w:p w14:paraId="5FA41B16" w14:textId="77777777" w:rsidR="00E953EE" w:rsidRPr="00EB272B" w:rsidRDefault="00E953EE" w:rsidP="006909EB">
            <w:pPr>
              <w:rPr>
                <w:rFonts w:cstheme="minorHAnsi"/>
                <w:sz w:val="22"/>
                <w:szCs w:val="22"/>
              </w:rPr>
            </w:pPr>
            <w:r w:rsidRPr="00EB272B">
              <w:rPr>
                <w:rFonts w:cstheme="minorHAnsi"/>
                <w:sz w:val="22"/>
                <w:szCs w:val="22"/>
              </w:rPr>
              <w:t>GEF-6</w:t>
            </w:r>
          </w:p>
        </w:tc>
        <w:tc>
          <w:tcPr>
            <w:tcW w:w="960" w:type="dxa"/>
            <w:hideMark/>
          </w:tcPr>
          <w:p w14:paraId="35B0016C" w14:textId="77777777" w:rsidR="00E953EE" w:rsidRPr="00EB272B" w:rsidRDefault="00E953EE" w:rsidP="006909EB">
            <w:pPr>
              <w:rPr>
                <w:rFonts w:cstheme="minorHAnsi"/>
                <w:sz w:val="22"/>
                <w:szCs w:val="22"/>
              </w:rPr>
            </w:pPr>
            <w:r w:rsidRPr="00EB272B">
              <w:rPr>
                <w:rFonts w:cstheme="minorHAnsi"/>
                <w:sz w:val="22"/>
                <w:szCs w:val="22"/>
              </w:rPr>
              <w:t>EA</w:t>
            </w:r>
          </w:p>
        </w:tc>
        <w:tc>
          <w:tcPr>
            <w:tcW w:w="960" w:type="dxa"/>
            <w:hideMark/>
          </w:tcPr>
          <w:p w14:paraId="3C334B53" w14:textId="77777777" w:rsidR="00E953EE" w:rsidRPr="00EB272B" w:rsidRDefault="00E953EE" w:rsidP="006909EB">
            <w:pPr>
              <w:rPr>
                <w:rFonts w:cstheme="minorHAnsi"/>
                <w:sz w:val="22"/>
                <w:szCs w:val="22"/>
              </w:rPr>
            </w:pPr>
            <w:r w:rsidRPr="00EB272B">
              <w:rPr>
                <w:rFonts w:cstheme="minorHAnsi"/>
                <w:sz w:val="22"/>
                <w:szCs w:val="22"/>
              </w:rPr>
              <w:t>UNEP</w:t>
            </w:r>
          </w:p>
        </w:tc>
        <w:tc>
          <w:tcPr>
            <w:tcW w:w="1660" w:type="dxa"/>
            <w:hideMark/>
          </w:tcPr>
          <w:p w14:paraId="16DD86BF" w14:textId="77777777" w:rsidR="00E953EE" w:rsidRPr="00EB272B" w:rsidRDefault="00E953EE" w:rsidP="006909EB">
            <w:pPr>
              <w:jc w:val="right"/>
              <w:rPr>
                <w:rFonts w:cstheme="minorHAnsi"/>
                <w:sz w:val="22"/>
                <w:szCs w:val="22"/>
              </w:rPr>
            </w:pPr>
            <w:r w:rsidRPr="00EB272B">
              <w:rPr>
                <w:rFonts w:cstheme="minorHAnsi"/>
                <w:sz w:val="22"/>
                <w:szCs w:val="22"/>
              </w:rPr>
              <w:t>200000</w:t>
            </w:r>
          </w:p>
        </w:tc>
        <w:tc>
          <w:tcPr>
            <w:tcW w:w="1620" w:type="dxa"/>
            <w:hideMark/>
          </w:tcPr>
          <w:p w14:paraId="4B870DD3" w14:textId="77777777" w:rsidR="00E953EE" w:rsidRPr="00EB272B" w:rsidRDefault="00E953EE" w:rsidP="006909EB">
            <w:pPr>
              <w:jc w:val="right"/>
              <w:rPr>
                <w:rFonts w:cstheme="minorHAnsi"/>
                <w:sz w:val="22"/>
                <w:szCs w:val="22"/>
              </w:rPr>
            </w:pPr>
            <w:r>
              <w:rPr>
                <w:rFonts w:cstheme="minorHAnsi"/>
                <w:sz w:val="22"/>
                <w:szCs w:val="22"/>
              </w:rPr>
              <w:t>0</w:t>
            </w:r>
            <w:r w:rsidRPr="00EB272B">
              <w:rPr>
                <w:rFonts w:cstheme="minorHAnsi"/>
                <w:sz w:val="22"/>
                <w:szCs w:val="22"/>
              </w:rPr>
              <w:t> </w:t>
            </w:r>
          </w:p>
        </w:tc>
      </w:tr>
      <w:tr w:rsidR="00E953EE" w:rsidRPr="00EB272B" w14:paraId="6BB20E61" w14:textId="77777777" w:rsidTr="006909EB">
        <w:trPr>
          <w:trHeight w:val="600"/>
        </w:trPr>
        <w:tc>
          <w:tcPr>
            <w:tcW w:w="1820" w:type="dxa"/>
            <w:hideMark/>
          </w:tcPr>
          <w:p w14:paraId="49EFF27A" w14:textId="77777777" w:rsidR="00E953EE" w:rsidRPr="00EB272B" w:rsidRDefault="00E953EE" w:rsidP="006909EB">
            <w:pPr>
              <w:rPr>
                <w:rFonts w:cstheme="minorHAnsi"/>
                <w:sz w:val="22"/>
                <w:szCs w:val="22"/>
              </w:rPr>
            </w:pPr>
            <w:r w:rsidRPr="00EB272B">
              <w:rPr>
                <w:rFonts w:cstheme="minorHAnsi"/>
                <w:sz w:val="22"/>
                <w:szCs w:val="22"/>
              </w:rPr>
              <w:t>Marshall Islands</w:t>
            </w:r>
          </w:p>
        </w:tc>
        <w:tc>
          <w:tcPr>
            <w:tcW w:w="1840" w:type="dxa"/>
            <w:hideMark/>
          </w:tcPr>
          <w:p w14:paraId="15361B00" w14:textId="77777777" w:rsidR="00E953EE" w:rsidRPr="00EB272B" w:rsidRDefault="00E953EE" w:rsidP="006909EB">
            <w:pPr>
              <w:rPr>
                <w:rFonts w:cstheme="minorHAnsi"/>
                <w:sz w:val="22"/>
                <w:szCs w:val="22"/>
              </w:rPr>
            </w:pPr>
            <w:r w:rsidRPr="00EB272B">
              <w:rPr>
                <w:rFonts w:cstheme="minorHAnsi"/>
                <w:sz w:val="22"/>
                <w:szCs w:val="22"/>
              </w:rPr>
              <w:t> </w:t>
            </w:r>
          </w:p>
        </w:tc>
        <w:tc>
          <w:tcPr>
            <w:tcW w:w="960" w:type="dxa"/>
            <w:hideMark/>
          </w:tcPr>
          <w:p w14:paraId="57B678F5" w14:textId="77777777" w:rsidR="00E953EE" w:rsidRPr="00EB272B" w:rsidRDefault="00E953EE" w:rsidP="006909EB">
            <w:pPr>
              <w:rPr>
                <w:rFonts w:cstheme="minorHAnsi"/>
                <w:sz w:val="22"/>
                <w:szCs w:val="22"/>
              </w:rPr>
            </w:pPr>
            <w:r w:rsidRPr="00EB272B">
              <w:rPr>
                <w:rFonts w:cstheme="minorHAnsi"/>
                <w:sz w:val="22"/>
                <w:szCs w:val="22"/>
              </w:rPr>
              <w:t>W</w:t>
            </w:r>
          </w:p>
        </w:tc>
        <w:tc>
          <w:tcPr>
            <w:tcW w:w="5380" w:type="dxa"/>
            <w:hideMark/>
          </w:tcPr>
          <w:p w14:paraId="0E4B446B" w14:textId="77777777" w:rsidR="00E953EE" w:rsidRPr="00EB272B" w:rsidRDefault="00E953EE" w:rsidP="006909EB">
            <w:pPr>
              <w:rPr>
                <w:rFonts w:cstheme="minorHAnsi"/>
                <w:sz w:val="22"/>
                <w:szCs w:val="22"/>
              </w:rPr>
            </w:pPr>
            <w:r w:rsidRPr="00EB272B">
              <w:rPr>
                <w:rFonts w:cstheme="minorHAnsi"/>
                <w:sz w:val="22"/>
                <w:szCs w:val="22"/>
              </w:rPr>
              <w:t>Development of A Minamata Initial Assessment in Marshall Islands</w:t>
            </w:r>
          </w:p>
        </w:tc>
        <w:tc>
          <w:tcPr>
            <w:tcW w:w="960" w:type="dxa"/>
            <w:hideMark/>
          </w:tcPr>
          <w:p w14:paraId="788C888C" w14:textId="77777777" w:rsidR="00E953EE" w:rsidRPr="00EB272B" w:rsidRDefault="00E953EE" w:rsidP="006909EB">
            <w:pPr>
              <w:rPr>
                <w:rFonts w:cstheme="minorHAnsi"/>
                <w:sz w:val="22"/>
                <w:szCs w:val="22"/>
              </w:rPr>
            </w:pPr>
            <w:r w:rsidRPr="00EB272B">
              <w:rPr>
                <w:rFonts w:cstheme="minorHAnsi"/>
                <w:sz w:val="22"/>
                <w:szCs w:val="22"/>
              </w:rPr>
              <w:t>GEF-6</w:t>
            </w:r>
          </w:p>
        </w:tc>
        <w:tc>
          <w:tcPr>
            <w:tcW w:w="960" w:type="dxa"/>
            <w:hideMark/>
          </w:tcPr>
          <w:p w14:paraId="425F4E3B" w14:textId="77777777" w:rsidR="00E953EE" w:rsidRPr="00EB272B" w:rsidRDefault="00E953EE" w:rsidP="006909EB">
            <w:pPr>
              <w:rPr>
                <w:rFonts w:cstheme="minorHAnsi"/>
                <w:sz w:val="22"/>
                <w:szCs w:val="22"/>
              </w:rPr>
            </w:pPr>
            <w:r w:rsidRPr="00EB272B">
              <w:rPr>
                <w:rFonts w:cstheme="minorHAnsi"/>
                <w:sz w:val="22"/>
                <w:szCs w:val="22"/>
              </w:rPr>
              <w:t>EA</w:t>
            </w:r>
          </w:p>
        </w:tc>
        <w:tc>
          <w:tcPr>
            <w:tcW w:w="960" w:type="dxa"/>
            <w:hideMark/>
          </w:tcPr>
          <w:p w14:paraId="5D491283" w14:textId="77777777" w:rsidR="00E953EE" w:rsidRPr="00EB272B" w:rsidRDefault="00E953EE" w:rsidP="006909EB">
            <w:pPr>
              <w:rPr>
                <w:rFonts w:cstheme="minorHAnsi"/>
                <w:sz w:val="22"/>
                <w:szCs w:val="22"/>
              </w:rPr>
            </w:pPr>
            <w:r w:rsidRPr="00EB272B">
              <w:rPr>
                <w:rFonts w:cstheme="minorHAnsi"/>
                <w:sz w:val="22"/>
                <w:szCs w:val="22"/>
              </w:rPr>
              <w:t>UNEP</w:t>
            </w:r>
          </w:p>
        </w:tc>
        <w:tc>
          <w:tcPr>
            <w:tcW w:w="1660" w:type="dxa"/>
            <w:hideMark/>
          </w:tcPr>
          <w:p w14:paraId="575806B4" w14:textId="77777777" w:rsidR="00E953EE" w:rsidRPr="00EB272B" w:rsidRDefault="00E953EE" w:rsidP="006909EB">
            <w:pPr>
              <w:jc w:val="right"/>
              <w:rPr>
                <w:rFonts w:cstheme="minorHAnsi"/>
                <w:sz w:val="22"/>
                <w:szCs w:val="22"/>
              </w:rPr>
            </w:pPr>
            <w:r w:rsidRPr="00EB272B">
              <w:rPr>
                <w:rFonts w:cstheme="minorHAnsi"/>
                <w:sz w:val="22"/>
                <w:szCs w:val="22"/>
              </w:rPr>
              <w:t>125000</w:t>
            </w:r>
          </w:p>
        </w:tc>
        <w:tc>
          <w:tcPr>
            <w:tcW w:w="1620" w:type="dxa"/>
            <w:hideMark/>
          </w:tcPr>
          <w:p w14:paraId="6705FC6F" w14:textId="77777777" w:rsidR="00E953EE" w:rsidRPr="00EB272B" w:rsidRDefault="00E953EE" w:rsidP="006909EB">
            <w:pPr>
              <w:jc w:val="right"/>
              <w:rPr>
                <w:rFonts w:cstheme="minorHAnsi"/>
                <w:sz w:val="22"/>
                <w:szCs w:val="22"/>
              </w:rPr>
            </w:pPr>
            <w:r>
              <w:rPr>
                <w:rFonts w:cstheme="minorHAnsi"/>
                <w:sz w:val="22"/>
                <w:szCs w:val="22"/>
              </w:rPr>
              <w:t>0</w:t>
            </w:r>
            <w:r w:rsidRPr="00EB272B">
              <w:rPr>
                <w:rFonts w:cstheme="minorHAnsi"/>
                <w:sz w:val="22"/>
                <w:szCs w:val="22"/>
              </w:rPr>
              <w:t> </w:t>
            </w:r>
          </w:p>
        </w:tc>
      </w:tr>
      <w:tr w:rsidR="00E953EE" w:rsidRPr="00EB272B" w14:paraId="6012A9B1" w14:textId="77777777" w:rsidTr="006909EB">
        <w:trPr>
          <w:trHeight w:val="1200"/>
        </w:trPr>
        <w:tc>
          <w:tcPr>
            <w:tcW w:w="1820" w:type="dxa"/>
            <w:hideMark/>
          </w:tcPr>
          <w:p w14:paraId="28DE9A33" w14:textId="77777777" w:rsidR="00E953EE" w:rsidRPr="00EB272B" w:rsidRDefault="00E953EE" w:rsidP="006909EB">
            <w:pPr>
              <w:rPr>
                <w:rFonts w:cstheme="minorHAnsi"/>
                <w:sz w:val="22"/>
                <w:szCs w:val="22"/>
              </w:rPr>
            </w:pPr>
            <w:r w:rsidRPr="00EB272B">
              <w:rPr>
                <w:rFonts w:cstheme="minorHAnsi"/>
                <w:sz w:val="22"/>
                <w:szCs w:val="22"/>
              </w:rPr>
              <w:t>Mauritius</w:t>
            </w:r>
          </w:p>
        </w:tc>
        <w:tc>
          <w:tcPr>
            <w:tcW w:w="1840" w:type="dxa"/>
            <w:hideMark/>
          </w:tcPr>
          <w:p w14:paraId="7ECE4CD9" w14:textId="77777777" w:rsidR="00E953EE" w:rsidRPr="00EB272B" w:rsidRDefault="00E953EE" w:rsidP="006909EB">
            <w:pPr>
              <w:rPr>
                <w:rFonts w:cstheme="minorHAnsi"/>
                <w:sz w:val="22"/>
                <w:szCs w:val="22"/>
              </w:rPr>
            </w:pPr>
            <w:r w:rsidRPr="00EB272B">
              <w:rPr>
                <w:rFonts w:cstheme="minorHAnsi"/>
                <w:sz w:val="22"/>
                <w:szCs w:val="22"/>
              </w:rPr>
              <w:t> </w:t>
            </w:r>
          </w:p>
        </w:tc>
        <w:tc>
          <w:tcPr>
            <w:tcW w:w="960" w:type="dxa"/>
            <w:hideMark/>
          </w:tcPr>
          <w:p w14:paraId="4B67151F" w14:textId="77777777" w:rsidR="00E953EE" w:rsidRPr="00EB272B" w:rsidRDefault="00E953EE" w:rsidP="006909EB">
            <w:pPr>
              <w:rPr>
                <w:rFonts w:cstheme="minorHAnsi"/>
                <w:sz w:val="22"/>
                <w:szCs w:val="22"/>
              </w:rPr>
            </w:pPr>
            <w:r w:rsidRPr="00EB272B">
              <w:rPr>
                <w:rFonts w:cstheme="minorHAnsi"/>
                <w:sz w:val="22"/>
                <w:szCs w:val="22"/>
              </w:rPr>
              <w:t>P</w:t>
            </w:r>
          </w:p>
        </w:tc>
        <w:tc>
          <w:tcPr>
            <w:tcW w:w="5380" w:type="dxa"/>
            <w:hideMark/>
          </w:tcPr>
          <w:p w14:paraId="4CA21C81" w14:textId="77777777" w:rsidR="00E953EE" w:rsidRPr="00EB272B" w:rsidRDefault="00E953EE" w:rsidP="006909EB">
            <w:pPr>
              <w:rPr>
                <w:rFonts w:cstheme="minorHAnsi"/>
                <w:sz w:val="22"/>
                <w:szCs w:val="22"/>
              </w:rPr>
            </w:pPr>
            <w:r w:rsidRPr="00EB272B">
              <w:rPr>
                <w:rFonts w:cstheme="minorHAnsi"/>
                <w:sz w:val="22"/>
                <w:szCs w:val="22"/>
              </w:rPr>
              <w:t>Strengthen National Decision Making Towards Ratification of the Minamata Convention and Build Capacity Towards Implementation of Future Provisions.</w:t>
            </w:r>
          </w:p>
        </w:tc>
        <w:tc>
          <w:tcPr>
            <w:tcW w:w="960" w:type="dxa"/>
            <w:hideMark/>
          </w:tcPr>
          <w:p w14:paraId="022C5D54" w14:textId="77777777" w:rsidR="00E953EE" w:rsidRPr="00EB272B" w:rsidRDefault="00E953EE" w:rsidP="006909EB">
            <w:pPr>
              <w:rPr>
                <w:rFonts w:cstheme="minorHAnsi"/>
                <w:sz w:val="22"/>
                <w:szCs w:val="22"/>
              </w:rPr>
            </w:pPr>
            <w:r w:rsidRPr="00EB272B">
              <w:rPr>
                <w:rFonts w:cstheme="minorHAnsi"/>
                <w:sz w:val="22"/>
                <w:szCs w:val="22"/>
              </w:rPr>
              <w:t>GEF-5</w:t>
            </w:r>
          </w:p>
        </w:tc>
        <w:tc>
          <w:tcPr>
            <w:tcW w:w="960" w:type="dxa"/>
            <w:hideMark/>
          </w:tcPr>
          <w:p w14:paraId="7B051888" w14:textId="77777777" w:rsidR="00E953EE" w:rsidRPr="00EB272B" w:rsidRDefault="00E953EE" w:rsidP="006909EB">
            <w:pPr>
              <w:rPr>
                <w:rFonts w:cstheme="minorHAnsi"/>
                <w:sz w:val="22"/>
                <w:szCs w:val="22"/>
              </w:rPr>
            </w:pPr>
            <w:r w:rsidRPr="00EB272B">
              <w:rPr>
                <w:rFonts w:cstheme="minorHAnsi"/>
                <w:sz w:val="22"/>
                <w:szCs w:val="22"/>
              </w:rPr>
              <w:t>EA</w:t>
            </w:r>
          </w:p>
        </w:tc>
        <w:tc>
          <w:tcPr>
            <w:tcW w:w="960" w:type="dxa"/>
            <w:hideMark/>
          </w:tcPr>
          <w:p w14:paraId="0D8B2262" w14:textId="77777777" w:rsidR="00E953EE" w:rsidRPr="00EB272B" w:rsidRDefault="00E953EE" w:rsidP="006909EB">
            <w:pPr>
              <w:rPr>
                <w:rFonts w:cstheme="minorHAnsi"/>
                <w:sz w:val="22"/>
                <w:szCs w:val="22"/>
              </w:rPr>
            </w:pPr>
            <w:r w:rsidRPr="00EB272B">
              <w:rPr>
                <w:rFonts w:cstheme="minorHAnsi"/>
                <w:sz w:val="22"/>
                <w:szCs w:val="22"/>
              </w:rPr>
              <w:t>UNDP</w:t>
            </w:r>
          </w:p>
        </w:tc>
        <w:tc>
          <w:tcPr>
            <w:tcW w:w="1660" w:type="dxa"/>
            <w:hideMark/>
          </w:tcPr>
          <w:p w14:paraId="2DB2AF4B" w14:textId="77777777" w:rsidR="00E953EE" w:rsidRPr="00EB272B" w:rsidRDefault="00E953EE" w:rsidP="006909EB">
            <w:pPr>
              <w:jc w:val="right"/>
              <w:rPr>
                <w:rFonts w:cstheme="minorHAnsi"/>
                <w:sz w:val="22"/>
                <w:szCs w:val="22"/>
              </w:rPr>
            </w:pPr>
            <w:r w:rsidRPr="00EB272B">
              <w:rPr>
                <w:rFonts w:cstheme="minorHAnsi"/>
                <w:sz w:val="22"/>
                <w:szCs w:val="22"/>
              </w:rPr>
              <w:t>199749</w:t>
            </w:r>
          </w:p>
        </w:tc>
        <w:tc>
          <w:tcPr>
            <w:tcW w:w="1620" w:type="dxa"/>
            <w:hideMark/>
          </w:tcPr>
          <w:p w14:paraId="3AFB91BC" w14:textId="77777777" w:rsidR="00E953EE" w:rsidRPr="00EB272B" w:rsidRDefault="00E953EE" w:rsidP="006909EB">
            <w:pPr>
              <w:jc w:val="right"/>
              <w:rPr>
                <w:rFonts w:cstheme="minorHAnsi"/>
                <w:sz w:val="22"/>
                <w:szCs w:val="22"/>
              </w:rPr>
            </w:pPr>
            <w:r w:rsidRPr="00EB272B">
              <w:rPr>
                <w:rFonts w:cstheme="minorHAnsi"/>
                <w:sz w:val="22"/>
                <w:szCs w:val="22"/>
              </w:rPr>
              <w:t>125000</w:t>
            </w:r>
          </w:p>
        </w:tc>
      </w:tr>
      <w:tr w:rsidR="00E953EE" w:rsidRPr="00EB272B" w14:paraId="63417153" w14:textId="77777777" w:rsidTr="006909EB">
        <w:trPr>
          <w:trHeight w:val="900"/>
        </w:trPr>
        <w:tc>
          <w:tcPr>
            <w:tcW w:w="1820" w:type="dxa"/>
            <w:hideMark/>
          </w:tcPr>
          <w:p w14:paraId="4704E7AE" w14:textId="77777777" w:rsidR="00E953EE" w:rsidRPr="00EB272B" w:rsidRDefault="00E953EE" w:rsidP="006909EB">
            <w:pPr>
              <w:rPr>
                <w:rFonts w:cstheme="minorHAnsi"/>
                <w:sz w:val="22"/>
                <w:szCs w:val="22"/>
              </w:rPr>
            </w:pPr>
            <w:r w:rsidRPr="00EB272B">
              <w:rPr>
                <w:rFonts w:cstheme="minorHAnsi"/>
                <w:sz w:val="22"/>
                <w:szCs w:val="22"/>
              </w:rPr>
              <w:t>Mexico</w:t>
            </w:r>
          </w:p>
        </w:tc>
        <w:tc>
          <w:tcPr>
            <w:tcW w:w="1840" w:type="dxa"/>
            <w:hideMark/>
          </w:tcPr>
          <w:p w14:paraId="2238EC22" w14:textId="77777777" w:rsidR="00E953EE" w:rsidRPr="00EB272B" w:rsidRDefault="00E953EE" w:rsidP="006909EB">
            <w:pPr>
              <w:rPr>
                <w:rFonts w:cstheme="minorHAnsi"/>
                <w:sz w:val="22"/>
                <w:szCs w:val="22"/>
              </w:rPr>
            </w:pPr>
            <w:r w:rsidRPr="00EB272B">
              <w:rPr>
                <w:rFonts w:cstheme="minorHAnsi"/>
                <w:sz w:val="22"/>
                <w:szCs w:val="22"/>
              </w:rPr>
              <w:t> </w:t>
            </w:r>
          </w:p>
        </w:tc>
        <w:tc>
          <w:tcPr>
            <w:tcW w:w="960" w:type="dxa"/>
            <w:hideMark/>
          </w:tcPr>
          <w:p w14:paraId="7CC799BB" w14:textId="77777777" w:rsidR="00E953EE" w:rsidRPr="00EB272B" w:rsidRDefault="00E953EE" w:rsidP="006909EB">
            <w:pPr>
              <w:rPr>
                <w:rFonts w:cstheme="minorHAnsi"/>
                <w:sz w:val="22"/>
                <w:szCs w:val="22"/>
              </w:rPr>
            </w:pPr>
            <w:r w:rsidRPr="00EB272B">
              <w:rPr>
                <w:rFonts w:cstheme="minorHAnsi"/>
                <w:sz w:val="22"/>
                <w:szCs w:val="22"/>
              </w:rPr>
              <w:t>W</w:t>
            </w:r>
          </w:p>
        </w:tc>
        <w:tc>
          <w:tcPr>
            <w:tcW w:w="5380" w:type="dxa"/>
            <w:hideMark/>
          </w:tcPr>
          <w:p w14:paraId="1061A2C8" w14:textId="77777777" w:rsidR="00E953EE" w:rsidRPr="00EB272B" w:rsidRDefault="00E953EE" w:rsidP="006909EB">
            <w:pPr>
              <w:rPr>
                <w:rFonts w:cstheme="minorHAnsi"/>
                <w:sz w:val="22"/>
                <w:szCs w:val="22"/>
              </w:rPr>
            </w:pPr>
            <w:r w:rsidRPr="00EB272B">
              <w:rPr>
                <w:rFonts w:cstheme="minorHAnsi"/>
                <w:sz w:val="22"/>
                <w:szCs w:val="22"/>
              </w:rPr>
              <w:t>Reducing global environmental risks through the monitoring and development of alternative livelihood for the primary mercury mining sector in Mexico</w:t>
            </w:r>
          </w:p>
        </w:tc>
        <w:tc>
          <w:tcPr>
            <w:tcW w:w="960" w:type="dxa"/>
            <w:hideMark/>
          </w:tcPr>
          <w:p w14:paraId="0CAE9246" w14:textId="77777777" w:rsidR="00E953EE" w:rsidRPr="00EB272B" w:rsidRDefault="00E953EE" w:rsidP="006909EB">
            <w:pPr>
              <w:rPr>
                <w:rFonts w:cstheme="minorHAnsi"/>
                <w:sz w:val="22"/>
                <w:szCs w:val="22"/>
              </w:rPr>
            </w:pPr>
            <w:r w:rsidRPr="00EB272B">
              <w:rPr>
                <w:rFonts w:cstheme="minorHAnsi"/>
                <w:sz w:val="22"/>
                <w:szCs w:val="22"/>
              </w:rPr>
              <w:t>GEF-7</w:t>
            </w:r>
          </w:p>
        </w:tc>
        <w:tc>
          <w:tcPr>
            <w:tcW w:w="960" w:type="dxa"/>
            <w:hideMark/>
          </w:tcPr>
          <w:p w14:paraId="202E4313" w14:textId="77777777" w:rsidR="00E953EE" w:rsidRPr="00EB272B" w:rsidRDefault="00E953EE" w:rsidP="006909EB">
            <w:pPr>
              <w:rPr>
                <w:rFonts w:cstheme="minorHAnsi"/>
                <w:sz w:val="22"/>
                <w:szCs w:val="22"/>
              </w:rPr>
            </w:pPr>
            <w:r w:rsidRPr="00EB272B">
              <w:rPr>
                <w:rFonts w:cstheme="minorHAnsi"/>
                <w:sz w:val="22"/>
                <w:szCs w:val="22"/>
              </w:rPr>
              <w:t>FSP</w:t>
            </w:r>
          </w:p>
        </w:tc>
        <w:tc>
          <w:tcPr>
            <w:tcW w:w="960" w:type="dxa"/>
            <w:hideMark/>
          </w:tcPr>
          <w:p w14:paraId="29CFF9DC" w14:textId="77777777" w:rsidR="00E953EE" w:rsidRPr="00EB272B" w:rsidRDefault="00E953EE" w:rsidP="006909EB">
            <w:pPr>
              <w:rPr>
                <w:rFonts w:cstheme="minorHAnsi"/>
                <w:sz w:val="22"/>
                <w:szCs w:val="22"/>
              </w:rPr>
            </w:pPr>
            <w:r w:rsidRPr="00EB272B">
              <w:rPr>
                <w:rFonts w:cstheme="minorHAnsi"/>
                <w:sz w:val="22"/>
                <w:szCs w:val="22"/>
              </w:rPr>
              <w:t>UNEP</w:t>
            </w:r>
          </w:p>
        </w:tc>
        <w:tc>
          <w:tcPr>
            <w:tcW w:w="1660" w:type="dxa"/>
            <w:hideMark/>
          </w:tcPr>
          <w:p w14:paraId="2AB12B1D" w14:textId="77777777" w:rsidR="00E953EE" w:rsidRPr="00EB272B" w:rsidRDefault="00E953EE" w:rsidP="006909EB">
            <w:pPr>
              <w:jc w:val="right"/>
              <w:rPr>
                <w:rFonts w:cstheme="minorHAnsi"/>
                <w:sz w:val="22"/>
                <w:szCs w:val="22"/>
              </w:rPr>
            </w:pPr>
            <w:r w:rsidRPr="00EB272B">
              <w:rPr>
                <w:rFonts w:cstheme="minorHAnsi"/>
                <w:sz w:val="22"/>
                <w:szCs w:val="22"/>
              </w:rPr>
              <w:t>7035000</w:t>
            </w:r>
          </w:p>
        </w:tc>
        <w:tc>
          <w:tcPr>
            <w:tcW w:w="1620" w:type="dxa"/>
            <w:hideMark/>
          </w:tcPr>
          <w:p w14:paraId="69CFC83B" w14:textId="77777777" w:rsidR="00E953EE" w:rsidRPr="00EB272B" w:rsidRDefault="00E953EE" w:rsidP="006909EB">
            <w:pPr>
              <w:jc w:val="right"/>
              <w:rPr>
                <w:rFonts w:cstheme="minorHAnsi"/>
                <w:sz w:val="22"/>
                <w:szCs w:val="22"/>
              </w:rPr>
            </w:pPr>
            <w:r w:rsidRPr="00EB272B">
              <w:rPr>
                <w:rFonts w:cstheme="minorHAnsi"/>
                <w:sz w:val="22"/>
                <w:szCs w:val="22"/>
              </w:rPr>
              <w:t>40850000</w:t>
            </w:r>
          </w:p>
        </w:tc>
      </w:tr>
      <w:tr w:rsidR="00E953EE" w:rsidRPr="00EB272B" w14:paraId="41FFFFD1" w14:textId="77777777" w:rsidTr="006909EB">
        <w:trPr>
          <w:trHeight w:val="600"/>
        </w:trPr>
        <w:tc>
          <w:tcPr>
            <w:tcW w:w="1820" w:type="dxa"/>
            <w:hideMark/>
          </w:tcPr>
          <w:p w14:paraId="60A55A96" w14:textId="77777777" w:rsidR="00E953EE" w:rsidRPr="00EB272B" w:rsidRDefault="00E953EE" w:rsidP="006909EB">
            <w:pPr>
              <w:rPr>
                <w:rFonts w:cstheme="minorHAnsi"/>
                <w:sz w:val="22"/>
                <w:szCs w:val="22"/>
              </w:rPr>
            </w:pPr>
            <w:r w:rsidRPr="00EB272B">
              <w:rPr>
                <w:rFonts w:cstheme="minorHAnsi"/>
                <w:sz w:val="22"/>
                <w:szCs w:val="22"/>
              </w:rPr>
              <w:lastRenderedPageBreak/>
              <w:t>Mexico</w:t>
            </w:r>
          </w:p>
        </w:tc>
        <w:tc>
          <w:tcPr>
            <w:tcW w:w="1840" w:type="dxa"/>
            <w:hideMark/>
          </w:tcPr>
          <w:p w14:paraId="429119BD" w14:textId="77777777" w:rsidR="00E953EE" w:rsidRPr="00EB272B" w:rsidRDefault="00E953EE" w:rsidP="006909EB">
            <w:pPr>
              <w:rPr>
                <w:rFonts w:cstheme="minorHAnsi"/>
                <w:sz w:val="22"/>
                <w:szCs w:val="22"/>
              </w:rPr>
            </w:pPr>
            <w:r w:rsidRPr="00EB272B">
              <w:rPr>
                <w:rFonts w:cstheme="minorHAnsi"/>
                <w:sz w:val="22"/>
                <w:szCs w:val="22"/>
              </w:rPr>
              <w:t> </w:t>
            </w:r>
          </w:p>
        </w:tc>
        <w:tc>
          <w:tcPr>
            <w:tcW w:w="960" w:type="dxa"/>
            <w:hideMark/>
          </w:tcPr>
          <w:p w14:paraId="53953B0E" w14:textId="77777777" w:rsidR="00E953EE" w:rsidRPr="00EB272B" w:rsidRDefault="00E953EE" w:rsidP="006909EB">
            <w:pPr>
              <w:rPr>
                <w:rFonts w:cstheme="minorHAnsi"/>
                <w:sz w:val="22"/>
                <w:szCs w:val="22"/>
              </w:rPr>
            </w:pPr>
            <w:r w:rsidRPr="00EB272B">
              <w:rPr>
                <w:rFonts w:cstheme="minorHAnsi"/>
                <w:sz w:val="22"/>
                <w:szCs w:val="22"/>
              </w:rPr>
              <w:t>P</w:t>
            </w:r>
          </w:p>
        </w:tc>
        <w:tc>
          <w:tcPr>
            <w:tcW w:w="5380" w:type="dxa"/>
            <w:hideMark/>
          </w:tcPr>
          <w:p w14:paraId="1F07684C" w14:textId="77777777" w:rsidR="00E953EE" w:rsidRPr="00EB272B" w:rsidRDefault="00E953EE" w:rsidP="006909EB">
            <w:pPr>
              <w:rPr>
                <w:rFonts w:cstheme="minorHAnsi"/>
                <w:sz w:val="22"/>
                <w:szCs w:val="22"/>
              </w:rPr>
            </w:pPr>
            <w:r w:rsidRPr="00EB272B">
              <w:rPr>
                <w:rFonts w:cstheme="minorHAnsi"/>
                <w:sz w:val="22"/>
                <w:szCs w:val="22"/>
              </w:rPr>
              <w:t>Development of Minamata Initial Assessment in Mexico</w:t>
            </w:r>
          </w:p>
        </w:tc>
        <w:tc>
          <w:tcPr>
            <w:tcW w:w="960" w:type="dxa"/>
            <w:hideMark/>
          </w:tcPr>
          <w:p w14:paraId="7A38E7C6" w14:textId="77777777" w:rsidR="00E953EE" w:rsidRPr="00EB272B" w:rsidRDefault="00E953EE" w:rsidP="006909EB">
            <w:pPr>
              <w:rPr>
                <w:rFonts w:cstheme="minorHAnsi"/>
                <w:sz w:val="22"/>
                <w:szCs w:val="22"/>
              </w:rPr>
            </w:pPr>
            <w:r w:rsidRPr="00EB272B">
              <w:rPr>
                <w:rFonts w:cstheme="minorHAnsi"/>
                <w:sz w:val="22"/>
                <w:szCs w:val="22"/>
              </w:rPr>
              <w:t>GEF-5</w:t>
            </w:r>
          </w:p>
        </w:tc>
        <w:tc>
          <w:tcPr>
            <w:tcW w:w="960" w:type="dxa"/>
            <w:hideMark/>
          </w:tcPr>
          <w:p w14:paraId="742091A9" w14:textId="77777777" w:rsidR="00E953EE" w:rsidRPr="00EB272B" w:rsidRDefault="00E953EE" w:rsidP="006909EB">
            <w:pPr>
              <w:rPr>
                <w:rFonts w:cstheme="minorHAnsi"/>
                <w:sz w:val="22"/>
                <w:szCs w:val="22"/>
              </w:rPr>
            </w:pPr>
            <w:r w:rsidRPr="00EB272B">
              <w:rPr>
                <w:rFonts w:cstheme="minorHAnsi"/>
                <w:sz w:val="22"/>
                <w:szCs w:val="22"/>
              </w:rPr>
              <w:t>EA</w:t>
            </w:r>
          </w:p>
        </w:tc>
        <w:tc>
          <w:tcPr>
            <w:tcW w:w="960" w:type="dxa"/>
            <w:hideMark/>
          </w:tcPr>
          <w:p w14:paraId="2080EE9E" w14:textId="77777777" w:rsidR="00E953EE" w:rsidRPr="00EB272B" w:rsidRDefault="00E953EE" w:rsidP="006909EB">
            <w:pPr>
              <w:rPr>
                <w:rFonts w:cstheme="minorHAnsi"/>
                <w:sz w:val="22"/>
                <w:szCs w:val="22"/>
              </w:rPr>
            </w:pPr>
            <w:r w:rsidRPr="00EB272B">
              <w:rPr>
                <w:rFonts w:cstheme="minorHAnsi"/>
                <w:sz w:val="22"/>
                <w:szCs w:val="22"/>
              </w:rPr>
              <w:t>UNEP</w:t>
            </w:r>
          </w:p>
        </w:tc>
        <w:tc>
          <w:tcPr>
            <w:tcW w:w="1660" w:type="dxa"/>
            <w:hideMark/>
          </w:tcPr>
          <w:p w14:paraId="0D4EDE5F" w14:textId="77777777" w:rsidR="00E953EE" w:rsidRPr="00EB272B" w:rsidRDefault="00E953EE" w:rsidP="006909EB">
            <w:pPr>
              <w:jc w:val="right"/>
              <w:rPr>
                <w:rFonts w:cstheme="minorHAnsi"/>
                <w:sz w:val="22"/>
                <w:szCs w:val="22"/>
              </w:rPr>
            </w:pPr>
            <w:r w:rsidRPr="00EB272B">
              <w:rPr>
                <w:rFonts w:cstheme="minorHAnsi"/>
                <w:sz w:val="22"/>
                <w:szCs w:val="22"/>
              </w:rPr>
              <w:t>456530</w:t>
            </w:r>
          </w:p>
        </w:tc>
        <w:tc>
          <w:tcPr>
            <w:tcW w:w="1620" w:type="dxa"/>
            <w:hideMark/>
          </w:tcPr>
          <w:p w14:paraId="25B5941E" w14:textId="77777777" w:rsidR="00E953EE" w:rsidRPr="00EB272B" w:rsidRDefault="00E953EE" w:rsidP="006909EB">
            <w:pPr>
              <w:jc w:val="right"/>
              <w:rPr>
                <w:rFonts w:cstheme="minorHAnsi"/>
                <w:sz w:val="22"/>
                <w:szCs w:val="22"/>
              </w:rPr>
            </w:pPr>
            <w:r w:rsidRPr="00EB272B">
              <w:rPr>
                <w:rFonts w:cstheme="minorHAnsi"/>
                <w:sz w:val="22"/>
                <w:szCs w:val="22"/>
              </w:rPr>
              <w:t>40000</w:t>
            </w:r>
          </w:p>
        </w:tc>
      </w:tr>
      <w:tr w:rsidR="00E953EE" w:rsidRPr="00EB272B" w14:paraId="19C246FD" w14:textId="77777777" w:rsidTr="006909EB">
        <w:trPr>
          <w:trHeight w:val="600"/>
        </w:trPr>
        <w:tc>
          <w:tcPr>
            <w:tcW w:w="1820" w:type="dxa"/>
            <w:hideMark/>
          </w:tcPr>
          <w:p w14:paraId="1505C241" w14:textId="4E9480B6" w:rsidR="00E953EE" w:rsidRPr="00EB272B" w:rsidRDefault="00E953EE" w:rsidP="006909EB">
            <w:pPr>
              <w:rPr>
                <w:rFonts w:cstheme="minorHAnsi"/>
                <w:sz w:val="22"/>
                <w:szCs w:val="22"/>
              </w:rPr>
            </w:pPr>
            <w:r w:rsidRPr="00EB272B">
              <w:rPr>
                <w:rFonts w:cstheme="minorHAnsi"/>
                <w:sz w:val="22"/>
                <w:szCs w:val="22"/>
              </w:rPr>
              <w:t>Mic</w:t>
            </w:r>
            <w:r w:rsidR="00D33F35">
              <w:rPr>
                <w:rFonts w:cstheme="minorHAnsi"/>
                <w:sz w:val="22"/>
                <w:szCs w:val="22"/>
              </w:rPr>
              <w:t>r</w:t>
            </w:r>
            <w:r w:rsidRPr="00EB272B">
              <w:rPr>
                <w:rFonts w:cstheme="minorHAnsi"/>
                <w:sz w:val="22"/>
                <w:szCs w:val="22"/>
              </w:rPr>
              <w:t>onesia</w:t>
            </w:r>
          </w:p>
        </w:tc>
        <w:tc>
          <w:tcPr>
            <w:tcW w:w="1840" w:type="dxa"/>
            <w:hideMark/>
          </w:tcPr>
          <w:p w14:paraId="18F9FC7A" w14:textId="77777777" w:rsidR="00E953EE" w:rsidRPr="00EB272B" w:rsidRDefault="00E953EE" w:rsidP="006909EB">
            <w:pPr>
              <w:rPr>
                <w:rFonts w:cstheme="minorHAnsi"/>
                <w:sz w:val="22"/>
                <w:szCs w:val="22"/>
              </w:rPr>
            </w:pPr>
            <w:r w:rsidRPr="00EB272B">
              <w:rPr>
                <w:rFonts w:cstheme="minorHAnsi"/>
                <w:sz w:val="22"/>
                <w:szCs w:val="22"/>
              </w:rPr>
              <w:t> </w:t>
            </w:r>
          </w:p>
        </w:tc>
        <w:tc>
          <w:tcPr>
            <w:tcW w:w="960" w:type="dxa"/>
            <w:hideMark/>
          </w:tcPr>
          <w:p w14:paraId="49578506" w14:textId="77777777" w:rsidR="00E953EE" w:rsidRPr="00EB272B" w:rsidRDefault="00E953EE" w:rsidP="006909EB">
            <w:pPr>
              <w:rPr>
                <w:rFonts w:cstheme="minorHAnsi"/>
                <w:sz w:val="22"/>
                <w:szCs w:val="22"/>
              </w:rPr>
            </w:pPr>
            <w:r w:rsidRPr="00EB272B">
              <w:rPr>
                <w:rFonts w:cstheme="minorHAnsi"/>
                <w:sz w:val="22"/>
                <w:szCs w:val="22"/>
              </w:rPr>
              <w:t>W</w:t>
            </w:r>
          </w:p>
        </w:tc>
        <w:tc>
          <w:tcPr>
            <w:tcW w:w="5380" w:type="dxa"/>
            <w:hideMark/>
          </w:tcPr>
          <w:p w14:paraId="3D971391" w14:textId="77777777" w:rsidR="00E953EE" w:rsidRPr="00EB272B" w:rsidRDefault="00E953EE" w:rsidP="006909EB">
            <w:pPr>
              <w:rPr>
                <w:rFonts w:cstheme="minorHAnsi"/>
                <w:sz w:val="22"/>
                <w:szCs w:val="22"/>
              </w:rPr>
            </w:pPr>
            <w:r w:rsidRPr="00EB272B">
              <w:rPr>
                <w:rFonts w:cstheme="minorHAnsi"/>
                <w:sz w:val="22"/>
                <w:szCs w:val="22"/>
              </w:rPr>
              <w:t>Development of a Minamata Initial Assessment in the Federated States of Micronesia</w:t>
            </w:r>
          </w:p>
        </w:tc>
        <w:tc>
          <w:tcPr>
            <w:tcW w:w="960" w:type="dxa"/>
            <w:hideMark/>
          </w:tcPr>
          <w:p w14:paraId="67D67A17" w14:textId="77777777" w:rsidR="00E953EE" w:rsidRPr="00EB272B" w:rsidRDefault="00E953EE" w:rsidP="006909EB">
            <w:pPr>
              <w:rPr>
                <w:rFonts w:cstheme="minorHAnsi"/>
                <w:sz w:val="22"/>
                <w:szCs w:val="22"/>
              </w:rPr>
            </w:pPr>
            <w:r w:rsidRPr="00EB272B">
              <w:rPr>
                <w:rFonts w:cstheme="minorHAnsi"/>
                <w:sz w:val="22"/>
                <w:szCs w:val="22"/>
              </w:rPr>
              <w:t>GEF-6</w:t>
            </w:r>
          </w:p>
        </w:tc>
        <w:tc>
          <w:tcPr>
            <w:tcW w:w="960" w:type="dxa"/>
            <w:hideMark/>
          </w:tcPr>
          <w:p w14:paraId="2A16AB15" w14:textId="77777777" w:rsidR="00E953EE" w:rsidRPr="00EB272B" w:rsidRDefault="00E953EE" w:rsidP="006909EB">
            <w:pPr>
              <w:rPr>
                <w:rFonts w:cstheme="minorHAnsi"/>
                <w:sz w:val="22"/>
                <w:szCs w:val="22"/>
              </w:rPr>
            </w:pPr>
            <w:r w:rsidRPr="00EB272B">
              <w:rPr>
                <w:rFonts w:cstheme="minorHAnsi"/>
                <w:sz w:val="22"/>
                <w:szCs w:val="22"/>
              </w:rPr>
              <w:t>EA</w:t>
            </w:r>
          </w:p>
        </w:tc>
        <w:tc>
          <w:tcPr>
            <w:tcW w:w="960" w:type="dxa"/>
            <w:hideMark/>
          </w:tcPr>
          <w:p w14:paraId="42AE1F98" w14:textId="77777777" w:rsidR="00E953EE" w:rsidRPr="00EB272B" w:rsidRDefault="00E953EE" w:rsidP="006909EB">
            <w:pPr>
              <w:rPr>
                <w:rFonts w:cstheme="minorHAnsi"/>
                <w:sz w:val="22"/>
                <w:szCs w:val="22"/>
              </w:rPr>
            </w:pPr>
            <w:r w:rsidRPr="00EB272B">
              <w:rPr>
                <w:rFonts w:cstheme="minorHAnsi"/>
                <w:sz w:val="22"/>
                <w:szCs w:val="22"/>
              </w:rPr>
              <w:t>UNEP</w:t>
            </w:r>
          </w:p>
        </w:tc>
        <w:tc>
          <w:tcPr>
            <w:tcW w:w="1660" w:type="dxa"/>
            <w:hideMark/>
          </w:tcPr>
          <w:p w14:paraId="2CFED154" w14:textId="77777777" w:rsidR="00E953EE" w:rsidRPr="00EB272B" w:rsidRDefault="00E953EE" w:rsidP="006909EB">
            <w:pPr>
              <w:jc w:val="right"/>
              <w:rPr>
                <w:rFonts w:cstheme="minorHAnsi"/>
                <w:sz w:val="22"/>
                <w:szCs w:val="22"/>
              </w:rPr>
            </w:pPr>
            <w:r w:rsidRPr="00EB272B">
              <w:rPr>
                <w:rFonts w:cstheme="minorHAnsi"/>
                <w:sz w:val="22"/>
                <w:szCs w:val="22"/>
              </w:rPr>
              <w:t>125000</w:t>
            </w:r>
          </w:p>
        </w:tc>
        <w:tc>
          <w:tcPr>
            <w:tcW w:w="1620" w:type="dxa"/>
            <w:hideMark/>
          </w:tcPr>
          <w:p w14:paraId="46B14574" w14:textId="77777777" w:rsidR="00E953EE" w:rsidRPr="00EB272B" w:rsidRDefault="00E953EE" w:rsidP="006909EB">
            <w:pPr>
              <w:jc w:val="right"/>
              <w:rPr>
                <w:rFonts w:cstheme="minorHAnsi"/>
                <w:sz w:val="22"/>
                <w:szCs w:val="22"/>
              </w:rPr>
            </w:pPr>
            <w:r>
              <w:rPr>
                <w:rFonts w:cstheme="minorHAnsi"/>
                <w:sz w:val="22"/>
                <w:szCs w:val="22"/>
              </w:rPr>
              <w:t>0</w:t>
            </w:r>
            <w:r w:rsidRPr="00EB272B">
              <w:rPr>
                <w:rFonts w:cstheme="minorHAnsi"/>
                <w:sz w:val="22"/>
                <w:szCs w:val="22"/>
              </w:rPr>
              <w:t> </w:t>
            </w:r>
          </w:p>
        </w:tc>
      </w:tr>
      <w:tr w:rsidR="00E953EE" w:rsidRPr="00EB272B" w14:paraId="3E634E4B" w14:textId="77777777" w:rsidTr="006909EB">
        <w:trPr>
          <w:trHeight w:val="600"/>
        </w:trPr>
        <w:tc>
          <w:tcPr>
            <w:tcW w:w="1820" w:type="dxa"/>
            <w:hideMark/>
          </w:tcPr>
          <w:p w14:paraId="4D2A1533" w14:textId="77777777" w:rsidR="00E953EE" w:rsidRPr="00EB272B" w:rsidRDefault="00E953EE" w:rsidP="006909EB">
            <w:pPr>
              <w:rPr>
                <w:rFonts w:cstheme="minorHAnsi"/>
                <w:sz w:val="22"/>
                <w:szCs w:val="22"/>
              </w:rPr>
            </w:pPr>
            <w:r w:rsidRPr="00EB272B">
              <w:rPr>
                <w:rFonts w:cstheme="minorHAnsi"/>
                <w:sz w:val="22"/>
                <w:szCs w:val="22"/>
              </w:rPr>
              <w:t>Moldova</w:t>
            </w:r>
          </w:p>
        </w:tc>
        <w:tc>
          <w:tcPr>
            <w:tcW w:w="1840" w:type="dxa"/>
            <w:hideMark/>
          </w:tcPr>
          <w:p w14:paraId="627C35B1" w14:textId="77777777" w:rsidR="00E953EE" w:rsidRPr="00EB272B" w:rsidRDefault="00E953EE" w:rsidP="006909EB">
            <w:pPr>
              <w:rPr>
                <w:rFonts w:cstheme="minorHAnsi"/>
                <w:sz w:val="22"/>
                <w:szCs w:val="22"/>
              </w:rPr>
            </w:pPr>
            <w:r w:rsidRPr="00EB272B">
              <w:rPr>
                <w:rFonts w:cstheme="minorHAnsi"/>
                <w:sz w:val="22"/>
                <w:szCs w:val="22"/>
              </w:rPr>
              <w:t> </w:t>
            </w:r>
          </w:p>
        </w:tc>
        <w:tc>
          <w:tcPr>
            <w:tcW w:w="960" w:type="dxa"/>
            <w:hideMark/>
          </w:tcPr>
          <w:p w14:paraId="5224C448" w14:textId="77777777" w:rsidR="00E953EE" w:rsidRPr="00EB272B" w:rsidRDefault="00E953EE" w:rsidP="006909EB">
            <w:pPr>
              <w:rPr>
                <w:rFonts w:cstheme="minorHAnsi"/>
                <w:sz w:val="22"/>
                <w:szCs w:val="22"/>
              </w:rPr>
            </w:pPr>
            <w:r w:rsidRPr="00EB272B">
              <w:rPr>
                <w:rFonts w:cstheme="minorHAnsi"/>
                <w:sz w:val="22"/>
                <w:szCs w:val="22"/>
              </w:rPr>
              <w:t>P</w:t>
            </w:r>
          </w:p>
        </w:tc>
        <w:tc>
          <w:tcPr>
            <w:tcW w:w="5380" w:type="dxa"/>
            <w:hideMark/>
          </w:tcPr>
          <w:p w14:paraId="678AD718" w14:textId="77777777" w:rsidR="00E953EE" w:rsidRPr="00EB272B" w:rsidRDefault="00E953EE" w:rsidP="006909EB">
            <w:pPr>
              <w:rPr>
                <w:rFonts w:cstheme="minorHAnsi"/>
                <w:sz w:val="22"/>
                <w:szCs w:val="22"/>
              </w:rPr>
            </w:pPr>
            <w:r w:rsidRPr="00EB272B">
              <w:rPr>
                <w:rFonts w:cstheme="minorHAnsi"/>
                <w:sz w:val="22"/>
                <w:szCs w:val="22"/>
              </w:rPr>
              <w:t>Development of Minamata Initial Assessment in Moldova</w:t>
            </w:r>
          </w:p>
        </w:tc>
        <w:tc>
          <w:tcPr>
            <w:tcW w:w="960" w:type="dxa"/>
            <w:hideMark/>
          </w:tcPr>
          <w:p w14:paraId="546AA4DC" w14:textId="77777777" w:rsidR="00E953EE" w:rsidRPr="00EB272B" w:rsidRDefault="00E953EE" w:rsidP="006909EB">
            <w:pPr>
              <w:rPr>
                <w:rFonts w:cstheme="minorHAnsi"/>
                <w:sz w:val="22"/>
                <w:szCs w:val="22"/>
              </w:rPr>
            </w:pPr>
            <w:r w:rsidRPr="00EB272B">
              <w:rPr>
                <w:rFonts w:cstheme="minorHAnsi"/>
                <w:sz w:val="22"/>
                <w:szCs w:val="22"/>
              </w:rPr>
              <w:t>GEF-5</w:t>
            </w:r>
          </w:p>
        </w:tc>
        <w:tc>
          <w:tcPr>
            <w:tcW w:w="960" w:type="dxa"/>
            <w:hideMark/>
          </w:tcPr>
          <w:p w14:paraId="1A437067" w14:textId="77777777" w:rsidR="00E953EE" w:rsidRPr="00EB272B" w:rsidRDefault="00E953EE" w:rsidP="006909EB">
            <w:pPr>
              <w:rPr>
                <w:rFonts w:cstheme="minorHAnsi"/>
                <w:sz w:val="22"/>
                <w:szCs w:val="22"/>
              </w:rPr>
            </w:pPr>
            <w:r w:rsidRPr="00EB272B">
              <w:rPr>
                <w:rFonts w:cstheme="minorHAnsi"/>
                <w:sz w:val="22"/>
                <w:szCs w:val="22"/>
              </w:rPr>
              <w:t>EA</w:t>
            </w:r>
          </w:p>
        </w:tc>
        <w:tc>
          <w:tcPr>
            <w:tcW w:w="960" w:type="dxa"/>
            <w:hideMark/>
          </w:tcPr>
          <w:p w14:paraId="283BE926" w14:textId="77777777" w:rsidR="00E953EE" w:rsidRPr="00EB272B" w:rsidRDefault="00E953EE" w:rsidP="006909EB">
            <w:pPr>
              <w:rPr>
                <w:rFonts w:cstheme="minorHAnsi"/>
                <w:sz w:val="22"/>
                <w:szCs w:val="22"/>
              </w:rPr>
            </w:pPr>
            <w:r w:rsidRPr="00EB272B">
              <w:rPr>
                <w:rFonts w:cstheme="minorHAnsi"/>
                <w:sz w:val="22"/>
                <w:szCs w:val="22"/>
              </w:rPr>
              <w:t>UNEP</w:t>
            </w:r>
          </w:p>
        </w:tc>
        <w:tc>
          <w:tcPr>
            <w:tcW w:w="1660" w:type="dxa"/>
            <w:hideMark/>
          </w:tcPr>
          <w:p w14:paraId="1D6C2675" w14:textId="77777777" w:rsidR="00E953EE" w:rsidRPr="00EB272B" w:rsidRDefault="00E953EE" w:rsidP="006909EB">
            <w:pPr>
              <w:jc w:val="right"/>
              <w:rPr>
                <w:rFonts w:cstheme="minorHAnsi"/>
                <w:sz w:val="22"/>
                <w:szCs w:val="22"/>
              </w:rPr>
            </w:pPr>
            <w:r w:rsidRPr="00EB272B">
              <w:rPr>
                <w:rFonts w:cstheme="minorHAnsi"/>
                <w:sz w:val="22"/>
                <w:szCs w:val="22"/>
              </w:rPr>
              <w:t>182648</w:t>
            </w:r>
          </w:p>
        </w:tc>
        <w:tc>
          <w:tcPr>
            <w:tcW w:w="1620" w:type="dxa"/>
            <w:hideMark/>
          </w:tcPr>
          <w:p w14:paraId="590C0D33" w14:textId="77777777" w:rsidR="00E953EE" w:rsidRPr="00EB272B" w:rsidRDefault="00E953EE" w:rsidP="006909EB">
            <w:pPr>
              <w:jc w:val="right"/>
              <w:rPr>
                <w:rFonts w:cstheme="minorHAnsi"/>
                <w:sz w:val="22"/>
                <w:szCs w:val="22"/>
              </w:rPr>
            </w:pPr>
            <w:r w:rsidRPr="00EB272B">
              <w:rPr>
                <w:rFonts w:cstheme="minorHAnsi"/>
                <w:sz w:val="22"/>
                <w:szCs w:val="22"/>
              </w:rPr>
              <w:t>52000</w:t>
            </w:r>
          </w:p>
        </w:tc>
      </w:tr>
      <w:tr w:rsidR="00E953EE" w:rsidRPr="00EB272B" w14:paraId="39679097" w14:textId="77777777" w:rsidTr="006909EB">
        <w:trPr>
          <w:trHeight w:val="600"/>
        </w:trPr>
        <w:tc>
          <w:tcPr>
            <w:tcW w:w="1820" w:type="dxa"/>
            <w:hideMark/>
          </w:tcPr>
          <w:p w14:paraId="02BF7B40" w14:textId="77777777" w:rsidR="00E953EE" w:rsidRPr="00EB272B" w:rsidRDefault="00E953EE" w:rsidP="006909EB">
            <w:pPr>
              <w:rPr>
                <w:rFonts w:cstheme="minorHAnsi"/>
                <w:sz w:val="22"/>
                <w:szCs w:val="22"/>
              </w:rPr>
            </w:pPr>
            <w:r w:rsidRPr="00EB272B">
              <w:rPr>
                <w:rFonts w:cstheme="minorHAnsi"/>
                <w:sz w:val="22"/>
                <w:szCs w:val="22"/>
              </w:rPr>
              <w:t>Mongolia</w:t>
            </w:r>
          </w:p>
        </w:tc>
        <w:tc>
          <w:tcPr>
            <w:tcW w:w="1840" w:type="dxa"/>
            <w:hideMark/>
          </w:tcPr>
          <w:p w14:paraId="06E7FE3A" w14:textId="77777777" w:rsidR="00E953EE" w:rsidRPr="00EB272B" w:rsidRDefault="00E953EE" w:rsidP="006909EB">
            <w:pPr>
              <w:rPr>
                <w:rFonts w:cstheme="minorHAnsi"/>
                <w:sz w:val="22"/>
                <w:szCs w:val="22"/>
              </w:rPr>
            </w:pPr>
            <w:r w:rsidRPr="00EB272B">
              <w:rPr>
                <w:rFonts w:cstheme="minorHAnsi"/>
                <w:sz w:val="22"/>
                <w:szCs w:val="22"/>
              </w:rPr>
              <w:t> </w:t>
            </w:r>
          </w:p>
        </w:tc>
        <w:tc>
          <w:tcPr>
            <w:tcW w:w="960" w:type="dxa"/>
            <w:hideMark/>
          </w:tcPr>
          <w:p w14:paraId="0D109E7D" w14:textId="77777777" w:rsidR="00E953EE" w:rsidRPr="00EB272B" w:rsidRDefault="00E953EE" w:rsidP="006909EB">
            <w:pPr>
              <w:rPr>
                <w:rFonts w:cstheme="minorHAnsi"/>
                <w:sz w:val="22"/>
                <w:szCs w:val="22"/>
              </w:rPr>
            </w:pPr>
            <w:r w:rsidRPr="00EB272B">
              <w:rPr>
                <w:rFonts w:cstheme="minorHAnsi"/>
                <w:sz w:val="22"/>
                <w:szCs w:val="22"/>
              </w:rPr>
              <w:t>W</w:t>
            </w:r>
          </w:p>
        </w:tc>
        <w:tc>
          <w:tcPr>
            <w:tcW w:w="5380" w:type="dxa"/>
            <w:hideMark/>
          </w:tcPr>
          <w:p w14:paraId="519CDA58" w14:textId="77777777" w:rsidR="00E953EE" w:rsidRPr="00EB272B" w:rsidRDefault="00E953EE" w:rsidP="006909EB">
            <w:pPr>
              <w:rPr>
                <w:rFonts w:cstheme="minorHAnsi"/>
                <w:sz w:val="22"/>
                <w:szCs w:val="22"/>
              </w:rPr>
            </w:pPr>
            <w:r w:rsidRPr="00EB272B">
              <w:rPr>
                <w:rFonts w:cstheme="minorHAnsi"/>
                <w:sz w:val="22"/>
                <w:szCs w:val="22"/>
              </w:rPr>
              <w:t xml:space="preserve">Development of National Action Plan for Artisanal and Small-Scale Gold Mining </w:t>
            </w:r>
          </w:p>
        </w:tc>
        <w:tc>
          <w:tcPr>
            <w:tcW w:w="960" w:type="dxa"/>
            <w:hideMark/>
          </w:tcPr>
          <w:p w14:paraId="097154B7" w14:textId="77777777" w:rsidR="00E953EE" w:rsidRPr="00EB272B" w:rsidRDefault="00E953EE" w:rsidP="006909EB">
            <w:pPr>
              <w:rPr>
                <w:rFonts w:cstheme="minorHAnsi"/>
                <w:sz w:val="22"/>
                <w:szCs w:val="22"/>
              </w:rPr>
            </w:pPr>
            <w:r w:rsidRPr="00EB272B">
              <w:rPr>
                <w:rFonts w:cstheme="minorHAnsi"/>
                <w:sz w:val="22"/>
                <w:szCs w:val="22"/>
              </w:rPr>
              <w:t>GEF-6</w:t>
            </w:r>
          </w:p>
        </w:tc>
        <w:tc>
          <w:tcPr>
            <w:tcW w:w="960" w:type="dxa"/>
            <w:hideMark/>
          </w:tcPr>
          <w:p w14:paraId="5BCBAEE5" w14:textId="77777777" w:rsidR="00E953EE" w:rsidRPr="00EB272B" w:rsidRDefault="00E953EE" w:rsidP="006909EB">
            <w:pPr>
              <w:rPr>
                <w:rFonts w:cstheme="minorHAnsi"/>
                <w:sz w:val="22"/>
                <w:szCs w:val="22"/>
              </w:rPr>
            </w:pPr>
            <w:r w:rsidRPr="00EB272B">
              <w:rPr>
                <w:rFonts w:cstheme="minorHAnsi"/>
                <w:sz w:val="22"/>
                <w:szCs w:val="22"/>
              </w:rPr>
              <w:t>EA</w:t>
            </w:r>
          </w:p>
        </w:tc>
        <w:tc>
          <w:tcPr>
            <w:tcW w:w="960" w:type="dxa"/>
            <w:hideMark/>
          </w:tcPr>
          <w:p w14:paraId="30016CCC" w14:textId="77777777" w:rsidR="00E953EE" w:rsidRPr="00EB272B" w:rsidRDefault="00E953EE" w:rsidP="006909EB">
            <w:pPr>
              <w:rPr>
                <w:rFonts w:cstheme="minorHAnsi"/>
                <w:sz w:val="22"/>
                <w:szCs w:val="22"/>
              </w:rPr>
            </w:pPr>
            <w:r w:rsidRPr="00EB272B">
              <w:rPr>
                <w:rFonts w:cstheme="minorHAnsi"/>
                <w:sz w:val="22"/>
                <w:szCs w:val="22"/>
              </w:rPr>
              <w:t>UNEP</w:t>
            </w:r>
          </w:p>
        </w:tc>
        <w:tc>
          <w:tcPr>
            <w:tcW w:w="1660" w:type="dxa"/>
            <w:hideMark/>
          </w:tcPr>
          <w:p w14:paraId="41B78D46" w14:textId="77777777" w:rsidR="00E953EE" w:rsidRPr="00EB272B" w:rsidRDefault="00E953EE" w:rsidP="006909EB">
            <w:pPr>
              <w:jc w:val="right"/>
              <w:rPr>
                <w:rFonts w:cstheme="minorHAnsi"/>
                <w:sz w:val="22"/>
                <w:szCs w:val="22"/>
              </w:rPr>
            </w:pPr>
            <w:r w:rsidRPr="00EB272B">
              <w:rPr>
                <w:rFonts w:cstheme="minorHAnsi"/>
                <w:sz w:val="22"/>
                <w:szCs w:val="22"/>
              </w:rPr>
              <w:t>500000</w:t>
            </w:r>
          </w:p>
        </w:tc>
        <w:tc>
          <w:tcPr>
            <w:tcW w:w="1620" w:type="dxa"/>
            <w:hideMark/>
          </w:tcPr>
          <w:p w14:paraId="39B394FD" w14:textId="77777777" w:rsidR="00E953EE" w:rsidRPr="00EB272B" w:rsidRDefault="00E953EE" w:rsidP="006909EB">
            <w:pPr>
              <w:jc w:val="right"/>
              <w:rPr>
                <w:rFonts w:cstheme="minorHAnsi"/>
                <w:sz w:val="22"/>
                <w:szCs w:val="22"/>
              </w:rPr>
            </w:pPr>
            <w:r w:rsidRPr="00EB272B">
              <w:rPr>
                <w:rFonts w:cstheme="minorHAnsi"/>
                <w:sz w:val="22"/>
                <w:szCs w:val="22"/>
              </w:rPr>
              <w:t> </w:t>
            </w:r>
            <w:r>
              <w:rPr>
                <w:rFonts w:cstheme="minorHAnsi"/>
                <w:sz w:val="22"/>
                <w:szCs w:val="22"/>
              </w:rPr>
              <w:t>0</w:t>
            </w:r>
          </w:p>
        </w:tc>
      </w:tr>
      <w:tr w:rsidR="00E953EE" w:rsidRPr="00EB272B" w14:paraId="1CEC8F84" w14:textId="77777777" w:rsidTr="006909EB">
        <w:trPr>
          <w:trHeight w:val="300"/>
        </w:trPr>
        <w:tc>
          <w:tcPr>
            <w:tcW w:w="1820" w:type="dxa"/>
            <w:hideMark/>
          </w:tcPr>
          <w:p w14:paraId="5522D329" w14:textId="77777777" w:rsidR="00E953EE" w:rsidRPr="00EB272B" w:rsidRDefault="00E953EE" w:rsidP="006909EB">
            <w:pPr>
              <w:rPr>
                <w:rFonts w:cstheme="minorHAnsi"/>
                <w:sz w:val="22"/>
                <w:szCs w:val="22"/>
              </w:rPr>
            </w:pPr>
            <w:r w:rsidRPr="00EB272B">
              <w:rPr>
                <w:rFonts w:cstheme="minorHAnsi"/>
                <w:sz w:val="22"/>
                <w:szCs w:val="22"/>
              </w:rPr>
              <w:t>Mongolia</w:t>
            </w:r>
          </w:p>
        </w:tc>
        <w:tc>
          <w:tcPr>
            <w:tcW w:w="1840" w:type="dxa"/>
            <w:hideMark/>
          </w:tcPr>
          <w:p w14:paraId="340BB1B9" w14:textId="77777777" w:rsidR="00E953EE" w:rsidRPr="00EB272B" w:rsidRDefault="00E953EE" w:rsidP="006909EB">
            <w:pPr>
              <w:rPr>
                <w:rFonts w:cstheme="minorHAnsi"/>
                <w:sz w:val="22"/>
                <w:szCs w:val="22"/>
              </w:rPr>
            </w:pPr>
            <w:r w:rsidRPr="00EB272B">
              <w:rPr>
                <w:rFonts w:cstheme="minorHAnsi"/>
                <w:sz w:val="22"/>
                <w:szCs w:val="22"/>
              </w:rPr>
              <w:t> </w:t>
            </w:r>
          </w:p>
        </w:tc>
        <w:tc>
          <w:tcPr>
            <w:tcW w:w="960" w:type="dxa"/>
            <w:hideMark/>
          </w:tcPr>
          <w:p w14:paraId="3FADDA47" w14:textId="77777777" w:rsidR="00E953EE" w:rsidRPr="00EB272B" w:rsidRDefault="00E953EE" w:rsidP="006909EB">
            <w:pPr>
              <w:rPr>
                <w:rFonts w:cstheme="minorHAnsi"/>
                <w:sz w:val="22"/>
                <w:szCs w:val="22"/>
              </w:rPr>
            </w:pPr>
            <w:r w:rsidRPr="00EB272B">
              <w:rPr>
                <w:rFonts w:cstheme="minorHAnsi"/>
                <w:sz w:val="22"/>
                <w:szCs w:val="22"/>
              </w:rPr>
              <w:t>W</w:t>
            </w:r>
          </w:p>
        </w:tc>
        <w:tc>
          <w:tcPr>
            <w:tcW w:w="5380" w:type="dxa"/>
            <w:hideMark/>
          </w:tcPr>
          <w:p w14:paraId="0B9BA7FE" w14:textId="77777777" w:rsidR="00E953EE" w:rsidRPr="00EB272B" w:rsidRDefault="00E953EE" w:rsidP="006909EB">
            <w:pPr>
              <w:rPr>
                <w:rFonts w:cstheme="minorHAnsi"/>
                <w:sz w:val="22"/>
                <w:szCs w:val="22"/>
              </w:rPr>
            </w:pPr>
            <w:r w:rsidRPr="00EB272B">
              <w:rPr>
                <w:rFonts w:cstheme="minorHAnsi"/>
                <w:sz w:val="22"/>
                <w:szCs w:val="22"/>
              </w:rPr>
              <w:t>Advanced Minamata Initial Assessment in Mongolia</w:t>
            </w:r>
          </w:p>
        </w:tc>
        <w:tc>
          <w:tcPr>
            <w:tcW w:w="960" w:type="dxa"/>
            <w:hideMark/>
          </w:tcPr>
          <w:p w14:paraId="6D8878B6" w14:textId="77777777" w:rsidR="00E953EE" w:rsidRPr="00EB272B" w:rsidRDefault="00E953EE" w:rsidP="006909EB">
            <w:pPr>
              <w:rPr>
                <w:rFonts w:cstheme="minorHAnsi"/>
                <w:sz w:val="22"/>
                <w:szCs w:val="22"/>
              </w:rPr>
            </w:pPr>
            <w:r w:rsidRPr="00EB272B">
              <w:rPr>
                <w:rFonts w:cstheme="minorHAnsi"/>
                <w:sz w:val="22"/>
                <w:szCs w:val="22"/>
              </w:rPr>
              <w:t>GEF-6</w:t>
            </w:r>
          </w:p>
        </w:tc>
        <w:tc>
          <w:tcPr>
            <w:tcW w:w="960" w:type="dxa"/>
            <w:hideMark/>
          </w:tcPr>
          <w:p w14:paraId="278BDC39" w14:textId="77777777" w:rsidR="00E953EE" w:rsidRPr="00EB272B" w:rsidRDefault="00E953EE" w:rsidP="006909EB">
            <w:pPr>
              <w:rPr>
                <w:rFonts w:cstheme="minorHAnsi"/>
                <w:sz w:val="22"/>
                <w:szCs w:val="22"/>
              </w:rPr>
            </w:pPr>
            <w:r w:rsidRPr="00EB272B">
              <w:rPr>
                <w:rFonts w:cstheme="minorHAnsi"/>
                <w:sz w:val="22"/>
                <w:szCs w:val="22"/>
              </w:rPr>
              <w:t>EA</w:t>
            </w:r>
          </w:p>
        </w:tc>
        <w:tc>
          <w:tcPr>
            <w:tcW w:w="960" w:type="dxa"/>
            <w:hideMark/>
          </w:tcPr>
          <w:p w14:paraId="3B8C4528" w14:textId="77777777" w:rsidR="00E953EE" w:rsidRPr="00EB272B" w:rsidRDefault="00E953EE" w:rsidP="006909EB">
            <w:pPr>
              <w:rPr>
                <w:rFonts w:cstheme="minorHAnsi"/>
                <w:sz w:val="22"/>
                <w:szCs w:val="22"/>
              </w:rPr>
            </w:pPr>
            <w:r w:rsidRPr="00EB272B">
              <w:rPr>
                <w:rFonts w:cstheme="minorHAnsi"/>
                <w:sz w:val="22"/>
                <w:szCs w:val="22"/>
              </w:rPr>
              <w:t>UNIDO</w:t>
            </w:r>
          </w:p>
        </w:tc>
        <w:tc>
          <w:tcPr>
            <w:tcW w:w="1660" w:type="dxa"/>
            <w:hideMark/>
          </w:tcPr>
          <w:p w14:paraId="0F45F031" w14:textId="77777777" w:rsidR="00E953EE" w:rsidRPr="00EB272B" w:rsidRDefault="00E953EE" w:rsidP="006909EB">
            <w:pPr>
              <w:jc w:val="right"/>
              <w:rPr>
                <w:rFonts w:cstheme="minorHAnsi"/>
                <w:sz w:val="22"/>
                <w:szCs w:val="22"/>
              </w:rPr>
            </w:pPr>
            <w:r w:rsidRPr="00EB272B">
              <w:rPr>
                <w:rFonts w:cstheme="minorHAnsi"/>
                <w:sz w:val="22"/>
                <w:szCs w:val="22"/>
              </w:rPr>
              <w:t>200000</w:t>
            </w:r>
          </w:p>
        </w:tc>
        <w:tc>
          <w:tcPr>
            <w:tcW w:w="1620" w:type="dxa"/>
            <w:hideMark/>
          </w:tcPr>
          <w:p w14:paraId="091C476B" w14:textId="77777777" w:rsidR="00E953EE" w:rsidRPr="00EB272B" w:rsidRDefault="00E953EE" w:rsidP="006909EB">
            <w:pPr>
              <w:jc w:val="right"/>
              <w:rPr>
                <w:rFonts w:cstheme="minorHAnsi"/>
                <w:sz w:val="22"/>
                <w:szCs w:val="22"/>
              </w:rPr>
            </w:pPr>
            <w:r w:rsidRPr="00EB272B">
              <w:rPr>
                <w:rFonts w:cstheme="minorHAnsi"/>
                <w:sz w:val="22"/>
                <w:szCs w:val="22"/>
              </w:rPr>
              <w:t>18600</w:t>
            </w:r>
          </w:p>
        </w:tc>
      </w:tr>
      <w:tr w:rsidR="00E953EE" w:rsidRPr="00EB272B" w14:paraId="6AD52F02" w14:textId="77777777" w:rsidTr="006909EB">
        <w:trPr>
          <w:trHeight w:val="900"/>
        </w:trPr>
        <w:tc>
          <w:tcPr>
            <w:tcW w:w="1820" w:type="dxa"/>
            <w:hideMark/>
          </w:tcPr>
          <w:p w14:paraId="3A4A84E8" w14:textId="77777777" w:rsidR="00E953EE" w:rsidRPr="00EB272B" w:rsidRDefault="00E953EE" w:rsidP="006909EB">
            <w:pPr>
              <w:rPr>
                <w:rFonts w:cstheme="minorHAnsi"/>
                <w:sz w:val="22"/>
                <w:szCs w:val="22"/>
              </w:rPr>
            </w:pPr>
            <w:r w:rsidRPr="00EB272B">
              <w:rPr>
                <w:rFonts w:cstheme="minorHAnsi"/>
                <w:sz w:val="22"/>
                <w:szCs w:val="22"/>
              </w:rPr>
              <w:t>Mongolia</w:t>
            </w:r>
          </w:p>
        </w:tc>
        <w:tc>
          <w:tcPr>
            <w:tcW w:w="1840" w:type="dxa"/>
            <w:hideMark/>
          </w:tcPr>
          <w:p w14:paraId="57D99CD5" w14:textId="77777777" w:rsidR="00E953EE" w:rsidRPr="00EB272B" w:rsidRDefault="00E953EE" w:rsidP="006909EB">
            <w:pPr>
              <w:rPr>
                <w:rFonts w:cstheme="minorHAnsi"/>
                <w:sz w:val="22"/>
                <w:szCs w:val="22"/>
              </w:rPr>
            </w:pPr>
            <w:r w:rsidRPr="00EB272B">
              <w:rPr>
                <w:rFonts w:cstheme="minorHAnsi"/>
                <w:sz w:val="22"/>
                <w:szCs w:val="22"/>
              </w:rPr>
              <w:t> </w:t>
            </w:r>
          </w:p>
        </w:tc>
        <w:tc>
          <w:tcPr>
            <w:tcW w:w="960" w:type="dxa"/>
            <w:hideMark/>
          </w:tcPr>
          <w:p w14:paraId="52628E70" w14:textId="77777777" w:rsidR="00E953EE" w:rsidRPr="00EB272B" w:rsidRDefault="00E953EE" w:rsidP="006909EB">
            <w:pPr>
              <w:rPr>
                <w:rFonts w:cstheme="minorHAnsi"/>
                <w:sz w:val="22"/>
                <w:szCs w:val="22"/>
              </w:rPr>
            </w:pPr>
            <w:r w:rsidRPr="00EB272B">
              <w:rPr>
                <w:rFonts w:cstheme="minorHAnsi"/>
                <w:sz w:val="22"/>
                <w:szCs w:val="22"/>
              </w:rPr>
              <w:t>P</w:t>
            </w:r>
          </w:p>
        </w:tc>
        <w:tc>
          <w:tcPr>
            <w:tcW w:w="5380" w:type="dxa"/>
            <w:hideMark/>
          </w:tcPr>
          <w:p w14:paraId="29FF5095" w14:textId="77777777" w:rsidR="00E953EE" w:rsidRPr="00EB272B" w:rsidRDefault="00E953EE" w:rsidP="006909EB">
            <w:pPr>
              <w:rPr>
                <w:rFonts w:cstheme="minorHAnsi"/>
                <w:sz w:val="22"/>
                <w:szCs w:val="22"/>
              </w:rPr>
            </w:pPr>
            <w:r w:rsidRPr="00EB272B">
              <w:rPr>
                <w:rFonts w:cstheme="minorHAnsi"/>
                <w:sz w:val="22"/>
                <w:szCs w:val="22"/>
              </w:rPr>
              <w:t>Reduce Exposure of Mercury to Human Health and the Environment by Promoting Sound Chemical Management in Mongolia</w:t>
            </w:r>
          </w:p>
        </w:tc>
        <w:tc>
          <w:tcPr>
            <w:tcW w:w="960" w:type="dxa"/>
            <w:hideMark/>
          </w:tcPr>
          <w:p w14:paraId="42C31B34" w14:textId="77777777" w:rsidR="00E953EE" w:rsidRPr="00EB272B" w:rsidRDefault="00E953EE" w:rsidP="006909EB">
            <w:pPr>
              <w:rPr>
                <w:rFonts w:cstheme="minorHAnsi"/>
                <w:sz w:val="22"/>
                <w:szCs w:val="22"/>
              </w:rPr>
            </w:pPr>
            <w:r w:rsidRPr="00EB272B">
              <w:rPr>
                <w:rFonts w:cstheme="minorHAnsi"/>
                <w:sz w:val="22"/>
                <w:szCs w:val="22"/>
              </w:rPr>
              <w:t>GEF-5</w:t>
            </w:r>
          </w:p>
        </w:tc>
        <w:tc>
          <w:tcPr>
            <w:tcW w:w="960" w:type="dxa"/>
            <w:hideMark/>
          </w:tcPr>
          <w:p w14:paraId="51F760C6" w14:textId="77777777" w:rsidR="00E953EE" w:rsidRPr="00EB272B" w:rsidRDefault="00E953EE" w:rsidP="006909EB">
            <w:pPr>
              <w:rPr>
                <w:rFonts w:cstheme="minorHAnsi"/>
                <w:sz w:val="22"/>
                <w:szCs w:val="22"/>
              </w:rPr>
            </w:pPr>
            <w:r w:rsidRPr="00EB272B">
              <w:rPr>
                <w:rFonts w:cstheme="minorHAnsi"/>
                <w:sz w:val="22"/>
                <w:szCs w:val="22"/>
              </w:rPr>
              <w:t>MSP</w:t>
            </w:r>
          </w:p>
        </w:tc>
        <w:tc>
          <w:tcPr>
            <w:tcW w:w="960" w:type="dxa"/>
            <w:hideMark/>
          </w:tcPr>
          <w:p w14:paraId="1A485F54" w14:textId="77777777" w:rsidR="00E953EE" w:rsidRPr="00EB272B" w:rsidRDefault="00E953EE" w:rsidP="006909EB">
            <w:pPr>
              <w:rPr>
                <w:rFonts w:cstheme="minorHAnsi"/>
                <w:sz w:val="22"/>
                <w:szCs w:val="22"/>
              </w:rPr>
            </w:pPr>
            <w:r w:rsidRPr="00EB272B">
              <w:rPr>
                <w:rFonts w:cstheme="minorHAnsi"/>
                <w:sz w:val="22"/>
                <w:szCs w:val="22"/>
              </w:rPr>
              <w:t>UNIDO</w:t>
            </w:r>
          </w:p>
        </w:tc>
        <w:tc>
          <w:tcPr>
            <w:tcW w:w="1660" w:type="dxa"/>
            <w:hideMark/>
          </w:tcPr>
          <w:p w14:paraId="657DD35C" w14:textId="77777777" w:rsidR="00E953EE" w:rsidRPr="00EB272B" w:rsidRDefault="00E953EE" w:rsidP="006909EB">
            <w:pPr>
              <w:jc w:val="right"/>
              <w:rPr>
                <w:rFonts w:cstheme="minorHAnsi"/>
                <w:sz w:val="22"/>
                <w:szCs w:val="22"/>
              </w:rPr>
            </w:pPr>
            <w:r w:rsidRPr="00EB272B">
              <w:rPr>
                <w:rFonts w:cstheme="minorHAnsi"/>
                <w:sz w:val="22"/>
                <w:szCs w:val="22"/>
              </w:rPr>
              <w:t>600000</w:t>
            </w:r>
          </w:p>
        </w:tc>
        <w:tc>
          <w:tcPr>
            <w:tcW w:w="1620" w:type="dxa"/>
            <w:hideMark/>
          </w:tcPr>
          <w:p w14:paraId="272252F4" w14:textId="77777777" w:rsidR="00E953EE" w:rsidRPr="00EB272B" w:rsidRDefault="00E953EE" w:rsidP="006909EB">
            <w:pPr>
              <w:jc w:val="right"/>
              <w:rPr>
                <w:rFonts w:cstheme="minorHAnsi"/>
                <w:sz w:val="22"/>
                <w:szCs w:val="22"/>
              </w:rPr>
            </w:pPr>
            <w:r w:rsidRPr="00EB272B">
              <w:rPr>
                <w:rFonts w:cstheme="minorHAnsi"/>
                <w:sz w:val="22"/>
                <w:szCs w:val="22"/>
              </w:rPr>
              <w:t>1569000</w:t>
            </w:r>
          </w:p>
        </w:tc>
      </w:tr>
      <w:tr w:rsidR="00E953EE" w:rsidRPr="00EB272B" w14:paraId="1CE8C560" w14:textId="77777777" w:rsidTr="006909EB">
        <w:trPr>
          <w:trHeight w:val="300"/>
        </w:trPr>
        <w:tc>
          <w:tcPr>
            <w:tcW w:w="1820" w:type="dxa"/>
            <w:hideMark/>
          </w:tcPr>
          <w:p w14:paraId="0F794DCD" w14:textId="77777777" w:rsidR="00E953EE" w:rsidRPr="00EB272B" w:rsidRDefault="00E953EE" w:rsidP="006909EB">
            <w:pPr>
              <w:rPr>
                <w:rFonts w:cstheme="minorHAnsi"/>
                <w:sz w:val="22"/>
                <w:szCs w:val="22"/>
              </w:rPr>
            </w:pPr>
            <w:r w:rsidRPr="00EB272B">
              <w:rPr>
                <w:rFonts w:cstheme="minorHAnsi"/>
                <w:sz w:val="22"/>
                <w:szCs w:val="22"/>
              </w:rPr>
              <w:t>Montenegro</w:t>
            </w:r>
          </w:p>
        </w:tc>
        <w:tc>
          <w:tcPr>
            <w:tcW w:w="1840" w:type="dxa"/>
            <w:hideMark/>
          </w:tcPr>
          <w:p w14:paraId="3BAA5E81" w14:textId="77777777" w:rsidR="00E953EE" w:rsidRPr="00EB272B" w:rsidRDefault="00E953EE" w:rsidP="006909EB">
            <w:pPr>
              <w:rPr>
                <w:rFonts w:cstheme="minorHAnsi"/>
                <w:sz w:val="22"/>
                <w:szCs w:val="22"/>
              </w:rPr>
            </w:pPr>
            <w:r w:rsidRPr="00EB272B">
              <w:rPr>
                <w:rFonts w:cstheme="minorHAnsi"/>
                <w:sz w:val="22"/>
                <w:szCs w:val="22"/>
              </w:rPr>
              <w:t> </w:t>
            </w:r>
          </w:p>
        </w:tc>
        <w:tc>
          <w:tcPr>
            <w:tcW w:w="960" w:type="dxa"/>
            <w:hideMark/>
          </w:tcPr>
          <w:p w14:paraId="11F85B13" w14:textId="77777777" w:rsidR="00E953EE" w:rsidRPr="00EB272B" w:rsidRDefault="00E953EE" w:rsidP="006909EB">
            <w:pPr>
              <w:rPr>
                <w:rFonts w:cstheme="minorHAnsi"/>
                <w:sz w:val="22"/>
                <w:szCs w:val="22"/>
              </w:rPr>
            </w:pPr>
            <w:r w:rsidRPr="00EB272B">
              <w:rPr>
                <w:rFonts w:cstheme="minorHAnsi"/>
                <w:sz w:val="22"/>
                <w:szCs w:val="22"/>
              </w:rPr>
              <w:t>W</w:t>
            </w:r>
          </w:p>
        </w:tc>
        <w:tc>
          <w:tcPr>
            <w:tcW w:w="5380" w:type="dxa"/>
            <w:hideMark/>
          </w:tcPr>
          <w:p w14:paraId="7FCAA411" w14:textId="77777777" w:rsidR="00E953EE" w:rsidRPr="00EB272B" w:rsidRDefault="00E953EE" w:rsidP="006909EB">
            <w:pPr>
              <w:rPr>
                <w:rFonts w:cstheme="minorHAnsi"/>
                <w:sz w:val="22"/>
                <w:szCs w:val="22"/>
              </w:rPr>
            </w:pPr>
            <w:r w:rsidRPr="00EB272B">
              <w:rPr>
                <w:rFonts w:cstheme="minorHAnsi"/>
                <w:sz w:val="22"/>
                <w:szCs w:val="22"/>
              </w:rPr>
              <w:t>Minamata Initial Assessment for Montenegro</w:t>
            </w:r>
          </w:p>
        </w:tc>
        <w:tc>
          <w:tcPr>
            <w:tcW w:w="960" w:type="dxa"/>
            <w:hideMark/>
          </w:tcPr>
          <w:p w14:paraId="1C051AE9" w14:textId="77777777" w:rsidR="00E953EE" w:rsidRPr="00EB272B" w:rsidRDefault="00E953EE" w:rsidP="006909EB">
            <w:pPr>
              <w:rPr>
                <w:rFonts w:cstheme="minorHAnsi"/>
                <w:sz w:val="22"/>
                <w:szCs w:val="22"/>
              </w:rPr>
            </w:pPr>
            <w:r w:rsidRPr="00EB272B">
              <w:rPr>
                <w:rFonts w:cstheme="minorHAnsi"/>
                <w:sz w:val="22"/>
                <w:szCs w:val="22"/>
              </w:rPr>
              <w:t>GEF-6</w:t>
            </w:r>
          </w:p>
        </w:tc>
        <w:tc>
          <w:tcPr>
            <w:tcW w:w="960" w:type="dxa"/>
            <w:hideMark/>
          </w:tcPr>
          <w:p w14:paraId="0AE62481" w14:textId="77777777" w:rsidR="00E953EE" w:rsidRPr="00EB272B" w:rsidRDefault="00E953EE" w:rsidP="006909EB">
            <w:pPr>
              <w:rPr>
                <w:rFonts w:cstheme="minorHAnsi"/>
                <w:sz w:val="22"/>
                <w:szCs w:val="22"/>
              </w:rPr>
            </w:pPr>
            <w:r w:rsidRPr="00EB272B">
              <w:rPr>
                <w:rFonts w:cstheme="minorHAnsi"/>
                <w:sz w:val="22"/>
                <w:szCs w:val="22"/>
              </w:rPr>
              <w:t>EA</w:t>
            </w:r>
          </w:p>
        </w:tc>
        <w:tc>
          <w:tcPr>
            <w:tcW w:w="960" w:type="dxa"/>
            <w:hideMark/>
          </w:tcPr>
          <w:p w14:paraId="3A1323C2" w14:textId="77777777" w:rsidR="00E953EE" w:rsidRPr="00EB272B" w:rsidRDefault="00E953EE" w:rsidP="006909EB">
            <w:pPr>
              <w:rPr>
                <w:rFonts w:cstheme="minorHAnsi"/>
                <w:sz w:val="22"/>
                <w:szCs w:val="22"/>
              </w:rPr>
            </w:pPr>
            <w:r w:rsidRPr="00EB272B">
              <w:rPr>
                <w:rFonts w:cstheme="minorHAnsi"/>
                <w:sz w:val="22"/>
                <w:szCs w:val="22"/>
              </w:rPr>
              <w:t>UNDP</w:t>
            </w:r>
          </w:p>
        </w:tc>
        <w:tc>
          <w:tcPr>
            <w:tcW w:w="1660" w:type="dxa"/>
            <w:hideMark/>
          </w:tcPr>
          <w:p w14:paraId="0B4F9A7A" w14:textId="77777777" w:rsidR="00E953EE" w:rsidRPr="00EB272B" w:rsidRDefault="00E953EE" w:rsidP="006909EB">
            <w:pPr>
              <w:jc w:val="right"/>
              <w:rPr>
                <w:rFonts w:cstheme="minorHAnsi"/>
                <w:sz w:val="22"/>
                <w:szCs w:val="22"/>
              </w:rPr>
            </w:pPr>
            <w:r w:rsidRPr="00EB272B">
              <w:rPr>
                <w:rFonts w:cstheme="minorHAnsi"/>
                <w:sz w:val="22"/>
                <w:szCs w:val="22"/>
              </w:rPr>
              <w:t>200000</w:t>
            </w:r>
          </w:p>
        </w:tc>
        <w:tc>
          <w:tcPr>
            <w:tcW w:w="1620" w:type="dxa"/>
            <w:hideMark/>
          </w:tcPr>
          <w:p w14:paraId="07E5FB5D" w14:textId="77777777" w:rsidR="00E953EE" w:rsidRPr="00EB272B" w:rsidRDefault="00E953EE" w:rsidP="006909EB">
            <w:pPr>
              <w:jc w:val="right"/>
              <w:rPr>
                <w:rFonts w:cstheme="minorHAnsi"/>
                <w:sz w:val="22"/>
                <w:szCs w:val="22"/>
              </w:rPr>
            </w:pPr>
            <w:r w:rsidRPr="00EB272B">
              <w:rPr>
                <w:rFonts w:cstheme="minorHAnsi"/>
                <w:sz w:val="22"/>
                <w:szCs w:val="22"/>
              </w:rPr>
              <w:t>20000</w:t>
            </w:r>
          </w:p>
        </w:tc>
      </w:tr>
      <w:tr w:rsidR="00E953EE" w:rsidRPr="00EB272B" w14:paraId="1E023422" w14:textId="77777777" w:rsidTr="006909EB">
        <w:trPr>
          <w:trHeight w:val="1200"/>
        </w:trPr>
        <w:tc>
          <w:tcPr>
            <w:tcW w:w="1820" w:type="dxa"/>
            <w:hideMark/>
          </w:tcPr>
          <w:p w14:paraId="28E8BC42" w14:textId="77777777" w:rsidR="00E953EE" w:rsidRPr="00EB272B" w:rsidRDefault="00E953EE" w:rsidP="006909EB">
            <w:pPr>
              <w:rPr>
                <w:rFonts w:cstheme="minorHAnsi"/>
                <w:sz w:val="22"/>
                <w:szCs w:val="22"/>
              </w:rPr>
            </w:pPr>
            <w:r w:rsidRPr="00EB272B">
              <w:rPr>
                <w:rFonts w:cstheme="minorHAnsi"/>
                <w:sz w:val="22"/>
                <w:szCs w:val="22"/>
              </w:rPr>
              <w:t>Morocco</w:t>
            </w:r>
          </w:p>
        </w:tc>
        <w:tc>
          <w:tcPr>
            <w:tcW w:w="1840" w:type="dxa"/>
            <w:hideMark/>
          </w:tcPr>
          <w:p w14:paraId="038AF54A" w14:textId="77777777" w:rsidR="00E953EE" w:rsidRPr="00EB272B" w:rsidRDefault="00E953EE" w:rsidP="006909EB">
            <w:pPr>
              <w:rPr>
                <w:rFonts w:cstheme="minorHAnsi"/>
                <w:sz w:val="22"/>
                <w:szCs w:val="22"/>
              </w:rPr>
            </w:pPr>
            <w:r w:rsidRPr="00EB272B">
              <w:rPr>
                <w:rFonts w:cstheme="minorHAnsi"/>
                <w:sz w:val="22"/>
                <w:szCs w:val="22"/>
              </w:rPr>
              <w:t> </w:t>
            </w:r>
          </w:p>
        </w:tc>
        <w:tc>
          <w:tcPr>
            <w:tcW w:w="960" w:type="dxa"/>
            <w:hideMark/>
          </w:tcPr>
          <w:p w14:paraId="04F0CC09" w14:textId="77777777" w:rsidR="00E953EE" w:rsidRPr="00EB272B" w:rsidRDefault="00E953EE" w:rsidP="006909EB">
            <w:pPr>
              <w:rPr>
                <w:rFonts w:cstheme="minorHAnsi"/>
                <w:sz w:val="22"/>
                <w:szCs w:val="22"/>
              </w:rPr>
            </w:pPr>
            <w:r w:rsidRPr="00EB272B">
              <w:rPr>
                <w:rFonts w:cstheme="minorHAnsi"/>
                <w:sz w:val="22"/>
                <w:szCs w:val="22"/>
              </w:rPr>
              <w:t>W</w:t>
            </w:r>
          </w:p>
        </w:tc>
        <w:tc>
          <w:tcPr>
            <w:tcW w:w="5380" w:type="dxa"/>
            <w:hideMark/>
          </w:tcPr>
          <w:p w14:paraId="24D038EF" w14:textId="77777777" w:rsidR="00E953EE" w:rsidRPr="00EB272B" w:rsidRDefault="00E953EE" w:rsidP="006909EB">
            <w:pPr>
              <w:rPr>
                <w:rFonts w:cstheme="minorHAnsi"/>
                <w:sz w:val="22"/>
                <w:szCs w:val="22"/>
              </w:rPr>
            </w:pPr>
            <w:r w:rsidRPr="00EB272B">
              <w:rPr>
                <w:rFonts w:cstheme="minorHAnsi"/>
                <w:sz w:val="22"/>
                <w:szCs w:val="22"/>
              </w:rPr>
              <w:t>Strengthen the National Decision-Making Mechanism to Ratify the Minamata Convention and Strengthen National Capacities for the Implementation of its Futures Provisions</w:t>
            </w:r>
          </w:p>
        </w:tc>
        <w:tc>
          <w:tcPr>
            <w:tcW w:w="960" w:type="dxa"/>
            <w:hideMark/>
          </w:tcPr>
          <w:p w14:paraId="6324DD1F" w14:textId="77777777" w:rsidR="00E953EE" w:rsidRPr="00EB272B" w:rsidRDefault="00E953EE" w:rsidP="006909EB">
            <w:pPr>
              <w:rPr>
                <w:rFonts w:cstheme="minorHAnsi"/>
                <w:sz w:val="22"/>
                <w:szCs w:val="22"/>
              </w:rPr>
            </w:pPr>
            <w:r w:rsidRPr="00EB272B">
              <w:rPr>
                <w:rFonts w:cstheme="minorHAnsi"/>
                <w:sz w:val="22"/>
                <w:szCs w:val="22"/>
              </w:rPr>
              <w:t>GEF-6</w:t>
            </w:r>
          </w:p>
        </w:tc>
        <w:tc>
          <w:tcPr>
            <w:tcW w:w="960" w:type="dxa"/>
            <w:hideMark/>
          </w:tcPr>
          <w:p w14:paraId="1843E63A" w14:textId="77777777" w:rsidR="00E953EE" w:rsidRPr="00EB272B" w:rsidRDefault="00E953EE" w:rsidP="006909EB">
            <w:pPr>
              <w:rPr>
                <w:rFonts w:cstheme="minorHAnsi"/>
                <w:sz w:val="22"/>
                <w:szCs w:val="22"/>
              </w:rPr>
            </w:pPr>
            <w:r w:rsidRPr="00EB272B">
              <w:rPr>
                <w:rFonts w:cstheme="minorHAnsi"/>
                <w:sz w:val="22"/>
                <w:szCs w:val="22"/>
              </w:rPr>
              <w:t>EA</w:t>
            </w:r>
          </w:p>
        </w:tc>
        <w:tc>
          <w:tcPr>
            <w:tcW w:w="960" w:type="dxa"/>
            <w:hideMark/>
          </w:tcPr>
          <w:p w14:paraId="7FE3EB20" w14:textId="77777777" w:rsidR="00E953EE" w:rsidRPr="00EB272B" w:rsidRDefault="00E953EE" w:rsidP="006909EB">
            <w:pPr>
              <w:rPr>
                <w:rFonts w:cstheme="minorHAnsi"/>
                <w:sz w:val="22"/>
                <w:szCs w:val="22"/>
              </w:rPr>
            </w:pPr>
            <w:r w:rsidRPr="00EB272B">
              <w:rPr>
                <w:rFonts w:cstheme="minorHAnsi"/>
                <w:sz w:val="22"/>
                <w:szCs w:val="22"/>
              </w:rPr>
              <w:t>UNDP</w:t>
            </w:r>
          </w:p>
        </w:tc>
        <w:tc>
          <w:tcPr>
            <w:tcW w:w="1660" w:type="dxa"/>
            <w:hideMark/>
          </w:tcPr>
          <w:p w14:paraId="65C02355" w14:textId="77777777" w:rsidR="00E953EE" w:rsidRPr="00EB272B" w:rsidRDefault="00E953EE" w:rsidP="006909EB">
            <w:pPr>
              <w:jc w:val="right"/>
              <w:rPr>
                <w:rFonts w:cstheme="minorHAnsi"/>
                <w:sz w:val="22"/>
                <w:szCs w:val="22"/>
              </w:rPr>
            </w:pPr>
            <w:r w:rsidRPr="00EB272B">
              <w:rPr>
                <w:rFonts w:cstheme="minorHAnsi"/>
                <w:sz w:val="22"/>
                <w:szCs w:val="22"/>
              </w:rPr>
              <w:t>200000</w:t>
            </w:r>
          </w:p>
        </w:tc>
        <w:tc>
          <w:tcPr>
            <w:tcW w:w="1620" w:type="dxa"/>
            <w:hideMark/>
          </w:tcPr>
          <w:p w14:paraId="171865B3" w14:textId="77777777" w:rsidR="00E953EE" w:rsidRPr="00EB272B" w:rsidRDefault="00E953EE" w:rsidP="006909EB">
            <w:pPr>
              <w:jc w:val="right"/>
              <w:rPr>
                <w:rFonts w:cstheme="minorHAnsi"/>
                <w:sz w:val="22"/>
                <w:szCs w:val="22"/>
              </w:rPr>
            </w:pPr>
            <w:r>
              <w:rPr>
                <w:rFonts w:cstheme="minorHAnsi"/>
                <w:sz w:val="22"/>
                <w:szCs w:val="22"/>
              </w:rPr>
              <w:t>0</w:t>
            </w:r>
            <w:r w:rsidRPr="00EB272B">
              <w:rPr>
                <w:rFonts w:cstheme="minorHAnsi"/>
                <w:sz w:val="22"/>
                <w:szCs w:val="22"/>
              </w:rPr>
              <w:t> </w:t>
            </w:r>
          </w:p>
        </w:tc>
      </w:tr>
      <w:tr w:rsidR="00E953EE" w:rsidRPr="00EB272B" w14:paraId="0DCCDC79" w14:textId="77777777" w:rsidTr="006909EB">
        <w:trPr>
          <w:trHeight w:val="600"/>
        </w:trPr>
        <w:tc>
          <w:tcPr>
            <w:tcW w:w="1820" w:type="dxa"/>
            <w:hideMark/>
          </w:tcPr>
          <w:p w14:paraId="5596C75B" w14:textId="77777777" w:rsidR="00E953EE" w:rsidRPr="00EB272B" w:rsidRDefault="00E953EE" w:rsidP="006909EB">
            <w:pPr>
              <w:rPr>
                <w:rFonts w:cstheme="minorHAnsi"/>
                <w:sz w:val="22"/>
                <w:szCs w:val="22"/>
              </w:rPr>
            </w:pPr>
            <w:r w:rsidRPr="00EB272B">
              <w:rPr>
                <w:rFonts w:cstheme="minorHAnsi"/>
                <w:sz w:val="22"/>
                <w:szCs w:val="22"/>
              </w:rPr>
              <w:t>Mozambique</w:t>
            </w:r>
          </w:p>
        </w:tc>
        <w:tc>
          <w:tcPr>
            <w:tcW w:w="1840" w:type="dxa"/>
            <w:hideMark/>
          </w:tcPr>
          <w:p w14:paraId="146AC115" w14:textId="77777777" w:rsidR="00E953EE" w:rsidRPr="00EB272B" w:rsidRDefault="00E953EE" w:rsidP="006909EB">
            <w:pPr>
              <w:rPr>
                <w:rFonts w:cstheme="minorHAnsi"/>
                <w:sz w:val="22"/>
                <w:szCs w:val="22"/>
              </w:rPr>
            </w:pPr>
            <w:r w:rsidRPr="00EB272B">
              <w:rPr>
                <w:rFonts w:cstheme="minorHAnsi"/>
                <w:sz w:val="22"/>
                <w:szCs w:val="22"/>
              </w:rPr>
              <w:t> </w:t>
            </w:r>
          </w:p>
        </w:tc>
        <w:tc>
          <w:tcPr>
            <w:tcW w:w="960" w:type="dxa"/>
            <w:hideMark/>
          </w:tcPr>
          <w:p w14:paraId="5E7DFFFE" w14:textId="77777777" w:rsidR="00E953EE" w:rsidRPr="00EB272B" w:rsidRDefault="00E953EE" w:rsidP="006909EB">
            <w:pPr>
              <w:rPr>
                <w:rFonts w:cstheme="minorHAnsi"/>
                <w:sz w:val="22"/>
                <w:szCs w:val="22"/>
              </w:rPr>
            </w:pPr>
            <w:r w:rsidRPr="00EB272B">
              <w:rPr>
                <w:rFonts w:cstheme="minorHAnsi"/>
                <w:sz w:val="22"/>
                <w:szCs w:val="22"/>
              </w:rPr>
              <w:t>W</w:t>
            </w:r>
          </w:p>
        </w:tc>
        <w:tc>
          <w:tcPr>
            <w:tcW w:w="5380" w:type="dxa"/>
            <w:hideMark/>
          </w:tcPr>
          <w:p w14:paraId="22D2AA69" w14:textId="77777777" w:rsidR="00E953EE" w:rsidRPr="00EB272B" w:rsidRDefault="00E953EE" w:rsidP="006909EB">
            <w:pPr>
              <w:rPr>
                <w:rFonts w:cstheme="minorHAnsi"/>
                <w:sz w:val="22"/>
                <w:szCs w:val="22"/>
              </w:rPr>
            </w:pPr>
            <w:r w:rsidRPr="00EB272B">
              <w:rPr>
                <w:rFonts w:cstheme="minorHAnsi"/>
                <w:sz w:val="22"/>
                <w:szCs w:val="22"/>
              </w:rPr>
              <w:t>National Action Plan on Mercury in the Mozambican Artisanal and Small-Scale Gold Mining sector</w:t>
            </w:r>
          </w:p>
        </w:tc>
        <w:tc>
          <w:tcPr>
            <w:tcW w:w="960" w:type="dxa"/>
            <w:hideMark/>
          </w:tcPr>
          <w:p w14:paraId="06E050A5" w14:textId="77777777" w:rsidR="00E953EE" w:rsidRPr="00EB272B" w:rsidRDefault="00E953EE" w:rsidP="006909EB">
            <w:pPr>
              <w:rPr>
                <w:rFonts w:cstheme="minorHAnsi"/>
                <w:sz w:val="22"/>
                <w:szCs w:val="22"/>
              </w:rPr>
            </w:pPr>
            <w:r w:rsidRPr="00EB272B">
              <w:rPr>
                <w:rFonts w:cstheme="minorHAnsi"/>
                <w:sz w:val="22"/>
                <w:szCs w:val="22"/>
              </w:rPr>
              <w:t>GEF-6</w:t>
            </w:r>
          </w:p>
        </w:tc>
        <w:tc>
          <w:tcPr>
            <w:tcW w:w="960" w:type="dxa"/>
            <w:hideMark/>
          </w:tcPr>
          <w:p w14:paraId="66827CE4" w14:textId="77777777" w:rsidR="00E953EE" w:rsidRPr="00EB272B" w:rsidRDefault="00E953EE" w:rsidP="006909EB">
            <w:pPr>
              <w:rPr>
                <w:rFonts w:cstheme="minorHAnsi"/>
                <w:sz w:val="22"/>
                <w:szCs w:val="22"/>
              </w:rPr>
            </w:pPr>
            <w:r w:rsidRPr="00EB272B">
              <w:rPr>
                <w:rFonts w:cstheme="minorHAnsi"/>
                <w:sz w:val="22"/>
                <w:szCs w:val="22"/>
              </w:rPr>
              <w:t>EA</w:t>
            </w:r>
          </w:p>
        </w:tc>
        <w:tc>
          <w:tcPr>
            <w:tcW w:w="960" w:type="dxa"/>
            <w:hideMark/>
          </w:tcPr>
          <w:p w14:paraId="36FE2473" w14:textId="77777777" w:rsidR="00E953EE" w:rsidRPr="00EB272B" w:rsidRDefault="00E953EE" w:rsidP="006909EB">
            <w:pPr>
              <w:rPr>
                <w:rFonts w:cstheme="minorHAnsi"/>
                <w:sz w:val="22"/>
                <w:szCs w:val="22"/>
              </w:rPr>
            </w:pPr>
            <w:r w:rsidRPr="00EB272B">
              <w:rPr>
                <w:rFonts w:cstheme="minorHAnsi"/>
                <w:sz w:val="22"/>
                <w:szCs w:val="22"/>
              </w:rPr>
              <w:t>UNIDO</w:t>
            </w:r>
          </w:p>
        </w:tc>
        <w:tc>
          <w:tcPr>
            <w:tcW w:w="1660" w:type="dxa"/>
            <w:hideMark/>
          </w:tcPr>
          <w:p w14:paraId="4EC91FA6" w14:textId="77777777" w:rsidR="00E953EE" w:rsidRPr="00EB272B" w:rsidRDefault="00E953EE" w:rsidP="006909EB">
            <w:pPr>
              <w:jc w:val="right"/>
              <w:rPr>
                <w:rFonts w:cstheme="minorHAnsi"/>
                <w:sz w:val="22"/>
                <w:szCs w:val="22"/>
              </w:rPr>
            </w:pPr>
            <w:r w:rsidRPr="00EB272B">
              <w:rPr>
                <w:rFonts w:cstheme="minorHAnsi"/>
                <w:sz w:val="22"/>
                <w:szCs w:val="22"/>
              </w:rPr>
              <w:t>500000</w:t>
            </w:r>
          </w:p>
        </w:tc>
        <w:tc>
          <w:tcPr>
            <w:tcW w:w="1620" w:type="dxa"/>
            <w:hideMark/>
          </w:tcPr>
          <w:p w14:paraId="14D01546" w14:textId="77777777" w:rsidR="00E953EE" w:rsidRPr="00EB272B" w:rsidRDefault="00E953EE" w:rsidP="006909EB">
            <w:pPr>
              <w:jc w:val="right"/>
              <w:rPr>
                <w:rFonts w:cstheme="minorHAnsi"/>
                <w:sz w:val="22"/>
                <w:szCs w:val="22"/>
              </w:rPr>
            </w:pPr>
            <w:r w:rsidRPr="00EB272B">
              <w:rPr>
                <w:rFonts w:cstheme="minorHAnsi"/>
                <w:sz w:val="22"/>
                <w:szCs w:val="22"/>
              </w:rPr>
              <w:t>84000</w:t>
            </w:r>
          </w:p>
        </w:tc>
      </w:tr>
      <w:tr w:rsidR="00E953EE" w:rsidRPr="00EB272B" w14:paraId="405D9D4B" w14:textId="77777777" w:rsidTr="006909EB">
        <w:trPr>
          <w:trHeight w:val="900"/>
        </w:trPr>
        <w:tc>
          <w:tcPr>
            <w:tcW w:w="1820" w:type="dxa"/>
            <w:hideMark/>
          </w:tcPr>
          <w:p w14:paraId="0732D0B9" w14:textId="77777777" w:rsidR="00E953EE" w:rsidRPr="00EB272B" w:rsidRDefault="00E953EE" w:rsidP="006909EB">
            <w:pPr>
              <w:rPr>
                <w:rFonts w:cstheme="minorHAnsi"/>
                <w:sz w:val="22"/>
                <w:szCs w:val="22"/>
              </w:rPr>
            </w:pPr>
            <w:r w:rsidRPr="00EB272B">
              <w:rPr>
                <w:rFonts w:cstheme="minorHAnsi"/>
                <w:sz w:val="22"/>
                <w:szCs w:val="22"/>
              </w:rPr>
              <w:t>Myanmar</w:t>
            </w:r>
          </w:p>
        </w:tc>
        <w:tc>
          <w:tcPr>
            <w:tcW w:w="1840" w:type="dxa"/>
            <w:hideMark/>
          </w:tcPr>
          <w:p w14:paraId="437DF69D" w14:textId="77777777" w:rsidR="00E953EE" w:rsidRPr="00EB272B" w:rsidRDefault="00E953EE" w:rsidP="006909EB">
            <w:pPr>
              <w:rPr>
                <w:rFonts w:cstheme="minorHAnsi"/>
                <w:sz w:val="22"/>
                <w:szCs w:val="22"/>
              </w:rPr>
            </w:pPr>
            <w:r w:rsidRPr="00EB272B">
              <w:rPr>
                <w:rFonts w:cstheme="minorHAnsi"/>
                <w:sz w:val="22"/>
                <w:szCs w:val="22"/>
              </w:rPr>
              <w:t> </w:t>
            </w:r>
          </w:p>
        </w:tc>
        <w:tc>
          <w:tcPr>
            <w:tcW w:w="960" w:type="dxa"/>
            <w:hideMark/>
          </w:tcPr>
          <w:p w14:paraId="526AC1B8" w14:textId="77777777" w:rsidR="00E953EE" w:rsidRPr="00EB272B" w:rsidRDefault="00E953EE" w:rsidP="006909EB">
            <w:pPr>
              <w:rPr>
                <w:rFonts w:cstheme="minorHAnsi"/>
                <w:sz w:val="22"/>
                <w:szCs w:val="22"/>
              </w:rPr>
            </w:pPr>
            <w:r w:rsidRPr="00EB272B">
              <w:rPr>
                <w:rFonts w:cstheme="minorHAnsi"/>
                <w:sz w:val="22"/>
                <w:szCs w:val="22"/>
              </w:rPr>
              <w:t>W</w:t>
            </w:r>
          </w:p>
        </w:tc>
        <w:tc>
          <w:tcPr>
            <w:tcW w:w="5380" w:type="dxa"/>
            <w:hideMark/>
          </w:tcPr>
          <w:p w14:paraId="6496A421" w14:textId="77777777" w:rsidR="00E953EE" w:rsidRPr="00EB272B" w:rsidRDefault="00E953EE" w:rsidP="006909EB">
            <w:pPr>
              <w:rPr>
                <w:rFonts w:cstheme="minorHAnsi"/>
                <w:sz w:val="22"/>
                <w:szCs w:val="22"/>
              </w:rPr>
            </w:pPr>
            <w:r w:rsidRPr="00EB272B">
              <w:rPr>
                <w:rFonts w:cstheme="minorHAnsi"/>
                <w:sz w:val="22"/>
                <w:szCs w:val="22"/>
              </w:rPr>
              <w:t xml:space="preserve">Development of Minamata Initial Assessment and National Action Plan for Artisanal and Small-Scale Gold Mining in Myanmar </w:t>
            </w:r>
          </w:p>
        </w:tc>
        <w:tc>
          <w:tcPr>
            <w:tcW w:w="960" w:type="dxa"/>
            <w:hideMark/>
          </w:tcPr>
          <w:p w14:paraId="02238299" w14:textId="77777777" w:rsidR="00E953EE" w:rsidRPr="00EB272B" w:rsidRDefault="00E953EE" w:rsidP="006909EB">
            <w:pPr>
              <w:rPr>
                <w:rFonts w:cstheme="minorHAnsi"/>
                <w:sz w:val="22"/>
                <w:szCs w:val="22"/>
              </w:rPr>
            </w:pPr>
            <w:r w:rsidRPr="00EB272B">
              <w:rPr>
                <w:rFonts w:cstheme="minorHAnsi"/>
                <w:sz w:val="22"/>
                <w:szCs w:val="22"/>
              </w:rPr>
              <w:t>GEF-6</w:t>
            </w:r>
          </w:p>
        </w:tc>
        <w:tc>
          <w:tcPr>
            <w:tcW w:w="960" w:type="dxa"/>
            <w:hideMark/>
          </w:tcPr>
          <w:p w14:paraId="2755DDAF" w14:textId="77777777" w:rsidR="00E953EE" w:rsidRPr="00EB272B" w:rsidRDefault="00E953EE" w:rsidP="006909EB">
            <w:pPr>
              <w:rPr>
                <w:rFonts w:cstheme="minorHAnsi"/>
                <w:sz w:val="22"/>
                <w:szCs w:val="22"/>
              </w:rPr>
            </w:pPr>
            <w:r w:rsidRPr="00EB272B">
              <w:rPr>
                <w:rFonts w:cstheme="minorHAnsi"/>
                <w:sz w:val="22"/>
                <w:szCs w:val="22"/>
              </w:rPr>
              <w:t>EA</w:t>
            </w:r>
          </w:p>
        </w:tc>
        <w:tc>
          <w:tcPr>
            <w:tcW w:w="960" w:type="dxa"/>
            <w:hideMark/>
          </w:tcPr>
          <w:p w14:paraId="24263B99" w14:textId="77777777" w:rsidR="00E953EE" w:rsidRPr="00EB272B" w:rsidRDefault="00E953EE" w:rsidP="006909EB">
            <w:pPr>
              <w:rPr>
                <w:rFonts w:cstheme="minorHAnsi"/>
                <w:sz w:val="22"/>
                <w:szCs w:val="22"/>
              </w:rPr>
            </w:pPr>
            <w:r w:rsidRPr="00EB272B">
              <w:rPr>
                <w:rFonts w:cstheme="minorHAnsi"/>
                <w:sz w:val="22"/>
                <w:szCs w:val="22"/>
              </w:rPr>
              <w:t>UNEP</w:t>
            </w:r>
          </w:p>
        </w:tc>
        <w:tc>
          <w:tcPr>
            <w:tcW w:w="1660" w:type="dxa"/>
            <w:hideMark/>
          </w:tcPr>
          <w:p w14:paraId="69C92FD3" w14:textId="77777777" w:rsidR="00E953EE" w:rsidRPr="00EB272B" w:rsidRDefault="00E953EE" w:rsidP="006909EB">
            <w:pPr>
              <w:jc w:val="right"/>
              <w:rPr>
                <w:rFonts w:cstheme="minorHAnsi"/>
                <w:sz w:val="22"/>
                <w:szCs w:val="22"/>
              </w:rPr>
            </w:pPr>
            <w:r w:rsidRPr="00EB272B">
              <w:rPr>
                <w:rFonts w:cstheme="minorHAnsi"/>
                <w:sz w:val="22"/>
                <w:szCs w:val="22"/>
              </w:rPr>
              <w:t>700000</w:t>
            </w:r>
          </w:p>
        </w:tc>
        <w:tc>
          <w:tcPr>
            <w:tcW w:w="1620" w:type="dxa"/>
            <w:hideMark/>
          </w:tcPr>
          <w:p w14:paraId="663CAA49" w14:textId="77777777" w:rsidR="00E953EE" w:rsidRPr="00EB272B" w:rsidRDefault="00E953EE" w:rsidP="006909EB">
            <w:pPr>
              <w:jc w:val="right"/>
              <w:rPr>
                <w:rFonts w:cstheme="minorHAnsi"/>
                <w:sz w:val="22"/>
                <w:szCs w:val="22"/>
              </w:rPr>
            </w:pPr>
            <w:r>
              <w:rPr>
                <w:rFonts w:cstheme="minorHAnsi"/>
                <w:sz w:val="22"/>
                <w:szCs w:val="22"/>
              </w:rPr>
              <w:t>0</w:t>
            </w:r>
            <w:r w:rsidRPr="00EB272B">
              <w:rPr>
                <w:rFonts w:cstheme="minorHAnsi"/>
                <w:sz w:val="22"/>
                <w:szCs w:val="22"/>
              </w:rPr>
              <w:t> </w:t>
            </w:r>
          </w:p>
        </w:tc>
      </w:tr>
      <w:tr w:rsidR="00E953EE" w:rsidRPr="00EB272B" w14:paraId="4531C3F5" w14:textId="77777777" w:rsidTr="006909EB">
        <w:trPr>
          <w:trHeight w:val="300"/>
        </w:trPr>
        <w:tc>
          <w:tcPr>
            <w:tcW w:w="1820" w:type="dxa"/>
            <w:hideMark/>
          </w:tcPr>
          <w:p w14:paraId="626819DD" w14:textId="77777777" w:rsidR="00E953EE" w:rsidRPr="00EB272B" w:rsidRDefault="00E953EE" w:rsidP="006909EB">
            <w:pPr>
              <w:rPr>
                <w:rFonts w:cstheme="minorHAnsi"/>
                <w:sz w:val="22"/>
                <w:szCs w:val="22"/>
              </w:rPr>
            </w:pPr>
            <w:r w:rsidRPr="00EB272B">
              <w:rPr>
                <w:rFonts w:cstheme="minorHAnsi"/>
                <w:sz w:val="22"/>
                <w:szCs w:val="22"/>
              </w:rPr>
              <w:t>Nepal</w:t>
            </w:r>
          </w:p>
        </w:tc>
        <w:tc>
          <w:tcPr>
            <w:tcW w:w="1840" w:type="dxa"/>
            <w:hideMark/>
          </w:tcPr>
          <w:p w14:paraId="4EB52866" w14:textId="77777777" w:rsidR="00E953EE" w:rsidRPr="00EB272B" w:rsidRDefault="00E953EE" w:rsidP="006909EB">
            <w:pPr>
              <w:rPr>
                <w:rFonts w:cstheme="minorHAnsi"/>
                <w:sz w:val="22"/>
                <w:szCs w:val="22"/>
              </w:rPr>
            </w:pPr>
            <w:r w:rsidRPr="00EB272B">
              <w:rPr>
                <w:rFonts w:cstheme="minorHAnsi"/>
                <w:sz w:val="22"/>
                <w:szCs w:val="22"/>
              </w:rPr>
              <w:t> </w:t>
            </w:r>
          </w:p>
        </w:tc>
        <w:tc>
          <w:tcPr>
            <w:tcW w:w="960" w:type="dxa"/>
            <w:hideMark/>
          </w:tcPr>
          <w:p w14:paraId="16DBA73A" w14:textId="77777777" w:rsidR="00E953EE" w:rsidRPr="00EB272B" w:rsidRDefault="00E953EE" w:rsidP="006909EB">
            <w:pPr>
              <w:rPr>
                <w:rFonts w:cstheme="minorHAnsi"/>
                <w:sz w:val="22"/>
                <w:szCs w:val="22"/>
              </w:rPr>
            </w:pPr>
            <w:r w:rsidRPr="00EB272B">
              <w:rPr>
                <w:rFonts w:cstheme="minorHAnsi"/>
                <w:sz w:val="22"/>
                <w:szCs w:val="22"/>
              </w:rPr>
              <w:t>W</w:t>
            </w:r>
          </w:p>
        </w:tc>
        <w:tc>
          <w:tcPr>
            <w:tcW w:w="5380" w:type="dxa"/>
            <w:hideMark/>
          </w:tcPr>
          <w:p w14:paraId="03AB0B34" w14:textId="77777777" w:rsidR="00E953EE" w:rsidRPr="00EB272B" w:rsidRDefault="00E953EE" w:rsidP="006909EB">
            <w:pPr>
              <w:rPr>
                <w:rFonts w:cstheme="minorHAnsi"/>
                <w:sz w:val="22"/>
                <w:szCs w:val="22"/>
              </w:rPr>
            </w:pPr>
            <w:r w:rsidRPr="00EB272B">
              <w:rPr>
                <w:rFonts w:cstheme="minorHAnsi"/>
                <w:sz w:val="22"/>
                <w:szCs w:val="22"/>
              </w:rPr>
              <w:t>Minamata Initial Assessment in Nepal</w:t>
            </w:r>
          </w:p>
        </w:tc>
        <w:tc>
          <w:tcPr>
            <w:tcW w:w="960" w:type="dxa"/>
            <w:hideMark/>
          </w:tcPr>
          <w:p w14:paraId="53D98708" w14:textId="77777777" w:rsidR="00E953EE" w:rsidRPr="00EB272B" w:rsidRDefault="00E953EE" w:rsidP="006909EB">
            <w:pPr>
              <w:rPr>
                <w:rFonts w:cstheme="minorHAnsi"/>
                <w:sz w:val="22"/>
                <w:szCs w:val="22"/>
              </w:rPr>
            </w:pPr>
            <w:r w:rsidRPr="00EB272B">
              <w:rPr>
                <w:rFonts w:cstheme="minorHAnsi"/>
                <w:sz w:val="22"/>
                <w:szCs w:val="22"/>
              </w:rPr>
              <w:t>GEF-6</w:t>
            </w:r>
          </w:p>
        </w:tc>
        <w:tc>
          <w:tcPr>
            <w:tcW w:w="960" w:type="dxa"/>
            <w:hideMark/>
          </w:tcPr>
          <w:p w14:paraId="5B1E2023" w14:textId="77777777" w:rsidR="00E953EE" w:rsidRPr="00EB272B" w:rsidRDefault="00E953EE" w:rsidP="006909EB">
            <w:pPr>
              <w:rPr>
                <w:rFonts w:cstheme="minorHAnsi"/>
                <w:sz w:val="22"/>
                <w:szCs w:val="22"/>
              </w:rPr>
            </w:pPr>
            <w:r w:rsidRPr="00EB272B">
              <w:rPr>
                <w:rFonts w:cstheme="minorHAnsi"/>
                <w:sz w:val="22"/>
                <w:szCs w:val="22"/>
              </w:rPr>
              <w:t>EA</w:t>
            </w:r>
          </w:p>
        </w:tc>
        <w:tc>
          <w:tcPr>
            <w:tcW w:w="960" w:type="dxa"/>
            <w:hideMark/>
          </w:tcPr>
          <w:p w14:paraId="2DC3BD93" w14:textId="77777777" w:rsidR="00E953EE" w:rsidRPr="00EB272B" w:rsidRDefault="00E953EE" w:rsidP="006909EB">
            <w:pPr>
              <w:rPr>
                <w:rFonts w:cstheme="minorHAnsi"/>
                <w:sz w:val="22"/>
                <w:szCs w:val="22"/>
              </w:rPr>
            </w:pPr>
            <w:r w:rsidRPr="00EB272B">
              <w:rPr>
                <w:rFonts w:cstheme="minorHAnsi"/>
                <w:sz w:val="22"/>
                <w:szCs w:val="22"/>
              </w:rPr>
              <w:t>UNIDO</w:t>
            </w:r>
          </w:p>
        </w:tc>
        <w:tc>
          <w:tcPr>
            <w:tcW w:w="1660" w:type="dxa"/>
            <w:hideMark/>
          </w:tcPr>
          <w:p w14:paraId="494C8898" w14:textId="77777777" w:rsidR="00E953EE" w:rsidRPr="00EB272B" w:rsidRDefault="00E953EE" w:rsidP="006909EB">
            <w:pPr>
              <w:jc w:val="right"/>
              <w:rPr>
                <w:rFonts w:cstheme="minorHAnsi"/>
                <w:sz w:val="22"/>
                <w:szCs w:val="22"/>
              </w:rPr>
            </w:pPr>
            <w:r w:rsidRPr="00EB272B">
              <w:rPr>
                <w:rFonts w:cstheme="minorHAnsi"/>
                <w:sz w:val="22"/>
                <w:szCs w:val="22"/>
              </w:rPr>
              <w:t>200000</w:t>
            </w:r>
          </w:p>
        </w:tc>
        <w:tc>
          <w:tcPr>
            <w:tcW w:w="1620" w:type="dxa"/>
            <w:hideMark/>
          </w:tcPr>
          <w:p w14:paraId="1821010B" w14:textId="77777777" w:rsidR="00E953EE" w:rsidRPr="00EB272B" w:rsidRDefault="00E953EE" w:rsidP="006909EB">
            <w:pPr>
              <w:jc w:val="right"/>
              <w:rPr>
                <w:rFonts w:cstheme="minorHAnsi"/>
                <w:sz w:val="22"/>
                <w:szCs w:val="22"/>
              </w:rPr>
            </w:pPr>
            <w:r w:rsidRPr="00EB272B">
              <w:rPr>
                <w:rFonts w:cstheme="minorHAnsi"/>
                <w:sz w:val="22"/>
                <w:szCs w:val="22"/>
              </w:rPr>
              <w:t>108600</w:t>
            </w:r>
          </w:p>
        </w:tc>
      </w:tr>
      <w:tr w:rsidR="00E953EE" w:rsidRPr="00EB272B" w14:paraId="552E9292" w14:textId="77777777" w:rsidTr="006909EB">
        <w:trPr>
          <w:trHeight w:val="600"/>
        </w:trPr>
        <w:tc>
          <w:tcPr>
            <w:tcW w:w="1820" w:type="dxa"/>
            <w:hideMark/>
          </w:tcPr>
          <w:p w14:paraId="21377A5A" w14:textId="77777777" w:rsidR="00E953EE" w:rsidRPr="00EB272B" w:rsidRDefault="00E953EE" w:rsidP="006909EB">
            <w:pPr>
              <w:rPr>
                <w:rFonts w:cstheme="minorHAnsi"/>
                <w:sz w:val="22"/>
                <w:szCs w:val="22"/>
              </w:rPr>
            </w:pPr>
            <w:r w:rsidRPr="00EB272B">
              <w:rPr>
                <w:rFonts w:cstheme="minorHAnsi"/>
                <w:sz w:val="22"/>
                <w:szCs w:val="22"/>
              </w:rPr>
              <w:t>Nigeria</w:t>
            </w:r>
          </w:p>
        </w:tc>
        <w:tc>
          <w:tcPr>
            <w:tcW w:w="1840" w:type="dxa"/>
            <w:hideMark/>
          </w:tcPr>
          <w:p w14:paraId="685D9B32" w14:textId="77777777" w:rsidR="00E953EE" w:rsidRPr="00EB272B" w:rsidRDefault="00E953EE" w:rsidP="006909EB">
            <w:pPr>
              <w:rPr>
                <w:rFonts w:cstheme="minorHAnsi"/>
                <w:sz w:val="22"/>
                <w:szCs w:val="22"/>
              </w:rPr>
            </w:pPr>
            <w:r w:rsidRPr="00EB272B">
              <w:rPr>
                <w:rFonts w:cstheme="minorHAnsi"/>
                <w:sz w:val="22"/>
                <w:szCs w:val="22"/>
              </w:rPr>
              <w:t> </w:t>
            </w:r>
          </w:p>
        </w:tc>
        <w:tc>
          <w:tcPr>
            <w:tcW w:w="960" w:type="dxa"/>
            <w:hideMark/>
          </w:tcPr>
          <w:p w14:paraId="6A17B876" w14:textId="77777777" w:rsidR="00E953EE" w:rsidRPr="00EB272B" w:rsidRDefault="00E953EE" w:rsidP="006909EB">
            <w:pPr>
              <w:rPr>
                <w:rFonts w:cstheme="minorHAnsi"/>
                <w:sz w:val="22"/>
                <w:szCs w:val="22"/>
              </w:rPr>
            </w:pPr>
            <w:r w:rsidRPr="00EB272B">
              <w:rPr>
                <w:rFonts w:cstheme="minorHAnsi"/>
                <w:sz w:val="22"/>
                <w:szCs w:val="22"/>
              </w:rPr>
              <w:t>W</w:t>
            </w:r>
          </w:p>
        </w:tc>
        <w:tc>
          <w:tcPr>
            <w:tcW w:w="5380" w:type="dxa"/>
            <w:hideMark/>
          </w:tcPr>
          <w:p w14:paraId="2B0C64E7" w14:textId="77777777" w:rsidR="00E953EE" w:rsidRPr="00EB272B" w:rsidRDefault="00E953EE" w:rsidP="006909EB">
            <w:pPr>
              <w:rPr>
                <w:rFonts w:cstheme="minorHAnsi"/>
                <w:sz w:val="22"/>
                <w:szCs w:val="22"/>
              </w:rPr>
            </w:pPr>
            <w:r w:rsidRPr="00EB272B">
              <w:rPr>
                <w:rFonts w:cstheme="minorHAnsi"/>
                <w:sz w:val="22"/>
                <w:szCs w:val="22"/>
              </w:rPr>
              <w:t>National Action Plan on Mercury in the Nigerian Artisanal and Small-Scale Gold Mining sector</w:t>
            </w:r>
          </w:p>
        </w:tc>
        <w:tc>
          <w:tcPr>
            <w:tcW w:w="960" w:type="dxa"/>
            <w:hideMark/>
          </w:tcPr>
          <w:p w14:paraId="1587CA30" w14:textId="77777777" w:rsidR="00E953EE" w:rsidRPr="00EB272B" w:rsidRDefault="00E953EE" w:rsidP="006909EB">
            <w:pPr>
              <w:rPr>
                <w:rFonts w:cstheme="minorHAnsi"/>
                <w:sz w:val="22"/>
                <w:szCs w:val="22"/>
              </w:rPr>
            </w:pPr>
            <w:r w:rsidRPr="00EB272B">
              <w:rPr>
                <w:rFonts w:cstheme="minorHAnsi"/>
                <w:sz w:val="22"/>
                <w:szCs w:val="22"/>
              </w:rPr>
              <w:t>GEF-6</w:t>
            </w:r>
          </w:p>
        </w:tc>
        <w:tc>
          <w:tcPr>
            <w:tcW w:w="960" w:type="dxa"/>
            <w:hideMark/>
          </w:tcPr>
          <w:p w14:paraId="156445DE" w14:textId="77777777" w:rsidR="00E953EE" w:rsidRPr="00EB272B" w:rsidRDefault="00E953EE" w:rsidP="006909EB">
            <w:pPr>
              <w:rPr>
                <w:rFonts w:cstheme="minorHAnsi"/>
                <w:sz w:val="22"/>
                <w:szCs w:val="22"/>
              </w:rPr>
            </w:pPr>
            <w:r w:rsidRPr="00EB272B">
              <w:rPr>
                <w:rFonts w:cstheme="minorHAnsi"/>
                <w:sz w:val="22"/>
                <w:szCs w:val="22"/>
              </w:rPr>
              <w:t>EA</w:t>
            </w:r>
          </w:p>
        </w:tc>
        <w:tc>
          <w:tcPr>
            <w:tcW w:w="960" w:type="dxa"/>
            <w:hideMark/>
          </w:tcPr>
          <w:p w14:paraId="42D9127E" w14:textId="77777777" w:rsidR="00E953EE" w:rsidRPr="00EB272B" w:rsidRDefault="00E953EE" w:rsidP="006909EB">
            <w:pPr>
              <w:rPr>
                <w:rFonts w:cstheme="minorHAnsi"/>
                <w:sz w:val="22"/>
                <w:szCs w:val="22"/>
              </w:rPr>
            </w:pPr>
            <w:r w:rsidRPr="00EB272B">
              <w:rPr>
                <w:rFonts w:cstheme="minorHAnsi"/>
                <w:sz w:val="22"/>
                <w:szCs w:val="22"/>
              </w:rPr>
              <w:t>UNIDO</w:t>
            </w:r>
          </w:p>
        </w:tc>
        <w:tc>
          <w:tcPr>
            <w:tcW w:w="1660" w:type="dxa"/>
            <w:hideMark/>
          </w:tcPr>
          <w:p w14:paraId="1CA73222" w14:textId="77777777" w:rsidR="00E953EE" w:rsidRPr="00EB272B" w:rsidRDefault="00E953EE" w:rsidP="006909EB">
            <w:pPr>
              <w:jc w:val="right"/>
              <w:rPr>
                <w:rFonts w:cstheme="minorHAnsi"/>
                <w:sz w:val="22"/>
                <w:szCs w:val="22"/>
              </w:rPr>
            </w:pPr>
            <w:r w:rsidRPr="00EB272B">
              <w:rPr>
                <w:rFonts w:cstheme="minorHAnsi"/>
                <w:sz w:val="22"/>
                <w:szCs w:val="22"/>
              </w:rPr>
              <w:t>500000</w:t>
            </w:r>
          </w:p>
        </w:tc>
        <w:tc>
          <w:tcPr>
            <w:tcW w:w="1620" w:type="dxa"/>
            <w:hideMark/>
          </w:tcPr>
          <w:p w14:paraId="553B0B55" w14:textId="77777777" w:rsidR="00E953EE" w:rsidRPr="00EB272B" w:rsidRDefault="00E953EE" w:rsidP="006909EB">
            <w:pPr>
              <w:jc w:val="right"/>
              <w:rPr>
                <w:rFonts w:cstheme="minorHAnsi"/>
                <w:sz w:val="22"/>
                <w:szCs w:val="22"/>
              </w:rPr>
            </w:pPr>
            <w:r w:rsidRPr="00EB272B">
              <w:rPr>
                <w:rFonts w:cstheme="minorHAnsi"/>
                <w:sz w:val="22"/>
                <w:szCs w:val="22"/>
              </w:rPr>
              <w:t>373000</w:t>
            </w:r>
          </w:p>
        </w:tc>
      </w:tr>
      <w:tr w:rsidR="00E953EE" w:rsidRPr="00EB272B" w14:paraId="4EBF6E0B" w14:textId="77777777" w:rsidTr="006909EB">
        <w:trPr>
          <w:trHeight w:val="600"/>
        </w:trPr>
        <w:tc>
          <w:tcPr>
            <w:tcW w:w="1820" w:type="dxa"/>
            <w:hideMark/>
          </w:tcPr>
          <w:p w14:paraId="76B9CAF2" w14:textId="77777777" w:rsidR="00E953EE" w:rsidRPr="00EB272B" w:rsidRDefault="00E953EE" w:rsidP="006909EB">
            <w:pPr>
              <w:rPr>
                <w:rFonts w:cstheme="minorHAnsi"/>
                <w:sz w:val="22"/>
                <w:szCs w:val="22"/>
              </w:rPr>
            </w:pPr>
            <w:r w:rsidRPr="00EB272B">
              <w:rPr>
                <w:rFonts w:cstheme="minorHAnsi"/>
                <w:sz w:val="22"/>
                <w:szCs w:val="22"/>
              </w:rPr>
              <w:t>Nigeria</w:t>
            </w:r>
          </w:p>
        </w:tc>
        <w:tc>
          <w:tcPr>
            <w:tcW w:w="1840" w:type="dxa"/>
            <w:hideMark/>
          </w:tcPr>
          <w:p w14:paraId="50AB92EF" w14:textId="77777777" w:rsidR="00E953EE" w:rsidRPr="00EB272B" w:rsidRDefault="00E953EE" w:rsidP="006909EB">
            <w:pPr>
              <w:rPr>
                <w:rFonts w:cstheme="minorHAnsi"/>
                <w:sz w:val="22"/>
                <w:szCs w:val="22"/>
              </w:rPr>
            </w:pPr>
            <w:r w:rsidRPr="00EB272B">
              <w:rPr>
                <w:rFonts w:cstheme="minorHAnsi"/>
                <w:sz w:val="22"/>
                <w:szCs w:val="22"/>
              </w:rPr>
              <w:t> </w:t>
            </w:r>
          </w:p>
        </w:tc>
        <w:tc>
          <w:tcPr>
            <w:tcW w:w="960" w:type="dxa"/>
            <w:hideMark/>
          </w:tcPr>
          <w:p w14:paraId="6130BFC0" w14:textId="77777777" w:rsidR="00E953EE" w:rsidRPr="00EB272B" w:rsidRDefault="00E953EE" w:rsidP="006909EB">
            <w:pPr>
              <w:rPr>
                <w:rFonts w:cstheme="minorHAnsi"/>
                <w:sz w:val="22"/>
                <w:szCs w:val="22"/>
              </w:rPr>
            </w:pPr>
            <w:r w:rsidRPr="00EB272B">
              <w:rPr>
                <w:rFonts w:cstheme="minorHAnsi"/>
                <w:sz w:val="22"/>
                <w:szCs w:val="22"/>
              </w:rPr>
              <w:t>P</w:t>
            </w:r>
          </w:p>
        </w:tc>
        <w:tc>
          <w:tcPr>
            <w:tcW w:w="5380" w:type="dxa"/>
            <w:hideMark/>
          </w:tcPr>
          <w:p w14:paraId="26391C4B" w14:textId="77777777" w:rsidR="00E953EE" w:rsidRPr="00EB272B" w:rsidRDefault="00E953EE" w:rsidP="006909EB">
            <w:pPr>
              <w:rPr>
                <w:rFonts w:cstheme="minorHAnsi"/>
                <w:sz w:val="22"/>
                <w:szCs w:val="22"/>
              </w:rPr>
            </w:pPr>
            <w:r w:rsidRPr="00EB272B">
              <w:rPr>
                <w:rFonts w:cstheme="minorHAnsi"/>
                <w:sz w:val="22"/>
                <w:szCs w:val="22"/>
              </w:rPr>
              <w:t>Minamata Convention Initial Assessment in the Federal Republic of Nigeria</w:t>
            </w:r>
          </w:p>
        </w:tc>
        <w:tc>
          <w:tcPr>
            <w:tcW w:w="960" w:type="dxa"/>
            <w:hideMark/>
          </w:tcPr>
          <w:p w14:paraId="77FF202A" w14:textId="77777777" w:rsidR="00E953EE" w:rsidRPr="00EB272B" w:rsidRDefault="00E953EE" w:rsidP="006909EB">
            <w:pPr>
              <w:rPr>
                <w:rFonts w:cstheme="minorHAnsi"/>
                <w:sz w:val="22"/>
                <w:szCs w:val="22"/>
              </w:rPr>
            </w:pPr>
            <w:r w:rsidRPr="00EB272B">
              <w:rPr>
                <w:rFonts w:cstheme="minorHAnsi"/>
                <w:sz w:val="22"/>
                <w:szCs w:val="22"/>
              </w:rPr>
              <w:t>GEF-5</w:t>
            </w:r>
          </w:p>
        </w:tc>
        <w:tc>
          <w:tcPr>
            <w:tcW w:w="960" w:type="dxa"/>
            <w:hideMark/>
          </w:tcPr>
          <w:p w14:paraId="1181F0EF" w14:textId="77777777" w:rsidR="00E953EE" w:rsidRPr="00EB272B" w:rsidRDefault="00E953EE" w:rsidP="006909EB">
            <w:pPr>
              <w:rPr>
                <w:rFonts w:cstheme="minorHAnsi"/>
                <w:sz w:val="22"/>
                <w:szCs w:val="22"/>
              </w:rPr>
            </w:pPr>
            <w:r w:rsidRPr="00EB272B">
              <w:rPr>
                <w:rFonts w:cstheme="minorHAnsi"/>
                <w:sz w:val="22"/>
                <w:szCs w:val="22"/>
              </w:rPr>
              <w:t>EA</w:t>
            </w:r>
          </w:p>
        </w:tc>
        <w:tc>
          <w:tcPr>
            <w:tcW w:w="960" w:type="dxa"/>
            <w:hideMark/>
          </w:tcPr>
          <w:p w14:paraId="4104B619" w14:textId="77777777" w:rsidR="00E953EE" w:rsidRPr="00EB272B" w:rsidRDefault="00E953EE" w:rsidP="006909EB">
            <w:pPr>
              <w:rPr>
                <w:rFonts w:cstheme="minorHAnsi"/>
                <w:sz w:val="22"/>
                <w:szCs w:val="22"/>
              </w:rPr>
            </w:pPr>
            <w:r w:rsidRPr="00EB272B">
              <w:rPr>
                <w:rFonts w:cstheme="minorHAnsi"/>
                <w:sz w:val="22"/>
                <w:szCs w:val="22"/>
              </w:rPr>
              <w:t>UNIDO</w:t>
            </w:r>
          </w:p>
        </w:tc>
        <w:tc>
          <w:tcPr>
            <w:tcW w:w="1660" w:type="dxa"/>
            <w:hideMark/>
          </w:tcPr>
          <w:p w14:paraId="6CCABC8A" w14:textId="77777777" w:rsidR="00E953EE" w:rsidRPr="00EB272B" w:rsidRDefault="00E953EE" w:rsidP="006909EB">
            <w:pPr>
              <w:jc w:val="right"/>
              <w:rPr>
                <w:rFonts w:cstheme="minorHAnsi"/>
                <w:sz w:val="22"/>
                <w:szCs w:val="22"/>
              </w:rPr>
            </w:pPr>
            <w:r w:rsidRPr="00EB272B">
              <w:rPr>
                <w:rFonts w:cstheme="minorHAnsi"/>
                <w:sz w:val="22"/>
                <w:szCs w:val="22"/>
              </w:rPr>
              <w:t>1000000</w:t>
            </w:r>
          </w:p>
        </w:tc>
        <w:tc>
          <w:tcPr>
            <w:tcW w:w="1620" w:type="dxa"/>
            <w:hideMark/>
          </w:tcPr>
          <w:p w14:paraId="38AFE3B5" w14:textId="77777777" w:rsidR="00E953EE" w:rsidRPr="00EB272B" w:rsidRDefault="00E953EE" w:rsidP="006909EB">
            <w:pPr>
              <w:jc w:val="right"/>
              <w:rPr>
                <w:rFonts w:cstheme="minorHAnsi"/>
                <w:sz w:val="22"/>
                <w:szCs w:val="22"/>
              </w:rPr>
            </w:pPr>
            <w:r w:rsidRPr="00EB272B">
              <w:rPr>
                <w:rFonts w:cstheme="minorHAnsi"/>
                <w:sz w:val="22"/>
                <w:szCs w:val="22"/>
              </w:rPr>
              <w:t>182000</w:t>
            </w:r>
          </w:p>
        </w:tc>
      </w:tr>
      <w:tr w:rsidR="00E953EE" w:rsidRPr="00EB272B" w14:paraId="76E2F19E" w14:textId="77777777" w:rsidTr="006909EB">
        <w:trPr>
          <w:trHeight w:val="600"/>
        </w:trPr>
        <w:tc>
          <w:tcPr>
            <w:tcW w:w="1820" w:type="dxa"/>
            <w:hideMark/>
          </w:tcPr>
          <w:p w14:paraId="20ED8D4A" w14:textId="77777777" w:rsidR="00E953EE" w:rsidRPr="00EB272B" w:rsidRDefault="00E953EE" w:rsidP="006909EB">
            <w:pPr>
              <w:rPr>
                <w:rFonts w:cstheme="minorHAnsi"/>
                <w:sz w:val="22"/>
                <w:szCs w:val="22"/>
              </w:rPr>
            </w:pPr>
            <w:r w:rsidRPr="00EB272B">
              <w:rPr>
                <w:rFonts w:cstheme="minorHAnsi"/>
                <w:sz w:val="22"/>
                <w:szCs w:val="22"/>
              </w:rPr>
              <w:lastRenderedPageBreak/>
              <w:t>Niue</w:t>
            </w:r>
          </w:p>
        </w:tc>
        <w:tc>
          <w:tcPr>
            <w:tcW w:w="1840" w:type="dxa"/>
            <w:hideMark/>
          </w:tcPr>
          <w:p w14:paraId="54521BEF" w14:textId="77777777" w:rsidR="00E953EE" w:rsidRPr="00EB272B" w:rsidRDefault="00E953EE" w:rsidP="006909EB">
            <w:pPr>
              <w:rPr>
                <w:rFonts w:cstheme="minorHAnsi"/>
                <w:sz w:val="22"/>
                <w:szCs w:val="22"/>
              </w:rPr>
            </w:pPr>
            <w:r w:rsidRPr="00EB272B">
              <w:rPr>
                <w:rFonts w:cstheme="minorHAnsi"/>
                <w:sz w:val="22"/>
                <w:szCs w:val="22"/>
              </w:rPr>
              <w:t> </w:t>
            </w:r>
          </w:p>
        </w:tc>
        <w:tc>
          <w:tcPr>
            <w:tcW w:w="960" w:type="dxa"/>
            <w:hideMark/>
          </w:tcPr>
          <w:p w14:paraId="6D0687AC" w14:textId="77777777" w:rsidR="00E953EE" w:rsidRPr="00EB272B" w:rsidRDefault="00E953EE" w:rsidP="006909EB">
            <w:pPr>
              <w:rPr>
                <w:rFonts w:cstheme="minorHAnsi"/>
                <w:sz w:val="22"/>
                <w:szCs w:val="22"/>
              </w:rPr>
            </w:pPr>
            <w:r w:rsidRPr="00EB272B">
              <w:rPr>
                <w:rFonts w:cstheme="minorHAnsi"/>
                <w:sz w:val="22"/>
                <w:szCs w:val="22"/>
              </w:rPr>
              <w:t>W</w:t>
            </w:r>
          </w:p>
        </w:tc>
        <w:tc>
          <w:tcPr>
            <w:tcW w:w="5380" w:type="dxa"/>
            <w:hideMark/>
          </w:tcPr>
          <w:p w14:paraId="2E8FC83F" w14:textId="77777777" w:rsidR="00E953EE" w:rsidRPr="00EB272B" w:rsidRDefault="00E953EE" w:rsidP="006909EB">
            <w:pPr>
              <w:rPr>
                <w:rFonts w:cstheme="minorHAnsi"/>
                <w:sz w:val="22"/>
                <w:szCs w:val="22"/>
              </w:rPr>
            </w:pPr>
            <w:r w:rsidRPr="00EB272B">
              <w:rPr>
                <w:rFonts w:cstheme="minorHAnsi"/>
                <w:sz w:val="22"/>
                <w:szCs w:val="22"/>
              </w:rPr>
              <w:t>Development of A Minamata Initial Assessment in Niue</w:t>
            </w:r>
          </w:p>
        </w:tc>
        <w:tc>
          <w:tcPr>
            <w:tcW w:w="960" w:type="dxa"/>
            <w:hideMark/>
          </w:tcPr>
          <w:p w14:paraId="5D01EEFA" w14:textId="77777777" w:rsidR="00E953EE" w:rsidRPr="00EB272B" w:rsidRDefault="00E953EE" w:rsidP="006909EB">
            <w:pPr>
              <w:rPr>
                <w:rFonts w:cstheme="minorHAnsi"/>
                <w:sz w:val="22"/>
                <w:szCs w:val="22"/>
              </w:rPr>
            </w:pPr>
            <w:r w:rsidRPr="00EB272B">
              <w:rPr>
                <w:rFonts w:cstheme="minorHAnsi"/>
                <w:sz w:val="22"/>
                <w:szCs w:val="22"/>
              </w:rPr>
              <w:t>GEF-6</w:t>
            </w:r>
          </w:p>
        </w:tc>
        <w:tc>
          <w:tcPr>
            <w:tcW w:w="960" w:type="dxa"/>
            <w:hideMark/>
          </w:tcPr>
          <w:p w14:paraId="2E39E1B6" w14:textId="77777777" w:rsidR="00E953EE" w:rsidRPr="00EB272B" w:rsidRDefault="00E953EE" w:rsidP="006909EB">
            <w:pPr>
              <w:rPr>
                <w:rFonts w:cstheme="minorHAnsi"/>
                <w:sz w:val="22"/>
                <w:szCs w:val="22"/>
              </w:rPr>
            </w:pPr>
            <w:r w:rsidRPr="00EB272B">
              <w:rPr>
                <w:rFonts w:cstheme="minorHAnsi"/>
                <w:sz w:val="22"/>
                <w:szCs w:val="22"/>
              </w:rPr>
              <w:t>EA</w:t>
            </w:r>
          </w:p>
        </w:tc>
        <w:tc>
          <w:tcPr>
            <w:tcW w:w="960" w:type="dxa"/>
            <w:hideMark/>
          </w:tcPr>
          <w:p w14:paraId="7D94C460" w14:textId="77777777" w:rsidR="00E953EE" w:rsidRPr="00EB272B" w:rsidRDefault="00E953EE" w:rsidP="006909EB">
            <w:pPr>
              <w:rPr>
                <w:rFonts w:cstheme="minorHAnsi"/>
                <w:sz w:val="22"/>
                <w:szCs w:val="22"/>
              </w:rPr>
            </w:pPr>
            <w:r w:rsidRPr="00EB272B">
              <w:rPr>
                <w:rFonts w:cstheme="minorHAnsi"/>
                <w:sz w:val="22"/>
                <w:szCs w:val="22"/>
              </w:rPr>
              <w:t>UNEP</w:t>
            </w:r>
          </w:p>
        </w:tc>
        <w:tc>
          <w:tcPr>
            <w:tcW w:w="1660" w:type="dxa"/>
            <w:hideMark/>
          </w:tcPr>
          <w:p w14:paraId="4F3E9F18" w14:textId="77777777" w:rsidR="00E953EE" w:rsidRPr="00EB272B" w:rsidRDefault="00E953EE" w:rsidP="006909EB">
            <w:pPr>
              <w:jc w:val="right"/>
              <w:rPr>
                <w:rFonts w:cstheme="minorHAnsi"/>
                <w:sz w:val="22"/>
                <w:szCs w:val="22"/>
              </w:rPr>
            </w:pPr>
            <w:r w:rsidRPr="00EB272B">
              <w:rPr>
                <w:rFonts w:cstheme="minorHAnsi"/>
                <w:sz w:val="22"/>
                <w:szCs w:val="22"/>
              </w:rPr>
              <w:t>125000</w:t>
            </w:r>
          </w:p>
        </w:tc>
        <w:tc>
          <w:tcPr>
            <w:tcW w:w="1620" w:type="dxa"/>
            <w:hideMark/>
          </w:tcPr>
          <w:p w14:paraId="306A3E40" w14:textId="77777777" w:rsidR="00E953EE" w:rsidRPr="00EB272B" w:rsidRDefault="00E953EE" w:rsidP="006909EB">
            <w:pPr>
              <w:jc w:val="right"/>
              <w:rPr>
                <w:rFonts w:cstheme="minorHAnsi"/>
                <w:sz w:val="22"/>
                <w:szCs w:val="22"/>
              </w:rPr>
            </w:pPr>
            <w:r>
              <w:rPr>
                <w:rFonts w:cstheme="minorHAnsi"/>
                <w:sz w:val="22"/>
                <w:szCs w:val="22"/>
              </w:rPr>
              <w:t>0</w:t>
            </w:r>
            <w:r w:rsidRPr="00EB272B">
              <w:rPr>
                <w:rFonts w:cstheme="minorHAnsi"/>
                <w:sz w:val="22"/>
                <w:szCs w:val="22"/>
              </w:rPr>
              <w:t> </w:t>
            </w:r>
          </w:p>
        </w:tc>
      </w:tr>
      <w:tr w:rsidR="00E953EE" w:rsidRPr="00EB272B" w14:paraId="6CB5A98A" w14:textId="77777777" w:rsidTr="006909EB">
        <w:trPr>
          <w:trHeight w:val="300"/>
        </w:trPr>
        <w:tc>
          <w:tcPr>
            <w:tcW w:w="1820" w:type="dxa"/>
            <w:hideMark/>
          </w:tcPr>
          <w:p w14:paraId="7B5C2877" w14:textId="77777777" w:rsidR="00E953EE" w:rsidRPr="00EB272B" w:rsidRDefault="00E953EE" w:rsidP="006909EB">
            <w:pPr>
              <w:rPr>
                <w:rFonts w:cstheme="minorHAnsi"/>
                <w:sz w:val="22"/>
                <w:szCs w:val="22"/>
              </w:rPr>
            </w:pPr>
            <w:r w:rsidRPr="00EB272B">
              <w:rPr>
                <w:rFonts w:cstheme="minorHAnsi"/>
                <w:sz w:val="22"/>
                <w:szCs w:val="22"/>
              </w:rPr>
              <w:t>Panama</w:t>
            </w:r>
          </w:p>
        </w:tc>
        <w:tc>
          <w:tcPr>
            <w:tcW w:w="1840" w:type="dxa"/>
            <w:hideMark/>
          </w:tcPr>
          <w:p w14:paraId="198956FE" w14:textId="77777777" w:rsidR="00E953EE" w:rsidRPr="00EB272B" w:rsidRDefault="00E953EE" w:rsidP="006909EB">
            <w:pPr>
              <w:rPr>
                <w:rFonts w:cstheme="minorHAnsi"/>
                <w:sz w:val="22"/>
                <w:szCs w:val="22"/>
              </w:rPr>
            </w:pPr>
            <w:r w:rsidRPr="00EB272B">
              <w:rPr>
                <w:rFonts w:cstheme="minorHAnsi"/>
                <w:sz w:val="22"/>
                <w:szCs w:val="22"/>
              </w:rPr>
              <w:t> </w:t>
            </w:r>
          </w:p>
        </w:tc>
        <w:tc>
          <w:tcPr>
            <w:tcW w:w="960" w:type="dxa"/>
            <w:hideMark/>
          </w:tcPr>
          <w:p w14:paraId="44DB0831" w14:textId="77777777" w:rsidR="00E953EE" w:rsidRPr="00EB272B" w:rsidRDefault="00E953EE" w:rsidP="006909EB">
            <w:pPr>
              <w:rPr>
                <w:rFonts w:cstheme="minorHAnsi"/>
                <w:sz w:val="22"/>
                <w:szCs w:val="22"/>
              </w:rPr>
            </w:pPr>
            <w:r w:rsidRPr="00EB272B">
              <w:rPr>
                <w:rFonts w:cstheme="minorHAnsi"/>
                <w:sz w:val="22"/>
                <w:szCs w:val="22"/>
              </w:rPr>
              <w:t>W</w:t>
            </w:r>
          </w:p>
        </w:tc>
        <w:tc>
          <w:tcPr>
            <w:tcW w:w="5380" w:type="dxa"/>
            <w:hideMark/>
          </w:tcPr>
          <w:p w14:paraId="21D6294D" w14:textId="77777777" w:rsidR="00E953EE" w:rsidRPr="00EB272B" w:rsidRDefault="00E953EE" w:rsidP="006909EB">
            <w:pPr>
              <w:rPr>
                <w:rFonts w:cstheme="minorHAnsi"/>
                <w:sz w:val="22"/>
                <w:szCs w:val="22"/>
              </w:rPr>
            </w:pPr>
            <w:r w:rsidRPr="00EB272B">
              <w:rPr>
                <w:rFonts w:cstheme="minorHAnsi"/>
                <w:sz w:val="22"/>
                <w:szCs w:val="22"/>
              </w:rPr>
              <w:t>Minamata Initial Assessment for Panama</w:t>
            </w:r>
          </w:p>
        </w:tc>
        <w:tc>
          <w:tcPr>
            <w:tcW w:w="960" w:type="dxa"/>
            <w:hideMark/>
          </w:tcPr>
          <w:p w14:paraId="2FFB3F39" w14:textId="77777777" w:rsidR="00E953EE" w:rsidRPr="00EB272B" w:rsidRDefault="00E953EE" w:rsidP="006909EB">
            <w:pPr>
              <w:rPr>
                <w:rFonts w:cstheme="minorHAnsi"/>
                <w:sz w:val="22"/>
                <w:szCs w:val="22"/>
              </w:rPr>
            </w:pPr>
            <w:r w:rsidRPr="00EB272B">
              <w:rPr>
                <w:rFonts w:cstheme="minorHAnsi"/>
                <w:sz w:val="22"/>
                <w:szCs w:val="22"/>
              </w:rPr>
              <w:t>GEF-6</w:t>
            </w:r>
          </w:p>
        </w:tc>
        <w:tc>
          <w:tcPr>
            <w:tcW w:w="960" w:type="dxa"/>
            <w:hideMark/>
          </w:tcPr>
          <w:p w14:paraId="54B535CA" w14:textId="77777777" w:rsidR="00E953EE" w:rsidRPr="00EB272B" w:rsidRDefault="00E953EE" w:rsidP="006909EB">
            <w:pPr>
              <w:rPr>
                <w:rFonts w:cstheme="minorHAnsi"/>
                <w:sz w:val="22"/>
                <w:szCs w:val="22"/>
              </w:rPr>
            </w:pPr>
            <w:r w:rsidRPr="00EB272B">
              <w:rPr>
                <w:rFonts w:cstheme="minorHAnsi"/>
                <w:sz w:val="22"/>
                <w:szCs w:val="22"/>
              </w:rPr>
              <w:t>EA</w:t>
            </w:r>
          </w:p>
        </w:tc>
        <w:tc>
          <w:tcPr>
            <w:tcW w:w="960" w:type="dxa"/>
            <w:hideMark/>
          </w:tcPr>
          <w:p w14:paraId="46DD562E" w14:textId="77777777" w:rsidR="00E953EE" w:rsidRPr="00EB272B" w:rsidRDefault="00E953EE" w:rsidP="006909EB">
            <w:pPr>
              <w:rPr>
                <w:rFonts w:cstheme="minorHAnsi"/>
                <w:sz w:val="22"/>
                <w:szCs w:val="22"/>
              </w:rPr>
            </w:pPr>
            <w:r w:rsidRPr="00EB272B">
              <w:rPr>
                <w:rFonts w:cstheme="minorHAnsi"/>
                <w:sz w:val="22"/>
                <w:szCs w:val="22"/>
              </w:rPr>
              <w:t>UNDP</w:t>
            </w:r>
          </w:p>
        </w:tc>
        <w:tc>
          <w:tcPr>
            <w:tcW w:w="1660" w:type="dxa"/>
            <w:hideMark/>
          </w:tcPr>
          <w:p w14:paraId="34400DB6" w14:textId="77777777" w:rsidR="00E953EE" w:rsidRPr="00EB272B" w:rsidRDefault="00E953EE" w:rsidP="006909EB">
            <w:pPr>
              <w:jc w:val="right"/>
              <w:rPr>
                <w:rFonts w:cstheme="minorHAnsi"/>
                <w:sz w:val="22"/>
                <w:szCs w:val="22"/>
              </w:rPr>
            </w:pPr>
            <w:r w:rsidRPr="00EB272B">
              <w:rPr>
                <w:rFonts w:cstheme="minorHAnsi"/>
                <w:sz w:val="22"/>
                <w:szCs w:val="22"/>
              </w:rPr>
              <w:t>200000</w:t>
            </w:r>
          </w:p>
        </w:tc>
        <w:tc>
          <w:tcPr>
            <w:tcW w:w="1620" w:type="dxa"/>
            <w:hideMark/>
          </w:tcPr>
          <w:p w14:paraId="185AC148" w14:textId="77777777" w:rsidR="00E953EE" w:rsidRPr="00EB272B" w:rsidRDefault="00E953EE" w:rsidP="006909EB">
            <w:pPr>
              <w:jc w:val="right"/>
              <w:rPr>
                <w:rFonts w:cstheme="minorHAnsi"/>
                <w:sz w:val="22"/>
                <w:szCs w:val="22"/>
              </w:rPr>
            </w:pPr>
            <w:r>
              <w:rPr>
                <w:rFonts w:cstheme="minorHAnsi"/>
                <w:sz w:val="22"/>
                <w:szCs w:val="22"/>
              </w:rPr>
              <w:t>0</w:t>
            </w:r>
            <w:r w:rsidRPr="00EB272B">
              <w:rPr>
                <w:rFonts w:cstheme="minorHAnsi"/>
                <w:sz w:val="22"/>
                <w:szCs w:val="22"/>
              </w:rPr>
              <w:t> </w:t>
            </w:r>
          </w:p>
        </w:tc>
      </w:tr>
      <w:tr w:rsidR="00E953EE" w:rsidRPr="00EB272B" w14:paraId="3B0B4019" w14:textId="77777777" w:rsidTr="006909EB">
        <w:trPr>
          <w:trHeight w:val="600"/>
        </w:trPr>
        <w:tc>
          <w:tcPr>
            <w:tcW w:w="1820" w:type="dxa"/>
            <w:hideMark/>
          </w:tcPr>
          <w:p w14:paraId="103610CA" w14:textId="77777777" w:rsidR="00E953EE" w:rsidRPr="00EB272B" w:rsidRDefault="00E953EE" w:rsidP="006909EB">
            <w:pPr>
              <w:rPr>
                <w:rFonts w:cstheme="minorHAnsi"/>
                <w:sz w:val="22"/>
                <w:szCs w:val="22"/>
              </w:rPr>
            </w:pPr>
            <w:r w:rsidRPr="00EB272B">
              <w:rPr>
                <w:rFonts w:cstheme="minorHAnsi"/>
                <w:sz w:val="22"/>
                <w:szCs w:val="22"/>
              </w:rPr>
              <w:t>Papua New Guinea</w:t>
            </w:r>
          </w:p>
        </w:tc>
        <w:tc>
          <w:tcPr>
            <w:tcW w:w="1840" w:type="dxa"/>
            <w:hideMark/>
          </w:tcPr>
          <w:p w14:paraId="052EE064" w14:textId="77777777" w:rsidR="00E953EE" w:rsidRPr="00EB272B" w:rsidRDefault="00E953EE" w:rsidP="006909EB">
            <w:pPr>
              <w:rPr>
                <w:rFonts w:cstheme="minorHAnsi"/>
                <w:sz w:val="22"/>
                <w:szCs w:val="22"/>
              </w:rPr>
            </w:pPr>
            <w:r w:rsidRPr="00EB272B">
              <w:rPr>
                <w:rFonts w:cstheme="minorHAnsi"/>
                <w:sz w:val="22"/>
                <w:szCs w:val="22"/>
              </w:rPr>
              <w:t> </w:t>
            </w:r>
          </w:p>
        </w:tc>
        <w:tc>
          <w:tcPr>
            <w:tcW w:w="960" w:type="dxa"/>
            <w:hideMark/>
          </w:tcPr>
          <w:p w14:paraId="726308FC" w14:textId="77777777" w:rsidR="00E953EE" w:rsidRPr="00EB272B" w:rsidRDefault="00E953EE" w:rsidP="006909EB">
            <w:pPr>
              <w:rPr>
                <w:rFonts w:cstheme="minorHAnsi"/>
                <w:sz w:val="22"/>
                <w:szCs w:val="22"/>
              </w:rPr>
            </w:pPr>
            <w:r w:rsidRPr="00EB272B">
              <w:rPr>
                <w:rFonts w:cstheme="minorHAnsi"/>
                <w:sz w:val="22"/>
                <w:szCs w:val="22"/>
              </w:rPr>
              <w:t>W</w:t>
            </w:r>
          </w:p>
        </w:tc>
        <w:tc>
          <w:tcPr>
            <w:tcW w:w="5380" w:type="dxa"/>
            <w:hideMark/>
          </w:tcPr>
          <w:p w14:paraId="5C5C8F46" w14:textId="77777777" w:rsidR="00E953EE" w:rsidRPr="00EB272B" w:rsidRDefault="00E953EE" w:rsidP="006909EB">
            <w:pPr>
              <w:rPr>
                <w:rFonts w:cstheme="minorHAnsi"/>
                <w:sz w:val="22"/>
                <w:szCs w:val="22"/>
              </w:rPr>
            </w:pPr>
            <w:r w:rsidRPr="00EB272B">
              <w:rPr>
                <w:rFonts w:cstheme="minorHAnsi"/>
                <w:sz w:val="22"/>
                <w:szCs w:val="22"/>
              </w:rPr>
              <w:t>Development of Minamata Initial Assessment in Papua New Guinea</w:t>
            </w:r>
          </w:p>
        </w:tc>
        <w:tc>
          <w:tcPr>
            <w:tcW w:w="960" w:type="dxa"/>
            <w:hideMark/>
          </w:tcPr>
          <w:p w14:paraId="65F167A3" w14:textId="77777777" w:rsidR="00E953EE" w:rsidRPr="00EB272B" w:rsidRDefault="00E953EE" w:rsidP="006909EB">
            <w:pPr>
              <w:rPr>
                <w:rFonts w:cstheme="minorHAnsi"/>
                <w:sz w:val="22"/>
                <w:szCs w:val="22"/>
              </w:rPr>
            </w:pPr>
            <w:r w:rsidRPr="00EB272B">
              <w:rPr>
                <w:rFonts w:cstheme="minorHAnsi"/>
                <w:sz w:val="22"/>
                <w:szCs w:val="22"/>
              </w:rPr>
              <w:t>GEF-6</w:t>
            </w:r>
          </w:p>
        </w:tc>
        <w:tc>
          <w:tcPr>
            <w:tcW w:w="960" w:type="dxa"/>
            <w:hideMark/>
          </w:tcPr>
          <w:p w14:paraId="7921D80A" w14:textId="77777777" w:rsidR="00E953EE" w:rsidRPr="00EB272B" w:rsidRDefault="00E953EE" w:rsidP="006909EB">
            <w:pPr>
              <w:rPr>
                <w:rFonts w:cstheme="minorHAnsi"/>
                <w:sz w:val="22"/>
                <w:szCs w:val="22"/>
              </w:rPr>
            </w:pPr>
            <w:r w:rsidRPr="00EB272B">
              <w:rPr>
                <w:rFonts w:cstheme="minorHAnsi"/>
                <w:sz w:val="22"/>
                <w:szCs w:val="22"/>
              </w:rPr>
              <w:t>EA</w:t>
            </w:r>
          </w:p>
        </w:tc>
        <w:tc>
          <w:tcPr>
            <w:tcW w:w="960" w:type="dxa"/>
            <w:hideMark/>
          </w:tcPr>
          <w:p w14:paraId="2269F331" w14:textId="77777777" w:rsidR="00E953EE" w:rsidRPr="00EB272B" w:rsidRDefault="00E953EE" w:rsidP="006909EB">
            <w:pPr>
              <w:rPr>
                <w:rFonts w:cstheme="minorHAnsi"/>
                <w:sz w:val="22"/>
                <w:szCs w:val="22"/>
              </w:rPr>
            </w:pPr>
            <w:r w:rsidRPr="00EB272B">
              <w:rPr>
                <w:rFonts w:cstheme="minorHAnsi"/>
                <w:sz w:val="22"/>
                <w:szCs w:val="22"/>
              </w:rPr>
              <w:t>UNEP</w:t>
            </w:r>
          </w:p>
        </w:tc>
        <w:tc>
          <w:tcPr>
            <w:tcW w:w="1660" w:type="dxa"/>
            <w:hideMark/>
          </w:tcPr>
          <w:p w14:paraId="55A36682" w14:textId="77777777" w:rsidR="00E953EE" w:rsidRPr="00EB272B" w:rsidRDefault="00E953EE" w:rsidP="006909EB">
            <w:pPr>
              <w:jc w:val="right"/>
              <w:rPr>
                <w:rFonts w:cstheme="minorHAnsi"/>
                <w:sz w:val="22"/>
                <w:szCs w:val="22"/>
              </w:rPr>
            </w:pPr>
            <w:r w:rsidRPr="00EB272B">
              <w:rPr>
                <w:rFonts w:cstheme="minorHAnsi"/>
                <w:sz w:val="22"/>
                <w:szCs w:val="22"/>
              </w:rPr>
              <w:t>300000</w:t>
            </w:r>
          </w:p>
        </w:tc>
        <w:tc>
          <w:tcPr>
            <w:tcW w:w="1620" w:type="dxa"/>
            <w:hideMark/>
          </w:tcPr>
          <w:p w14:paraId="78A05C8B" w14:textId="77777777" w:rsidR="00E953EE" w:rsidRPr="00EB272B" w:rsidRDefault="00E953EE" w:rsidP="006909EB">
            <w:pPr>
              <w:jc w:val="right"/>
              <w:rPr>
                <w:rFonts w:cstheme="minorHAnsi"/>
                <w:sz w:val="22"/>
                <w:szCs w:val="22"/>
              </w:rPr>
            </w:pPr>
            <w:r>
              <w:rPr>
                <w:rFonts w:cstheme="minorHAnsi"/>
                <w:sz w:val="22"/>
                <w:szCs w:val="22"/>
              </w:rPr>
              <w:t>0</w:t>
            </w:r>
            <w:r w:rsidRPr="00EB272B">
              <w:rPr>
                <w:rFonts w:cstheme="minorHAnsi"/>
                <w:sz w:val="22"/>
                <w:szCs w:val="22"/>
              </w:rPr>
              <w:t> </w:t>
            </w:r>
          </w:p>
        </w:tc>
      </w:tr>
      <w:tr w:rsidR="00E953EE" w:rsidRPr="00EB272B" w14:paraId="12CC6217" w14:textId="77777777" w:rsidTr="006909EB">
        <w:trPr>
          <w:trHeight w:val="600"/>
        </w:trPr>
        <w:tc>
          <w:tcPr>
            <w:tcW w:w="1820" w:type="dxa"/>
            <w:hideMark/>
          </w:tcPr>
          <w:p w14:paraId="39A6E5CF" w14:textId="77777777" w:rsidR="00E953EE" w:rsidRPr="00EB272B" w:rsidRDefault="00E953EE" w:rsidP="006909EB">
            <w:pPr>
              <w:rPr>
                <w:rFonts w:cstheme="minorHAnsi"/>
                <w:sz w:val="22"/>
                <w:szCs w:val="22"/>
              </w:rPr>
            </w:pPr>
            <w:r w:rsidRPr="00EB272B">
              <w:rPr>
                <w:rFonts w:cstheme="minorHAnsi"/>
                <w:sz w:val="22"/>
                <w:szCs w:val="22"/>
              </w:rPr>
              <w:t>Paraguay</w:t>
            </w:r>
          </w:p>
        </w:tc>
        <w:tc>
          <w:tcPr>
            <w:tcW w:w="1840" w:type="dxa"/>
            <w:hideMark/>
          </w:tcPr>
          <w:p w14:paraId="52CB1129" w14:textId="77777777" w:rsidR="00E953EE" w:rsidRPr="00EB272B" w:rsidRDefault="00E953EE" w:rsidP="006909EB">
            <w:pPr>
              <w:rPr>
                <w:rFonts w:cstheme="minorHAnsi"/>
                <w:sz w:val="22"/>
                <w:szCs w:val="22"/>
              </w:rPr>
            </w:pPr>
            <w:r w:rsidRPr="00EB272B">
              <w:rPr>
                <w:rFonts w:cstheme="minorHAnsi"/>
                <w:sz w:val="22"/>
                <w:szCs w:val="22"/>
              </w:rPr>
              <w:t> </w:t>
            </w:r>
          </w:p>
        </w:tc>
        <w:tc>
          <w:tcPr>
            <w:tcW w:w="960" w:type="dxa"/>
            <w:hideMark/>
          </w:tcPr>
          <w:p w14:paraId="535E3F5D" w14:textId="77777777" w:rsidR="00E953EE" w:rsidRPr="00EB272B" w:rsidRDefault="00E953EE" w:rsidP="006909EB">
            <w:pPr>
              <w:rPr>
                <w:rFonts w:cstheme="minorHAnsi"/>
                <w:sz w:val="22"/>
                <w:szCs w:val="22"/>
              </w:rPr>
            </w:pPr>
            <w:r w:rsidRPr="00EB272B">
              <w:rPr>
                <w:rFonts w:cstheme="minorHAnsi"/>
                <w:sz w:val="22"/>
                <w:szCs w:val="22"/>
              </w:rPr>
              <w:t>W</w:t>
            </w:r>
          </w:p>
        </w:tc>
        <w:tc>
          <w:tcPr>
            <w:tcW w:w="5380" w:type="dxa"/>
            <w:hideMark/>
          </w:tcPr>
          <w:p w14:paraId="61B1BB15" w14:textId="77777777" w:rsidR="00E953EE" w:rsidRPr="00EB272B" w:rsidRDefault="00E953EE" w:rsidP="006909EB">
            <w:pPr>
              <w:rPr>
                <w:rFonts w:cstheme="minorHAnsi"/>
                <w:sz w:val="22"/>
                <w:szCs w:val="22"/>
              </w:rPr>
            </w:pPr>
            <w:r w:rsidRPr="00EB272B">
              <w:rPr>
                <w:rFonts w:cstheme="minorHAnsi"/>
                <w:sz w:val="22"/>
                <w:szCs w:val="22"/>
              </w:rPr>
              <w:t>Development of National Action Plans for Artisanal and Small-Scale Gold Mining in Paraguay</w:t>
            </w:r>
          </w:p>
        </w:tc>
        <w:tc>
          <w:tcPr>
            <w:tcW w:w="960" w:type="dxa"/>
            <w:hideMark/>
          </w:tcPr>
          <w:p w14:paraId="7A630ED5" w14:textId="77777777" w:rsidR="00E953EE" w:rsidRPr="00EB272B" w:rsidRDefault="00E953EE" w:rsidP="006909EB">
            <w:pPr>
              <w:rPr>
                <w:rFonts w:cstheme="minorHAnsi"/>
                <w:sz w:val="22"/>
                <w:szCs w:val="22"/>
              </w:rPr>
            </w:pPr>
            <w:r w:rsidRPr="00EB272B">
              <w:rPr>
                <w:rFonts w:cstheme="minorHAnsi"/>
                <w:sz w:val="22"/>
                <w:szCs w:val="22"/>
              </w:rPr>
              <w:t>GEF-6</w:t>
            </w:r>
          </w:p>
        </w:tc>
        <w:tc>
          <w:tcPr>
            <w:tcW w:w="960" w:type="dxa"/>
            <w:hideMark/>
          </w:tcPr>
          <w:p w14:paraId="453D0B66" w14:textId="77777777" w:rsidR="00E953EE" w:rsidRPr="00EB272B" w:rsidRDefault="00E953EE" w:rsidP="006909EB">
            <w:pPr>
              <w:rPr>
                <w:rFonts w:cstheme="minorHAnsi"/>
                <w:sz w:val="22"/>
                <w:szCs w:val="22"/>
              </w:rPr>
            </w:pPr>
            <w:r w:rsidRPr="00EB272B">
              <w:rPr>
                <w:rFonts w:cstheme="minorHAnsi"/>
                <w:sz w:val="22"/>
                <w:szCs w:val="22"/>
              </w:rPr>
              <w:t>EA</w:t>
            </w:r>
          </w:p>
        </w:tc>
        <w:tc>
          <w:tcPr>
            <w:tcW w:w="960" w:type="dxa"/>
            <w:hideMark/>
          </w:tcPr>
          <w:p w14:paraId="51EB1202" w14:textId="77777777" w:rsidR="00E953EE" w:rsidRPr="00EB272B" w:rsidRDefault="00E953EE" w:rsidP="006909EB">
            <w:pPr>
              <w:rPr>
                <w:rFonts w:cstheme="minorHAnsi"/>
                <w:sz w:val="22"/>
                <w:szCs w:val="22"/>
              </w:rPr>
            </w:pPr>
            <w:r w:rsidRPr="00EB272B">
              <w:rPr>
                <w:rFonts w:cstheme="minorHAnsi"/>
                <w:sz w:val="22"/>
                <w:szCs w:val="22"/>
              </w:rPr>
              <w:t>UNEP</w:t>
            </w:r>
          </w:p>
        </w:tc>
        <w:tc>
          <w:tcPr>
            <w:tcW w:w="1660" w:type="dxa"/>
            <w:hideMark/>
          </w:tcPr>
          <w:p w14:paraId="421EBB48" w14:textId="77777777" w:rsidR="00E953EE" w:rsidRPr="00EB272B" w:rsidRDefault="00E953EE" w:rsidP="006909EB">
            <w:pPr>
              <w:jc w:val="right"/>
              <w:rPr>
                <w:rFonts w:cstheme="minorHAnsi"/>
                <w:sz w:val="22"/>
                <w:szCs w:val="22"/>
              </w:rPr>
            </w:pPr>
            <w:r w:rsidRPr="00EB272B">
              <w:rPr>
                <w:rFonts w:cstheme="minorHAnsi"/>
                <w:sz w:val="22"/>
                <w:szCs w:val="22"/>
              </w:rPr>
              <w:t>500000</w:t>
            </w:r>
          </w:p>
        </w:tc>
        <w:tc>
          <w:tcPr>
            <w:tcW w:w="1620" w:type="dxa"/>
            <w:hideMark/>
          </w:tcPr>
          <w:p w14:paraId="300389DB" w14:textId="77777777" w:rsidR="00E953EE" w:rsidRPr="00EB272B" w:rsidRDefault="00E953EE" w:rsidP="006909EB">
            <w:pPr>
              <w:jc w:val="right"/>
              <w:rPr>
                <w:rFonts w:cstheme="minorHAnsi"/>
                <w:sz w:val="22"/>
                <w:szCs w:val="22"/>
              </w:rPr>
            </w:pPr>
            <w:r>
              <w:rPr>
                <w:rFonts w:cstheme="minorHAnsi"/>
                <w:sz w:val="22"/>
                <w:szCs w:val="22"/>
              </w:rPr>
              <w:t>0</w:t>
            </w:r>
            <w:r w:rsidRPr="00EB272B">
              <w:rPr>
                <w:rFonts w:cstheme="minorHAnsi"/>
                <w:sz w:val="22"/>
                <w:szCs w:val="22"/>
              </w:rPr>
              <w:t> </w:t>
            </w:r>
          </w:p>
        </w:tc>
      </w:tr>
      <w:tr w:rsidR="00E953EE" w:rsidRPr="00EB272B" w14:paraId="76B53863" w14:textId="77777777" w:rsidTr="006909EB">
        <w:trPr>
          <w:trHeight w:val="600"/>
        </w:trPr>
        <w:tc>
          <w:tcPr>
            <w:tcW w:w="1820" w:type="dxa"/>
            <w:hideMark/>
          </w:tcPr>
          <w:p w14:paraId="45DBC36E" w14:textId="77777777" w:rsidR="00E953EE" w:rsidRPr="00EB272B" w:rsidRDefault="00E953EE" w:rsidP="006909EB">
            <w:pPr>
              <w:rPr>
                <w:rFonts w:cstheme="minorHAnsi"/>
                <w:sz w:val="22"/>
                <w:szCs w:val="22"/>
              </w:rPr>
            </w:pPr>
            <w:r w:rsidRPr="00EB272B">
              <w:rPr>
                <w:rFonts w:cstheme="minorHAnsi"/>
                <w:sz w:val="22"/>
                <w:szCs w:val="22"/>
              </w:rPr>
              <w:t>Peru</w:t>
            </w:r>
          </w:p>
        </w:tc>
        <w:tc>
          <w:tcPr>
            <w:tcW w:w="1840" w:type="dxa"/>
            <w:hideMark/>
          </w:tcPr>
          <w:p w14:paraId="1AE519D8" w14:textId="77777777" w:rsidR="00E953EE" w:rsidRPr="00EB272B" w:rsidRDefault="00E953EE" w:rsidP="006909EB">
            <w:pPr>
              <w:rPr>
                <w:rFonts w:cstheme="minorHAnsi"/>
                <w:sz w:val="22"/>
                <w:szCs w:val="22"/>
              </w:rPr>
            </w:pPr>
            <w:r w:rsidRPr="00EB272B">
              <w:rPr>
                <w:rFonts w:cstheme="minorHAnsi"/>
                <w:sz w:val="22"/>
                <w:szCs w:val="22"/>
              </w:rPr>
              <w:t> </w:t>
            </w:r>
          </w:p>
        </w:tc>
        <w:tc>
          <w:tcPr>
            <w:tcW w:w="960" w:type="dxa"/>
            <w:hideMark/>
          </w:tcPr>
          <w:p w14:paraId="621D46DD" w14:textId="77777777" w:rsidR="00E953EE" w:rsidRPr="00EB272B" w:rsidRDefault="00E953EE" w:rsidP="006909EB">
            <w:pPr>
              <w:rPr>
                <w:rFonts w:cstheme="minorHAnsi"/>
                <w:sz w:val="22"/>
                <w:szCs w:val="22"/>
              </w:rPr>
            </w:pPr>
            <w:r w:rsidRPr="00EB272B">
              <w:rPr>
                <w:rFonts w:cstheme="minorHAnsi"/>
                <w:sz w:val="22"/>
                <w:szCs w:val="22"/>
              </w:rPr>
              <w:t>W</w:t>
            </w:r>
          </w:p>
        </w:tc>
        <w:tc>
          <w:tcPr>
            <w:tcW w:w="5380" w:type="dxa"/>
            <w:hideMark/>
          </w:tcPr>
          <w:p w14:paraId="18346C7F" w14:textId="77777777" w:rsidR="00E953EE" w:rsidRPr="00EB272B" w:rsidRDefault="00E953EE" w:rsidP="006909EB">
            <w:pPr>
              <w:rPr>
                <w:rFonts w:cstheme="minorHAnsi"/>
                <w:sz w:val="22"/>
                <w:szCs w:val="22"/>
              </w:rPr>
            </w:pPr>
            <w:r w:rsidRPr="00EB272B">
              <w:rPr>
                <w:rFonts w:cstheme="minorHAnsi"/>
                <w:sz w:val="22"/>
                <w:szCs w:val="22"/>
              </w:rPr>
              <w:t>National Action Plan on Mercury in the Artisanal and Small-Scale Gold Mining Sector in Peru</w:t>
            </w:r>
          </w:p>
        </w:tc>
        <w:tc>
          <w:tcPr>
            <w:tcW w:w="960" w:type="dxa"/>
            <w:hideMark/>
          </w:tcPr>
          <w:p w14:paraId="2E33004E" w14:textId="77777777" w:rsidR="00E953EE" w:rsidRPr="00EB272B" w:rsidRDefault="00E953EE" w:rsidP="006909EB">
            <w:pPr>
              <w:rPr>
                <w:rFonts w:cstheme="minorHAnsi"/>
                <w:sz w:val="22"/>
                <w:szCs w:val="22"/>
              </w:rPr>
            </w:pPr>
            <w:r w:rsidRPr="00EB272B">
              <w:rPr>
                <w:rFonts w:cstheme="minorHAnsi"/>
                <w:sz w:val="22"/>
                <w:szCs w:val="22"/>
              </w:rPr>
              <w:t>GEF-6</w:t>
            </w:r>
          </w:p>
        </w:tc>
        <w:tc>
          <w:tcPr>
            <w:tcW w:w="960" w:type="dxa"/>
            <w:hideMark/>
          </w:tcPr>
          <w:p w14:paraId="759F84B4" w14:textId="77777777" w:rsidR="00E953EE" w:rsidRPr="00EB272B" w:rsidRDefault="00E953EE" w:rsidP="006909EB">
            <w:pPr>
              <w:rPr>
                <w:rFonts w:cstheme="minorHAnsi"/>
                <w:sz w:val="22"/>
                <w:szCs w:val="22"/>
              </w:rPr>
            </w:pPr>
            <w:r w:rsidRPr="00EB272B">
              <w:rPr>
                <w:rFonts w:cstheme="minorHAnsi"/>
                <w:sz w:val="22"/>
                <w:szCs w:val="22"/>
              </w:rPr>
              <w:t>EA</w:t>
            </w:r>
          </w:p>
        </w:tc>
        <w:tc>
          <w:tcPr>
            <w:tcW w:w="960" w:type="dxa"/>
            <w:hideMark/>
          </w:tcPr>
          <w:p w14:paraId="03B2DB77" w14:textId="77777777" w:rsidR="00E953EE" w:rsidRPr="00EB272B" w:rsidRDefault="00E953EE" w:rsidP="006909EB">
            <w:pPr>
              <w:rPr>
                <w:rFonts w:cstheme="minorHAnsi"/>
                <w:sz w:val="22"/>
                <w:szCs w:val="22"/>
              </w:rPr>
            </w:pPr>
            <w:r w:rsidRPr="00EB272B">
              <w:rPr>
                <w:rFonts w:cstheme="minorHAnsi"/>
                <w:sz w:val="22"/>
                <w:szCs w:val="22"/>
              </w:rPr>
              <w:t>UNIDO</w:t>
            </w:r>
          </w:p>
        </w:tc>
        <w:tc>
          <w:tcPr>
            <w:tcW w:w="1660" w:type="dxa"/>
            <w:hideMark/>
          </w:tcPr>
          <w:p w14:paraId="7F9A1142" w14:textId="77777777" w:rsidR="00E953EE" w:rsidRPr="00EB272B" w:rsidRDefault="00E953EE" w:rsidP="006909EB">
            <w:pPr>
              <w:jc w:val="right"/>
              <w:rPr>
                <w:rFonts w:cstheme="minorHAnsi"/>
                <w:sz w:val="22"/>
                <w:szCs w:val="22"/>
              </w:rPr>
            </w:pPr>
            <w:r w:rsidRPr="00EB272B">
              <w:rPr>
                <w:rFonts w:cstheme="minorHAnsi"/>
                <w:sz w:val="22"/>
                <w:szCs w:val="22"/>
              </w:rPr>
              <w:t>500000</w:t>
            </w:r>
          </w:p>
        </w:tc>
        <w:tc>
          <w:tcPr>
            <w:tcW w:w="1620" w:type="dxa"/>
            <w:hideMark/>
          </w:tcPr>
          <w:p w14:paraId="5495178C" w14:textId="77777777" w:rsidR="00E953EE" w:rsidRPr="00EB272B" w:rsidRDefault="00E953EE" w:rsidP="006909EB">
            <w:pPr>
              <w:jc w:val="right"/>
              <w:rPr>
                <w:rFonts w:cstheme="minorHAnsi"/>
                <w:sz w:val="22"/>
                <w:szCs w:val="22"/>
              </w:rPr>
            </w:pPr>
            <w:r w:rsidRPr="00EB272B">
              <w:rPr>
                <w:rFonts w:cstheme="minorHAnsi"/>
                <w:sz w:val="22"/>
                <w:szCs w:val="22"/>
              </w:rPr>
              <w:t>217000</w:t>
            </w:r>
          </w:p>
        </w:tc>
      </w:tr>
      <w:tr w:rsidR="00E953EE" w:rsidRPr="00EB272B" w14:paraId="4480E490" w14:textId="77777777" w:rsidTr="006909EB">
        <w:trPr>
          <w:trHeight w:val="900"/>
        </w:trPr>
        <w:tc>
          <w:tcPr>
            <w:tcW w:w="1820" w:type="dxa"/>
            <w:hideMark/>
          </w:tcPr>
          <w:p w14:paraId="214128B3" w14:textId="77777777" w:rsidR="00E953EE" w:rsidRPr="00EB272B" w:rsidRDefault="00E953EE" w:rsidP="006909EB">
            <w:pPr>
              <w:rPr>
                <w:rFonts w:cstheme="minorHAnsi"/>
                <w:sz w:val="22"/>
                <w:szCs w:val="22"/>
              </w:rPr>
            </w:pPr>
            <w:r w:rsidRPr="00EB272B">
              <w:rPr>
                <w:rFonts w:cstheme="minorHAnsi"/>
                <w:sz w:val="22"/>
                <w:szCs w:val="22"/>
              </w:rPr>
              <w:t>Philippines</w:t>
            </w:r>
          </w:p>
        </w:tc>
        <w:tc>
          <w:tcPr>
            <w:tcW w:w="1840" w:type="dxa"/>
            <w:hideMark/>
          </w:tcPr>
          <w:p w14:paraId="5BC322E2" w14:textId="77777777" w:rsidR="00E953EE" w:rsidRPr="00EB272B" w:rsidRDefault="00E953EE" w:rsidP="006909EB">
            <w:pPr>
              <w:rPr>
                <w:rFonts w:cstheme="minorHAnsi"/>
                <w:sz w:val="22"/>
                <w:szCs w:val="22"/>
              </w:rPr>
            </w:pPr>
            <w:r w:rsidRPr="00EB272B">
              <w:rPr>
                <w:rFonts w:cstheme="minorHAnsi"/>
                <w:sz w:val="22"/>
                <w:szCs w:val="22"/>
              </w:rPr>
              <w:t> </w:t>
            </w:r>
          </w:p>
        </w:tc>
        <w:tc>
          <w:tcPr>
            <w:tcW w:w="960" w:type="dxa"/>
            <w:hideMark/>
          </w:tcPr>
          <w:p w14:paraId="681E195B" w14:textId="77777777" w:rsidR="00E953EE" w:rsidRPr="00EB272B" w:rsidRDefault="00E953EE" w:rsidP="006909EB">
            <w:pPr>
              <w:rPr>
                <w:rFonts w:cstheme="minorHAnsi"/>
                <w:sz w:val="22"/>
                <w:szCs w:val="22"/>
              </w:rPr>
            </w:pPr>
            <w:r w:rsidRPr="00EB272B">
              <w:rPr>
                <w:rFonts w:cstheme="minorHAnsi"/>
                <w:sz w:val="22"/>
                <w:szCs w:val="22"/>
              </w:rPr>
              <w:t>P</w:t>
            </w:r>
          </w:p>
        </w:tc>
        <w:tc>
          <w:tcPr>
            <w:tcW w:w="5380" w:type="dxa"/>
            <w:hideMark/>
          </w:tcPr>
          <w:p w14:paraId="65BFAF6B" w14:textId="77777777" w:rsidR="00E953EE" w:rsidRPr="00EB272B" w:rsidRDefault="00E953EE" w:rsidP="006909EB">
            <w:pPr>
              <w:rPr>
                <w:rFonts w:cstheme="minorHAnsi"/>
                <w:sz w:val="22"/>
                <w:szCs w:val="22"/>
              </w:rPr>
            </w:pPr>
            <w:r w:rsidRPr="00EB272B">
              <w:rPr>
                <w:rFonts w:cstheme="minorHAnsi"/>
                <w:sz w:val="22"/>
                <w:szCs w:val="22"/>
              </w:rPr>
              <w:t>Improve the Health and Environment of Artisanal Gold Mining Communities in the Philippines by Reducing Mercury Emissions</w:t>
            </w:r>
          </w:p>
        </w:tc>
        <w:tc>
          <w:tcPr>
            <w:tcW w:w="960" w:type="dxa"/>
            <w:hideMark/>
          </w:tcPr>
          <w:p w14:paraId="05B98347" w14:textId="77777777" w:rsidR="00E953EE" w:rsidRPr="00EB272B" w:rsidRDefault="00E953EE" w:rsidP="006909EB">
            <w:pPr>
              <w:rPr>
                <w:rFonts w:cstheme="minorHAnsi"/>
                <w:sz w:val="22"/>
                <w:szCs w:val="22"/>
              </w:rPr>
            </w:pPr>
            <w:r w:rsidRPr="00EB272B">
              <w:rPr>
                <w:rFonts w:cstheme="minorHAnsi"/>
                <w:sz w:val="22"/>
                <w:szCs w:val="22"/>
              </w:rPr>
              <w:t>GEF-5</w:t>
            </w:r>
          </w:p>
        </w:tc>
        <w:tc>
          <w:tcPr>
            <w:tcW w:w="960" w:type="dxa"/>
            <w:hideMark/>
          </w:tcPr>
          <w:p w14:paraId="38EDE162" w14:textId="77777777" w:rsidR="00E953EE" w:rsidRPr="00EB272B" w:rsidRDefault="00E953EE" w:rsidP="006909EB">
            <w:pPr>
              <w:rPr>
                <w:rFonts w:cstheme="minorHAnsi"/>
                <w:sz w:val="22"/>
                <w:szCs w:val="22"/>
              </w:rPr>
            </w:pPr>
            <w:r w:rsidRPr="00EB272B">
              <w:rPr>
                <w:rFonts w:cstheme="minorHAnsi"/>
                <w:sz w:val="22"/>
                <w:szCs w:val="22"/>
              </w:rPr>
              <w:t>MSP</w:t>
            </w:r>
          </w:p>
        </w:tc>
        <w:tc>
          <w:tcPr>
            <w:tcW w:w="960" w:type="dxa"/>
            <w:hideMark/>
          </w:tcPr>
          <w:p w14:paraId="18EC34FC" w14:textId="77777777" w:rsidR="00E953EE" w:rsidRPr="00EB272B" w:rsidRDefault="00E953EE" w:rsidP="006909EB">
            <w:pPr>
              <w:rPr>
                <w:rFonts w:cstheme="minorHAnsi"/>
                <w:sz w:val="22"/>
                <w:szCs w:val="22"/>
              </w:rPr>
            </w:pPr>
            <w:r w:rsidRPr="00EB272B">
              <w:rPr>
                <w:rFonts w:cstheme="minorHAnsi"/>
                <w:sz w:val="22"/>
                <w:szCs w:val="22"/>
              </w:rPr>
              <w:t>UNIDO</w:t>
            </w:r>
          </w:p>
        </w:tc>
        <w:tc>
          <w:tcPr>
            <w:tcW w:w="1660" w:type="dxa"/>
            <w:hideMark/>
          </w:tcPr>
          <w:p w14:paraId="38B96CDB" w14:textId="77777777" w:rsidR="00E953EE" w:rsidRPr="00EB272B" w:rsidRDefault="00E953EE" w:rsidP="006909EB">
            <w:pPr>
              <w:jc w:val="right"/>
              <w:rPr>
                <w:rFonts w:cstheme="minorHAnsi"/>
                <w:sz w:val="22"/>
                <w:szCs w:val="22"/>
              </w:rPr>
            </w:pPr>
            <w:r w:rsidRPr="00EB272B">
              <w:rPr>
                <w:rFonts w:cstheme="minorHAnsi"/>
                <w:sz w:val="22"/>
                <w:szCs w:val="22"/>
              </w:rPr>
              <w:t>550000</w:t>
            </w:r>
          </w:p>
        </w:tc>
        <w:tc>
          <w:tcPr>
            <w:tcW w:w="1620" w:type="dxa"/>
            <w:hideMark/>
          </w:tcPr>
          <w:p w14:paraId="3C91E813" w14:textId="77777777" w:rsidR="00E953EE" w:rsidRPr="00EB272B" w:rsidRDefault="00E953EE" w:rsidP="006909EB">
            <w:pPr>
              <w:jc w:val="right"/>
              <w:rPr>
                <w:rFonts w:cstheme="minorHAnsi"/>
                <w:sz w:val="22"/>
                <w:szCs w:val="22"/>
              </w:rPr>
            </w:pPr>
            <w:r w:rsidRPr="00EB272B">
              <w:rPr>
                <w:rFonts w:cstheme="minorHAnsi"/>
                <w:sz w:val="22"/>
                <w:szCs w:val="22"/>
              </w:rPr>
              <w:t>1081070</w:t>
            </w:r>
          </w:p>
        </w:tc>
      </w:tr>
      <w:tr w:rsidR="00E953EE" w:rsidRPr="00EB272B" w14:paraId="4649E327" w14:textId="77777777" w:rsidTr="006909EB">
        <w:trPr>
          <w:trHeight w:val="600"/>
        </w:trPr>
        <w:tc>
          <w:tcPr>
            <w:tcW w:w="1820" w:type="dxa"/>
            <w:hideMark/>
          </w:tcPr>
          <w:p w14:paraId="1FCD42FA" w14:textId="77777777" w:rsidR="00E953EE" w:rsidRPr="00EB272B" w:rsidRDefault="00E953EE" w:rsidP="006909EB">
            <w:pPr>
              <w:rPr>
                <w:rFonts w:cstheme="minorHAnsi"/>
                <w:sz w:val="22"/>
                <w:szCs w:val="22"/>
              </w:rPr>
            </w:pPr>
            <w:r w:rsidRPr="00EB272B">
              <w:rPr>
                <w:rFonts w:cstheme="minorHAnsi"/>
                <w:sz w:val="22"/>
                <w:szCs w:val="22"/>
              </w:rPr>
              <w:t>Regional</w:t>
            </w:r>
          </w:p>
        </w:tc>
        <w:tc>
          <w:tcPr>
            <w:tcW w:w="1840" w:type="dxa"/>
            <w:hideMark/>
          </w:tcPr>
          <w:p w14:paraId="208F426B" w14:textId="77777777" w:rsidR="00E953EE" w:rsidRPr="00EB272B" w:rsidRDefault="00E953EE" w:rsidP="006909EB">
            <w:pPr>
              <w:rPr>
                <w:rFonts w:cstheme="minorHAnsi"/>
                <w:sz w:val="22"/>
                <w:szCs w:val="22"/>
              </w:rPr>
            </w:pPr>
            <w:r w:rsidRPr="00EB272B">
              <w:rPr>
                <w:rFonts w:cstheme="minorHAnsi"/>
                <w:sz w:val="22"/>
                <w:szCs w:val="22"/>
              </w:rPr>
              <w:t>Angola, Malawi, Zimbabwe</w:t>
            </w:r>
          </w:p>
        </w:tc>
        <w:tc>
          <w:tcPr>
            <w:tcW w:w="960" w:type="dxa"/>
            <w:hideMark/>
          </w:tcPr>
          <w:p w14:paraId="32F3D54B" w14:textId="77777777" w:rsidR="00E953EE" w:rsidRPr="00EB272B" w:rsidRDefault="00E953EE" w:rsidP="006909EB">
            <w:pPr>
              <w:rPr>
                <w:rFonts w:cstheme="minorHAnsi"/>
                <w:sz w:val="22"/>
                <w:szCs w:val="22"/>
              </w:rPr>
            </w:pPr>
            <w:r w:rsidRPr="00EB272B">
              <w:rPr>
                <w:rFonts w:cstheme="minorHAnsi"/>
                <w:sz w:val="22"/>
                <w:szCs w:val="22"/>
              </w:rPr>
              <w:t>W</w:t>
            </w:r>
          </w:p>
        </w:tc>
        <w:tc>
          <w:tcPr>
            <w:tcW w:w="5380" w:type="dxa"/>
            <w:hideMark/>
          </w:tcPr>
          <w:p w14:paraId="4F4A7097" w14:textId="77777777" w:rsidR="00E953EE" w:rsidRPr="00EB272B" w:rsidRDefault="00E953EE" w:rsidP="006909EB">
            <w:pPr>
              <w:rPr>
                <w:rFonts w:cstheme="minorHAnsi"/>
                <w:sz w:val="22"/>
                <w:szCs w:val="22"/>
              </w:rPr>
            </w:pPr>
            <w:r w:rsidRPr="00EB272B">
              <w:rPr>
                <w:rFonts w:cstheme="minorHAnsi"/>
                <w:sz w:val="22"/>
                <w:szCs w:val="22"/>
              </w:rPr>
              <w:t>Development of Minamata Convention on Mercury Initial Assessment in Africa</w:t>
            </w:r>
          </w:p>
        </w:tc>
        <w:tc>
          <w:tcPr>
            <w:tcW w:w="960" w:type="dxa"/>
            <w:hideMark/>
          </w:tcPr>
          <w:p w14:paraId="75CE4298" w14:textId="77777777" w:rsidR="00E953EE" w:rsidRPr="00EB272B" w:rsidRDefault="00E953EE" w:rsidP="006909EB">
            <w:pPr>
              <w:rPr>
                <w:rFonts w:cstheme="minorHAnsi"/>
                <w:sz w:val="22"/>
                <w:szCs w:val="22"/>
              </w:rPr>
            </w:pPr>
            <w:r w:rsidRPr="00EB272B">
              <w:rPr>
                <w:rFonts w:cstheme="minorHAnsi"/>
                <w:sz w:val="22"/>
                <w:szCs w:val="22"/>
              </w:rPr>
              <w:t>GEF-6</w:t>
            </w:r>
          </w:p>
        </w:tc>
        <w:tc>
          <w:tcPr>
            <w:tcW w:w="960" w:type="dxa"/>
            <w:hideMark/>
          </w:tcPr>
          <w:p w14:paraId="04DDB716" w14:textId="77777777" w:rsidR="00E953EE" w:rsidRPr="00EB272B" w:rsidRDefault="00E953EE" w:rsidP="006909EB">
            <w:pPr>
              <w:rPr>
                <w:rFonts w:cstheme="minorHAnsi"/>
                <w:sz w:val="22"/>
                <w:szCs w:val="22"/>
              </w:rPr>
            </w:pPr>
            <w:r w:rsidRPr="00EB272B">
              <w:rPr>
                <w:rFonts w:cstheme="minorHAnsi"/>
                <w:sz w:val="22"/>
                <w:szCs w:val="22"/>
              </w:rPr>
              <w:t>EA</w:t>
            </w:r>
          </w:p>
        </w:tc>
        <w:tc>
          <w:tcPr>
            <w:tcW w:w="960" w:type="dxa"/>
            <w:hideMark/>
          </w:tcPr>
          <w:p w14:paraId="48C56FD4" w14:textId="77777777" w:rsidR="00E953EE" w:rsidRPr="00EB272B" w:rsidRDefault="00E953EE" w:rsidP="006909EB">
            <w:pPr>
              <w:rPr>
                <w:rFonts w:cstheme="minorHAnsi"/>
                <w:sz w:val="22"/>
                <w:szCs w:val="22"/>
              </w:rPr>
            </w:pPr>
            <w:r w:rsidRPr="00EB272B">
              <w:rPr>
                <w:rFonts w:cstheme="minorHAnsi"/>
                <w:sz w:val="22"/>
                <w:szCs w:val="22"/>
              </w:rPr>
              <w:t>UNEP</w:t>
            </w:r>
          </w:p>
        </w:tc>
        <w:tc>
          <w:tcPr>
            <w:tcW w:w="1660" w:type="dxa"/>
            <w:hideMark/>
          </w:tcPr>
          <w:p w14:paraId="595FF1A1" w14:textId="77777777" w:rsidR="00E953EE" w:rsidRPr="00EB272B" w:rsidRDefault="00E953EE" w:rsidP="006909EB">
            <w:pPr>
              <w:jc w:val="right"/>
              <w:rPr>
                <w:rFonts w:cstheme="minorHAnsi"/>
                <w:sz w:val="22"/>
                <w:szCs w:val="22"/>
              </w:rPr>
            </w:pPr>
            <w:r w:rsidRPr="00EB272B">
              <w:rPr>
                <w:rFonts w:cstheme="minorHAnsi"/>
                <w:sz w:val="22"/>
                <w:szCs w:val="22"/>
              </w:rPr>
              <w:t>547945</w:t>
            </w:r>
          </w:p>
        </w:tc>
        <w:tc>
          <w:tcPr>
            <w:tcW w:w="1620" w:type="dxa"/>
            <w:hideMark/>
          </w:tcPr>
          <w:p w14:paraId="50C5909E" w14:textId="77777777" w:rsidR="00E953EE" w:rsidRPr="00EB272B" w:rsidRDefault="00E953EE" w:rsidP="006909EB">
            <w:pPr>
              <w:jc w:val="right"/>
              <w:rPr>
                <w:rFonts w:cstheme="minorHAnsi"/>
                <w:sz w:val="22"/>
                <w:szCs w:val="22"/>
              </w:rPr>
            </w:pPr>
            <w:r w:rsidRPr="00EB272B">
              <w:rPr>
                <w:rFonts w:cstheme="minorHAnsi"/>
                <w:sz w:val="22"/>
                <w:szCs w:val="22"/>
              </w:rPr>
              <w:t>505000</w:t>
            </w:r>
          </w:p>
        </w:tc>
      </w:tr>
      <w:tr w:rsidR="00E953EE" w:rsidRPr="00EB272B" w14:paraId="0857C1D6" w14:textId="77777777" w:rsidTr="006909EB">
        <w:trPr>
          <w:trHeight w:val="1800"/>
        </w:trPr>
        <w:tc>
          <w:tcPr>
            <w:tcW w:w="1820" w:type="dxa"/>
            <w:hideMark/>
          </w:tcPr>
          <w:p w14:paraId="1B9C1C46" w14:textId="77777777" w:rsidR="00E953EE" w:rsidRPr="00EB272B" w:rsidRDefault="00E953EE" w:rsidP="006909EB">
            <w:pPr>
              <w:rPr>
                <w:rFonts w:cstheme="minorHAnsi"/>
                <w:sz w:val="22"/>
                <w:szCs w:val="22"/>
              </w:rPr>
            </w:pPr>
            <w:r w:rsidRPr="00EB272B">
              <w:rPr>
                <w:rFonts w:cstheme="minorHAnsi"/>
                <w:sz w:val="22"/>
                <w:szCs w:val="22"/>
              </w:rPr>
              <w:t>Regional</w:t>
            </w:r>
          </w:p>
        </w:tc>
        <w:tc>
          <w:tcPr>
            <w:tcW w:w="1840" w:type="dxa"/>
            <w:hideMark/>
          </w:tcPr>
          <w:p w14:paraId="4EF55962" w14:textId="77777777" w:rsidR="00E953EE" w:rsidRPr="00EB272B" w:rsidRDefault="00E953EE" w:rsidP="006909EB">
            <w:pPr>
              <w:rPr>
                <w:rFonts w:cstheme="minorHAnsi"/>
                <w:sz w:val="22"/>
                <w:szCs w:val="22"/>
              </w:rPr>
            </w:pPr>
            <w:r w:rsidRPr="00EB272B">
              <w:rPr>
                <w:rFonts w:cstheme="minorHAnsi"/>
                <w:sz w:val="22"/>
                <w:szCs w:val="22"/>
              </w:rPr>
              <w:t>Antigua And Barbuda, Dominica, Grenada, St. Vincent and Grenadines</w:t>
            </w:r>
          </w:p>
        </w:tc>
        <w:tc>
          <w:tcPr>
            <w:tcW w:w="960" w:type="dxa"/>
            <w:hideMark/>
          </w:tcPr>
          <w:p w14:paraId="3572E808" w14:textId="77777777" w:rsidR="00E953EE" w:rsidRPr="00EB272B" w:rsidRDefault="00E953EE" w:rsidP="006909EB">
            <w:pPr>
              <w:rPr>
                <w:rFonts w:cstheme="minorHAnsi"/>
                <w:sz w:val="22"/>
                <w:szCs w:val="22"/>
              </w:rPr>
            </w:pPr>
            <w:r w:rsidRPr="00EB272B">
              <w:rPr>
                <w:rFonts w:cstheme="minorHAnsi"/>
                <w:sz w:val="22"/>
                <w:szCs w:val="22"/>
              </w:rPr>
              <w:t>W</w:t>
            </w:r>
          </w:p>
        </w:tc>
        <w:tc>
          <w:tcPr>
            <w:tcW w:w="5380" w:type="dxa"/>
            <w:hideMark/>
          </w:tcPr>
          <w:p w14:paraId="143C562C" w14:textId="77777777" w:rsidR="00E953EE" w:rsidRPr="00EB272B" w:rsidRDefault="00E953EE" w:rsidP="006909EB">
            <w:pPr>
              <w:rPr>
                <w:rFonts w:cstheme="minorHAnsi"/>
                <w:sz w:val="22"/>
                <w:szCs w:val="22"/>
              </w:rPr>
            </w:pPr>
            <w:r w:rsidRPr="00EB272B">
              <w:rPr>
                <w:rFonts w:cstheme="minorHAnsi"/>
                <w:sz w:val="22"/>
                <w:szCs w:val="22"/>
              </w:rPr>
              <w:t>Development of Minamata Initial Assessments (MIA) in the Caribbean (Antigua and Barbuda, Dominica, Grenada, St. Vincent and the Grenadines)</w:t>
            </w:r>
          </w:p>
        </w:tc>
        <w:tc>
          <w:tcPr>
            <w:tcW w:w="960" w:type="dxa"/>
            <w:hideMark/>
          </w:tcPr>
          <w:p w14:paraId="69C29299" w14:textId="77777777" w:rsidR="00E953EE" w:rsidRPr="00EB272B" w:rsidRDefault="00E953EE" w:rsidP="006909EB">
            <w:pPr>
              <w:rPr>
                <w:rFonts w:cstheme="minorHAnsi"/>
                <w:sz w:val="22"/>
                <w:szCs w:val="22"/>
              </w:rPr>
            </w:pPr>
            <w:r w:rsidRPr="00EB272B">
              <w:rPr>
                <w:rFonts w:cstheme="minorHAnsi"/>
                <w:sz w:val="22"/>
                <w:szCs w:val="22"/>
              </w:rPr>
              <w:t>GEF-6</w:t>
            </w:r>
          </w:p>
        </w:tc>
        <w:tc>
          <w:tcPr>
            <w:tcW w:w="960" w:type="dxa"/>
            <w:hideMark/>
          </w:tcPr>
          <w:p w14:paraId="687EF5C2" w14:textId="77777777" w:rsidR="00E953EE" w:rsidRPr="00EB272B" w:rsidRDefault="00E953EE" w:rsidP="006909EB">
            <w:pPr>
              <w:rPr>
                <w:rFonts w:cstheme="minorHAnsi"/>
                <w:sz w:val="22"/>
                <w:szCs w:val="22"/>
              </w:rPr>
            </w:pPr>
            <w:r w:rsidRPr="00EB272B">
              <w:rPr>
                <w:rFonts w:cstheme="minorHAnsi"/>
                <w:sz w:val="22"/>
                <w:szCs w:val="22"/>
              </w:rPr>
              <w:t>EA</w:t>
            </w:r>
          </w:p>
        </w:tc>
        <w:tc>
          <w:tcPr>
            <w:tcW w:w="960" w:type="dxa"/>
            <w:hideMark/>
          </w:tcPr>
          <w:p w14:paraId="69A70F2E" w14:textId="77777777" w:rsidR="00E953EE" w:rsidRPr="00EB272B" w:rsidRDefault="00E953EE" w:rsidP="006909EB">
            <w:pPr>
              <w:rPr>
                <w:rFonts w:cstheme="minorHAnsi"/>
                <w:sz w:val="22"/>
                <w:szCs w:val="22"/>
              </w:rPr>
            </w:pPr>
            <w:r w:rsidRPr="00EB272B">
              <w:rPr>
                <w:rFonts w:cstheme="minorHAnsi"/>
                <w:sz w:val="22"/>
                <w:szCs w:val="22"/>
              </w:rPr>
              <w:t>UNEP</w:t>
            </w:r>
          </w:p>
        </w:tc>
        <w:tc>
          <w:tcPr>
            <w:tcW w:w="1660" w:type="dxa"/>
            <w:hideMark/>
          </w:tcPr>
          <w:p w14:paraId="48FE53A4" w14:textId="77777777" w:rsidR="00E953EE" w:rsidRPr="00EB272B" w:rsidRDefault="00E953EE" w:rsidP="006909EB">
            <w:pPr>
              <w:jc w:val="right"/>
              <w:rPr>
                <w:rFonts w:cstheme="minorHAnsi"/>
                <w:sz w:val="22"/>
                <w:szCs w:val="22"/>
              </w:rPr>
            </w:pPr>
            <w:r w:rsidRPr="00EB272B">
              <w:rPr>
                <w:rFonts w:cstheme="minorHAnsi"/>
                <w:sz w:val="22"/>
                <w:szCs w:val="22"/>
              </w:rPr>
              <w:t>600000</w:t>
            </w:r>
          </w:p>
        </w:tc>
        <w:tc>
          <w:tcPr>
            <w:tcW w:w="1620" w:type="dxa"/>
            <w:hideMark/>
          </w:tcPr>
          <w:p w14:paraId="5FDBA50D" w14:textId="77777777" w:rsidR="00E953EE" w:rsidRPr="00EB272B" w:rsidRDefault="00E953EE" w:rsidP="006909EB">
            <w:pPr>
              <w:jc w:val="right"/>
              <w:rPr>
                <w:rFonts w:cstheme="minorHAnsi"/>
                <w:sz w:val="22"/>
                <w:szCs w:val="22"/>
              </w:rPr>
            </w:pPr>
            <w:r>
              <w:rPr>
                <w:rFonts w:cstheme="minorHAnsi"/>
                <w:sz w:val="22"/>
                <w:szCs w:val="22"/>
              </w:rPr>
              <w:t>0</w:t>
            </w:r>
            <w:r w:rsidRPr="00EB272B">
              <w:rPr>
                <w:rFonts w:cstheme="minorHAnsi"/>
                <w:sz w:val="22"/>
                <w:szCs w:val="22"/>
              </w:rPr>
              <w:t> </w:t>
            </w:r>
          </w:p>
        </w:tc>
      </w:tr>
      <w:tr w:rsidR="00E953EE" w:rsidRPr="00EB272B" w14:paraId="44934C67" w14:textId="77777777" w:rsidTr="006909EB">
        <w:trPr>
          <w:trHeight w:val="900"/>
        </w:trPr>
        <w:tc>
          <w:tcPr>
            <w:tcW w:w="1820" w:type="dxa"/>
            <w:hideMark/>
          </w:tcPr>
          <w:p w14:paraId="29B3E79D" w14:textId="77777777" w:rsidR="00E953EE" w:rsidRPr="00EB272B" w:rsidRDefault="00E953EE" w:rsidP="006909EB">
            <w:pPr>
              <w:rPr>
                <w:rFonts w:cstheme="minorHAnsi"/>
                <w:sz w:val="22"/>
                <w:szCs w:val="22"/>
              </w:rPr>
            </w:pPr>
            <w:r w:rsidRPr="00EB272B">
              <w:rPr>
                <w:rFonts w:cstheme="minorHAnsi"/>
                <w:sz w:val="22"/>
                <w:szCs w:val="22"/>
              </w:rPr>
              <w:t>Regional</w:t>
            </w:r>
          </w:p>
        </w:tc>
        <w:tc>
          <w:tcPr>
            <w:tcW w:w="1840" w:type="dxa"/>
            <w:hideMark/>
          </w:tcPr>
          <w:p w14:paraId="75C946B3" w14:textId="77777777" w:rsidR="00E953EE" w:rsidRPr="00EB272B" w:rsidRDefault="00E953EE" w:rsidP="006909EB">
            <w:pPr>
              <w:rPr>
                <w:rFonts w:cstheme="minorHAnsi"/>
                <w:sz w:val="22"/>
                <w:szCs w:val="22"/>
              </w:rPr>
            </w:pPr>
            <w:r w:rsidRPr="00EB272B">
              <w:rPr>
                <w:rFonts w:cstheme="minorHAnsi"/>
                <w:sz w:val="22"/>
                <w:szCs w:val="22"/>
              </w:rPr>
              <w:t>Botswana, Lesotho, Namibia, Swaziland</w:t>
            </w:r>
          </w:p>
        </w:tc>
        <w:tc>
          <w:tcPr>
            <w:tcW w:w="960" w:type="dxa"/>
            <w:hideMark/>
          </w:tcPr>
          <w:p w14:paraId="45AA4AF8" w14:textId="77777777" w:rsidR="00E953EE" w:rsidRPr="00EB272B" w:rsidRDefault="00E953EE" w:rsidP="006909EB">
            <w:pPr>
              <w:rPr>
                <w:rFonts w:cstheme="minorHAnsi"/>
                <w:sz w:val="22"/>
                <w:szCs w:val="22"/>
              </w:rPr>
            </w:pPr>
            <w:r w:rsidRPr="00EB272B">
              <w:rPr>
                <w:rFonts w:cstheme="minorHAnsi"/>
                <w:sz w:val="22"/>
                <w:szCs w:val="22"/>
              </w:rPr>
              <w:t>W</w:t>
            </w:r>
          </w:p>
        </w:tc>
        <w:tc>
          <w:tcPr>
            <w:tcW w:w="5380" w:type="dxa"/>
            <w:hideMark/>
          </w:tcPr>
          <w:p w14:paraId="310AF55F" w14:textId="77777777" w:rsidR="00E953EE" w:rsidRPr="00EB272B" w:rsidRDefault="00E953EE" w:rsidP="006909EB">
            <w:pPr>
              <w:rPr>
                <w:rFonts w:cstheme="minorHAnsi"/>
                <w:sz w:val="22"/>
                <w:szCs w:val="22"/>
              </w:rPr>
            </w:pPr>
            <w:r w:rsidRPr="00EB272B">
              <w:rPr>
                <w:rFonts w:cstheme="minorHAnsi"/>
                <w:sz w:val="22"/>
                <w:szCs w:val="22"/>
              </w:rPr>
              <w:t xml:space="preserve">Development of Minamata Initial Assessment </w:t>
            </w:r>
          </w:p>
        </w:tc>
        <w:tc>
          <w:tcPr>
            <w:tcW w:w="960" w:type="dxa"/>
            <w:hideMark/>
          </w:tcPr>
          <w:p w14:paraId="0C73F8DC" w14:textId="77777777" w:rsidR="00E953EE" w:rsidRPr="00EB272B" w:rsidRDefault="00E953EE" w:rsidP="006909EB">
            <w:pPr>
              <w:rPr>
                <w:rFonts w:cstheme="minorHAnsi"/>
                <w:sz w:val="22"/>
                <w:szCs w:val="22"/>
              </w:rPr>
            </w:pPr>
            <w:r w:rsidRPr="00EB272B">
              <w:rPr>
                <w:rFonts w:cstheme="minorHAnsi"/>
                <w:sz w:val="22"/>
                <w:szCs w:val="22"/>
              </w:rPr>
              <w:t>GEF-6</w:t>
            </w:r>
          </w:p>
        </w:tc>
        <w:tc>
          <w:tcPr>
            <w:tcW w:w="960" w:type="dxa"/>
            <w:hideMark/>
          </w:tcPr>
          <w:p w14:paraId="581EBE00" w14:textId="77777777" w:rsidR="00E953EE" w:rsidRPr="00EB272B" w:rsidRDefault="00E953EE" w:rsidP="006909EB">
            <w:pPr>
              <w:rPr>
                <w:rFonts w:cstheme="minorHAnsi"/>
                <w:sz w:val="22"/>
                <w:szCs w:val="22"/>
              </w:rPr>
            </w:pPr>
            <w:r w:rsidRPr="00EB272B">
              <w:rPr>
                <w:rFonts w:cstheme="minorHAnsi"/>
                <w:sz w:val="22"/>
                <w:szCs w:val="22"/>
              </w:rPr>
              <w:t>EA</w:t>
            </w:r>
          </w:p>
        </w:tc>
        <w:tc>
          <w:tcPr>
            <w:tcW w:w="960" w:type="dxa"/>
            <w:hideMark/>
          </w:tcPr>
          <w:p w14:paraId="2E6BFB0A" w14:textId="77777777" w:rsidR="00E953EE" w:rsidRPr="00EB272B" w:rsidRDefault="00E953EE" w:rsidP="006909EB">
            <w:pPr>
              <w:rPr>
                <w:rFonts w:cstheme="minorHAnsi"/>
                <w:sz w:val="22"/>
                <w:szCs w:val="22"/>
              </w:rPr>
            </w:pPr>
            <w:r w:rsidRPr="00EB272B">
              <w:rPr>
                <w:rFonts w:cstheme="minorHAnsi"/>
                <w:sz w:val="22"/>
                <w:szCs w:val="22"/>
              </w:rPr>
              <w:t>UNEP</w:t>
            </w:r>
          </w:p>
        </w:tc>
        <w:tc>
          <w:tcPr>
            <w:tcW w:w="1660" w:type="dxa"/>
            <w:hideMark/>
          </w:tcPr>
          <w:p w14:paraId="7F8A7DD4" w14:textId="77777777" w:rsidR="00E953EE" w:rsidRPr="00EB272B" w:rsidRDefault="00E953EE" w:rsidP="006909EB">
            <w:pPr>
              <w:jc w:val="right"/>
              <w:rPr>
                <w:rFonts w:cstheme="minorHAnsi"/>
                <w:sz w:val="22"/>
                <w:szCs w:val="22"/>
              </w:rPr>
            </w:pPr>
            <w:r w:rsidRPr="00EB272B">
              <w:rPr>
                <w:rFonts w:cstheme="minorHAnsi"/>
                <w:sz w:val="22"/>
                <w:szCs w:val="22"/>
              </w:rPr>
              <w:t>800000</w:t>
            </w:r>
          </w:p>
        </w:tc>
        <w:tc>
          <w:tcPr>
            <w:tcW w:w="1620" w:type="dxa"/>
            <w:hideMark/>
          </w:tcPr>
          <w:p w14:paraId="7F0A2DFD" w14:textId="77777777" w:rsidR="00E953EE" w:rsidRPr="00EB272B" w:rsidRDefault="00E953EE" w:rsidP="006909EB">
            <w:pPr>
              <w:jc w:val="right"/>
              <w:rPr>
                <w:rFonts w:cstheme="minorHAnsi"/>
                <w:sz w:val="22"/>
                <w:szCs w:val="22"/>
              </w:rPr>
            </w:pPr>
            <w:r w:rsidRPr="00EB272B">
              <w:rPr>
                <w:rFonts w:cstheme="minorHAnsi"/>
                <w:sz w:val="22"/>
                <w:szCs w:val="22"/>
              </w:rPr>
              <w:t>61000</w:t>
            </w:r>
          </w:p>
        </w:tc>
      </w:tr>
      <w:tr w:rsidR="00E953EE" w:rsidRPr="00EB272B" w14:paraId="3E2C4508" w14:textId="77777777" w:rsidTr="006909EB">
        <w:trPr>
          <w:trHeight w:val="900"/>
        </w:trPr>
        <w:tc>
          <w:tcPr>
            <w:tcW w:w="1820" w:type="dxa"/>
            <w:hideMark/>
          </w:tcPr>
          <w:p w14:paraId="61E6F13E" w14:textId="77777777" w:rsidR="00E953EE" w:rsidRPr="00EB272B" w:rsidRDefault="00E953EE" w:rsidP="006909EB">
            <w:pPr>
              <w:rPr>
                <w:rFonts w:cstheme="minorHAnsi"/>
                <w:sz w:val="22"/>
                <w:szCs w:val="22"/>
              </w:rPr>
            </w:pPr>
            <w:r w:rsidRPr="00EB272B">
              <w:rPr>
                <w:rFonts w:cstheme="minorHAnsi"/>
                <w:sz w:val="22"/>
                <w:szCs w:val="22"/>
              </w:rPr>
              <w:t>Regional</w:t>
            </w:r>
          </w:p>
        </w:tc>
        <w:tc>
          <w:tcPr>
            <w:tcW w:w="1840" w:type="dxa"/>
            <w:hideMark/>
          </w:tcPr>
          <w:p w14:paraId="73C1D1F4" w14:textId="77777777" w:rsidR="00E953EE" w:rsidRPr="00EB272B" w:rsidRDefault="00E953EE" w:rsidP="006909EB">
            <w:pPr>
              <w:rPr>
                <w:rFonts w:cstheme="minorHAnsi"/>
                <w:sz w:val="22"/>
                <w:szCs w:val="22"/>
              </w:rPr>
            </w:pPr>
            <w:r w:rsidRPr="00EB272B">
              <w:rPr>
                <w:rFonts w:cstheme="minorHAnsi"/>
                <w:sz w:val="22"/>
                <w:szCs w:val="22"/>
              </w:rPr>
              <w:t>Burkina Faso, Benin, Niger, Togo</w:t>
            </w:r>
          </w:p>
        </w:tc>
        <w:tc>
          <w:tcPr>
            <w:tcW w:w="960" w:type="dxa"/>
            <w:hideMark/>
          </w:tcPr>
          <w:p w14:paraId="6DA07633" w14:textId="77777777" w:rsidR="00E953EE" w:rsidRPr="00EB272B" w:rsidRDefault="00E953EE" w:rsidP="006909EB">
            <w:pPr>
              <w:rPr>
                <w:rFonts w:cstheme="minorHAnsi"/>
                <w:sz w:val="22"/>
                <w:szCs w:val="22"/>
              </w:rPr>
            </w:pPr>
            <w:r w:rsidRPr="00EB272B">
              <w:rPr>
                <w:rFonts w:cstheme="minorHAnsi"/>
                <w:sz w:val="22"/>
                <w:szCs w:val="22"/>
              </w:rPr>
              <w:t>W</w:t>
            </w:r>
          </w:p>
        </w:tc>
        <w:tc>
          <w:tcPr>
            <w:tcW w:w="5380" w:type="dxa"/>
            <w:hideMark/>
          </w:tcPr>
          <w:p w14:paraId="3FE36668" w14:textId="651D45FE" w:rsidR="00E953EE" w:rsidRPr="00EB272B" w:rsidRDefault="00E953EE" w:rsidP="006909EB">
            <w:pPr>
              <w:rPr>
                <w:rFonts w:cstheme="minorHAnsi"/>
                <w:sz w:val="22"/>
                <w:szCs w:val="22"/>
              </w:rPr>
            </w:pPr>
            <w:r w:rsidRPr="00EB272B">
              <w:rPr>
                <w:rFonts w:cstheme="minorHAnsi"/>
                <w:sz w:val="22"/>
                <w:szCs w:val="22"/>
              </w:rPr>
              <w:t>Minamata Convention Initial Assessment in Francophone Africa II</w:t>
            </w:r>
            <w:r w:rsidR="00E56515">
              <w:rPr>
                <w:rFonts w:cstheme="minorHAnsi"/>
                <w:sz w:val="22"/>
                <w:szCs w:val="22"/>
              </w:rPr>
              <w:t xml:space="preserve">  </w:t>
            </w:r>
            <w:r w:rsidRPr="00EB272B">
              <w:rPr>
                <w:rFonts w:cstheme="minorHAnsi"/>
                <w:sz w:val="22"/>
                <w:szCs w:val="22"/>
              </w:rPr>
              <w:t xml:space="preserve"> </w:t>
            </w:r>
          </w:p>
        </w:tc>
        <w:tc>
          <w:tcPr>
            <w:tcW w:w="960" w:type="dxa"/>
            <w:hideMark/>
          </w:tcPr>
          <w:p w14:paraId="11DC8292" w14:textId="77777777" w:rsidR="00E953EE" w:rsidRPr="00EB272B" w:rsidRDefault="00E953EE" w:rsidP="006909EB">
            <w:pPr>
              <w:rPr>
                <w:rFonts w:cstheme="minorHAnsi"/>
                <w:sz w:val="22"/>
                <w:szCs w:val="22"/>
              </w:rPr>
            </w:pPr>
            <w:r w:rsidRPr="00EB272B">
              <w:rPr>
                <w:rFonts w:cstheme="minorHAnsi"/>
                <w:sz w:val="22"/>
                <w:szCs w:val="22"/>
              </w:rPr>
              <w:t>GEF-6</w:t>
            </w:r>
          </w:p>
        </w:tc>
        <w:tc>
          <w:tcPr>
            <w:tcW w:w="960" w:type="dxa"/>
            <w:hideMark/>
          </w:tcPr>
          <w:p w14:paraId="5389C5E6" w14:textId="77777777" w:rsidR="00E953EE" w:rsidRPr="00EB272B" w:rsidRDefault="00E953EE" w:rsidP="006909EB">
            <w:pPr>
              <w:rPr>
                <w:rFonts w:cstheme="minorHAnsi"/>
                <w:sz w:val="22"/>
                <w:szCs w:val="22"/>
              </w:rPr>
            </w:pPr>
            <w:r w:rsidRPr="00EB272B">
              <w:rPr>
                <w:rFonts w:cstheme="minorHAnsi"/>
                <w:sz w:val="22"/>
                <w:szCs w:val="22"/>
              </w:rPr>
              <w:t>EA</w:t>
            </w:r>
          </w:p>
        </w:tc>
        <w:tc>
          <w:tcPr>
            <w:tcW w:w="960" w:type="dxa"/>
            <w:hideMark/>
          </w:tcPr>
          <w:p w14:paraId="6779DE7F" w14:textId="77777777" w:rsidR="00E953EE" w:rsidRPr="00EB272B" w:rsidRDefault="00E953EE" w:rsidP="006909EB">
            <w:pPr>
              <w:rPr>
                <w:rFonts w:cstheme="minorHAnsi"/>
                <w:sz w:val="22"/>
                <w:szCs w:val="22"/>
              </w:rPr>
            </w:pPr>
            <w:r w:rsidRPr="00EB272B">
              <w:rPr>
                <w:rFonts w:cstheme="minorHAnsi"/>
                <w:sz w:val="22"/>
                <w:szCs w:val="22"/>
              </w:rPr>
              <w:t>UNIDO</w:t>
            </w:r>
          </w:p>
        </w:tc>
        <w:tc>
          <w:tcPr>
            <w:tcW w:w="1660" w:type="dxa"/>
            <w:hideMark/>
          </w:tcPr>
          <w:p w14:paraId="49599517" w14:textId="77777777" w:rsidR="00E953EE" w:rsidRPr="00EB272B" w:rsidRDefault="00E953EE" w:rsidP="006909EB">
            <w:pPr>
              <w:jc w:val="right"/>
              <w:rPr>
                <w:rFonts w:cstheme="minorHAnsi"/>
                <w:sz w:val="22"/>
                <w:szCs w:val="22"/>
              </w:rPr>
            </w:pPr>
            <w:r w:rsidRPr="00EB272B">
              <w:rPr>
                <w:rFonts w:cstheme="minorHAnsi"/>
                <w:sz w:val="22"/>
                <w:szCs w:val="22"/>
              </w:rPr>
              <w:t>800000</w:t>
            </w:r>
          </w:p>
        </w:tc>
        <w:tc>
          <w:tcPr>
            <w:tcW w:w="1620" w:type="dxa"/>
            <w:hideMark/>
          </w:tcPr>
          <w:p w14:paraId="0CB95CDD" w14:textId="77777777" w:rsidR="00E953EE" w:rsidRPr="00EB272B" w:rsidRDefault="00E953EE" w:rsidP="006909EB">
            <w:pPr>
              <w:jc w:val="right"/>
              <w:rPr>
                <w:rFonts w:cstheme="minorHAnsi"/>
                <w:sz w:val="22"/>
                <w:szCs w:val="22"/>
              </w:rPr>
            </w:pPr>
            <w:r w:rsidRPr="00EB272B">
              <w:rPr>
                <w:rFonts w:cstheme="minorHAnsi"/>
                <w:sz w:val="22"/>
                <w:szCs w:val="22"/>
              </w:rPr>
              <w:t>134400</w:t>
            </w:r>
          </w:p>
        </w:tc>
      </w:tr>
      <w:tr w:rsidR="00E953EE" w:rsidRPr="00EB272B" w14:paraId="41BA3291" w14:textId="77777777" w:rsidTr="006909EB">
        <w:trPr>
          <w:trHeight w:val="1200"/>
        </w:trPr>
        <w:tc>
          <w:tcPr>
            <w:tcW w:w="1820" w:type="dxa"/>
            <w:hideMark/>
          </w:tcPr>
          <w:p w14:paraId="436106F8" w14:textId="77777777" w:rsidR="00E953EE" w:rsidRPr="00EB272B" w:rsidRDefault="00E953EE" w:rsidP="006909EB">
            <w:pPr>
              <w:rPr>
                <w:rFonts w:cstheme="minorHAnsi"/>
                <w:sz w:val="22"/>
                <w:szCs w:val="22"/>
              </w:rPr>
            </w:pPr>
            <w:r w:rsidRPr="00EB272B">
              <w:rPr>
                <w:rFonts w:cstheme="minorHAnsi"/>
                <w:sz w:val="22"/>
                <w:szCs w:val="22"/>
              </w:rPr>
              <w:lastRenderedPageBreak/>
              <w:t>Regional</w:t>
            </w:r>
          </w:p>
        </w:tc>
        <w:tc>
          <w:tcPr>
            <w:tcW w:w="1840" w:type="dxa"/>
            <w:hideMark/>
          </w:tcPr>
          <w:p w14:paraId="7C55215F" w14:textId="77777777" w:rsidR="00E953EE" w:rsidRPr="00EB272B" w:rsidRDefault="00E953EE" w:rsidP="006909EB">
            <w:pPr>
              <w:rPr>
                <w:rFonts w:cstheme="minorHAnsi"/>
                <w:sz w:val="22"/>
                <w:szCs w:val="22"/>
              </w:rPr>
            </w:pPr>
            <w:r w:rsidRPr="00EB272B">
              <w:rPr>
                <w:rFonts w:cstheme="minorHAnsi"/>
                <w:sz w:val="22"/>
                <w:szCs w:val="22"/>
              </w:rPr>
              <w:t>Burundi, Central African Republic, Congo, Cote d'Ivoire, Gabon</w:t>
            </w:r>
          </w:p>
        </w:tc>
        <w:tc>
          <w:tcPr>
            <w:tcW w:w="960" w:type="dxa"/>
            <w:hideMark/>
          </w:tcPr>
          <w:p w14:paraId="68EE2C13" w14:textId="77777777" w:rsidR="00E953EE" w:rsidRPr="00EB272B" w:rsidRDefault="00E953EE" w:rsidP="006909EB">
            <w:pPr>
              <w:rPr>
                <w:rFonts w:cstheme="minorHAnsi"/>
                <w:sz w:val="22"/>
                <w:szCs w:val="22"/>
              </w:rPr>
            </w:pPr>
            <w:r w:rsidRPr="00EB272B">
              <w:rPr>
                <w:rFonts w:cstheme="minorHAnsi"/>
                <w:sz w:val="22"/>
                <w:szCs w:val="22"/>
              </w:rPr>
              <w:t>W</w:t>
            </w:r>
          </w:p>
        </w:tc>
        <w:tc>
          <w:tcPr>
            <w:tcW w:w="5380" w:type="dxa"/>
            <w:hideMark/>
          </w:tcPr>
          <w:p w14:paraId="141DCAC4" w14:textId="77777777" w:rsidR="00E953EE" w:rsidRPr="00EB272B" w:rsidRDefault="00E953EE" w:rsidP="006909EB">
            <w:pPr>
              <w:rPr>
                <w:rFonts w:cstheme="minorHAnsi"/>
                <w:sz w:val="22"/>
                <w:szCs w:val="22"/>
              </w:rPr>
            </w:pPr>
            <w:r w:rsidRPr="00EB272B">
              <w:rPr>
                <w:rFonts w:cstheme="minorHAnsi"/>
                <w:sz w:val="22"/>
                <w:szCs w:val="22"/>
              </w:rPr>
              <w:t>Development of Minamata Convention Mercury Initial Assessment in Africa</w:t>
            </w:r>
          </w:p>
        </w:tc>
        <w:tc>
          <w:tcPr>
            <w:tcW w:w="960" w:type="dxa"/>
            <w:hideMark/>
          </w:tcPr>
          <w:p w14:paraId="55F89054" w14:textId="77777777" w:rsidR="00E953EE" w:rsidRPr="00EB272B" w:rsidRDefault="00E953EE" w:rsidP="006909EB">
            <w:pPr>
              <w:rPr>
                <w:rFonts w:cstheme="minorHAnsi"/>
                <w:sz w:val="22"/>
                <w:szCs w:val="22"/>
              </w:rPr>
            </w:pPr>
            <w:r w:rsidRPr="00EB272B">
              <w:rPr>
                <w:rFonts w:cstheme="minorHAnsi"/>
                <w:sz w:val="22"/>
                <w:szCs w:val="22"/>
              </w:rPr>
              <w:t>GEF-6</w:t>
            </w:r>
          </w:p>
        </w:tc>
        <w:tc>
          <w:tcPr>
            <w:tcW w:w="960" w:type="dxa"/>
            <w:hideMark/>
          </w:tcPr>
          <w:p w14:paraId="3BC5B92A" w14:textId="77777777" w:rsidR="00E953EE" w:rsidRPr="00EB272B" w:rsidRDefault="00E953EE" w:rsidP="006909EB">
            <w:pPr>
              <w:rPr>
                <w:rFonts w:cstheme="minorHAnsi"/>
                <w:sz w:val="22"/>
                <w:szCs w:val="22"/>
              </w:rPr>
            </w:pPr>
            <w:r w:rsidRPr="00EB272B">
              <w:rPr>
                <w:rFonts w:cstheme="minorHAnsi"/>
                <w:sz w:val="22"/>
                <w:szCs w:val="22"/>
              </w:rPr>
              <w:t>EA</w:t>
            </w:r>
          </w:p>
        </w:tc>
        <w:tc>
          <w:tcPr>
            <w:tcW w:w="960" w:type="dxa"/>
            <w:hideMark/>
          </w:tcPr>
          <w:p w14:paraId="2B5D4126" w14:textId="77777777" w:rsidR="00E953EE" w:rsidRPr="00EB272B" w:rsidRDefault="00E953EE" w:rsidP="006909EB">
            <w:pPr>
              <w:rPr>
                <w:rFonts w:cstheme="minorHAnsi"/>
                <w:sz w:val="22"/>
                <w:szCs w:val="22"/>
              </w:rPr>
            </w:pPr>
            <w:r w:rsidRPr="00EB272B">
              <w:rPr>
                <w:rFonts w:cstheme="minorHAnsi"/>
                <w:sz w:val="22"/>
                <w:szCs w:val="22"/>
              </w:rPr>
              <w:t>UNEP</w:t>
            </w:r>
          </w:p>
        </w:tc>
        <w:tc>
          <w:tcPr>
            <w:tcW w:w="1660" w:type="dxa"/>
            <w:hideMark/>
          </w:tcPr>
          <w:p w14:paraId="33990DD2" w14:textId="77777777" w:rsidR="00E953EE" w:rsidRPr="00EB272B" w:rsidRDefault="00E953EE" w:rsidP="006909EB">
            <w:pPr>
              <w:jc w:val="right"/>
              <w:rPr>
                <w:rFonts w:cstheme="minorHAnsi"/>
                <w:sz w:val="22"/>
                <w:szCs w:val="22"/>
              </w:rPr>
            </w:pPr>
            <w:r w:rsidRPr="00EB272B">
              <w:rPr>
                <w:rFonts w:cstheme="minorHAnsi"/>
                <w:sz w:val="22"/>
                <w:szCs w:val="22"/>
              </w:rPr>
              <w:t>1000000</w:t>
            </w:r>
          </w:p>
        </w:tc>
        <w:tc>
          <w:tcPr>
            <w:tcW w:w="1620" w:type="dxa"/>
            <w:hideMark/>
          </w:tcPr>
          <w:p w14:paraId="11B401EA" w14:textId="77777777" w:rsidR="00E953EE" w:rsidRPr="00EB272B" w:rsidRDefault="00E953EE" w:rsidP="006909EB">
            <w:pPr>
              <w:jc w:val="right"/>
              <w:rPr>
                <w:rFonts w:cstheme="minorHAnsi"/>
                <w:sz w:val="22"/>
                <w:szCs w:val="22"/>
              </w:rPr>
            </w:pPr>
            <w:r w:rsidRPr="00EB272B">
              <w:rPr>
                <w:rFonts w:cstheme="minorHAnsi"/>
                <w:sz w:val="22"/>
                <w:szCs w:val="22"/>
              </w:rPr>
              <w:t>60000</w:t>
            </w:r>
          </w:p>
        </w:tc>
      </w:tr>
      <w:tr w:rsidR="00E953EE" w:rsidRPr="00EB272B" w14:paraId="6F1F0018" w14:textId="77777777" w:rsidTr="006909EB">
        <w:trPr>
          <w:trHeight w:val="1800"/>
        </w:trPr>
        <w:tc>
          <w:tcPr>
            <w:tcW w:w="1820" w:type="dxa"/>
            <w:hideMark/>
          </w:tcPr>
          <w:p w14:paraId="1F32C63C" w14:textId="77777777" w:rsidR="00E953EE" w:rsidRPr="00EB272B" w:rsidRDefault="00E953EE" w:rsidP="006909EB">
            <w:pPr>
              <w:rPr>
                <w:rFonts w:cstheme="minorHAnsi"/>
                <w:sz w:val="22"/>
                <w:szCs w:val="22"/>
              </w:rPr>
            </w:pPr>
            <w:r w:rsidRPr="00EB272B">
              <w:rPr>
                <w:rFonts w:cstheme="minorHAnsi"/>
                <w:sz w:val="22"/>
                <w:szCs w:val="22"/>
              </w:rPr>
              <w:t>Regional</w:t>
            </w:r>
          </w:p>
        </w:tc>
        <w:tc>
          <w:tcPr>
            <w:tcW w:w="1840" w:type="dxa"/>
            <w:hideMark/>
          </w:tcPr>
          <w:p w14:paraId="79EBB24D" w14:textId="77777777" w:rsidR="00E953EE" w:rsidRPr="00EB272B" w:rsidRDefault="00E953EE" w:rsidP="006909EB">
            <w:pPr>
              <w:rPr>
                <w:rFonts w:cstheme="minorHAnsi"/>
                <w:sz w:val="22"/>
                <w:szCs w:val="22"/>
              </w:rPr>
            </w:pPr>
            <w:r w:rsidRPr="00EB272B">
              <w:rPr>
                <w:rFonts w:cstheme="minorHAnsi"/>
                <w:sz w:val="22"/>
                <w:szCs w:val="22"/>
              </w:rPr>
              <w:t>Burundi, Central African Republic, Congo, Kenya, Swaziland, Uganda, Zambia, Zimbabwe</w:t>
            </w:r>
          </w:p>
        </w:tc>
        <w:tc>
          <w:tcPr>
            <w:tcW w:w="960" w:type="dxa"/>
            <w:hideMark/>
          </w:tcPr>
          <w:p w14:paraId="62243140" w14:textId="77777777" w:rsidR="00E953EE" w:rsidRPr="00EB272B" w:rsidRDefault="00E953EE" w:rsidP="006909EB">
            <w:pPr>
              <w:rPr>
                <w:rFonts w:cstheme="minorHAnsi"/>
                <w:sz w:val="22"/>
                <w:szCs w:val="22"/>
              </w:rPr>
            </w:pPr>
            <w:r w:rsidRPr="00EB272B">
              <w:rPr>
                <w:rFonts w:cstheme="minorHAnsi"/>
                <w:sz w:val="22"/>
                <w:szCs w:val="22"/>
              </w:rPr>
              <w:t>W</w:t>
            </w:r>
          </w:p>
        </w:tc>
        <w:tc>
          <w:tcPr>
            <w:tcW w:w="5380" w:type="dxa"/>
            <w:hideMark/>
          </w:tcPr>
          <w:p w14:paraId="21825911" w14:textId="77777777" w:rsidR="00E953EE" w:rsidRPr="00EB272B" w:rsidRDefault="00E953EE" w:rsidP="006909EB">
            <w:pPr>
              <w:rPr>
                <w:rFonts w:cstheme="minorHAnsi"/>
                <w:sz w:val="22"/>
                <w:szCs w:val="22"/>
              </w:rPr>
            </w:pPr>
            <w:r w:rsidRPr="00EB272B">
              <w:rPr>
                <w:rFonts w:cstheme="minorHAnsi"/>
                <w:sz w:val="22"/>
                <w:szCs w:val="22"/>
              </w:rPr>
              <w:t>Regional Project on the Development of National Action Plans for the Artisanal and Small-Scale Gold Mining in Africa</w:t>
            </w:r>
          </w:p>
        </w:tc>
        <w:tc>
          <w:tcPr>
            <w:tcW w:w="960" w:type="dxa"/>
            <w:hideMark/>
          </w:tcPr>
          <w:p w14:paraId="209F9B79" w14:textId="77777777" w:rsidR="00E953EE" w:rsidRPr="00EB272B" w:rsidRDefault="00E953EE" w:rsidP="006909EB">
            <w:pPr>
              <w:rPr>
                <w:rFonts w:cstheme="minorHAnsi"/>
                <w:sz w:val="22"/>
                <w:szCs w:val="22"/>
              </w:rPr>
            </w:pPr>
            <w:r w:rsidRPr="00EB272B">
              <w:rPr>
                <w:rFonts w:cstheme="minorHAnsi"/>
                <w:sz w:val="22"/>
                <w:szCs w:val="22"/>
              </w:rPr>
              <w:t>GEF-6</w:t>
            </w:r>
          </w:p>
        </w:tc>
        <w:tc>
          <w:tcPr>
            <w:tcW w:w="960" w:type="dxa"/>
            <w:hideMark/>
          </w:tcPr>
          <w:p w14:paraId="261C3093" w14:textId="77777777" w:rsidR="00E953EE" w:rsidRPr="00EB272B" w:rsidRDefault="00E953EE" w:rsidP="006909EB">
            <w:pPr>
              <w:rPr>
                <w:rFonts w:cstheme="minorHAnsi"/>
                <w:sz w:val="22"/>
                <w:szCs w:val="22"/>
              </w:rPr>
            </w:pPr>
            <w:r w:rsidRPr="00EB272B">
              <w:rPr>
                <w:rFonts w:cstheme="minorHAnsi"/>
                <w:sz w:val="22"/>
                <w:szCs w:val="22"/>
              </w:rPr>
              <w:t>EA</w:t>
            </w:r>
          </w:p>
        </w:tc>
        <w:tc>
          <w:tcPr>
            <w:tcW w:w="960" w:type="dxa"/>
            <w:hideMark/>
          </w:tcPr>
          <w:p w14:paraId="2280330C" w14:textId="77777777" w:rsidR="00E953EE" w:rsidRPr="00EB272B" w:rsidRDefault="00E953EE" w:rsidP="006909EB">
            <w:pPr>
              <w:rPr>
                <w:rFonts w:cstheme="minorHAnsi"/>
                <w:sz w:val="22"/>
                <w:szCs w:val="22"/>
              </w:rPr>
            </w:pPr>
            <w:r w:rsidRPr="00EB272B">
              <w:rPr>
                <w:rFonts w:cstheme="minorHAnsi"/>
                <w:sz w:val="22"/>
                <w:szCs w:val="22"/>
              </w:rPr>
              <w:t>UNEP</w:t>
            </w:r>
          </w:p>
        </w:tc>
        <w:tc>
          <w:tcPr>
            <w:tcW w:w="1660" w:type="dxa"/>
            <w:hideMark/>
          </w:tcPr>
          <w:p w14:paraId="2B331D51" w14:textId="77777777" w:rsidR="00E953EE" w:rsidRPr="00EB272B" w:rsidRDefault="00E953EE" w:rsidP="006909EB">
            <w:pPr>
              <w:jc w:val="right"/>
              <w:rPr>
                <w:rFonts w:cstheme="minorHAnsi"/>
                <w:sz w:val="22"/>
                <w:szCs w:val="22"/>
              </w:rPr>
            </w:pPr>
            <w:r w:rsidRPr="00EB272B">
              <w:rPr>
                <w:rFonts w:cstheme="minorHAnsi"/>
                <w:sz w:val="22"/>
                <w:szCs w:val="22"/>
              </w:rPr>
              <w:t>4000000</w:t>
            </w:r>
          </w:p>
        </w:tc>
        <w:tc>
          <w:tcPr>
            <w:tcW w:w="1620" w:type="dxa"/>
            <w:hideMark/>
          </w:tcPr>
          <w:p w14:paraId="62F86A9D" w14:textId="77777777" w:rsidR="00E953EE" w:rsidRPr="00EB272B" w:rsidRDefault="00E953EE" w:rsidP="006909EB">
            <w:pPr>
              <w:jc w:val="right"/>
              <w:rPr>
                <w:rFonts w:cstheme="minorHAnsi"/>
                <w:sz w:val="22"/>
                <w:szCs w:val="22"/>
              </w:rPr>
            </w:pPr>
            <w:r w:rsidRPr="00EB272B">
              <w:rPr>
                <w:rFonts w:cstheme="minorHAnsi"/>
                <w:sz w:val="22"/>
                <w:szCs w:val="22"/>
              </w:rPr>
              <w:t>50000</w:t>
            </w:r>
          </w:p>
        </w:tc>
      </w:tr>
      <w:tr w:rsidR="00E953EE" w:rsidRPr="00EB272B" w14:paraId="2B6F650A" w14:textId="77777777" w:rsidTr="006909EB">
        <w:trPr>
          <w:trHeight w:val="900"/>
        </w:trPr>
        <w:tc>
          <w:tcPr>
            <w:tcW w:w="1820" w:type="dxa"/>
            <w:hideMark/>
          </w:tcPr>
          <w:p w14:paraId="13538A9D" w14:textId="77777777" w:rsidR="00E953EE" w:rsidRPr="00EB272B" w:rsidRDefault="00E953EE" w:rsidP="006909EB">
            <w:pPr>
              <w:rPr>
                <w:rFonts w:cstheme="minorHAnsi"/>
                <w:sz w:val="22"/>
                <w:szCs w:val="22"/>
              </w:rPr>
            </w:pPr>
            <w:r w:rsidRPr="00EB272B">
              <w:rPr>
                <w:rFonts w:cstheme="minorHAnsi"/>
                <w:sz w:val="22"/>
                <w:szCs w:val="22"/>
              </w:rPr>
              <w:t>Regional</w:t>
            </w:r>
          </w:p>
        </w:tc>
        <w:tc>
          <w:tcPr>
            <w:tcW w:w="1840" w:type="dxa"/>
            <w:hideMark/>
          </w:tcPr>
          <w:p w14:paraId="06F9601C" w14:textId="77777777" w:rsidR="00E953EE" w:rsidRPr="00EB272B" w:rsidRDefault="00E953EE" w:rsidP="006909EB">
            <w:pPr>
              <w:rPr>
                <w:rFonts w:cstheme="minorHAnsi"/>
                <w:sz w:val="22"/>
                <w:szCs w:val="22"/>
              </w:rPr>
            </w:pPr>
            <w:r w:rsidRPr="00EB272B">
              <w:rPr>
                <w:rFonts w:cstheme="minorHAnsi"/>
                <w:sz w:val="22"/>
                <w:szCs w:val="22"/>
              </w:rPr>
              <w:t>Cabo Verde, Sao Tome and Principe</w:t>
            </w:r>
          </w:p>
        </w:tc>
        <w:tc>
          <w:tcPr>
            <w:tcW w:w="960" w:type="dxa"/>
            <w:hideMark/>
          </w:tcPr>
          <w:p w14:paraId="27E8D90E" w14:textId="77777777" w:rsidR="00E953EE" w:rsidRPr="00EB272B" w:rsidRDefault="00E953EE" w:rsidP="006909EB">
            <w:pPr>
              <w:rPr>
                <w:rFonts w:cstheme="minorHAnsi"/>
                <w:sz w:val="22"/>
                <w:szCs w:val="22"/>
              </w:rPr>
            </w:pPr>
            <w:r w:rsidRPr="00EB272B">
              <w:rPr>
                <w:rFonts w:cstheme="minorHAnsi"/>
                <w:sz w:val="22"/>
                <w:szCs w:val="22"/>
              </w:rPr>
              <w:t>W</w:t>
            </w:r>
          </w:p>
        </w:tc>
        <w:tc>
          <w:tcPr>
            <w:tcW w:w="5380" w:type="dxa"/>
            <w:hideMark/>
          </w:tcPr>
          <w:p w14:paraId="2ADBC17C" w14:textId="77777777" w:rsidR="00E953EE" w:rsidRPr="00EB272B" w:rsidRDefault="00E953EE" w:rsidP="006909EB">
            <w:pPr>
              <w:rPr>
                <w:rFonts w:cstheme="minorHAnsi"/>
                <w:sz w:val="22"/>
                <w:szCs w:val="22"/>
              </w:rPr>
            </w:pPr>
            <w:r w:rsidRPr="00EB272B">
              <w:rPr>
                <w:rFonts w:cstheme="minorHAnsi"/>
                <w:sz w:val="22"/>
                <w:szCs w:val="22"/>
              </w:rPr>
              <w:t>Minamata Convention: Initial Assessment in Cabo Verde and Sao Tome and Principe</w:t>
            </w:r>
          </w:p>
        </w:tc>
        <w:tc>
          <w:tcPr>
            <w:tcW w:w="960" w:type="dxa"/>
            <w:hideMark/>
          </w:tcPr>
          <w:p w14:paraId="4B9A6BE4" w14:textId="77777777" w:rsidR="00E953EE" w:rsidRPr="00EB272B" w:rsidRDefault="00E953EE" w:rsidP="006909EB">
            <w:pPr>
              <w:rPr>
                <w:rFonts w:cstheme="minorHAnsi"/>
                <w:sz w:val="22"/>
                <w:szCs w:val="22"/>
              </w:rPr>
            </w:pPr>
            <w:r w:rsidRPr="00EB272B">
              <w:rPr>
                <w:rFonts w:cstheme="minorHAnsi"/>
                <w:sz w:val="22"/>
                <w:szCs w:val="22"/>
              </w:rPr>
              <w:t>GEF-6</w:t>
            </w:r>
          </w:p>
        </w:tc>
        <w:tc>
          <w:tcPr>
            <w:tcW w:w="960" w:type="dxa"/>
            <w:hideMark/>
          </w:tcPr>
          <w:p w14:paraId="7E29EC5B" w14:textId="77777777" w:rsidR="00E953EE" w:rsidRPr="00EB272B" w:rsidRDefault="00E953EE" w:rsidP="006909EB">
            <w:pPr>
              <w:rPr>
                <w:rFonts w:cstheme="minorHAnsi"/>
                <w:sz w:val="22"/>
                <w:szCs w:val="22"/>
              </w:rPr>
            </w:pPr>
            <w:r w:rsidRPr="00EB272B">
              <w:rPr>
                <w:rFonts w:cstheme="minorHAnsi"/>
                <w:sz w:val="22"/>
                <w:szCs w:val="22"/>
              </w:rPr>
              <w:t>EA</w:t>
            </w:r>
          </w:p>
        </w:tc>
        <w:tc>
          <w:tcPr>
            <w:tcW w:w="960" w:type="dxa"/>
            <w:hideMark/>
          </w:tcPr>
          <w:p w14:paraId="295D59CB" w14:textId="77777777" w:rsidR="00E953EE" w:rsidRPr="00EB272B" w:rsidRDefault="00E953EE" w:rsidP="006909EB">
            <w:pPr>
              <w:rPr>
                <w:rFonts w:cstheme="minorHAnsi"/>
                <w:sz w:val="22"/>
                <w:szCs w:val="22"/>
              </w:rPr>
            </w:pPr>
            <w:r w:rsidRPr="00EB272B">
              <w:rPr>
                <w:rFonts w:cstheme="minorHAnsi"/>
                <w:sz w:val="22"/>
                <w:szCs w:val="22"/>
              </w:rPr>
              <w:t>UNIDO</w:t>
            </w:r>
          </w:p>
        </w:tc>
        <w:tc>
          <w:tcPr>
            <w:tcW w:w="1660" w:type="dxa"/>
            <w:hideMark/>
          </w:tcPr>
          <w:p w14:paraId="7D4A8899" w14:textId="77777777" w:rsidR="00E953EE" w:rsidRPr="00EB272B" w:rsidRDefault="00E953EE" w:rsidP="006909EB">
            <w:pPr>
              <w:jc w:val="right"/>
              <w:rPr>
                <w:rFonts w:cstheme="minorHAnsi"/>
                <w:sz w:val="22"/>
                <w:szCs w:val="22"/>
              </w:rPr>
            </w:pPr>
            <w:r w:rsidRPr="00EB272B">
              <w:rPr>
                <w:rFonts w:cstheme="minorHAnsi"/>
                <w:sz w:val="22"/>
                <w:szCs w:val="22"/>
              </w:rPr>
              <w:t>400000</w:t>
            </w:r>
          </w:p>
        </w:tc>
        <w:tc>
          <w:tcPr>
            <w:tcW w:w="1620" w:type="dxa"/>
            <w:hideMark/>
          </w:tcPr>
          <w:p w14:paraId="2F675D34" w14:textId="77777777" w:rsidR="00E953EE" w:rsidRPr="00EB272B" w:rsidRDefault="00E953EE" w:rsidP="006909EB">
            <w:pPr>
              <w:jc w:val="right"/>
              <w:rPr>
                <w:rFonts w:cstheme="minorHAnsi"/>
                <w:sz w:val="22"/>
                <w:szCs w:val="22"/>
              </w:rPr>
            </w:pPr>
            <w:r w:rsidRPr="00EB272B">
              <w:rPr>
                <w:rFonts w:cstheme="minorHAnsi"/>
                <w:sz w:val="22"/>
                <w:szCs w:val="22"/>
              </w:rPr>
              <w:t>187200</w:t>
            </w:r>
          </w:p>
        </w:tc>
      </w:tr>
      <w:tr w:rsidR="00E953EE" w:rsidRPr="00EB272B" w14:paraId="4E5325BF" w14:textId="77777777" w:rsidTr="006909EB">
        <w:trPr>
          <w:trHeight w:val="900"/>
        </w:trPr>
        <w:tc>
          <w:tcPr>
            <w:tcW w:w="1820" w:type="dxa"/>
            <w:hideMark/>
          </w:tcPr>
          <w:p w14:paraId="6B83FF9B" w14:textId="77777777" w:rsidR="00E953EE" w:rsidRPr="00EB272B" w:rsidRDefault="00E953EE" w:rsidP="006909EB">
            <w:pPr>
              <w:rPr>
                <w:rFonts w:cstheme="minorHAnsi"/>
                <w:sz w:val="22"/>
                <w:szCs w:val="22"/>
              </w:rPr>
            </w:pPr>
            <w:r w:rsidRPr="00EB272B">
              <w:rPr>
                <w:rFonts w:cstheme="minorHAnsi"/>
                <w:sz w:val="22"/>
                <w:szCs w:val="22"/>
              </w:rPr>
              <w:t>Regional</w:t>
            </w:r>
          </w:p>
        </w:tc>
        <w:tc>
          <w:tcPr>
            <w:tcW w:w="1840" w:type="dxa"/>
            <w:hideMark/>
          </w:tcPr>
          <w:p w14:paraId="41F1C862" w14:textId="77777777" w:rsidR="00E953EE" w:rsidRPr="00EB272B" w:rsidRDefault="00E953EE" w:rsidP="006909EB">
            <w:pPr>
              <w:rPr>
                <w:rFonts w:cstheme="minorHAnsi"/>
                <w:sz w:val="22"/>
                <w:szCs w:val="22"/>
              </w:rPr>
            </w:pPr>
            <w:r w:rsidRPr="00EB272B">
              <w:rPr>
                <w:rFonts w:cstheme="minorHAnsi"/>
                <w:sz w:val="22"/>
                <w:szCs w:val="22"/>
              </w:rPr>
              <w:t>Cook Islands, Kiribati, Palau, Tonga, Vanuatu</w:t>
            </w:r>
          </w:p>
        </w:tc>
        <w:tc>
          <w:tcPr>
            <w:tcW w:w="960" w:type="dxa"/>
            <w:hideMark/>
          </w:tcPr>
          <w:p w14:paraId="73A120CE" w14:textId="77777777" w:rsidR="00E953EE" w:rsidRPr="00EB272B" w:rsidRDefault="00E953EE" w:rsidP="006909EB">
            <w:pPr>
              <w:rPr>
                <w:rFonts w:cstheme="minorHAnsi"/>
                <w:sz w:val="22"/>
                <w:szCs w:val="22"/>
              </w:rPr>
            </w:pPr>
            <w:r w:rsidRPr="00EB272B">
              <w:rPr>
                <w:rFonts w:cstheme="minorHAnsi"/>
                <w:sz w:val="22"/>
                <w:szCs w:val="22"/>
              </w:rPr>
              <w:t>W</w:t>
            </w:r>
          </w:p>
        </w:tc>
        <w:tc>
          <w:tcPr>
            <w:tcW w:w="5380" w:type="dxa"/>
            <w:hideMark/>
          </w:tcPr>
          <w:p w14:paraId="07746A70" w14:textId="77777777" w:rsidR="00E953EE" w:rsidRPr="00EB272B" w:rsidRDefault="00E953EE" w:rsidP="006909EB">
            <w:pPr>
              <w:rPr>
                <w:rFonts w:cstheme="minorHAnsi"/>
                <w:sz w:val="22"/>
                <w:szCs w:val="22"/>
              </w:rPr>
            </w:pPr>
            <w:r w:rsidRPr="00EB272B">
              <w:rPr>
                <w:rFonts w:cstheme="minorHAnsi"/>
                <w:sz w:val="22"/>
                <w:szCs w:val="22"/>
              </w:rPr>
              <w:t>Development of Minamata Convention Mercury Initial Assessment in Pacific</w:t>
            </w:r>
          </w:p>
        </w:tc>
        <w:tc>
          <w:tcPr>
            <w:tcW w:w="960" w:type="dxa"/>
            <w:hideMark/>
          </w:tcPr>
          <w:p w14:paraId="1823F7DF" w14:textId="77777777" w:rsidR="00E953EE" w:rsidRPr="00EB272B" w:rsidRDefault="00E953EE" w:rsidP="006909EB">
            <w:pPr>
              <w:rPr>
                <w:rFonts w:cstheme="minorHAnsi"/>
                <w:sz w:val="22"/>
                <w:szCs w:val="22"/>
              </w:rPr>
            </w:pPr>
            <w:r w:rsidRPr="00EB272B">
              <w:rPr>
                <w:rFonts w:cstheme="minorHAnsi"/>
                <w:sz w:val="22"/>
                <w:szCs w:val="22"/>
              </w:rPr>
              <w:t>GEF-6</w:t>
            </w:r>
          </w:p>
        </w:tc>
        <w:tc>
          <w:tcPr>
            <w:tcW w:w="960" w:type="dxa"/>
            <w:hideMark/>
          </w:tcPr>
          <w:p w14:paraId="36E8EDCB" w14:textId="77777777" w:rsidR="00E953EE" w:rsidRPr="00EB272B" w:rsidRDefault="00E953EE" w:rsidP="006909EB">
            <w:pPr>
              <w:rPr>
                <w:rFonts w:cstheme="minorHAnsi"/>
                <w:sz w:val="22"/>
                <w:szCs w:val="22"/>
              </w:rPr>
            </w:pPr>
            <w:r w:rsidRPr="00EB272B">
              <w:rPr>
                <w:rFonts w:cstheme="minorHAnsi"/>
                <w:sz w:val="22"/>
                <w:szCs w:val="22"/>
              </w:rPr>
              <w:t>EA</w:t>
            </w:r>
          </w:p>
        </w:tc>
        <w:tc>
          <w:tcPr>
            <w:tcW w:w="960" w:type="dxa"/>
            <w:hideMark/>
          </w:tcPr>
          <w:p w14:paraId="20F75F09" w14:textId="77777777" w:rsidR="00E953EE" w:rsidRPr="00EB272B" w:rsidRDefault="00E953EE" w:rsidP="006909EB">
            <w:pPr>
              <w:rPr>
                <w:rFonts w:cstheme="minorHAnsi"/>
                <w:sz w:val="22"/>
                <w:szCs w:val="22"/>
              </w:rPr>
            </w:pPr>
            <w:r w:rsidRPr="00EB272B">
              <w:rPr>
                <w:rFonts w:cstheme="minorHAnsi"/>
                <w:sz w:val="22"/>
                <w:szCs w:val="22"/>
              </w:rPr>
              <w:t>UNEP</w:t>
            </w:r>
          </w:p>
        </w:tc>
        <w:tc>
          <w:tcPr>
            <w:tcW w:w="1660" w:type="dxa"/>
            <w:hideMark/>
          </w:tcPr>
          <w:p w14:paraId="4D05B163" w14:textId="77777777" w:rsidR="00E953EE" w:rsidRPr="00EB272B" w:rsidRDefault="00E953EE" w:rsidP="006909EB">
            <w:pPr>
              <w:jc w:val="right"/>
              <w:rPr>
                <w:rFonts w:cstheme="minorHAnsi"/>
                <w:sz w:val="22"/>
                <w:szCs w:val="22"/>
              </w:rPr>
            </w:pPr>
            <w:r w:rsidRPr="00EB272B">
              <w:rPr>
                <w:rFonts w:cstheme="minorHAnsi"/>
                <w:sz w:val="22"/>
                <w:szCs w:val="22"/>
              </w:rPr>
              <w:t>500000</w:t>
            </w:r>
          </w:p>
        </w:tc>
        <w:tc>
          <w:tcPr>
            <w:tcW w:w="1620" w:type="dxa"/>
            <w:hideMark/>
          </w:tcPr>
          <w:p w14:paraId="6E7309FD" w14:textId="77777777" w:rsidR="00E953EE" w:rsidRPr="00EB272B" w:rsidRDefault="00E953EE" w:rsidP="006909EB">
            <w:pPr>
              <w:jc w:val="right"/>
              <w:rPr>
                <w:rFonts w:cstheme="minorHAnsi"/>
                <w:sz w:val="22"/>
                <w:szCs w:val="22"/>
              </w:rPr>
            </w:pPr>
            <w:r w:rsidRPr="00EB272B">
              <w:rPr>
                <w:rFonts w:cstheme="minorHAnsi"/>
                <w:sz w:val="22"/>
                <w:szCs w:val="22"/>
              </w:rPr>
              <w:t>20000</w:t>
            </w:r>
          </w:p>
        </w:tc>
      </w:tr>
      <w:tr w:rsidR="00E953EE" w:rsidRPr="00EB272B" w14:paraId="2D87D2F0" w14:textId="77777777" w:rsidTr="006909EB">
        <w:trPr>
          <w:trHeight w:val="600"/>
        </w:trPr>
        <w:tc>
          <w:tcPr>
            <w:tcW w:w="1820" w:type="dxa"/>
            <w:hideMark/>
          </w:tcPr>
          <w:p w14:paraId="66DBED85" w14:textId="77777777" w:rsidR="00E953EE" w:rsidRPr="00EB272B" w:rsidRDefault="00E953EE" w:rsidP="006909EB">
            <w:pPr>
              <w:rPr>
                <w:rFonts w:cstheme="minorHAnsi"/>
                <w:sz w:val="22"/>
                <w:szCs w:val="22"/>
              </w:rPr>
            </w:pPr>
            <w:r w:rsidRPr="00EB272B">
              <w:rPr>
                <w:rFonts w:cstheme="minorHAnsi"/>
                <w:sz w:val="22"/>
                <w:szCs w:val="22"/>
              </w:rPr>
              <w:t>Regional</w:t>
            </w:r>
          </w:p>
        </w:tc>
        <w:tc>
          <w:tcPr>
            <w:tcW w:w="1840" w:type="dxa"/>
            <w:hideMark/>
          </w:tcPr>
          <w:p w14:paraId="1E33FF0E" w14:textId="77777777" w:rsidR="00E953EE" w:rsidRPr="00EB272B" w:rsidRDefault="00E953EE" w:rsidP="006909EB">
            <w:pPr>
              <w:rPr>
                <w:rFonts w:cstheme="minorHAnsi"/>
                <w:sz w:val="22"/>
                <w:szCs w:val="22"/>
              </w:rPr>
            </w:pPr>
            <w:r w:rsidRPr="00EB272B">
              <w:rPr>
                <w:rFonts w:cstheme="minorHAnsi"/>
                <w:sz w:val="22"/>
                <w:szCs w:val="22"/>
              </w:rPr>
              <w:t>Guinea, Mali, Senegal</w:t>
            </w:r>
          </w:p>
        </w:tc>
        <w:tc>
          <w:tcPr>
            <w:tcW w:w="960" w:type="dxa"/>
            <w:hideMark/>
          </w:tcPr>
          <w:p w14:paraId="4BCC799A" w14:textId="77777777" w:rsidR="00E953EE" w:rsidRPr="00EB272B" w:rsidRDefault="00E953EE" w:rsidP="006909EB">
            <w:pPr>
              <w:rPr>
                <w:rFonts w:cstheme="minorHAnsi"/>
                <w:sz w:val="22"/>
                <w:szCs w:val="22"/>
              </w:rPr>
            </w:pPr>
            <w:r w:rsidRPr="00EB272B">
              <w:rPr>
                <w:rFonts w:cstheme="minorHAnsi"/>
                <w:sz w:val="22"/>
                <w:szCs w:val="22"/>
              </w:rPr>
              <w:t>W</w:t>
            </w:r>
          </w:p>
        </w:tc>
        <w:tc>
          <w:tcPr>
            <w:tcW w:w="5380" w:type="dxa"/>
            <w:hideMark/>
          </w:tcPr>
          <w:p w14:paraId="7E61E7A7" w14:textId="77777777" w:rsidR="00E953EE" w:rsidRPr="00EB272B" w:rsidRDefault="00E953EE" w:rsidP="006909EB">
            <w:pPr>
              <w:rPr>
                <w:rFonts w:cstheme="minorHAnsi"/>
                <w:sz w:val="22"/>
                <w:szCs w:val="22"/>
              </w:rPr>
            </w:pPr>
            <w:r w:rsidRPr="00EB272B">
              <w:rPr>
                <w:rFonts w:cstheme="minorHAnsi"/>
                <w:sz w:val="22"/>
                <w:szCs w:val="22"/>
              </w:rPr>
              <w:t>Minamata Convention Initial Assessment in Francophone Africa I</w:t>
            </w:r>
          </w:p>
        </w:tc>
        <w:tc>
          <w:tcPr>
            <w:tcW w:w="960" w:type="dxa"/>
            <w:hideMark/>
          </w:tcPr>
          <w:p w14:paraId="0D00E24A" w14:textId="77777777" w:rsidR="00E953EE" w:rsidRPr="00EB272B" w:rsidRDefault="00E953EE" w:rsidP="006909EB">
            <w:pPr>
              <w:rPr>
                <w:rFonts w:cstheme="minorHAnsi"/>
                <w:sz w:val="22"/>
                <w:szCs w:val="22"/>
              </w:rPr>
            </w:pPr>
            <w:r w:rsidRPr="00EB272B">
              <w:rPr>
                <w:rFonts w:cstheme="minorHAnsi"/>
                <w:sz w:val="22"/>
                <w:szCs w:val="22"/>
              </w:rPr>
              <w:t>GEF-6</w:t>
            </w:r>
          </w:p>
        </w:tc>
        <w:tc>
          <w:tcPr>
            <w:tcW w:w="960" w:type="dxa"/>
            <w:hideMark/>
          </w:tcPr>
          <w:p w14:paraId="75F5E4A8" w14:textId="77777777" w:rsidR="00E953EE" w:rsidRPr="00EB272B" w:rsidRDefault="00E953EE" w:rsidP="006909EB">
            <w:pPr>
              <w:rPr>
                <w:rFonts w:cstheme="minorHAnsi"/>
                <w:sz w:val="22"/>
                <w:szCs w:val="22"/>
              </w:rPr>
            </w:pPr>
            <w:r w:rsidRPr="00EB272B">
              <w:rPr>
                <w:rFonts w:cstheme="minorHAnsi"/>
                <w:sz w:val="22"/>
                <w:szCs w:val="22"/>
              </w:rPr>
              <w:t>EA</w:t>
            </w:r>
          </w:p>
        </w:tc>
        <w:tc>
          <w:tcPr>
            <w:tcW w:w="960" w:type="dxa"/>
            <w:hideMark/>
          </w:tcPr>
          <w:p w14:paraId="7551EE93" w14:textId="77777777" w:rsidR="00E953EE" w:rsidRPr="00EB272B" w:rsidRDefault="00E953EE" w:rsidP="006909EB">
            <w:pPr>
              <w:rPr>
                <w:rFonts w:cstheme="minorHAnsi"/>
                <w:sz w:val="22"/>
                <w:szCs w:val="22"/>
              </w:rPr>
            </w:pPr>
            <w:r w:rsidRPr="00EB272B">
              <w:rPr>
                <w:rFonts w:cstheme="minorHAnsi"/>
                <w:sz w:val="22"/>
                <w:szCs w:val="22"/>
              </w:rPr>
              <w:t>UNIDO</w:t>
            </w:r>
          </w:p>
        </w:tc>
        <w:tc>
          <w:tcPr>
            <w:tcW w:w="1660" w:type="dxa"/>
            <w:hideMark/>
          </w:tcPr>
          <w:p w14:paraId="633A6CD2" w14:textId="77777777" w:rsidR="00E953EE" w:rsidRPr="00EB272B" w:rsidRDefault="00E953EE" w:rsidP="006909EB">
            <w:pPr>
              <w:jc w:val="right"/>
              <w:rPr>
                <w:rFonts w:cstheme="minorHAnsi"/>
                <w:sz w:val="22"/>
                <w:szCs w:val="22"/>
              </w:rPr>
            </w:pPr>
            <w:r w:rsidRPr="00EB272B">
              <w:rPr>
                <w:rFonts w:cstheme="minorHAnsi"/>
                <w:sz w:val="22"/>
                <w:szCs w:val="22"/>
              </w:rPr>
              <w:t>600000</w:t>
            </w:r>
          </w:p>
        </w:tc>
        <w:tc>
          <w:tcPr>
            <w:tcW w:w="1620" w:type="dxa"/>
            <w:hideMark/>
          </w:tcPr>
          <w:p w14:paraId="536D9206" w14:textId="77777777" w:rsidR="00E953EE" w:rsidRPr="00EB272B" w:rsidRDefault="00E953EE" w:rsidP="006909EB">
            <w:pPr>
              <w:jc w:val="right"/>
              <w:rPr>
                <w:rFonts w:cstheme="minorHAnsi"/>
                <w:sz w:val="22"/>
                <w:szCs w:val="22"/>
              </w:rPr>
            </w:pPr>
            <w:r w:rsidRPr="00EB272B">
              <w:rPr>
                <w:rFonts w:cstheme="minorHAnsi"/>
                <w:sz w:val="22"/>
                <w:szCs w:val="22"/>
              </w:rPr>
              <w:t>175800</w:t>
            </w:r>
          </w:p>
        </w:tc>
      </w:tr>
      <w:tr w:rsidR="00E953EE" w:rsidRPr="00EB272B" w14:paraId="2B4F55FA" w14:textId="77777777" w:rsidTr="006909EB">
        <w:trPr>
          <w:trHeight w:val="600"/>
        </w:trPr>
        <w:tc>
          <w:tcPr>
            <w:tcW w:w="1820" w:type="dxa"/>
            <w:hideMark/>
          </w:tcPr>
          <w:p w14:paraId="4EB40419" w14:textId="77777777" w:rsidR="00E953EE" w:rsidRPr="00EB272B" w:rsidRDefault="00E953EE" w:rsidP="006909EB">
            <w:pPr>
              <w:rPr>
                <w:rFonts w:cstheme="minorHAnsi"/>
                <w:sz w:val="22"/>
                <w:szCs w:val="22"/>
              </w:rPr>
            </w:pPr>
            <w:r w:rsidRPr="00EB272B">
              <w:rPr>
                <w:rFonts w:cstheme="minorHAnsi"/>
                <w:sz w:val="22"/>
                <w:szCs w:val="22"/>
              </w:rPr>
              <w:t>Regional</w:t>
            </w:r>
          </w:p>
        </w:tc>
        <w:tc>
          <w:tcPr>
            <w:tcW w:w="1840" w:type="dxa"/>
            <w:hideMark/>
          </w:tcPr>
          <w:p w14:paraId="6B0E14C9" w14:textId="77777777" w:rsidR="00E953EE" w:rsidRPr="00EB272B" w:rsidRDefault="00E953EE" w:rsidP="006909EB">
            <w:pPr>
              <w:rPr>
                <w:rFonts w:cstheme="minorHAnsi"/>
                <w:sz w:val="22"/>
                <w:szCs w:val="22"/>
              </w:rPr>
            </w:pPr>
            <w:r w:rsidRPr="00EB272B">
              <w:rPr>
                <w:rFonts w:cstheme="minorHAnsi"/>
                <w:sz w:val="22"/>
                <w:szCs w:val="22"/>
              </w:rPr>
              <w:t>Guinea, Niger</w:t>
            </w:r>
          </w:p>
        </w:tc>
        <w:tc>
          <w:tcPr>
            <w:tcW w:w="960" w:type="dxa"/>
            <w:hideMark/>
          </w:tcPr>
          <w:p w14:paraId="16405DD4" w14:textId="77777777" w:rsidR="00E953EE" w:rsidRPr="00EB272B" w:rsidRDefault="00E953EE" w:rsidP="006909EB">
            <w:pPr>
              <w:rPr>
                <w:rFonts w:cstheme="minorHAnsi"/>
                <w:sz w:val="22"/>
                <w:szCs w:val="22"/>
              </w:rPr>
            </w:pPr>
            <w:r w:rsidRPr="00EB272B">
              <w:rPr>
                <w:rFonts w:cstheme="minorHAnsi"/>
                <w:sz w:val="22"/>
                <w:szCs w:val="22"/>
              </w:rPr>
              <w:t>W</w:t>
            </w:r>
          </w:p>
        </w:tc>
        <w:tc>
          <w:tcPr>
            <w:tcW w:w="5380" w:type="dxa"/>
            <w:hideMark/>
          </w:tcPr>
          <w:p w14:paraId="3E5C5CC4" w14:textId="77777777" w:rsidR="00E953EE" w:rsidRPr="00EB272B" w:rsidRDefault="00E953EE" w:rsidP="006909EB">
            <w:pPr>
              <w:rPr>
                <w:rFonts w:cstheme="minorHAnsi"/>
                <w:sz w:val="22"/>
                <w:szCs w:val="22"/>
              </w:rPr>
            </w:pPr>
            <w:r w:rsidRPr="00EB272B">
              <w:rPr>
                <w:rFonts w:cstheme="minorHAnsi"/>
                <w:sz w:val="22"/>
                <w:szCs w:val="22"/>
              </w:rPr>
              <w:t xml:space="preserve">Development of National Action Plan for Artisanal and Small-Scale Gold Mining in Guinea and Niger </w:t>
            </w:r>
          </w:p>
        </w:tc>
        <w:tc>
          <w:tcPr>
            <w:tcW w:w="960" w:type="dxa"/>
            <w:hideMark/>
          </w:tcPr>
          <w:p w14:paraId="785FA15E" w14:textId="77777777" w:rsidR="00E953EE" w:rsidRPr="00EB272B" w:rsidRDefault="00E953EE" w:rsidP="006909EB">
            <w:pPr>
              <w:rPr>
                <w:rFonts w:cstheme="minorHAnsi"/>
                <w:sz w:val="22"/>
                <w:szCs w:val="22"/>
              </w:rPr>
            </w:pPr>
            <w:r w:rsidRPr="00EB272B">
              <w:rPr>
                <w:rFonts w:cstheme="minorHAnsi"/>
                <w:sz w:val="22"/>
                <w:szCs w:val="22"/>
              </w:rPr>
              <w:t>GEF-6</w:t>
            </w:r>
          </w:p>
        </w:tc>
        <w:tc>
          <w:tcPr>
            <w:tcW w:w="960" w:type="dxa"/>
            <w:hideMark/>
          </w:tcPr>
          <w:p w14:paraId="07BE8F02" w14:textId="77777777" w:rsidR="00E953EE" w:rsidRPr="00EB272B" w:rsidRDefault="00E953EE" w:rsidP="006909EB">
            <w:pPr>
              <w:rPr>
                <w:rFonts w:cstheme="minorHAnsi"/>
                <w:sz w:val="22"/>
                <w:szCs w:val="22"/>
              </w:rPr>
            </w:pPr>
            <w:r w:rsidRPr="00EB272B">
              <w:rPr>
                <w:rFonts w:cstheme="minorHAnsi"/>
                <w:sz w:val="22"/>
                <w:szCs w:val="22"/>
              </w:rPr>
              <w:t>EA</w:t>
            </w:r>
          </w:p>
        </w:tc>
        <w:tc>
          <w:tcPr>
            <w:tcW w:w="960" w:type="dxa"/>
            <w:hideMark/>
          </w:tcPr>
          <w:p w14:paraId="3480FCF2" w14:textId="77777777" w:rsidR="00E953EE" w:rsidRPr="00EB272B" w:rsidRDefault="00E953EE" w:rsidP="006909EB">
            <w:pPr>
              <w:rPr>
                <w:rFonts w:cstheme="minorHAnsi"/>
                <w:sz w:val="22"/>
                <w:szCs w:val="22"/>
              </w:rPr>
            </w:pPr>
            <w:r w:rsidRPr="00EB272B">
              <w:rPr>
                <w:rFonts w:cstheme="minorHAnsi"/>
                <w:sz w:val="22"/>
                <w:szCs w:val="22"/>
              </w:rPr>
              <w:t>UNEP</w:t>
            </w:r>
          </w:p>
        </w:tc>
        <w:tc>
          <w:tcPr>
            <w:tcW w:w="1660" w:type="dxa"/>
            <w:hideMark/>
          </w:tcPr>
          <w:p w14:paraId="537492C0" w14:textId="77777777" w:rsidR="00E953EE" w:rsidRPr="00EB272B" w:rsidRDefault="00E953EE" w:rsidP="006909EB">
            <w:pPr>
              <w:jc w:val="right"/>
              <w:rPr>
                <w:rFonts w:cstheme="minorHAnsi"/>
                <w:sz w:val="22"/>
                <w:szCs w:val="22"/>
              </w:rPr>
            </w:pPr>
            <w:r w:rsidRPr="00EB272B">
              <w:rPr>
                <w:rFonts w:cstheme="minorHAnsi"/>
                <w:sz w:val="22"/>
                <w:szCs w:val="22"/>
              </w:rPr>
              <w:t>1000000</w:t>
            </w:r>
          </w:p>
        </w:tc>
        <w:tc>
          <w:tcPr>
            <w:tcW w:w="1620" w:type="dxa"/>
            <w:hideMark/>
          </w:tcPr>
          <w:p w14:paraId="3A2EAA7D" w14:textId="77777777" w:rsidR="00E953EE" w:rsidRPr="00EB272B" w:rsidRDefault="00E953EE" w:rsidP="006909EB">
            <w:pPr>
              <w:jc w:val="right"/>
              <w:rPr>
                <w:rFonts w:cstheme="minorHAnsi"/>
                <w:sz w:val="22"/>
                <w:szCs w:val="22"/>
              </w:rPr>
            </w:pPr>
            <w:r>
              <w:rPr>
                <w:rFonts w:cstheme="minorHAnsi"/>
                <w:sz w:val="22"/>
                <w:szCs w:val="22"/>
              </w:rPr>
              <w:t>0</w:t>
            </w:r>
            <w:r w:rsidRPr="00EB272B">
              <w:rPr>
                <w:rFonts w:cstheme="minorHAnsi"/>
                <w:sz w:val="22"/>
                <w:szCs w:val="22"/>
              </w:rPr>
              <w:t> </w:t>
            </w:r>
          </w:p>
        </w:tc>
      </w:tr>
      <w:tr w:rsidR="00E953EE" w:rsidRPr="00EB272B" w14:paraId="5D80141E" w14:textId="77777777" w:rsidTr="006909EB">
        <w:trPr>
          <w:trHeight w:val="1200"/>
        </w:trPr>
        <w:tc>
          <w:tcPr>
            <w:tcW w:w="1820" w:type="dxa"/>
            <w:hideMark/>
          </w:tcPr>
          <w:p w14:paraId="1DA2261F" w14:textId="77777777" w:rsidR="00E953EE" w:rsidRPr="00EB272B" w:rsidRDefault="00E953EE" w:rsidP="006909EB">
            <w:pPr>
              <w:rPr>
                <w:rFonts w:cstheme="minorHAnsi"/>
                <w:sz w:val="22"/>
                <w:szCs w:val="22"/>
              </w:rPr>
            </w:pPr>
            <w:r w:rsidRPr="00EB272B">
              <w:rPr>
                <w:rFonts w:cstheme="minorHAnsi"/>
                <w:sz w:val="22"/>
                <w:szCs w:val="22"/>
              </w:rPr>
              <w:t>Regional</w:t>
            </w:r>
          </w:p>
        </w:tc>
        <w:tc>
          <w:tcPr>
            <w:tcW w:w="1840" w:type="dxa"/>
            <w:hideMark/>
          </w:tcPr>
          <w:p w14:paraId="709D45FB" w14:textId="77777777" w:rsidR="00E953EE" w:rsidRPr="00EB272B" w:rsidRDefault="00E953EE" w:rsidP="006909EB">
            <w:pPr>
              <w:rPr>
                <w:rFonts w:cstheme="minorHAnsi"/>
                <w:sz w:val="22"/>
                <w:szCs w:val="22"/>
              </w:rPr>
            </w:pPr>
            <w:r w:rsidRPr="00EB272B">
              <w:rPr>
                <w:rFonts w:cstheme="minorHAnsi"/>
                <w:sz w:val="22"/>
                <w:szCs w:val="22"/>
              </w:rPr>
              <w:t>Jamaica, St. Kitts And Nevis, St. Lucia, Trinidad and Tobago</w:t>
            </w:r>
          </w:p>
        </w:tc>
        <w:tc>
          <w:tcPr>
            <w:tcW w:w="960" w:type="dxa"/>
            <w:hideMark/>
          </w:tcPr>
          <w:p w14:paraId="5C929C67" w14:textId="77777777" w:rsidR="00E953EE" w:rsidRPr="00EB272B" w:rsidRDefault="00E953EE" w:rsidP="006909EB">
            <w:pPr>
              <w:rPr>
                <w:rFonts w:cstheme="minorHAnsi"/>
                <w:sz w:val="22"/>
                <w:szCs w:val="22"/>
              </w:rPr>
            </w:pPr>
            <w:r w:rsidRPr="00EB272B">
              <w:rPr>
                <w:rFonts w:cstheme="minorHAnsi"/>
                <w:sz w:val="22"/>
                <w:szCs w:val="22"/>
              </w:rPr>
              <w:t>W</w:t>
            </w:r>
          </w:p>
        </w:tc>
        <w:tc>
          <w:tcPr>
            <w:tcW w:w="5380" w:type="dxa"/>
            <w:hideMark/>
          </w:tcPr>
          <w:p w14:paraId="7F86FCBF" w14:textId="090F987E" w:rsidR="00E953EE" w:rsidRPr="00EB272B" w:rsidRDefault="00E953EE" w:rsidP="006909EB">
            <w:pPr>
              <w:rPr>
                <w:rFonts w:cstheme="minorHAnsi"/>
                <w:sz w:val="22"/>
                <w:szCs w:val="22"/>
              </w:rPr>
            </w:pPr>
            <w:r w:rsidRPr="00EB272B">
              <w:rPr>
                <w:rFonts w:cstheme="minorHAnsi"/>
                <w:sz w:val="22"/>
                <w:szCs w:val="22"/>
              </w:rPr>
              <w:t>Development of Minamata Initial Assessment in the Caribbean (Trinidad and Tobago, Jamaica, St Kitts and Nevis, St Lucia)</w:t>
            </w:r>
            <w:r w:rsidR="00E56515">
              <w:rPr>
                <w:rFonts w:cstheme="minorHAnsi"/>
                <w:sz w:val="22"/>
                <w:szCs w:val="22"/>
              </w:rPr>
              <w:t xml:space="preserve"> </w:t>
            </w:r>
          </w:p>
        </w:tc>
        <w:tc>
          <w:tcPr>
            <w:tcW w:w="960" w:type="dxa"/>
            <w:hideMark/>
          </w:tcPr>
          <w:p w14:paraId="789B29B6" w14:textId="77777777" w:rsidR="00E953EE" w:rsidRPr="00EB272B" w:rsidRDefault="00E953EE" w:rsidP="006909EB">
            <w:pPr>
              <w:rPr>
                <w:rFonts w:cstheme="minorHAnsi"/>
                <w:sz w:val="22"/>
                <w:szCs w:val="22"/>
              </w:rPr>
            </w:pPr>
            <w:r w:rsidRPr="00EB272B">
              <w:rPr>
                <w:rFonts w:cstheme="minorHAnsi"/>
                <w:sz w:val="22"/>
                <w:szCs w:val="22"/>
              </w:rPr>
              <w:t>GEF-6</w:t>
            </w:r>
          </w:p>
        </w:tc>
        <w:tc>
          <w:tcPr>
            <w:tcW w:w="960" w:type="dxa"/>
            <w:hideMark/>
          </w:tcPr>
          <w:p w14:paraId="739C34E8" w14:textId="77777777" w:rsidR="00E953EE" w:rsidRPr="00EB272B" w:rsidRDefault="00E953EE" w:rsidP="006909EB">
            <w:pPr>
              <w:rPr>
                <w:rFonts w:cstheme="minorHAnsi"/>
                <w:sz w:val="22"/>
                <w:szCs w:val="22"/>
              </w:rPr>
            </w:pPr>
            <w:r w:rsidRPr="00EB272B">
              <w:rPr>
                <w:rFonts w:cstheme="minorHAnsi"/>
                <w:sz w:val="22"/>
                <w:szCs w:val="22"/>
              </w:rPr>
              <w:t>EA</w:t>
            </w:r>
          </w:p>
        </w:tc>
        <w:tc>
          <w:tcPr>
            <w:tcW w:w="960" w:type="dxa"/>
            <w:hideMark/>
          </w:tcPr>
          <w:p w14:paraId="4AA6A9FB" w14:textId="77777777" w:rsidR="00E953EE" w:rsidRPr="00EB272B" w:rsidRDefault="00E953EE" w:rsidP="006909EB">
            <w:pPr>
              <w:rPr>
                <w:rFonts w:cstheme="minorHAnsi"/>
                <w:sz w:val="22"/>
                <w:szCs w:val="22"/>
              </w:rPr>
            </w:pPr>
            <w:r w:rsidRPr="00EB272B">
              <w:rPr>
                <w:rFonts w:cstheme="minorHAnsi"/>
                <w:sz w:val="22"/>
                <w:szCs w:val="22"/>
              </w:rPr>
              <w:t>UNEP</w:t>
            </w:r>
          </w:p>
        </w:tc>
        <w:tc>
          <w:tcPr>
            <w:tcW w:w="1660" w:type="dxa"/>
            <w:hideMark/>
          </w:tcPr>
          <w:p w14:paraId="76D3EC34" w14:textId="77777777" w:rsidR="00E953EE" w:rsidRPr="00EB272B" w:rsidRDefault="00E953EE" w:rsidP="006909EB">
            <w:pPr>
              <w:jc w:val="right"/>
              <w:rPr>
                <w:rFonts w:cstheme="minorHAnsi"/>
                <w:sz w:val="22"/>
                <w:szCs w:val="22"/>
              </w:rPr>
            </w:pPr>
            <w:r w:rsidRPr="00EB272B">
              <w:rPr>
                <w:rFonts w:cstheme="minorHAnsi"/>
                <w:sz w:val="22"/>
                <w:szCs w:val="22"/>
              </w:rPr>
              <w:t>600000</w:t>
            </w:r>
          </w:p>
        </w:tc>
        <w:tc>
          <w:tcPr>
            <w:tcW w:w="1620" w:type="dxa"/>
            <w:hideMark/>
          </w:tcPr>
          <w:p w14:paraId="3B1987EB" w14:textId="77777777" w:rsidR="00E953EE" w:rsidRPr="00EB272B" w:rsidRDefault="00E953EE" w:rsidP="006909EB">
            <w:pPr>
              <w:jc w:val="right"/>
              <w:rPr>
                <w:rFonts w:cstheme="minorHAnsi"/>
                <w:sz w:val="22"/>
                <w:szCs w:val="22"/>
              </w:rPr>
            </w:pPr>
            <w:r>
              <w:rPr>
                <w:rFonts w:cstheme="minorHAnsi"/>
                <w:sz w:val="22"/>
                <w:szCs w:val="22"/>
              </w:rPr>
              <w:t>0</w:t>
            </w:r>
            <w:r w:rsidRPr="00EB272B">
              <w:rPr>
                <w:rFonts w:cstheme="minorHAnsi"/>
                <w:sz w:val="22"/>
                <w:szCs w:val="22"/>
              </w:rPr>
              <w:t> </w:t>
            </w:r>
          </w:p>
        </w:tc>
      </w:tr>
      <w:tr w:rsidR="00E953EE" w:rsidRPr="00EB272B" w14:paraId="215C9253" w14:textId="77777777" w:rsidTr="006909EB">
        <w:trPr>
          <w:trHeight w:val="600"/>
        </w:trPr>
        <w:tc>
          <w:tcPr>
            <w:tcW w:w="1820" w:type="dxa"/>
            <w:hideMark/>
          </w:tcPr>
          <w:p w14:paraId="1590A342" w14:textId="77777777" w:rsidR="00E953EE" w:rsidRPr="00EB272B" w:rsidRDefault="00E953EE" w:rsidP="006909EB">
            <w:pPr>
              <w:rPr>
                <w:rFonts w:cstheme="minorHAnsi"/>
                <w:sz w:val="22"/>
                <w:szCs w:val="22"/>
              </w:rPr>
            </w:pPr>
            <w:r w:rsidRPr="00EB272B">
              <w:rPr>
                <w:rFonts w:cstheme="minorHAnsi"/>
                <w:sz w:val="22"/>
                <w:szCs w:val="22"/>
              </w:rPr>
              <w:t>Regional</w:t>
            </w:r>
          </w:p>
        </w:tc>
        <w:tc>
          <w:tcPr>
            <w:tcW w:w="1840" w:type="dxa"/>
            <w:hideMark/>
          </w:tcPr>
          <w:p w14:paraId="68D3E514" w14:textId="77777777" w:rsidR="00E953EE" w:rsidRPr="00EB272B" w:rsidRDefault="00E953EE" w:rsidP="006909EB">
            <w:pPr>
              <w:rPr>
                <w:rFonts w:cstheme="minorHAnsi"/>
                <w:sz w:val="22"/>
                <w:szCs w:val="22"/>
              </w:rPr>
            </w:pPr>
            <w:r w:rsidRPr="00EB272B">
              <w:rPr>
                <w:rFonts w:cstheme="minorHAnsi"/>
                <w:sz w:val="22"/>
                <w:szCs w:val="22"/>
              </w:rPr>
              <w:t>Mali, Senegal</w:t>
            </w:r>
          </w:p>
        </w:tc>
        <w:tc>
          <w:tcPr>
            <w:tcW w:w="960" w:type="dxa"/>
            <w:hideMark/>
          </w:tcPr>
          <w:p w14:paraId="240822C2" w14:textId="77777777" w:rsidR="00E953EE" w:rsidRPr="00EB272B" w:rsidRDefault="00E953EE" w:rsidP="006909EB">
            <w:pPr>
              <w:rPr>
                <w:rFonts w:cstheme="minorHAnsi"/>
                <w:sz w:val="22"/>
                <w:szCs w:val="22"/>
              </w:rPr>
            </w:pPr>
            <w:r w:rsidRPr="00EB272B">
              <w:rPr>
                <w:rFonts w:cstheme="minorHAnsi"/>
                <w:sz w:val="22"/>
                <w:szCs w:val="22"/>
              </w:rPr>
              <w:t>W</w:t>
            </w:r>
          </w:p>
        </w:tc>
        <w:tc>
          <w:tcPr>
            <w:tcW w:w="5380" w:type="dxa"/>
            <w:hideMark/>
          </w:tcPr>
          <w:p w14:paraId="672A34EE" w14:textId="77777777" w:rsidR="00E953EE" w:rsidRPr="00EB272B" w:rsidRDefault="00E953EE" w:rsidP="006909EB">
            <w:pPr>
              <w:rPr>
                <w:rFonts w:cstheme="minorHAnsi"/>
                <w:sz w:val="22"/>
                <w:szCs w:val="22"/>
              </w:rPr>
            </w:pPr>
            <w:r w:rsidRPr="00EB272B">
              <w:rPr>
                <w:rFonts w:cstheme="minorHAnsi"/>
                <w:sz w:val="22"/>
                <w:szCs w:val="22"/>
              </w:rPr>
              <w:t xml:space="preserve">Development of National Action Plan for Artisanal and Small-Scale Gold Mining Mali and Senegal </w:t>
            </w:r>
          </w:p>
        </w:tc>
        <w:tc>
          <w:tcPr>
            <w:tcW w:w="960" w:type="dxa"/>
            <w:hideMark/>
          </w:tcPr>
          <w:p w14:paraId="593D811A" w14:textId="77777777" w:rsidR="00E953EE" w:rsidRPr="00EB272B" w:rsidRDefault="00E953EE" w:rsidP="006909EB">
            <w:pPr>
              <w:rPr>
                <w:rFonts w:cstheme="minorHAnsi"/>
                <w:sz w:val="22"/>
                <w:szCs w:val="22"/>
              </w:rPr>
            </w:pPr>
            <w:r w:rsidRPr="00EB272B">
              <w:rPr>
                <w:rFonts w:cstheme="minorHAnsi"/>
                <w:sz w:val="22"/>
                <w:szCs w:val="22"/>
              </w:rPr>
              <w:t>GEF-6</w:t>
            </w:r>
          </w:p>
        </w:tc>
        <w:tc>
          <w:tcPr>
            <w:tcW w:w="960" w:type="dxa"/>
            <w:hideMark/>
          </w:tcPr>
          <w:p w14:paraId="278E98D7" w14:textId="77777777" w:rsidR="00E953EE" w:rsidRPr="00EB272B" w:rsidRDefault="00E953EE" w:rsidP="006909EB">
            <w:pPr>
              <w:rPr>
                <w:rFonts w:cstheme="minorHAnsi"/>
                <w:sz w:val="22"/>
                <w:szCs w:val="22"/>
              </w:rPr>
            </w:pPr>
            <w:r w:rsidRPr="00EB272B">
              <w:rPr>
                <w:rFonts w:cstheme="minorHAnsi"/>
                <w:sz w:val="22"/>
                <w:szCs w:val="22"/>
              </w:rPr>
              <w:t>EA</w:t>
            </w:r>
          </w:p>
        </w:tc>
        <w:tc>
          <w:tcPr>
            <w:tcW w:w="960" w:type="dxa"/>
            <w:hideMark/>
          </w:tcPr>
          <w:p w14:paraId="248A3424" w14:textId="77777777" w:rsidR="00E953EE" w:rsidRPr="00EB272B" w:rsidRDefault="00E953EE" w:rsidP="006909EB">
            <w:pPr>
              <w:rPr>
                <w:rFonts w:cstheme="minorHAnsi"/>
                <w:sz w:val="22"/>
                <w:szCs w:val="22"/>
              </w:rPr>
            </w:pPr>
            <w:r w:rsidRPr="00EB272B">
              <w:rPr>
                <w:rFonts w:cstheme="minorHAnsi"/>
                <w:sz w:val="22"/>
                <w:szCs w:val="22"/>
              </w:rPr>
              <w:t>UNEP</w:t>
            </w:r>
          </w:p>
        </w:tc>
        <w:tc>
          <w:tcPr>
            <w:tcW w:w="1660" w:type="dxa"/>
            <w:hideMark/>
          </w:tcPr>
          <w:p w14:paraId="64FF2038" w14:textId="77777777" w:rsidR="00E953EE" w:rsidRPr="00EB272B" w:rsidRDefault="00E953EE" w:rsidP="006909EB">
            <w:pPr>
              <w:jc w:val="right"/>
              <w:rPr>
                <w:rFonts w:cstheme="minorHAnsi"/>
                <w:sz w:val="22"/>
                <w:szCs w:val="22"/>
              </w:rPr>
            </w:pPr>
            <w:r w:rsidRPr="00EB272B">
              <w:rPr>
                <w:rFonts w:cstheme="minorHAnsi"/>
                <w:sz w:val="22"/>
                <w:szCs w:val="22"/>
              </w:rPr>
              <w:t>1000000</w:t>
            </w:r>
          </w:p>
        </w:tc>
        <w:tc>
          <w:tcPr>
            <w:tcW w:w="1620" w:type="dxa"/>
            <w:hideMark/>
          </w:tcPr>
          <w:p w14:paraId="2A83E7B3" w14:textId="77777777" w:rsidR="00E953EE" w:rsidRPr="00EB272B" w:rsidRDefault="00E953EE" w:rsidP="006909EB">
            <w:pPr>
              <w:jc w:val="right"/>
              <w:rPr>
                <w:rFonts w:cstheme="minorHAnsi"/>
                <w:sz w:val="22"/>
                <w:szCs w:val="22"/>
              </w:rPr>
            </w:pPr>
            <w:r>
              <w:rPr>
                <w:rFonts w:cstheme="minorHAnsi"/>
                <w:sz w:val="22"/>
                <w:szCs w:val="22"/>
              </w:rPr>
              <w:t>0</w:t>
            </w:r>
            <w:r w:rsidRPr="00EB272B">
              <w:rPr>
                <w:rFonts w:cstheme="minorHAnsi"/>
                <w:sz w:val="22"/>
                <w:szCs w:val="22"/>
              </w:rPr>
              <w:t> </w:t>
            </w:r>
          </w:p>
        </w:tc>
      </w:tr>
      <w:tr w:rsidR="00E953EE" w:rsidRPr="00EB272B" w14:paraId="5B3A9E8A" w14:textId="77777777" w:rsidTr="006909EB">
        <w:trPr>
          <w:trHeight w:val="900"/>
        </w:trPr>
        <w:tc>
          <w:tcPr>
            <w:tcW w:w="1820" w:type="dxa"/>
            <w:hideMark/>
          </w:tcPr>
          <w:p w14:paraId="77663AE3" w14:textId="77777777" w:rsidR="00E953EE" w:rsidRPr="00EB272B" w:rsidRDefault="00E953EE" w:rsidP="006909EB">
            <w:pPr>
              <w:rPr>
                <w:rFonts w:cstheme="minorHAnsi"/>
                <w:sz w:val="22"/>
                <w:szCs w:val="22"/>
              </w:rPr>
            </w:pPr>
            <w:r w:rsidRPr="00EB272B">
              <w:rPr>
                <w:rFonts w:cstheme="minorHAnsi"/>
                <w:sz w:val="22"/>
                <w:szCs w:val="22"/>
              </w:rPr>
              <w:lastRenderedPageBreak/>
              <w:t>Regional</w:t>
            </w:r>
          </w:p>
        </w:tc>
        <w:tc>
          <w:tcPr>
            <w:tcW w:w="1840" w:type="dxa"/>
            <w:hideMark/>
          </w:tcPr>
          <w:p w14:paraId="27EE1445" w14:textId="77777777" w:rsidR="00E953EE" w:rsidRPr="00D7403E" w:rsidRDefault="00E953EE" w:rsidP="006909EB">
            <w:pPr>
              <w:rPr>
                <w:rFonts w:cstheme="minorHAnsi"/>
                <w:sz w:val="22"/>
                <w:szCs w:val="22"/>
                <w:lang w:val="es-ES"/>
              </w:rPr>
            </w:pPr>
            <w:r w:rsidRPr="00D7403E">
              <w:rPr>
                <w:rFonts w:cstheme="minorHAnsi"/>
                <w:sz w:val="22"/>
                <w:szCs w:val="22"/>
                <w:lang w:val="es-ES"/>
              </w:rPr>
              <w:t>Ghana, Kenya, Senegal, Tanzania, Zambia</w:t>
            </w:r>
          </w:p>
        </w:tc>
        <w:tc>
          <w:tcPr>
            <w:tcW w:w="960" w:type="dxa"/>
            <w:hideMark/>
          </w:tcPr>
          <w:p w14:paraId="738C7401" w14:textId="77777777" w:rsidR="00E953EE" w:rsidRPr="00EB272B" w:rsidRDefault="00E953EE" w:rsidP="006909EB">
            <w:pPr>
              <w:rPr>
                <w:rFonts w:cstheme="minorHAnsi"/>
                <w:sz w:val="22"/>
                <w:szCs w:val="22"/>
              </w:rPr>
            </w:pPr>
            <w:r w:rsidRPr="00EB272B">
              <w:rPr>
                <w:rFonts w:cstheme="minorHAnsi"/>
                <w:sz w:val="22"/>
                <w:szCs w:val="22"/>
              </w:rPr>
              <w:t>W</w:t>
            </w:r>
          </w:p>
        </w:tc>
        <w:tc>
          <w:tcPr>
            <w:tcW w:w="5380" w:type="dxa"/>
            <w:hideMark/>
          </w:tcPr>
          <w:p w14:paraId="6E4B3B81" w14:textId="77777777" w:rsidR="00E953EE" w:rsidRPr="00EB272B" w:rsidRDefault="00E953EE" w:rsidP="006909EB">
            <w:pPr>
              <w:rPr>
                <w:rFonts w:cstheme="minorHAnsi"/>
                <w:sz w:val="22"/>
                <w:szCs w:val="22"/>
              </w:rPr>
            </w:pPr>
            <w:r w:rsidRPr="00EB272B">
              <w:rPr>
                <w:rFonts w:cstheme="minorHAnsi"/>
                <w:sz w:val="22"/>
                <w:szCs w:val="22"/>
              </w:rPr>
              <w:t>EHPMP - Environmental Health and Pollution Management Program in Africa</w:t>
            </w:r>
          </w:p>
        </w:tc>
        <w:tc>
          <w:tcPr>
            <w:tcW w:w="960" w:type="dxa"/>
            <w:hideMark/>
          </w:tcPr>
          <w:p w14:paraId="5736A87E" w14:textId="77777777" w:rsidR="00E953EE" w:rsidRPr="00EB272B" w:rsidRDefault="00E953EE" w:rsidP="006909EB">
            <w:pPr>
              <w:rPr>
                <w:rFonts w:cstheme="minorHAnsi"/>
                <w:sz w:val="22"/>
                <w:szCs w:val="22"/>
              </w:rPr>
            </w:pPr>
            <w:r w:rsidRPr="00EB272B">
              <w:rPr>
                <w:rFonts w:cstheme="minorHAnsi"/>
                <w:sz w:val="22"/>
                <w:szCs w:val="22"/>
              </w:rPr>
              <w:t>GEF-6</w:t>
            </w:r>
          </w:p>
        </w:tc>
        <w:tc>
          <w:tcPr>
            <w:tcW w:w="960" w:type="dxa"/>
            <w:hideMark/>
          </w:tcPr>
          <w:p w14:paraId="66EAC183" w14:textId="77777777" w:rsidR="00E953EE" w:rsidRPr="00EB272B" w:rsidRDefault="00E953EE" w:rsidP="006909EB">
            <w:pPr>
              <w:rPr>
                <w:rFonts w:cstheme="minorHAnsi"/>
                <w:sz w:val="22"/>
                <w:szCs w:val="22"/>
              </w:rPr>
            </w:pPr>
            <w:r w:rsidRPr="00EB272B">
              <w:rPr>
                <w:rFonts w:cstheme="minorHAnsi"/>
                <w:sz w:val="22"/>
                <w:szCs w:val="22"/>
              </w:rPr>
              <w:t>PFD</w:t>
            </w:r>
          </w:p>
        </w:tc>
        <w:tc>
          <w:tcPr>
            <w:tcW w:w="960" w:type="dxa"/>
            <w:hideMark/>
          </w:tcPr>
          <w:p w14:paraId="570EB354" w14:textId="77777777" w:rsidR="00E953EE" w:rsidRPr="00EB272B" w:rsidRDefault="00E953EE" w:rsidP="006909EB">
            <w:pPr>
              <w:rPr>
                <w:rFonts w:cstheme="minorHAnsi"/>
                <w:sz w:val="22"/>
                <w:szCs w:val="22"/>
              </w:rPr>
            </w:pPr>
            <w:r w:rsidRPr="00EB272B">
              <w:rPr>
                <w:rFonts w:cstheme="minorHAnsi"/>
                <w:sz w:val="22"/>
                <w:szCs w:val="22"/>
              </w:rPr>
              <w:t>World Bank</w:t>
            </w:r>
          </w:p>
        </w:tc>
        <w:tc>
          <w:tcPr>
            <w:tcW w:w="1660" w:type="dxa"/>
            <w:hideMark/>
          </w:tcPr>
          <w:p w14:paraId="6A027734" w14:textId="77777777" w:rsidR="00E953EE" w:rsidRPr="00EB272B" w:rsidRDefault="00E953EE" w:rsidP="006909EB">
            <w:pPr>
              <w:jc w:val="right"/>
              <w:rPr>
                <w:rFonts w:cstheme="minorHAnsi"/>
                <w:sz w:val="22"/>
                <w:szCs w:val="22"/>
              </w:rPr>
            </w:pPr>
            <w:r w:rsidRPr="00EB272B">
              <w:rPr>
                <w:rFonts w:cstheme="minorHAnsi"/>
                <w:sz w:val="22"/>
                <w:szCs w:val="22"/>
              </w:rPr>
              <w:t>13486239</w:t>
            </w:r>
          </w:p>
        </w:tc>
        <w:tc>
          <w:tcPr>
            <w:tcW w:w="1620" w:type="dxa"/>
            <w:hideMark/>
          </w:tcPr>
          <w:p w14:paraId="7BA3EFFC" w14:textId="77777777" w:rsidR="00E953EE" w:rsidRPr="00EB272B" w:rsidRDefault="00E953EE" w:rsidP="006909EB">
            <w:pPr>
              <w:jc w:val="right"/>
              <w:rPr>
                <w:rFonts w:cstheme="minorHAnsi"/>
                <w:sz w:val="22"/>
                <w:szCs w:val="22"/>
              </w:rPr>
            </w:pPr>
            <w:r w:rsidRPr="00EB272B">
              <w:rPr>
                <w:rFonts w:cstheme="minorHAnsi"/>
                <w:sz w:val="22"/>
                <w:szCs w:val="22"/>
              </w:rPr>
              <w:t>98600000</w:t>
            </w:r>
          </w:p>
        </w:tc>
      </w:tr>
      <w:tr w:rsidR="00E953EE" w:rsidRPr="00EB272B" w14:paraId="4D9AAE8C" w14:textId="77777777" w:rsidTr="006909EB">
        <w:trPr>
          <w:trHeight w:val="1200"/>
        </w:trPr>
        <w:tc>
          <w:tcPr>
            <w:tcW w:w="1820" w:type="dxa"/>
            <w:hideMark/>
          </w:tcPr>
          <w:p w14:paraId="72E1080B" w14:textId="77777777" w:rsidR="00E953EE" w:rsidRPr="00EB272B" w:rsidRDefault="00E953EE" w:rsidP="006909EB">
            <w:pPr>
              <w:rPr>
                <w:rFonts w:cstheme="minorHAnsi"/>
                <w:sz w:val="22"/>
                <w:szCs w:val="22"/>
              </w:rPr>
            </w:pPr>
            <w:r w:rsidRPr="00EB272B">
              <w:rPr>
                <w:rFonts w:cstheme="minorHAnsi"/>
                <w:sz w:val="22"/>
                <w:szCs w:val="22"/>
              </w:rPr>
              <w:t>Regional</w:t>
            </w:r>
          </w:p>
        </w:tc>
        <w:tc>
          <w:tcPr>
            <w:tcW w:w="1840" w:type="dxa"/>
            <w:hideMark/>
          </w:tcPr>
          <w:p w14:paraId="3DFE8E20" w14:textId="77777777" w:rsidR="00E953EE" w:rsidRPr="00EB272B" w:rsidRDefault="00E953EE" w:rsidP="006909EB">
            <w:pPr>
              <w:rPr>
                <w:rFonts w:cstheme="minorHAnsi"/>
                <w:sz w:val="22"/>
                <w:szCs w:val="22"/>
              </w:rPr>
            </w:pPr>
            <w:r w:rsidRPr="00EB272B">
              <w:rPr>
                <w:rFonts w:cstheme="minorHAnsi"/>
                <w:sz w:val="22"/>
                <w:szCs w:val="22"/>
              </w:rPr>
              <w:t>Burkina Faso, Benin, Mali, Niger, Senegal, Togo</w:t>
            </w:r>
          </w:p>
        </w:tc>
        <w:tc>
          <w:tcPr>
            <w:tcW w:w="960" w:type="dxa"/>
            <w:hideMark/>
          </w:tcPr>
          <w:p w14:paraId="699F2C7A" w14:textId="77777777" w:rsidR="00E953EE" w:rsidRPr="00EB272B" w:rsidRDefault="00E953EE" w:rsidP="006909EB">
            <w:pPr>
              <w:rPr>
                <w:rFonts w:cstheme="minorHAnsi"/>
                <w:sz w:val="22"/>
                <w:szCs w:val="22"/>
              </w:rPr>
            </w:pPr>
            <w:r w:rsidRPr="00EB272B">
              <w:rPr>
                <w:rFonts w:cstheme="minorHAnsi"/>
                <w:sz w:val="22"/>
                <w:szCs w:val="22"/>
              </w:rPr>
              <w:t>W</w:t>
            </w:r>
          </w:p>
        </w:tc>
        <w:tc>
          <w:tcPr>
            <w:tcW w:w="5380" w:type="dxa"/>
            <w:hideMark/>
          </w:tcPr>
          <w:p w14:paraId="1A7A2FC5" w14:textId="77777777" w:rsidR="00E953EE" w:rsidRPr="00EB272B" w:rsidRDefault="00E953EE" w:rsidP="006909EB">
            <w:pPr>
              <w:rPr>
                <w:rFonts w:cstheme="minorHAnsi"/>
                <w:sz w:val="22"/>
                <w:szCs w:val="22"/>
              </w:rPr>
            </w:pPr>
            <w:r w:rsidRPr="00EB272B">
              <w:rPr>
                <w:rFonts w:cstheme="minorHAnsi"/>
                <w:sz w:val="22"/>
                <w:szCs w:val="22"/>
              </w:rPr>
              <w:t>Impact Investment and Capacity Building in Support of Sustainable Waste Management to Reduce Emissions of Unintentional POPs (UPOPs) and Mercury in West Africa</w:t>
            </w:r>
          </w:p>
        </w:tc>
        <w:tc>
          <w:tcPr>
            <w:tcW w:w="960" w:type="dxa"/>
            <w:hideMark/>
          </w:tcPr>
          <w:p w14:paraId="5C875E2C" w14:textId="77777777" w:rsidR="00E953EE" w:rsidRPr="00EB272B" w:rsidRDefault="00E953EE" w:rsidP="006909EB">
            <w:pPr>
              <w:rPr>
                <w:rFonts w:cstheme="minorHAnsi"/>
                <w:sz w:val="22"/>
                <w:szCs w:val="22"/>
              </w:rPr>
            </w:pPr>
            <w:r w:rsidRPr="00EB272B">
              <w:rPr>
                <w:rFonts w:cstheme="minorHAnsi"/>
                <w:sz w:val="22"/>
                <w:szCs w:val="22"/>
              </w:rPr>
              <w:t>GEF-6</w:t>
            </w:r>
          </w:p>
        </w:tc>
        <w:tc>
          <w:tcPr>
            <w:tcW w:w="960" w:type="dxa"/>
            <w:hideMark/>
          </w:tcPr>
          <w:p w14:paraId="5034B45F" w14:textId="77777777" w:rsidR="00E953EE" w:rsidRPr="00EB272B" w:rsidRDefault="00E953EE" w:rsidP="006909EB">
            <w:pPr>
              <w:rPr>
                <w:rFonts w:cstheme="minorHAnsi"/>
                <w:sz w:val="22"/>
                <w:szCs w:val="22"/>
              </w:rPr>
            </w:pPr>
            <w:r w:rsidRPr="00EB272B">
              <w:rPr>
                <w:rFonts w:cstheme="minorHAnsi"/>
                <w:sz w:val="22"/>
                <w:szCs w:val="22"/>
              </w:rPr>
              <w:t>FSP</w:t>
            </w:r>
          </w:p>
        </w:tc>
        <w:tc>
          <w:tcPr>
            <w:tcW w:w="960" w:type="dxa"/>
            <w:hideMark/>
          </w:tcPr>
          <w:p w14:paraId="10F87A0E" w14:textId="77777777" w:rsidR="00E953EE" w:rsidRPr="00EB272B" w:rsidRDefault="00E953EE" w:rsidP="006909EB">
            <w:pPr>
              <w:rPr>
                <w:rFonts w:cstheme="minorHAnsi"/>
                <w:sz w:val="22"/>
                <w:szCs w:val="22"/>
              </w:rPr>
            </w:pPr>
            <w:r w:rsidRPr="00EB272B">
              <w:rPr>
                <w:rFonts w:cstheme="minorHAnsi"/>
                <w:sz w:val="22"/>
                <w:szCs w:val="22"/>
              </w:rPr>
              <w:t>BOAD</w:t>
            </w:r>
          </w:p>
        </w:tc>
        <w:tc>
          <w:tcPr>
            <w:tcW w:w="1660" w:type="dxa"/>
            <w:hideMark/>
          </w:tcPr>
          <w:p w14:paraId="276F20E3" w14:textId="77777777" w:rsidR="00E953EE" w:rsidRPr="00EB272B" w:rsidRDefault="00E953EE" w:rsidP="006909EB">
            <w:pPr>
              <w:jc w:val="right"/>
              <w:rPr>
                <w:rFonts w:cstheme="minorHAnsi"/>
                <w:sz w:val="22"/>
                <w:szCs w:val="22"/>
              </w:rPr>
            </w:pPr>
            <w:r w:rsidRPr="00EB272B">
              <w:rPr>
                <w:rFonts w:cstheme="minorHAnsi"/>
                <w:sz w:val="22"/>
                <w:szCs w:val="22"/>
              </w:rPr>
              <w:t>5331334</w:t>
            </w:r>
          </w:p>
        </w:tc>
        <w:tc>
          <w:tcPr>
            <w:tcW w:w="1620" w:type="dxa"/>
            <w:hideMark/>
          </w:tcPr>
          <w:p w14:paraId="6D4D67F9" w14:textId="77777777" w:rsidR="00E953EE" w:rsidRPr="00EB272B" w:rsidRDefault="00E953EE" w:rsidP="006909EB">
            <w:pPr>
              <w:jc w:val="right"/>
              <w:rPr>
                <w:rFonts w:cstheme="minorHAnsi"/>
                <w:sz w:val="22"/>
                <w:szCs w:val="22"/>
              </w:rPr>
            </w:pPr>
            <w:r w:rsidRPr="00EB272B">
              <w:rPr>
                <w:rFonts w:cstheme="minorHAnsi"/>
                <w:sz w:val="22"/>
                <w:szCs w:val="22"/>
              </w:rPr>
              <w:t>77000000</w:t>
            </w:r>
          </w:p>
        </w:tc>
      </w:tr>
      <w:tr w:rsidR="00E953EE" w:rsidRPr="00EB272B" w14:paraId="581B6A03" w14:textId="77777777" w:rsidTr="006909EB">
        <w:trPr>
          <w:trHeight w:val="900"/>
        </w:trPr>
        <w:tc>
          <w:tcPr>
            <w:tcW w:w="1820" w:type="dxa"/>
            <w:hideMark/>
          </w:tcPr>
          <w:p w14:paraId="42270AB3" w14:textId="77777777" w:rsidR="00E953EE" w:rsidRPr="00EB272B" w:rsidRDefault="00E953EE" w:rsidP="006909EB">
            <w:pPr>
              <w:rPr>
                <w:rFonts w:cstheme="minorHAnsi"/>
                <w:sz w:val="22"/>
                <w:szCs w:val="22"/>
              </w:rPr>
            </w:pPr>
            <w:r w:rsidRPr="00EB272B">
              <w:rPr>
                <w:rFonts w:cstheme="minorHAnsi"/>
                <w:sz w:val="22"/>
                <w:szCs w:val="22"/>
              </w:rPr>
              <w:t>Regional</w:t>
            </w:r>
          </w:p>
        </w:tc>
        <w:tc>
          <w:tcPr>
            <w:tcW w:w="1840" w:type="dxa"/>
            <w:hideMark/>
          </w:tcPr>
          <w:p w14:paraId="6ED246B2" w14:textId="77777777" w:rsidR="00E953EE" w:rsidRPr="00EB272B" w:rsidRDefault="00E953EE" w:rsidP="006909EB">
            <w:pPr>
              <w:rPr>
                <w:rFonts w:cstheme="minorHAnsi"/>
                <w:sz w:val="22"/>
                <w:szCs w:val="22"/>
              </w:rPr>
            </w:pPr>
            <w:r w:rsidRPr="00EB272B">
              <w:rPr>
                <w:rFonts w:cstheme="minorHAnsi"/>
                <w:sz w:val="22"/>
                <w:szCs w:val="22"/>
              </w:rPr>
              <w:t>Cambodia, Philippines, Pakistan</w:t>
            </w:r>
          </w:p>
        </w:tc>
        <w:tc>
          <w:tcPr>
            <w:tcW w:w="960" w:type="dxa"/>
            <w:hideMark/>
          </w:tcPr>
          <w:p w14:paraId="13EF1A6B" w14:textId="77777777" w:rsidR="00E953EE" w:rsidRPr="00EB272B" w:rsidRDefault="00E953EE" w:rsidP="006909EB">
            <w:pPr>
              <w:rPr>
                <w:rFonts w:cstheme="minorHAnsi"/>
                <w:sz w:val="22"/>
                <w:szCs w:val="22"/>
              </w:rPr>
            </w:pPr>
            <w:r w:rsidRPr="00EB272B">
              <w:rPr>
                <w:rFonts w:cstheme="minorHAnsi"/>
                <w:sz w:val="22"/>
                <w:szCs w:val="22"/>
              </w:rPr>
              <w:t>P</w:t>
            </w:r>
          </w:p>
        </w:tc>
        <w:tc>
          <w:tcPr>
            <w:tcW w:w="5380" w:type="dxa"/>
            <w:hideMark/>
          </w:tcPr>
          <w:p w14:paraId="56D5492C" w14:textId="77777777" w:rsidR="00E953EE" w:rsidRPr="00EB272B" w:rsidRDefault="00E953EE" w:rsidP="006909EB">
            <w:pPr>
              <w:rPr>
                <w:rFonts w:cstheme="minorHAnsi"/>
                <w:sz w:val="22"/>
                <w:szCs w:val="22"/>
              </w:rPr>
            </w:pPr>
            <w:r w:rsidRPr="00EB272B">
              <w:rPr>
                <w:rFonts w:cstheme="minorHAnsi"/>
                <w:sz w:val="22"/>
                <w:szCs w:val="22"/>
              </w:rPr>
              <w:t>Development of Minamata Initial Assessment in Three Asian Countries</w:t>
            </w:r>
          </w:p>
        </w:tc>
        <w:tc>
          <w:tcPr>
            <w:tcW w:w="960" w:type="dxa"/>
            <w:hideMark/>
          </w:tcPr>
          <w:p w14:paraId="4F64EFB4" w14:textId="77777777" w:rsidR="00E953EE" w:rsidRPr="00EB272B" w:rsidRDefault="00E953EE" w:rsidP="006909EB">
            <w:pPr>
              <w:rPr>
                <w:rFonts w:cstheme="minorHAnsi"/>
                <w:sz w:val="22"/>
                <w:szCs w:val="22"/>
              </w:rPr>
            </w:pPr>
            <w:r w:rsidRPr="00EB272B">
              <w:rPr>
                <w:rFonts w:cstheme="minorHAnsi"/>
                <w:sz w:val="22"/>
                <w:szCs w:val="22"/>
              </w:rPr>
              <w:t>GEF-5</w:t>
            </w:r>
          </w:p>
        </w:tc>
        <w:tc>
          <w:tcPr>
            <w:tcW w:w="960" w:type="dxa"/>
            <w:hideMark/>
          </w:tcPr>
          <w:p w14:paraId="6E4CBA9C" w14:textId="77777777" w:rsidR="00E953EE" w:rsidRPr="00EB272B" w:rsidRDefault="00E953EE" w:rsidP="006909EB">
            <w:pPr>
              <w:rPr>
                <w:rFonts w:cstheme="minorHAnsi"/>
                <w:sz w:val="22"/>
                <w:szCs w:val="22"/>
              </w:rPr>
            </w:pPr>
            <w:r w:rsidRPr="00EB272B">
              <w:rPr>
                <w:rFonts w:cstheme="minorHAnsi"/>
                <w:sz w:val="22"/>
                <w:szCs w:val="22"/>
              </w:rPr>
              <w:t>EA</w:t>
            </w:r>
          </w:p>
        </w:tc>
        <w:tc>
          <w:tcPr>
            <w:tcW w:w="960" w:type="dxa"/>
            <w:hideMark/>
          </w:tcPr>
          <w:p w14:paraId="109FD3EF" w14:textId="77777777" w:rsidR="00E953EE" w:rsidRPr="00EB272B" w:rsidRDefault="00E953EE" w:rsidP="006909EB">
            <w:pPr>
              <w:rPr>
                <w:rFonts w:cstheme="minorHAnsi"/>
                <w:sz w:val="22"/>
                <w:szCs w:val="22"/>
              </w:rPr>
            </w:pPr>
            <w:r w:rsidRPr="00EB272B">
              <w:rPr>
                <w:rFonts w:cstheme="minorHAnsi"/>
                <w:sz w:val="22"/>
                <w:szCs w:val="22"/>
              </w:rPr>
              <w:t>UNEP</w:t>
            </w:r>
          </w:p>
        </w:tc>
        <w:tc>
          <w:tcPr>
            <w:tcW w:w="1660" w:type="dxa"/>
            <w:hideMark/>
          </w:tcPr>
          <w:p w14:paraId="5E92229B" w14:textId="77777777" w:rsidR="00E953EE" w:rsidRPr="00EB272B" w:rsidRDefault="00E953EE" w:rsidP="006909EB">
            <w:pPr>
              <w:jc w:val="right"/>
              <w:rPr>
                <w:rFonts w:cstheme="minorHAnsi"/>
                <w:sz w:val="22"/>
                <w:szCs w:val="22"/>
              </w:rPr>
            </w:pPr>
            <w:r w:rsidRPr="00EB272B">
              <w:rPr>
                <w:rFonts w:cstheme="minorHAnsi"/>
                <w:sz w:val="22"/>
                <w:szCs w:val="22"/>
              </w:rPr>
              <w:t>730594</w:t>
            </w:r>
          </w:p>
        </w:tc>
        <w:tc>
          <w:tcPr>
            <w:tcW w:w="1620" w:type="dxa"/>
            <w:hideMark/>
          </w:tcPr>
          <w:p w14:paraId="274689A6" w14:textId="77777777" w:rsidR="00E953EE" w:rsidRPr="00EB272B" w:rsidRDefault="00E953EE" w:rsidP="006909EB">
            <w:pPr>
              <w:jc w:val="right"/>
              <w:rPr>
                <w:rFonts w:cstheme="minorHAnsi"/>
                <w:sz w:val="22"/>
                <w:szCs w:val="22"/>
              </w:rPr>
            </w:pPr>
            <w:r w:rsidRPr="00EB272B">
              <w:rPr>
                <w:rFonts w:cstheme="minorHAnsi"/>
                <w:sz w:val="22"/>
                <w:szCs w:val="22"/>
              </w:rPr>
              <w:t>1702084</w:t>
            </w:r>
          </w:p>
        </w:tc>
      </w:tr>
      <w:tr w:rsidR="00E953EE" w:rsidRPr="00EB272B" w14:paraId="08D8B164" w14:textId="77777777" w:rsidTr="006909EB">
        <w:trPr>
          <w:trHeight w:val="600"/>
        </w:trPr>
        <w:tc>
          <w:tcPr>
            <w:tcW w:w="1820" w:type="dxa"/>
            <w:hideMark/>
          </w:tcPr>
          <w:p w14:paraId="2EBEE496" w14:textId="77777777" w:rsidR="00E953EE" w:rsidRPr="00EB272B" w:rsidRDefault="00E953EE" w:rsidP="006909EB">
            <w:pPr>
              <w:rPr>
                <w:rFonts w:cstheme="minorHAnsi"/>
                <w:sz w:val="22"/>
                <w:szCs w:val="22"/>
              </w:rPr>
            </w:pPr>
            <w:r w:rsidRPr="00EB272B">
              <w:rPr>
                <w:rFonts w:cstheme="minorHAnsi"/>
                <w:sz w:val="22"/>
                <w:szCs w:val="22"/>
              </w:rPr>
              <w:t>Regional</w:t>
            </w:r>
          </w:p>
        </w:tc>
        <w:tc>
          <w:tcPr>
            <w:tcW w:w="1840" w:type="dxa"/>
            <w:hideMark/>
          </w:tcPr>
          <w:p w14:paraId="6C540CC1" w14:textId="77777777" w:rsidR="00E953EE" w:rsidRPr="00EB272B" w:rsidRDefault="00E953EE" w:rsidP="006909EB">
            <w:pPr>
              <w:rPr>
                <w:rFonts w:cstheme="minorHAnsi"/>
                <w:sz w:val="22"/>
                <w:szCs w:val="22"/>
              </w:rPr>
            </w:pPr>
            <w:r w:rsidRPr="00EB272B">
              <w:rPr>
                <w:rFonts w:cstheme="minorHAnsi"/>
                <w:sz w:val="22"/>
                <w:szCs w:val="22"/>
              </w:rPr>
              <w:t>Ecuador, Peru</w:t>
            </w:r>
          </w:p>
        </w:tc>
        <w:tc>
          <w:tcPr>
            <w:tcW w:w="960" w:type="dxa"/>
            <w:hideMark/>
          </w:tcPr>
          <w:p w14:paraId="6F7A4624" w14:textId="77777777" w:rsidR="00E953EE" w:rsidRPr="00EB272B" w:rsidRDefault="00E953EE" w:rsidP="006909EB">
            <w:pPr>
              <w:rPr>
                <w:rFonts w:cstheme="minorHAnsi"/>
                <w:sz w:val="22"/>
                <w:szCs w:val="22"/>
              </w:rPr>
            </w:pPr>
            <w:r w:rsidRPr="00EB272B">
              <w:rPr>
                <w:rFonts w:cstheme="minorHAnsi"/>
                <w:sz w:val="22"/>
                <w:szCs w:val="22"/>
              </w:rPr>
              <w:t>P</w:t>
            </w:r>
          </w:p>
        </w:tc>
        <w:tc>
          <w:tcPr>
            <w:tcW w:w="5380" w:type="dxa"/>
            <w:hideMark/>
          </w:tcPr>
          <w:p w14:paraId="40E1C100" w14:textId="77777777" w:rsidR="00E953EE" w:rsidRPr="00EB272B" w:rsidRDefault="00E953EE" w:rsidP="006909EB">
            <w:pPr>
              <w:rPr>
                <w:rFonts w:cstheme="minorHAnsi"/>
                <w:sz w:val="22"/>
                <w:szCs w:val="22"/>
              </w:rPr>
            </w:pPr>
            <w:r w:rsidRPr="00EB272B">
              <w:rPr>
                <w:rFonts w:cstheme="minorHAnsi"/>
                <w:sz w:val="22"/>
                <w:szCs w:val="22"/>
              </w:rPr>
              <w:t>Implementing Integrated Measures for Minimizing Mercury Releases from Artisanal Gold Mining</w:t>
            </w:r>
          </w:p>
        </w:tc>
        <w:tc>
          <w:tcPr>
            <w:tcW w:w="960" w:type="dxa"/>
            <w:hideMark/>
          </w:tcPr>
          <w:p w14:paraId="2FB5E276" w14:textId="77777777" w:rsidR="00E953EE" w:rsidRPr="00EB272B" w:rsidRDefault="00E953EE" w:rsidP="006909EB">
            <w:pPr>
              <w:rPr>
                <w:rFonts w:cstheme="minorHAnsi"/>
                <w:sz w:val="22"/>
                <w:szCs w:val="22"/>
              </w:rPr>
            </w:pPr>
            <w:r w:rsidRPr="00EB272B">
              <w:rPr>
                <w:rFonts w:cstheme="minorHAnsi"/>
                <w:sz w:val="22"/>
                <w:szCs w:val="22"/>
              </w:rPr>
              <w:t>GEF-5</w:t>
            </w:r>
          </w:p>
        </w:tc>
        <w:tc>
          <w:tcPr>
            <w:tcW w:w="960" w:type="dxa"/>
            <w:hideMark/>
          </w:tcPr>
          <w:p w14:paraId="6FBD8AF4" w14:textId="77777777" w:rsidR="00E953EE" w:rsidRPr="00EB272B" w:rsidRDefault="00E953EE" w:rsidP="006909EB">
            <w:pPr>
              <w:rPr>
                <w:rFonts w:cstheme="minorHAnsi"/>
                <w:sz w:val="22"/>
                <w:szCs w:val="22"/>
              </w:rPr>
            </w:pPr>
            <w:r w:rsidRPr="00EB272B">
              <w:rPr>
                <w:rFonts w:cstheme="minorHAnsi"/>
                <w:sz w:val="22"/>
                <w:szCs w:val="22"/>
              </w:rPr>
              <w:t>MSP</w:t>
            </w:r>
          </w:p>
        </w:tc>
        <w:tc>
          <w:tcPr>
            <w:tcW w:w="960" w:type="dxa"/>
            <w:hideMark/>
          </w:tcPr>
          <w:p w14:paraId="5588946C" w14:textId="77777777" w:rsidR="00E953EE" w:rsidRPr="00EB272B" w:rsidRDefault="00E953EE" w:rsidP="006909EB">
            <w:pPr>
              <w:rPr>
                <w:rFonts w:cstheme="minorHAnsi"/>
                <w:sz w:val="22"/>
                <w:szCs w:val="22"/>
              </w:rPr>
            </w:pPr>
            <w:r w:rsidRPr="00EB272B">
              <w:rPr>
                <w:rFonts w:cstheme="minorHAnsi"/>
                <w:sz w:val="22"/>
                <w:szCs w:val="22"/>
              </w:rPr>
              <w:t>UNIDO</w:t>
            </w:r>
          </w:p>
        </w:tc>
        <w:tc>
          <w:tcPr>
            <w:tcW w:w="1660" w:type="dxa"/>
            <w:hideMark/>
          </w:tcPr>
          <w:p w14:paraId="73B2CEB8" w14:textId="77777777" w:rsidR="00E953EE" w:rsidRPr="00EB272B" w:rsidRDefault="00E953EE" w:rsidP="006909EB">
            <w:pPr>
              <w:jc w:val="right"/>
              <w:rPr>
                <w:rFonts w:cstheme="minorHAnsi"/>
                <w:sz w:val="22"/>
                <w:szCs w:val="22"/>
              </w:rPr>
            </w:pPr>
            <w:r w:rsidRPr="00EB272B">
              <w:rPr>
                <w:rFonts w:cstheme="minorHAnsi"/>
                <w:sz w:val="22"/>
                <w:szCs w:val="22"/>
              </w:rPr>
              <w:t>999900</w:t>
            </w:r>
          </w:p>
        </w:tc>
        <w:tc>
          <w:tcPr>
            <w:tcW w:w="1620" w:type="dxa"/>
            <w:hideMark/>
          </w:tcPr>
          <w:p w14:paraId="2DB160BB" w14:textId="77777777" w:rsidR="00E953EE" w:rsidRPr="00EB272B" w:rsidRDefault="00E953EE" w:rsidP="006909EB">
            <w:pPr>
              <w:jc w:val="right"/>
              <w:rPr>
                <w:rFonts w:cstheme="minorHAnsi"/>
                <w:sz w:val="22"/>
                <w:szCs w:val="22"/>
              </w:rPr>
            </w:pPr>
            <w:r w:rsidRPr="004F6387">
              <w:rPr>
                <w:rFonts w:cstheme="minorHAnsi"/>
                <w:sz w:val="22"/>
                <w:szCs w:val="22"/>
              </w:rPr>
              <w:t>2676764</w:t>
            </w:r>
          </w:p>
        </w:tc>
      </w:tr>
      <w:tr w:rsidR="00E953EE" w:rsidRPr="00EB272B" w14:paraId="03981005" w14:textId="77777777" w:rsidTr="006909EB">
        <w:trPr>
          <w:trHeight w:val="900"/>
        </w:trPr>
        <w:tc>
          <w:tcPr>
            <w:tcW w:w="1820" w:type="dxa"/>
            <w:hideMark/>
          </w:tcPr>
          <w:p w14:paraId="7C19F96E" w14:textId="77777777" w:rsidR="00E953EE" w:rsidRPr="00EB272B" w:rsidRDefault="00E953EE" w:rsidP="006909EB">
            <w:pPr>
              <w:rPr>
                <w:rFonts w:cstheme="minorHAnsi"/>
                <w:sz w:val="22"/>
                <w:szCs w:val="22"/>
              </w:rPr>
            </w:pPr>
            <w:r w:rsidRPr="00EB272B">
              <w:rPr>
                <w:rFonts w:cstheme="minorHAnsi"/>
                <w:sz w:val="22"/>
                <w:szCs w:val="22"/>
              </w:rPr>
              <w:t>Regional</w:t>
            </w:r>
          </w:p>
        </w:tc>
        <w:tc>
          <w:tcPr>
            <w:tcW w:w="1840" w:type="dxa"/>
            <w:hideMark/>
          </w:tcPr>
          <w:p w14:paraId="0B82E255" w14:textId="77777777" w:rsidR="00E953EE" w:rsidRPr="00EB272B" w:rsidRDefault="00E953EE" w:rsidP="006909EB">
            <w:pPr>
              <w:rPr>
                <w:rFonts w:cstheme="minorHAnsi"/>
                <w:sz w:val="22"/>
                <w:szCs w:val="22"/>
              </w:rPr>
            </w:pPr>
            <w:r w:rsidRPr="00EB272B">
              <w:rPr>
                <w:rFonts w:cstheme="minorHAnsi"/>
                <w:sz w:val="22"/>
                <w:szCs w:val="22"/>
              </w:rPr>
              <w:t>Ghana, Madagascar, Tanzania</w:t>
            </w:r>
          </w:p>
        </w:tc>
        <w:tc>
          <w:tcPr>
            <w:tcW w:w="960" w:type="dxa"/>
            <w:hideMark/>
          </w:tcPr>
          <w:p w14:paraId="3731839D" w14:textId="77777777" w:rsidR="00E953EE" w:rsidRPr="00EB272B" w:rsidRDefault="00E953EE" w:rsidP="006909EB">
            <w:pPr>
              <w:rPr>
                <w:rFonts w:cstheme="minorHAnsi"/>
                <w:sz w:val="22"/>
                <w:szCs w:val="22"/>
              </w:rPr>
            </w:pPr>
            <w:r w:rsidRPr="00EB272B">
              <w:rPr>
                <w:rFonts w:cstheme="minorHAnsi"/>
                <w:sz w:val="22"/>
                <w:szCs w:val="22"/>
              </w:rPr>
              <w:t>P</w:t>
            </w:r>
          </w:p>
        </w:tc>
        <w:tc>
          <w:tcPr>
            <w:tcW w:w="5380" w:type="dxa"/>
            <w:hideMark/>
          </w:tcPr>
          <w:p w14:paraId="0192E260" w14:textId="77777777" w:rsidR="00E953EE" w:rsidRPr="00EB272B" w:rsidRDefault="00E953EE" w:rsidP="006909EB">
            <w:pPr>
              <w:rPr>
                <w:rFonts w:cstheme="minorHAnsi"/>
                <w:sz w:val="22"/>
                <w:szCs w:val="22"/>
              </w:rPr>
            </w:pPr>
            <w:r w:rsidRPr="00EB272B">
              <w:rPr>
                <w:rFonts w:cstheme="minorHAnsi"/>
                <w:sz w:val="22"/>
                <w:szCs w:val="22"/>
              </w:rPr>
              <w:t>Reducing unintentional POPs (UPOPs) and Mercury Releases from the Health Sector in Africa</w:t>
            </w:r>
          </w:p>
        </w:tc>
        <w:tc>
          <w:tcPr>
            <w:tcW w:w="960" w:type="dxa"/>
            <w:hideMark/>
          </w:tcPr>
          <w:p w14:paraId="7B032329" w14:textId="77777777" w:rsidR="00E953EE" w:rsidRPr="00EB272B" w:rsidRDefault="00E953EE" w:rsidP="006909EB">
            <w:pPr>
              <w:rPr>
                <w:rFonts w:cstheme="minorHAnsi"/>
                <w:sz w:val="22"/>
                <w:szCs w:val="22"/>
              </w:rPr>
            </w:pPr>
            <w:r w:rsidRPr="00EB272B">
              <w:rPr>
                <w:rFonts w:cstheme="minorHAnsi"/>
                <w:sz w:val="22"/>
                <w:szCs w:val="22"/>
              </w:rPr>
              <w:t>GEF-5</w:t>
            </w:r>
          </w:p>
        </w:tc>
        <w:tc>
          <w:tcPr>
            <w:tcW w:w="960" w:type="dxa"/>
            <w:hideMark/>
          </w:tcPr>
          <w:p w14:paraId="4268D521" w14:textId="77777777" w:rsidR="00E953EE" w:rsidRPr="00EB272B" w:rsidRDefault="00E953EE" w:rsidP="006909EB">
            <w:pPr>
              <w:rPr>
                <w:rFonts w:cstheme="minorHAnsi"/>
                <w:sz w:val="22"/>
                <w:szCs w:val="22"/>
              </w:rPr>
            </w:pPr>
            <w:r w:rsidRPr="00EB272B">
              <w:rPr>
                <w:rFonts w:cstheme="minorHAnsi"/>
                <w:sz w:val="22"/>
                <w:szCs w:val="22"/>
              </w:rPr>
              <w:t>FSP</w:t>
            </w:r>
          </w:p>
        </w:tc>
        <w:tc>
          <w:tcPr>
            <w:tcW w:w="960" w:type="dxa"/>
            <w:hideMark/>
          </w:tcPr>
          <w:p w14:paraId="4AC53452" w14:textId="77777777" w:rsidR="00E953EE" w:rsidRPr="00EB272B" w:rsidRDefault="00E953EE" w:rsidP="006909EB">
            <w:pPr>
              <w:rPr>
                <w:rFonts w:cstheme="minorHAnsi"/>
                <w:sz w:val="22"/>
                <w:szCs w:val="22"/>
              </w:rPr>
            </w:pPr>
            <w:r w:rsidRPr="00EB272B">
              <w:rPr>
                <w:rFonts w:cstheme="minorHAnsi"/>
                <w:sz w:val="22"/>
                <w:szCs w:val="22"/>
              </w:rPr>
              <w:t>UNDP</w:t>
            </w:r>
          </w:p>
        </w:tc>
        <w:tc>
          <w:tcPr>
            <w:tcW w:w="1660" w:type="dxa"/>
            <w:hideMark/>
          </w:tcPr>
          <w:p w14:paraId="0A7505C2" w14:textId="77777777" w:rsidR="00E953EE" w:rsidRPr="00EB272B" w:rsidRDefault="00E953EE" w:rsidP="006909EB">
            <w:pPr>
              <w:jc w:val="right"/>
              <w:rPr>
                <w:rFonts w:cstheme="minorHAnsi"/>
                <w:sz w:val="22"/>
                <w:szCs w:val="22"/>
              </w:rPr>
            </w:pPr>
            <w:r w:rsidRPr="00EB272B">
              <w:rPr>
                <w:rFonts w:cstheme="minorHAnsi"/>
                <w:sz w:val="22"/>
                <w:szCs w:val="22"/>
              </w:rPr>
              <w:t>517902</w:t>
            </w:r>
          </w:p>
        </w:tc>
        <w:tc>
          <w:tcPr>
            <w:tcW w:w="1620" w:type="dxa"/>
            <w:hideMark/>
          </w:tcPr>
          <w:p w14:paraId="466AA065" w14:textId="77777777" w:rsidR="00E953EE" w:rsidRPr="00EB272B" w:rsidRDefault="00E953EE" w:rsidP="006909EB">
            <w:pPr>
              <w:jc w:val="right"/>
              <w:rPr>
                <w:rFonts w:cstheme="minorHAnsi"/>
                <w:sz w:val="22"/>
                <w:szCs w:val="22"/>
              </w:rPr>
            </w:pPr>
            <w:r w:rsidRPr="00EB272B">
              <w:rPr>
                <w:rFonts w:cstheme="minorHAnsi"/>
                <w:sz w:val="22"/>
                <w:szCs w:val="22"/>
              </w:rPr>
              <w:t>2000345</w:t>
            </w:r>
          </w:p>
        </w:tc>
      </w:tr>
      <w:tr w:rsidR="00E953EE" w:rsidRPr="00EB272B" w14:paraId="1DD66DCC" w14:textId="77777777" w:rsidTr="006909EB">
        <w:trPr>
          <w:trHeight w:val="1800"/>
        </w:trPr>
        <w:tc>
          <w:tcPr>
            <w:tcW w:w="1820" w:type="dxa"/>
            <w:hideMark/>
          </w:tcPr>
          <w:p w14:paraId="7BAB54AC" w14:textId="77777777" w:rsidR="00E953EE" w:rsidRPr="00EB272B" w:rsidRDefault="00E953EE" w:rsidP="006909EB">
            <w:pPr>
              <w:rPr>
                <w:rFonts w:cstheme="minorHAnsi"/>
                <w:sz w:val="22"/>
                <w:szCs w:val="22"/>
              </w:rPr>
            </w:pPr>
            <w:r w:rsidRPr="00EB272B">
              <w:rPr>
                <w:rFonts w:cstheme="minorHAnsi"/>
                <w:sz w:val="22"/>
                <w:szCs w:val="22"/>
              </w:rPr>
              <w:t xml:space="preserve">Regional </w:t>
            </w:r>
          </w:p>
        </w:tc>
        <w:tc>
          <w:tcPr>
            <w:tcW w:w="1840" w:type="dxa"/>
            <w:hideMark/>
          </w:tcPr>
          <w:p w14:paraId="76DC47E9" w14:textId="77777777" w:rsidR="00E953EE" w:rsidRPr="00EB272B" w:rsidRDefault="00E953EE" w:rsidP="006909EB">
            <w:pPr>
              <w:rPr>
                <w:rFonts w:cstheme="minorHAnsi"/>
                <w:sz w:val="22"/>
                <w:szCs w:val="22"/>
              </w:rPr>
            </w:pPr>
            <w:r w:rsidRPr="00EB272B">
              <w:rPr>
                <w:rFonts w:cstheme="minorHAnsi"/>
                <w:sz w:val="22"/>
                <w:szCs w:val="22"/>
              </w:rPr>
              <w:t>Albania, Bosnia-Herzegovina, Egypt, Lebanon, Libya, Morocco, Montenegro, Tunisia</w:t>
            </w:r>
          </w:p>
        </w:tc>
        <w:tc>
          <w:tcPr>
            <w:tcW w:w="960" w:type="dxa"/>
            <w:hideMark/>
          </w:tcPr>
          <w:p w14:paraId="7BBFB88A" w14:textId="77777777" w:rsidR="00E953EE" w:rsidRPr="00EB272B" w:rsidRDefault="00E953EE" w:rsidP="006909EB">
            <w:pPr>
              <w:rPr>
                <w:rFonts w:cstheme="minorHAnsi"/>
                <w:sz w:val="22"/>
                <w:szCs w:val="22"/>
              </w:rPr>
            </w:pPr>
            <w:r w:rsidRPr="00EB272B">
              <w:rPr>
                <w:rFonts w:cstheme="minorHAnsi"/>
                <w:sz w:val="22"/>
                <w:szCs w:val="22"/>
              </w:rPr>
              <w:t>MFA</w:t>
            </w:r>
          </w:p>
        </w:tc>
        <w:tc>
          <w:tcPr>
            <w:tcW w:w="5380" w:type="dxa"/>
            <w:hideMark/>
          </w:tcPr>
          <w:p w14:paraId="051792ED" w14:textId="77777777" w:rsidR="00E953EE" w:rsidRPr="00EB272B" w:rsidRDefault="00E953EE" w:rsidP="006909EB">
            <w:pPr>
              <w:rPr>
                <w:rFonts w:cstheme="minorHAnsi"/>
                <w:sz w:val="22"/>
                <w:szCs w:val="22"/>
              </w:rPr>
            </w:pPr>
            <w:r w:rsidRPr="00EB272B">
              <w:rPr>
                <w:rFonts w:cstheme="minorHAnsi"/>
                <w:sz w:val="22"/>
                <w:szCs w:val="22"/>
              </w:rPr>
              <w:t>Mediterranean Sea Programme (MedProgramme): Enhancing Environmental Security</w:t>
            </w:r>
          </w:p>
        </w:tc>
        <w:tc>
          <w:tcPr>
            <w:tcW w:w="960" w:type="dxa"/>
            <w:hideMark/>
          </w:tcPr>
          <w:p w14:paraId="746C4D42" w14:textId="77777777" w:rsidR="00E953EE" w:rsidRPr="00EB272B" w:rsidRDefault="00E953EE" w:rsidP="006909EB">
            <w:pPr>
              <w:rPr>
                <w:rFonts w:cstheme="minorHAnsi"/>
                <w:sz w:val="22"/>
                <w:szCs w:val="22"/>
              </w:rPr>
            </w:pPr>
            <w:r w:rsidRPr="00EB272B">
              <w:rPr>
                <w:rFonts w:cstheme="minorHAnsi"/>
                <w:sz w:val="22"/>
                <w:szCs w:val="22"/>
              </w:rPr>
              <w:t>GEF-6</w:t>
            </w:r>
          </w:p>
        </w:tc>
        <w:tc>
          <w:tcPr>
            <w:tcW w:w="960" w:type="dxa"/>
            <w:hideMark/>
          </w:tcPr>
          <w:p w14:paraId="79DCE1E5" w14:textId="77777777" w:rsidR="00E953EE" w:rsidRPr="00EB272B" w:rsidRDefault="00E953EE" w:rsidP="006909EB">
            <w:pPr>
              <w:rPr>
                <w:rFonts w:cstheme="minorHAnsi"/>
                <w:sz w:val="22"/>
                <w:szCs w:val="22"/>
              </w:rPr>
            </w:pPr>
            <w:r w:rsidRPr="00EB272B">
              <w:rPr>
                <w:rFonts w:cstheme="minorHAnsi"/>
                <w:sz w:val="22"/>
                <w:szCs w:val="22"/>
              </w:rPr>
              <w:t>PFD</w:t>
            </w:r>
          </w:p>
        </w:tc>
        <w:tc>
          <w:tcPr>
            <w:tcW w:w="960" w:type="dxa"/>
            <w:hideMark/>
          </w:tcPr>
          <w:p w14:paraId="29D31763" w14:textId="77777777" w:rsidR="00E953EE" w:rsidRPr="00EB272B" w:rsidRDefault="00E953EE" w:rsidP="006909EB">
            <w:pPr>
              <w:rPr>
                <w:rFonts w:cstheme="minorHAnsi"/>
                <w:sz w:val="22"/>
                <w:szCs w:val="22"/>
              </w:rPr>
            </w:pPr>
            <w:r w:rsidRPr="00EB272B">
              <w:rPr>
                <w:rFonts w:cstheme="minorHAnsi"/>
                <w:sz w:val="22"/>
                <w:szCs w:val="22"/>
              </w:rPr>
              <w:t>UNEP</w:t>
            </w:r>
          </w:p>
        </w:tc>
        <w:tc>
          <w:tcPr>
            <w:tcW w:w="1660" w:type="dxa"/>
            <w:hideMark/>
          </w:tcPr>
          <w:p w14:paraId="2234FAEC" w14:textId="77777777" w:rsidR="00E953EE" w:rsidRPr="00EB272B" w:rsidRDefault="00E953EE" w:rsidP="006909EB">
            <w:pPr>
              <w:jc w:val="right"/>
              <w:rPr>
                <w:rFonts w:cstheme="minorHAnsi"/>
                <w:sz w:val="22"/>
                <w:szCs w:val="22"/>
              </w:rPr>
            </w:pPr>
            <w:r w:rsidRPr="00EB272B">
              <w:rPr>
                <w:rFonts w:cstheme="minorHAnsi"/>
                <w:sz w:val="22"/>
                <w:szCs w:val="22"/>
              </w:rPr>
              <w:t>5250000</w:t>
            </w:r>
          </w:p>
        </w:tc>
        <w:tc>
          <w:tcPr>
            <w:tcW w:w="1620" w:type="dxa"/>
            <w:hideMark/>
          </w:tcPr>
          <w:p w14:paraId="658AEDEC" w14:textId="77777777" w:rsidR="00E953EE" w:rsidRPr="00EB272B" w:rsidRDefault="00E953EE" w:rsidP="006909EB">
            <w:pPr>
              <w:jc w:val="right"/>
              <w:rPr>
                <w:rFonts w:cstheme="minorHAnsi"/>
                <w:sz w:val="22"/>
                <w:szCs w:val="22"/>
              </w:rPr>
            </w:pPr>
            <w:r w:rsidRPr="00EB272B">
              <w:rPr>
                <w:rFonts w:cstheme="minorHAnsi"/>
                <w:sz w:val="22"/>
                <w:szCs w:val="22"/>
              </w:rPr>
              <w:t>20500000</w:t>
            </w:r>
          </w:p>
        </w:tc>
      </w:tr>
      <w:tr w:rsidR="00E953EE" w:rsidRPr="00EB272B" w14:paraId="2FF2A793" w14:textId="77777777" w:rsidTr="006909EB">
        <w:trPr>
          <w:trHeight w:val="900"/>
        </w:trPr>
        <w:tc>
          <w:tcPr>
            <w:tcW w:w="1820" w:type="dxa"/>
            <w:hideMark/>
          </w:tcPr>
          <w:p w14:paraId="463EF6A3" w14:textId="77777777" w:rsidR="00E953EE" w:rsidRPr="00EB272B" w:rsidRDefault="00E953EE" w:rsidP="006909EB">
            <w:pPr>
              <w:rPr>
                <w:rFonts w:cstheme="minorHAnsi"/>
                <w:sz w:val="22"/>
                <w:szCs w:val="22"/>
              </w:rPr>
            </w:pPr>
            <w:r w:rsidRPr="00EB272B">
              <w:rPr>
                <w:rFonts w:cstheme="minorHAnsi"/>
                <w:sz w:val="22"/>
                <w:szCs w:val="22"/>
              </w:rPr>
              <w:t xml:space="preserve">Regional </w:t>
            </w:r>
          </w:p>
        </w:tc>
        <w:tc>
          <w:tcPr>
            <w:tcW w:w="1840" w:type="dxa"/>
            <w:hideMark/>
          </w:tcPr>
          <w:p w14:paraId="7888A8A6" w14:textId="77777777" w:rsidR="00E953EE" w:rsidRPr="00D7403E" w:rsidRDefault="00E953EE" w:rsidP="006909EB">
            <w:pPr>
              <w:rPr>
                <w:rFonts w:cstheme="minorHAnsi"/>
                <w:sz w:val="22"/>
                <w:szCs w:val="22"/>
                <w:lang w:val="es-ES"/>
              </w:rPr>
            </w:pPr>
            <w:r w:rsidRPr="00D7403E">
              <w:rPr>
                <w:rFonts w:cstheme="minorHAnsi"/>
                <w:sz w:val="22"/>
                <w:szCs w:val="22"/>
                <w:lang w:val="es-ES"/>
              </w:rPr>
              <w:t>Ethiopia, Gambia, Tanzania, Uganda, Zambia</w:t>
            </w:r>
          </w:p>
        </w:tc>
        <w:tc>
          <w:tcPr>
            <w:tcW w:w="960" w:type="dxa"/>
            <w:hideMark/>
          </w:tcPr>
          <w:p w14:paraId="2DBAD58D" w14:textId="77777777" w:rsidR="00E953EE" w:rsidRPr="00EB272B" w:rsidRDefault="00E953EE" w:rsidP="006909EB">
            <w:pPr>
              <w:rPr>
                <w:rFonts w:cstheme="minorHAnsi"/>
                <w:sz w:val="22"/>
                <w:szCs w:val="22"/>
              </w:rPr>
            </w:pPr>
            <w:r w:rsidRPr="00EB272B">
              <w:rPr>
                <w:rFonts w:cstheme="minorHAnsi"/>
                <w:sz w:val="22"/>
                <w:szCs w:val="22"/>
              </w:rPr>
              <w:t>P</w:t>
            </w:r>
          </w:p>
        </w:tc>
        <w:tc>
          <w:tcPr>
            <w:tcW w:w="5380" w:type="dxa"/>
            <w:hideMark/>
          </w:tcPr>
          <w:p w14:paraId="739F55C4" w14:textId="77777777" w:rsidR="00E953EE" w:rsidRPr="00EB272B" w:rsidRDefault="00E953EE" w:rsidP="006909EB">
            <w:pPr>
              <w:rPr>
                <w:rFonts w:cstheme="minorHAnsi"/>
                <w:sz w:val="22"/>
                <w:szCs w:val="22"/>
              </w:rPr>
            </w:pPr>
            <w:r w:rsidRPr="00EB272B">
              <w:rPr>
                <w:rFonts w:cstheme="minorHAnsi"/>
                <w:sz w:val="22"/>
                <w:szCs w:val="22"/>
              </w:rPr>
              <w:t>Development of Minamata Convention on Mercury Initial Assessment in Africa</w:t>
            </w:r>
          </w:p>
        </w:tc>
        <w:tc>
          <w:tcPr>
            <w:tcW w:w="960" w:type="dxa"/>
            <w:hideMark/>
          </w:tcPr>
          <w:p w14:paraId="42AA2E59" w14:textId="77777777" w:rsidR="00E953EE" w:rsidRPr="00EB272B" w:rsidRDefault="00E953EE" w:rsidP="006909EB">
            <w:pPr>
              <w:rPr>
                <w:rFonts w:cstheme="minorHAnsi"/>
                <w:sz w:val="22"/>
                <w:szCs w:val="22"/>
              </w:rPr>
            </w:pPr>
            <w:r w:rsidRPr="00EB272B">
              <w:rPr>
                <w:rFonts w:cstheme="minorHAnsi"/>
                <w:sz w:val="22"/>
                <w:szCs w:val="22"/>
              </w:rPr>
              <w:t>GEF-5</w:t>
            </w:r>
          </w:p>
        </w:tc>
        <w:tc>
          <w:tcPr>
            <w:tcW w:w="960" w:type="dxa"/>
            <w:hideMark/>
          </w:tcPr>
          <w:p w14:paraId="15C0E6C6" w14:textId="77777777" w:rsidR="00E953EE" w:rsidRPr="00EB272B" w:rsidRDefault="00E953EE" w:rsidP="006909EB">
            <w:pPr>
              <w:rPr>
                <w:rFonts w:cstheme="minorHAnsi"/>
                <w:sz w:val="22"/>
                <w:szCs w:val="22"/>
              </w:rPr>
            </w:pPr>
            <w:r w:rsidRPr="00EB272B">
              <w:rPr>
                <w:rFonts w:cstheme="minorHAnsi"/>
                <w:sz w:val="22"/>
                <w:szCs w:val="22"/>
              </w:rPr>
              <w:t>EA</w:t>
            </w:r>
          </w:p>
        </w:tc>
        <w:tc>
          <w:tcPr>
            <w:tcW w:w="960" w:type="dxa"/>
            <w:hideMark/>
          </w:tcPr>
          <w:p w14:paraId="2461F6A0" w14:textId="77777777" w:rsidR="00E953EE" w:rsidRPr="00EB272B" w:rsidRDefault="00E953EE" w:rsidP="006909EB">
            <w:pPr>
              <w:rPr>
                <w:rFonts w:cstheme="minorHAnsi"/>
                <w:sz w:val="22"/>
                <w:szCs w:val="22"/>
              </w:rPr>
            </w:pPr>
            <w:r w:rsidRPr="00EB272B">
              <w:rPr>
                <w:rFonts w:cstheme="minorHAnsi"/>
                <w:sz w:val="22"/>
                <w:szCs w:val="22"/>
              </w:rPr>
              <w:t>UNEP</w:t>
            </w:r>
          </w:p>
        </w:tc>
        <w:tc>
          <w:tcPr>
            <w:tcW w:w="1660" w:type="dxa"/>
            <w:hideMark/>
          </w:tcPr>
          <w:p w14:paraId="5D3F108B" w14:textId="77777777" w:rsidR="00E953EE" w:rsidRPr="00EB272B" w:rsidRDefault="00E953EE" w:rsidP="006909EB">
            <w:pPr>
              <w:jc w:val="right"/>
              <w:rPr>
                <w:rFonts w:cstheme="minorHAnsi"/>
                <w:sz w:val="22"/>
                <w:szCs w:val="22"/>
              </w:rPr>
            </w:pPr>
            <w:r w:rsidRPr="00EB272B">
              <w:rPr>
                <w:rFonts w:cstheme="minorHAnsi"/>
                <w:sz w:val="22"/>
                <w:szCs w:val="22"/>
              </w:rPr>
              <w:t>913242</w:t>
            </w:r>
          </w:p>
        </w:tc>
        <w:tc>
          <w:tcPr>
            <w:tcW w:w="1620" w:type="dxa"/>
            <w:hideMark/>
          </w:tcPr>
          <w:p w14:paraId="576A9C15" w14:textId="77777777" w:rsidR="00E953EE" w:rsidRPr="00EB272B" w:rsidRDefault="00E953EE" w:rsidP="006909EB">
            <w:pPr>
              <w:jc w:val="right"/>
              <w:rPr>
                <w:rFonts w:cstheme="minorHAnsi"/>
                <w:sz w:val="22"/>
                <w:szCs w:val="22"/>
              </w:rPr>
            </w:pPr>
            <w:r w:rsidRPr="00EB272B">
              <w:rPr>
                <w:rFonts w:cstheme="minorHAnsi"/>
                <w:sz w:val="22"/>
                <w:szCs w:val="22"/>
              </w:rPr>
              <w:t>1129943</w:t>
            </w:r>
          </w:p>
        </w:tc>
      </w:tr>
      <w:tr w:rsidR="00E953EE" w:rsidRPr="00EB272B" w14:paraId="0E02217A" w14:textId="77777777" w:rsidTr="006909EB">
        <w:trPr>
          <w:trHeight w:val="1200"/>
        </w:trPr>
        <w:tc>
          <w:tcPr>
            <w:tcW w:w="1820" w:type="dxa"/>
            <w:hideMark/>
          </w:tcPr>
          <w:p w14:paraId="0B1372FE" w14:textId="77777777" w:rsidR="00E953EE" w:rsidRPr="00EB272B" w:rsidRDefault="00E953EE" w:rsidP="006909EB">
            <w:pPr>
              <w:rPr>
                <w:rFonts w:cstheme="minorHAnsi"/>
                <w:sz w:val="22"/>
                <w:szCs w:val="22"/>
              </w:rPr>
            </w:pPr>
            <w:r w:rsidRPr="00EB272B">
              <w:rPr>
                <w:rFonts w:cstheme="minorHAnsi"/>
                <w:sz w:val="22"/>
                <w:szCs w:val="22"/>
              </w:rPr>
              <w:t xml:space="preserve">Regional </w:t>
            </w:r>
          </w:p>
        </w:tc>
        <w:tc>
          <w:tcPr>
            <w:tcW w:w="1840" w:type="dxa"/>
            <w:hideMark/>
          </w:tcPr>
          <w:p w14:paraId="042F43C8" w14:textId="77777777" w:rsidR="00E953EE" w:rsidRPr="00D7403E" w:rsidRDefault="00E953EE" w:rsidP="006909EB">
            <w:pPr>
              <w:rPr>
                <w:rFonts w:cstheme="minorHAnsi"/>
                <w:sz w:val="22"/>
                <w:szCs w:val="22"/>
                <w:lang w:val="es-ES"/>
              </w:rPr>
            </w:pPr>
            <w:r w:rsidRPr="00D7403E">
              <w:rPr>
                <w:rFonts w:cstheme="minorHAnsi"/>
                <w:sz w:val="22"/>
                <w:szCs w:val="22"/>
                <w:lang w:val="es-ES"/>
              </w:rPr>
              <w:t>Bolivia, Chile, Dominican Republic, Paraguay</w:t>
            </w:r>
          </w:p>
        </w:tc>
        <w:tc>
          <w:tcPr>
            <w:tcW w:w="960" w:type="dxa"/>
            <w:hideMark/>
          </w:tcPr>
          <w:p w14:paraId="24480A67" w14:textId="77777777" w:rsidR="00E953EE" w:rsidRPr="00EB272B" w:rsidRDefault="00E953EE" w:rsidP="006909EB">
            <w:pPr>
              <w:rPr>
                <w:rFonts w:cstheme="minorHAnsi"/>
                <w:sz w:val="22"/>
                <w:szCs w:val="22"/>
              </w:rPr>
            </w:pPr>
            <w:r w:rsidRPr="00EB272B">
              <w:rPr>
                <w:rFonts w:cstheme="minorHAnsi"/>
                <w:sz w:val="22"/>
                <w:szCs w:val="22"/>
              </w:rPr>
              <w:t>P</w:t>
            </w:r>
          </w:p>
        </w:tc>
        <w:tc>
          <w:tcPr>
            <w:tcW w:w="5380" w:type="dxa"/>
            <w:hideMark/>
          </w:tcPr>
          <w:p w14:paraId="7AC3D47A" w14:textId="77777777" w:rsidR="00E953EE" w:rsidRPr="00EB272B" w:rsidRDefault="00E953EE" w:rsidP="006909EB">
            <w:pPr>
              <w:rPr>
                <w:rFonts w:cstheme="minorHAnsi"/>
                <w:sz w:val="22"/>
                <w:szCs w:val="22"/>
              </w:rPr>
            </w:pPr>
            <w:r w:rsidRPr="00EB272B">
              <w:rPr>
                <w:rFonts w:cstheme="minorHAnsi"/>
                <w:sz w:val="22"/>
                <w:szCs w:val="22"/>
              </w:rPr>
              <w:t>Development of Minamata Initial Assessment in LAC</w:t>
            </w:r>
          </w:p>
        </w:tc>
        <w:tc>
          <w:tcPr>
            <w:tcW w:w="960" w:type="dxa"/>
            <w:hideMark/>
          </w:tcPr>
          <w:p w14:paraId="45BB3BF7" w14:textId="77777777" w:rsidR="00E953EE" w:rsidRPr="00EB272B" w:rsidRDefault="00E953EE" w:rsidP="006909EB">
            <w:pPr>
              <w:rPr>
                <w:rFonts w:cstheme="minorHAnsi"/>
                <w:sz w:val="22"/>
                <w:szCs w:val="22"/>
              </w:rPr>
            </w:pPr>
            <w:r w:rsidRPr="00EB272B">
              <w:rPr>
                <w:rFonts w:cstheme="minorHAnsi"/>
                <w:sz w:val="22"/>
                <w:szCs w:val="22"/>
              </w:rPr>
              <w:t>GEF-5</w:t>
            </w:r>
          </w:p>
        </w:tc>
        <w:tc>
          <w:tcPr>
            <w:tcW w:w="960" w:type="dxa"/>
            <w:hideMark/>
          </w:tcPr>
          <w:p w14:paraId="3AF83F15" w14:textId="77777777" w:rsidR="00E953EE" w:rsidRPr="00EB272B" w:rsidRDefault="00E953EE" w:rsidP="006909EB">
            <w:pPr>
              <w:rPr>
                <w:rFonts w:cstheme="minorHAnsi"/>
                <w:sz w:val="22"/>
                <w:szCs w:val="22"/>
              </w:rPr>
            </w:pPr>
            <w:r w:rsidRPr="00EB272B">
              <w:rPr>
                <w:rFonts w:cstheme="minorHAnsi"/>
                <w:sz w:val="22"/>
                <w:szCs w:val="22"/>
              </w:rPr>
              <w:t>EA</w:t>
            </w:r>
          </w:p>
        </w:tc>
        <w:tc>
          <w:tcPr>
            <w:tcW w:w="960" w:type="dxa"/>
            <w:hideMark/>
          </w:tcPr>
          <w:p w14:paraId="6098E5FD" w14:textId="77777777" w:rsidR="00E953EE" w:rsidRPr="00EB272B" w:rsidRDefault="00E953EE" w:rsidP="006909EB">
            <w:pPr>
              <w:rPr>
                <w:rFonts w:cstheme="minorHAnsi"/>
                <w:sz w:val="22"/>
                <w:szCs w:val="22"/>
              </w:rPr>
            </w:pPr>
            <w:r w:rsidRPr="00EB272B">
              <w:rPr>
                <w:rFonts w:cstheme="minorHAnsi"/>
                <w:sz w:val="22"/>
                <w:szCs w:val="22"/>
              </w:rPr>
              <w:t>UNEP</w:t>
            </w:r>
          </w:p>
        </w:tc>
        <w:tc>
          <w:tcPr>
            <w:tcW w:w="1660" w:type="dxa"/>
            <w:hideMark/>
          </w:tcPr>
          <w:p w14:paraId="64BC012F" w14:textId="77777777" w:rsidR="00E953EE" w:rsidRPr="00EB272B" w:rsidRDefault="00E953EE" w:rsidP="006909EB">
            <w:pPr>
              <w:jc w:val="right"/>
              <w:rPr>
                <w:rFonts w:cstheme="minorHAnsi"/>
                <w:sz w:val="22"/>
                <w:szCs w:val="22"/>
              </w:rPr>
            </w:pPr>
            <w:r w:rsidRPr="00EB272B">
              <w:rPr>
                <w:rFonts w:cstheme="minorHAnsi"/>
                <w:sz w:val="22"/>
                <w:szCs w:val="22"/>
              </w:rPr>
              <w:t>730594</w:t>
            </w:r>
          </w:p>
        </w:tc>
        <w:tc>
          <w:tcPr>
            <w:tcW w:w="1620" w:type="dxa"/>
            <w:hideMark/>
          </w:tcPr>
          <w:p w14:paraId="1B8665F5" w14:textId="77777777" w:rsidR="00E953EE" w:rsidRPr="00EB272B" w:rsidRDefault="00E953EE" w:rsidP="006909EB">
            <w:pPr>
              <w:jc w:val="right"/>
              <w:rPr>
                <w:rFonts w:cstheme="minorHAnsi"/>
                <w:sz w:val="22"/>
                <w:szCs w:val="22"/>
              </w:rPr>
            </w:pPr>
            <w:r w:rsidRPr="00EB272B">
              <w:rPr>
                <w:rFonts w:cstheme="minorHAnsi"/>
                <w:sz w:val="22"/>
                <w:szCs w:val="22"/>
              </w:rPr>
              <w:t>935000</w:t>
            </w:r>
          </w:p>
        </w:tc>
      </w:tr>
      <w:tr w:rsidR="00E953EE" w:rsidRPr="00EB272B" w14:paraId="338C9CB3" w14:textId="77777777" w:rsidTr="006909EB">
        <w:trPr>
          <w:trHeight w:val="1200"/>
        </w:trPr>
        <w:tc>
          <w:tcPr>
            <w:tcW w:w="1820" w:type="dxa"/>
            <w:hideMark/>
          </w:tcPr>
          <w:p w14:paraId="02CB0503" w14:textId="77777777" w:rsidR="00E953EE" w:rsidRPr="00EB272B" w:rsidRDefault="00E953EE" w:rsidP="006909EB">
            <w:pPr>
              <w:rPr>
                <w:rFonts w:cstheme="minorHAnsi"/>
                <w:sz w:val="22"/>
                <w:szCs w:val="22"/>
              </w:rPr>
            </w:pPr>
            <w:r w:rsidRPr="00EB272B">
              <w:rPr>
                <w:rFonts w:cstheme="minorHAnsi"/>
                <w:sz w:val="22"/>
                <w:szCs w:val="22"/>
              </w:rPr>
              <w:lastRenderedPageBreak/>
              <w:t xml:space="preserve">Regional </w:t>
            </w:r>
          </w:p>
        </w:tc>
        <w:tc>
          <w:tcPr>
            <w:tcW w:w="1840" w:type="dxa"/>
            <w:hideMark/>
          </w:tcPr>
          <w:p w14:paraId="418C06B4" w14:textId="77777777" w:rsidR="00E953EE" w:rsidRPr="00EB272B" w:rsidRDefault="00E953EE" w:rsidP="006909EB">
            <w:pPr>
              <w:rPr>
                <w:rFonts w:cstheme="minorHAnsi"/>
                <w:sz w:val="22"/>
                <w:szCs w:val="22"/>
              </w:rPr>
            </w:pPr>
            <w:r w:rsidRPr="00EB272B">
              <w:rPr>
                <w:rFonts w:cstheme="minorHAnsi"/>
                <w:sz w:val="22"/>
                <w:szCs w:val="22"/>
              </w:rPr>
              <w:t>Burkina Faso, Mali, Senegal</w:t>
            </w:r>
          </w:p>
        </w:tc>
        <w:tc>
          <w:tcPr>
            <w:tcW w:w="960" w:type="dxa"/>
            <w:hideMark/>
          </w:tcPr>
          <w:p w14:paraId="33E9ED3A" w14:textId="77777777" w:rsidR="00E953EE" w:rsidRPr="00EB272B" w:rsidRDefault="00E953EE" w:rsidP="006909EB">
            <w:pPr>
              <w:rPr>
                <w:rFonts w:cstheme="minorHAnsi"/>
                <w:sz w:val="22"/>
                <w:szCs w:val="22"/>
              </w:rPr>
            </w:pPr>
            <w:r w:rsidRPr="00EB272B">
              <w:rPr>
                <w:rFonts w:cstheme="minorHAnsi"/>
                <w:sz w:val="22"/>
                <w:szCs w:val="22"/>
              </w:rPr>
              <w:t>P</w:t>
            </w:r>
          </w:p>
        </w:tc>
        <w:tc>
          <w:tcPr>
            <w:tcW w:w="5380" w:type="dxa"/>
            <w:hideMark/>
          </w:tcPr>
          <w:p w14:paraId="303E9FA4" w14:textId="77777777" w:rsidR="00E953EE" w:rsidRPr="00EB272B" w:rsidRDefault="00E953EE" w:rsidP="006909EB">
            <w:pPr>
              <w:rPr>
                <w:rFonts w:cstheme="minorHAnsi"/>
                <w:sz w:val="22"/>
                <w:szCs w:val="22"/>
              </w:rPr>
            </w:pPr>
            <w:r w:rsidRPr="00EB272B">
              <w:rPr>
                <w:rFonts w:cstheme="minorHAnsi"/>
                <w:sz w:val="22"/>
                <w:szCs w:val="22"/>
              </w:rPr>
              <w:t>Improve the Health and Environment of Artisanal and Small Scale Gold Mining (ASGM) Communities by Reducing Mercury Emissions and Promoting Sound Chemical Management</w:t>
            </w:r>
          </w:p>
        </w:tc>
        <w:tc>
          <w:tcPr>
            <w:tcW w:w="960" w:type="dxa"/>
            <w:hideMark/>
          </w:tcPr>
          <w:p w14:paraId="6D7F1AAF" w14:textId="77777777" w:rsidR="00E953EE" w:rsidRPr="00EB272B" w:rsidRDefault="00E953EE" w:rsidP="006909EB">
            <w:pPr>
              <w:rPr>
                <w:rFonts w:cstheme="minorHAnsi"/>
                <w:sz w:val="22"/>
                <w:szCs w:val="22"/>
              </w:rPr>
            </w:pPr>
            <w:r w:rsidRPr="00EB272B">
              <w:rPr>
                <w:rFonts w:cstheme="minorHAnsi"/>
                <w:sz w:val="22"/>
                <w:szCs w:val="22"/>
              </w:rPr>
              <w:t>GEF-5</w:t>
            </w:r>
          </w:p>
        </w:tc>
        <w:tc>
          <w:tcPr>
            <w:tcW w:w="960" w:type="dxa"/>
            <w:hideMark/>
          </w:tcPr>
          <w:p w14:paraId="402FB00C" w14:textId="77777777" w:rsidR="00E953EE" w:rsidRPr="00EB272B" w:rsidRDefault="00E953EE" w:rsidP="006909EB">
            <w:pPr>
              <w:rPr>
                <w:rFonts w:cstheme="minorHAnsi"/>
                <w:sz w:val="22"/>
                <w:szCs w:val="22"/>
              </w:rPr>
            </w:pPr>
            <w:r w:rsidRPr="00EB272B">
              <w:rPr>
                <w:rFonts w:cstheme="minorHAnsi"/>
                <w:sz w:val="22"/>
                <w:szCs w:val="22"/>
              </w:rPr>
              <w:t>MSP</w:t>
            </w:r>
          </w:p>
        </w:tc>
        <w:tc>
          <w:tcPr>
            <w:tcW w:w="960" w:type="dxa"/>
            <w:hideMark/>
          </w:tcPr>
          <w:p w14:paraId="00819B99" w14:textId="77777777" w:rsidR="00E953EE" w:rsidRPr="00EB272B" w:rsidRDefault="00E953EE" w:rsidP="006909EB">
            <w:pPr>
              <w:rPr>
                <w:rFonts w:cstheme="minorHAnsi"/>
                <w:sz w:val="22"/>
                <w:szCs w:val="22"/>
              </w:rPr>
            </w:pPr>
            <w:r w:rsidRPr="00EB272B">
              <w:rPr>
                <w:rFonts w:cstheme="minorHAnsi"/>
                <w:sz w:val="22"/>
                <w:szCs w:val="22"/>
              </w:rPr>
              <w:t>UNIDO</w:t>
            </w:r>
          </w:p>
        </w:tc>
        <w:tc>
          <w:tcPr>
            <w:tcW w:w="1660" w:type="dxa"/>
            <w:hideMark/>
          </w:tcPr>
          <w:p w14:paraId="073AEAE4" w14:textId="77777777" w:rsidR="00E953EE" w:rsidRPr="00EB272B" w:rsidRDefault="00E953EE" w:rsidP="006909EB">
            <w:pPr>
              <w:jc w:val="right"/>
              <w:rPr>
                <w:rFonts w:cstheme="minorHAnsi"/>
                <w:sz w:val="22"/>
                <w:szCs w:val="22"/>
              </w:rPr>
            </w:pPr>
            <w:r w:rsidRPr="00EB272B">
              <w:rPr>
                <w:rFonts w:cstheme="minorHAnsi"/>
                <w:sz w:val="22"/>
                <w:szCs w:val="22"/>
              </w:rPr>
              <w:t>990000</w:t>
            </w:r>
          </w:p>
        </w:tc>
        <w:tc>
          <w:tcPr>
            <w:tcW w:w="1620" w:type="dxa"/>
            <w:hideMark/>
          </w:tcPr>
          <w:p w14:paraId="7A51EA0B" w14:textId="77777777" w:rsidR="00E953EE" w:rsidRPr="00EB272B" w:rsidRDefault="00E953EE" w:rsidP="006909EB">
            <w:pPr>
              <w:jc w:val="right"/>
              <w:rPr>
                <w:rFonts w:cstheme="minorHAnsi"/>
                <w:sz w:val="22"/>
                <w:szCs w:val="22"/>
              </w:rPr>
            </w:pPr>
            <w:r w:rsidRPr="00EB272B">
              <w:rPr>
                <w:rFonts w:cstheme="minorHAnsi"/>
                <w:sz w:val="22"/>
                <w:szCs w:val="22"/>
              </w:rPr>
              <w:t>2450000</w:t>
            </w:r>
          </w:p>
        </w:tc>
      </w:tr>
      <w:tr w:rsidR="00E953EE" w:rsidRPr="00EB272B" w14:paraId="2F898FEB" w14:textId="77777777" w:rsidTr="006909EB">
        <w:trPr>
          <w:trHeight w:val="1200"/>
        </w:trPr>
        <w:tc>
          <w:tcPr>
            <w:tcW w:w="1820" w:type="dxa"/>
            <w:hideMark/>
          </w:tcPr>
          <w:p w14:paraId="34644217" w14:textId="77777777" w:rsidR="00E953EE" w:rsidRPr="00EB272B" w:rsidRDefault="00E953EE" w:rsidP="006909EB">
            <w:pPr>
              <w:rPr>
                <w:rFonts w:cstheme="minorHAnsi"/>
                <w:sz w:val="22"/>
                <w:szCs w:val="22"/>
              </w:rPr>
            </w:pPr>
            <w:r w:rsidRPr="00EB272B">
              <w:rPr>
                <w:rFonts w:cstheme="minorHAnsi"/>
                <w:sz w:val="22"/>
                <w:szCs w:val="22"/>
              </w:rPr>
              <w:t xml:space="preserve">Regional </w:t>
            </w:r>
          </w:p>
        </w:tc>
        <w:tc>
          <w:tcPr>
            <w:tcW w:w="1840" w:type="dxa"/>
            <w:hideMark/>
          </w:tcPr>
          <w:p w14:paraId="054835A4" w14:textId="77777777" w:rsidR="00E953EE" w:rsidRPr="00D7403E" w:rsidRDefault="00E953EE" w:rsidP="006909EB">
            <w:pPr>
              <w:rPr>
                <w:rFonts w:cstheme="minorHAnsi"/>
                <w:sz w:val="22"/>
                <w:szCs w:val="22"/>
                <w:lang w:val="es-ES"/>
              </w:rPr>
            </w:pPr>
            <w:r w:rsidRPr="00D7403E">
              <w:rPr>
                <w:rFonts w:cstheme="minorHAnsi"/>
                <w:sz w:val="22"/>
                <w:szCs w:val="22"/>
                <w:lang w:val="es-ES"/>
              </w:rPr>
              <w:t>Argentina, Ecuador, Nicaragua, Peru, Uruguay</w:t>
            </w:r>
          </w:p>
        </w:tc>
        <w:tc>
          <w:tcPr>
            <w:tcW w:w="960" w:type="dxa"/>
            <w:hideMark/>
          </w:tcPr>
          <w:p w14:paraId="3E3E7A6B" w14:textId="77777777" w:rsidR="00E953EE" w:rsidRPr="00EB272B" w:rsidRDefault="00E953EE" w:rsidP="006909EB">
            <w:pPr>
              <w:rPr>
                <w:rFonts w:cstheme="minorHAnsi"/>
                <w:sz w:val="22"/>
                <w:szCs w:val="22"/>
              </w:rPr>
            </w:pPr>
            <w:r w:rsidRPr="00EB272B">
              <w:rPr>
                <w:rFonts w:cstheme="minorHAnsi"/>
                <w:sz w:val="22"/>
                <w:szCs w:val="22"/>
              </w:rPr>
              <w:t>P</w:t>
            </w:r>
          </w:p>
        </w:tc>
        <w:tc>
          <w:tcPr>
            <w:tcW w:w="5380" w:type="dxa"/>
            <w:hideMark/>
          </w:tcPr>
          <w:p w14:paraId="7DEB2A4B" w14:textId="77777777" w:rsidR="00E953EE" w:rsidRPr="00EB272B" w:rsidRDefault="00E953EE" w:rsidP="006909EB">
            <w:pPr>
              <w:rPr>
                <w:rFonts w:cstheme="minorHAnsi"/>
                <w:sz w:val="22"/>
                <w:szCs w:val="22"/>
              </w:rPr>
            </w:pPr>
            <w:r w:rsidRPr="00EB272B">
              <w:rPr>
                <w:rFonts w:cstheme="minorHAnsi"/>
                <w:sz w:val="22"/>
                <w:szCs w:val="22"/>
              </w:rPr>
              <w:t>Development of Mercury Risk Management Approaches in Latin America</w:t>
            </w:r>
          </w:p>
        </w:tc>
        <w:tc>
          <w:tcPr>
            <w:tcW w:w="960" w:type="dxa"/>
            <w:hideMark/>
          </w:tcPr>
          <w:p w14:paraId="41C26DC4" w14:textId="77777777" w:rsidR="00E953EE" w:rsidRPr="00EB272B" w:rsidRDefault="00E953EE" w:rsidP="006909EB">
            <w:pPr>
              <w:rPr>
                <w:rFonts w:cstheme="minorHAnsi"/>
                <w:sz w:val="22"/>
                <w:szCs w:val="22"/>
              </w:rPr>
            </w:pPr>
            <w:r w:rsidRPr="00EB272B">
              <w:rPr>
                <w:rFonts w:cstheme="minorHAnsi"/>
                <w:sz w:val="22"/>
                <w:szCs w:val="22"/>
              </w:rPr>
              <w:t>GEF-5</w:t>
            </w:r>
          </w:p>
        </w:tc>
        <w:tc>
          <w:tcPr>
            <w:tcW w:w="960" w:type="dxa"/>
            <w:hideMark/>
          </w:tcPr>
          <w:p w14:paraId="5AF9CF0B" w14:textId="77777777" w:rsidR="00E953EE" w:rsidRPr="00EB272B" w:rsidRDefault="00E953EE" w:rsidP="006909EB">
            <w:pPr>
              <w:rPr>
                <w:rFonts w:cstheme="minorHAnsi"/>
                <w:sz w:val="22"/>
                <w:szCs w:val="22"/>
              </w:rPr>
            </w:pPr>
            <w:r w:rsidRPr="00EB272B">
              <w:rPr>
                <w:rFonts w:cstheme="minorHAnsi"/>
                <w:sz w:val="22"/>
                <w:szCs w:val="22"/>
              </w:rPr>
              <w:t>MSP</w:t>
            </w:r>
          </w:p>
        </w:tc>
        <w:tc>
          <w:tcPr>
            <w:tcW w:w="960" w:type="dxa"/>
            <w:hideMark/>
          </w:tcPr>
          <w:p w14:paraId="3C88C6D7" w14:textId="77777777" w:rsidR="00E953EE" w:rsidRPr="00EB272B" w:rsidRDefault="00E953EE" w:rsidP="006909EB">
            <w:pPr>
              <w:rPr>
                <w:rFonts w:cstheme="minorHAnsi"/>
                <w:sz w:val="22"/>
                <w:szCs w:val="22"/>
              </w:rPr>
            </w:pPr>
            <w:r w:rsidRPr="00EB272B">
              <w:rPr>
                <w:rFonts w:cstheme="minorHAnsi"/>
                <w:sz w:val="22"/>
                <w:szCs w:val="22"/>
              </w:rPr>
              <w:t>UNEP</w:t>
            </w:r>
          </w:p>
        </w:tc>
        <w:tc>
          <w:tcPr>
            <w:tcW w:w="1660" w:type="dxa"/>
            <w:hideMark/>
          </w:tcPr>
          <w:p w14:paraId="66410AE2" w14:textId="77777777" w:rsidR="00E953EE" w:rsidRPr="00EB272B" w:rsidRDefault="00E953EE" w:rsidP="006909EB">
            <w:pPr>
              <w:jc w:val="right"/>
              <w:rPr>
                <w:rFonts w:cstheme="minorHAnsi"/>
                <w:sz w:val="22"/>
                <w:szCs w:val="22"/>
              </w:rPr>
            </w:pPr>
            <w:r w:rsidRPr="00EB272B">
              <w:rPr>
                <w:rFonts w:cstheme="minorHAnsi"/>
                <w:sz w:val="22"/>
                <w:szCs w:val="22"/>
              </w:rPr>
              <w:t>916000</w:t>
            </w:r>
          </w:p>
        </w:tc>
        <w:tc>
          <w:tcPr>
            <w:tcW w:w="1620" w:type="dxa"/>
            <w:hideMark/>
          </w:tcPr>
          <w:p w14:paraId="684B65B4" w14:textId="77777777" w:rsidR="00E953EE" w:rsidRPr="00EB272B" w:rsidRDefault="00E953EE" w:rsidP="006909EB">
            <w:pPr>
              <w:jc w:val="right"/>
              <w:rPr>
                <w:rFonts w:cstheme="minorHAnsi"/>
                <w:sz w:val="22"/>
                <w:szCs w:val="22"/>
              </w:rPr>
            </w:pPr>
            <w:r w:rsidRPr="00EB272B">
              <w:rPr>
                <w:rFonts w:cstheme="minorHAnsi"/>
                <w:sz w:val="22"/>
                <w:szCs w:val="22"/>
              </w:rPr>
              <w:t>2894434</w:t>
            </w:r>
          </w:p>
        </w:tc>
      </w:tr>
      <w:tr w:rsidR="00E953EE" w:rsidRPr="00EB272B" w14:paraId="46EABF24" w14:textId="77777777" w:rsidTr="006909EB">
        <w:trPr>
          <w:trHeight w:val="600"/>
        </w:trPr>
        <w:tc>
          <w:tcPr>
            <w:tcW w:w="1820" w:type="dxa"/>
            <w:hideMark/>
          </w:tcPr>
          <w:p w14:paraId="4B6308EE" w14:textId="77777777" w:rsidR="00E953EE" w:rsidRPr="00EB272B" w:rsidRDefault="00E953EE" w:rsidP="006909EB">
            <w:pPr>
              <w:rPr>
                <w:rFonts w:cstheme="minorHAnsi"/>
                <w:sz w:val="22"/>
                <w:szCs w:val="22"/>
              </w:rPr>
            </w:pPr>
            <w:r w:rsidRPr="00EB272B">
              <w:rPr>
                <w:rFonts w:cstheme="minorHAnsi"/>
                <w:sz w:val="22"/>
                <w:szCs w:val="22"/>
              </w:rPr>
              <w:t>Russian Federation</w:t>
            </w:r>
          </w:p>
        </w:tc>
        <w:tc>
          <w:tcPr>
            <w:tcW w:w="1840" w:type="dxa"/>
            <w:hideMark/>
          </w:tcPr>
          <w:p w14:paraId="315A7525" w14:textId="77777777" w:rsidR="00E953EE" w:rsidRPr="00EB272B" w:rsidRDefault="00E953EE" w:rsidP="006909EB">
            <w:pPr>
              <w:rPr>
                <w:rFonts w:cstheme="minorHAnsi"/>
                <w:sz w:val="22"/>
                <w:szCs w:val="22"/>
              </w:rPr>
            </w:pPr>
            <w:r w:rsidRPr="00EB272B">
              <w:rPr>
                <w:rFonts w:cstheme="minorHAnsi"/>
                <w:sz w:val="22"/>
                <w:szCs w:val="22"/>
              </w:rPr>
              <w:t> </w:t>
            </w:r>
          </w:p>
        </w:tc>
        <w:tc>
          <w:tcPr>
            <w:tcW w:w="960" w:type="dxa"/>
            <w:hideMark/>
          </w:tcPr>
          <w:p w14:paraId="764CC862" w14:textId="77777777" w:rsidR="00E953EE" w:rsidRPr="00EB272B" w:rsidRDefault="00E953EE" w:rsidP="006909EB">
            <w:pPr>
              <w:rPr>
                <w:rFonts w:cstheme="minorHAnsi"/>
                <w:sz w:val="22"/>
                <w:szCs w:val="22"/>
              </w:rPr>
            </w:pPr>
            <w:r w:rsidRPr="00EB272B">
              <w:rPr>
                <w:rFonts w:cstheme="minorHAnsi"/>
                <w:sz w:val="22"/>
                <w:szCs w:val="22"/>
              </w:rPr>
              <w:t>P</w:t>
            </w:r>
          </w:p>
        </w:tc>
        <w:tc>
          <w:tcPr>
            <w:tcW w:w="5380" w:type="dxa"/>
            <w:hideMark/>
          </w:tcPr>
          <w:p w14:paraId="7AB03D6D" w14:textId="77777777" w:rsidR="00E953EE" w:rsidRPr="00EB272B" w:rsidRDefault="00E953EE" w:rsidP="006909EB">
            <w:pPr>
              <w:rPr>
                <w:rFonts w:cstheme="minorHAnsi"/>
                <w:sz w:val="22"/>
                <w:szCs w:val="22"/>
              </w:rPr>
            </w:pPr>
            <w:r w:rsidRPr="00EB272B">
              <w:rPr>
                <w:rFonts w:cstheme="minorHAnsi"/>
                <w:sz w:val="22"/>
                <w:szCs w:val="22"/>
              </w:rPr>
              <w:t>Pilot Project on the Development of Mercury Inventory in the Russian Federation (RF)</w:t>
            </w:r>
          </w:p>
        </w:tc>
        <w:tc>
          <w:tcPr>
            <w:tcW w:w="960" w:type="dxa"/>
            <w:hideMark/>
          </w:tcPr>
          <w:p w14:paraId="5631791B" w14:textId="77777777" w:rsidR="00E953EE" w:rsidRPr="00EB272B" w:rsidRDefault="00E953EE" w:rsidP="006909EB">
            <w:pPr>
              <w:rPr>
                <w:rFonts w:cstheme="minorHAnsi"/>
                <w:sz w:val="22"/>
                <w:szCs w:val="22"/>
              </w:rPr>
            </w:pPr>
            <w:r w:rsidRPr="00EB272B">
              <w:rPr>
                <w:rFonts w:cstheme="minorHAnsi"/>
                <w:sz w:val="22"/>
                <w:szCs w:val="22"/>
              </w:rPr>
              <w:t>GEF-5</w:t>
            </w:r>
          </w:p>
        </w:tc>
        <w:tc>
          <w:tcPr>
            <w:tcW w:w="960" w:type="dxa"/>
            <w:hideMark/>
          </w:tcPr>
          <w:p w14:paraId="42FFDA0C" w14:textId="77777777" w:rsidR="00E953EE" w:rsidRPr="00EB272B" w:rsidRDefault="00E953EE" w:rsidP="006909EB">
            <w:pPr>
              <w:rPr>
                <w:rFonts w:cstheme="minorHAnsi"/>
                <w:sz w:val="22"/>
                <w:szCs w:val="22"/>
              </w:rPr>
            </w:pPr>
            <w:r w:rsidRPr="00EB272B">
              <w:rPr>
                <w:rFonts w:cstheme="minorHAnsi"/>
                <w:sz w:val="22"/>
                <w:szCs w:val="22"/>
              </w:rPr>
              <w:t>MSP</w:t>
            </w:r>
          </w:p>
        </w:tc>
        <w:tc>
          <w:tcPr>
            <w:tcW w:w="960" w:type="dxa"/>
            <w:hideMark/>
          </w:tcPr>
          <w:p w14:paraId="6C5CE502" w14:textId="77777777" w:rsidR="00E953EE" w:rsidRPr="00EB272B" w:rsidRDefault="00E953EE" w:rsidP="006909EB">
            <w:pPr>
              <w:rPr>
                <w:rFonts w:cstheme="minorHAnsi"/>
                <w:sz w:val="22"/>
                <w:szCs w:val="22"/>
              </w:rPr>
            </w:pPr>
            <w:r w:rsidRPr="00EB272B">
              <w:rPr>
                <w:rFonts w:cstheme="minorHAnsi"/>
                <w:sz w:val="22"/>
                <w:szCs w:val="22"/>
              </w:rPr>
              <w:t>UNEP</w:t>
            </w:r>
          </w:p>
        </w:tc>
        <w:tc>
          <w:tcPr>
            <w:tcW w:w="1660" w:type="dxa"/>
            <w:hideMark/>
          </w:tcPr>
          <w:p w14:paraId="42CA7816" w14:textId="77777777" w:rsidR="00E953EE" w:rsidRPr="00EB272B" w:rsidRDefault="00E953EE" w:rsidP="006909EB">
            <w:pPr>
              <w:jc w:val="right"/>
              <w:rPr>
                <w:rFonts w:cstheme="minorHAnsi"/>
                <w:sz w:val="22"/>
                <w:szCs w:val="22"/>
              </w:rPr>
            </w:pPr>
            <w:r w:rsidRPr="00EB272B">
              <w:rPr>
                <w:rFonts w:cstheme="minorHAnsi"/>
                <w:sz w:val="22"/>
                <w:szCs w:val="22"/>
              </w:rPr>
              <w:t>1000000</w:t>
            </w:r>
          </w:p>
        </w:tc>
        <w:tc>
          <w:tcPr>
            <w:tcW w:w="1620" w:type="dxa"/>
            <w:hideMark/>
          </w:tcPr>
          <w:p w14:paraId="6C6DAF4B" w14:textId="77777777" w:rsidR="00E953EE" w:rsidRPr="00EB272B" w:rsidRDefault="00E953EE" w:rsidP="006909EB">
            <w:pPr>
              <w:jc w:val="right"/>
              <w:rPr>
                <w:rFonts w:cstheme="minorHAnsi"/>
                <w:sz w:val="22"/>
                <w:szCs w:val="22"/>
              </w:rPr>
            </w:pPr>
            <w:r w:rsidRPr="00EB272B">
              <w:rPr>
                <w:rFonts w:cstheme="minorHAnsi"/>
                <w:sz w:val="22"/>
                <w:szCs w:val="22"/>
              </w:rPr>
              <w:t>3418969</w:t>
            </w:r>
          </w:p>
        </w:tc>
      </w:tr>
      <w:tr w:rsidR="00E953EE" w:rsidRPr="00EB272B" w14:paraId="2F339F05" w14:textId="77777777" w:rsidTr="006909EB">
        <w:trPr>
          <w:trHeight w:val="300"/>
        </w:trPr>
        <w:tc>
          <w:tcPr>
            <w:tcW w:w="1820" w:type="dxa"/>
            <w:hideMark/>
          </w:tcPr>
          <w:p w14:paraId="36B39B53" w14:textId="77777777" w:rsidR="00E953EE" w:rsidRPr="00EB272B" w:rsidRDefault="00E953EE" w:rsidP="006909EB">
            <w:pPr>
              <w:rPr>
                <w:rFonts w:cstheme="minorHAnsi"/>
                <w:sz w:val="22"/>
                <w:szCs w:val="22"/>
              </w:rPr>
            </w:pPr>
            <w:r w:rsidRPr="00EB272B">
              <w:rPr>
                <w:rFonts w:cstheme="minorHAnsi"/>
                <w:sz w:val="22"/>
                <w:szCs w:val="22"/>
              </w:rPr>
              <w:t>Rwanda</w:t>
            </w:r>
          </w:p>
        </w:tc>
        <w:tc>
          <w:tcPr>
            <w:tcW w:w="1840" w:type="dxa"/>
            <w:hideMark/>
          </w:tcPr>
          <w:p w14:paraId="235A916D" w14:textId="77777777" w:rsidR="00E953EE" w:rsidRPr="00EB272B" w:rsidRDefault="00E953EE" w:rsidP="006909EB">
            <w:pPr>
              <w:rPr>
                <w:rFonts w:cstheme="minorHAnsi"/>
                <w:sz w:val="22"/>
                <w:szCs w:val="22"/>
              </w:rPr>
            </w:pPr>
            <w:r w:rsidRPr="00EB272B">
              <w:rPr>
                <w:rFonts w:cstheme="minorHAnsi"/>
                <w:sz w:val="22"/>
                <w:szCs w:val="22"/>
              </w:rPr>
              <w:t> </w:t>
            </w:r>
          </w:p>
        </w:tc>
        <w:tc>
          <w:tcPr>
            <w:tcW w:w="960" w:type="dxa"/>
            <w:hideMark/>
          </w:tcPr>
          <w:p w14:paraId="6489C701" w14:textId="77777777" w:rsidR="00E953EE" w:rsidRPr="00EB272B" w:rsidRDefault="00E953EE" w:rsidP="006909EB">
            <w:pPr>
              <w:rPr>
                <w:rFonts w:cstheme="minorHAnsi"/>
                <w:sz w:val="22"/>
                <w:szCs w:val="22"/>
              </w:rPr>
            </w:pPr>
            <w:r w:rsidRPr="00EB272B">
              <w:rPr>
                <w:rFonts w:cstheme="minorHAnsi"/>
                <w:sz w:val="22"/>
                <w:szCs w:val="22"/>
              </w:rPr>
              <w:t>W</w:t>
            </w:r>
          </w:p>
        </w:tc>
        <w:tc>
          <w:tcPr>
            <w:tcW w:w="5380" w:type="dxa"/>
            <w:hideMark/>
          </w:tcPr>
          <w:p w14:paraId="14A46B59" w14:textId="77777777" w:rsidR="00E953EE" w:rsidRPr="00EB272B" w:rsidRDefault="00E953EE" w:rsidP="006909EB">
            <w:pPr>
              <w:rPr>
                <w:rFonts w:cstheme="minorHAnsi"/>
                <w:sz w:val="22"/>
                <w:szCs w:val="22"/>
              </w:rPr>
            </w:pPr>
            <w:r w:rsidRPr="00EB272B">
              <w:rPr>
                <w:rFonts w:cstheme="minorHAnsi"/>
                <w:sz w:val="22"/>
                <w:szCs w:val="22"/>
              </w:rPr>
              <w:t>Minamata Convention: Initial assessment for Rwanda</w:t>
            </w:r>
          </w:p>
        </w:tc>
        <w:tc>
          <w:tcPr>
            <w:tcW w:w="960" w:type="dxa"/>
            <w:hideMark/>
          </w:tcPr>
          <w:p w14:paraId="02B70416" w14:textId="77777777" w:rsidR="00E953EE" w:rsidRPr="00EB272B" w:rsidRDefault="00E953EE" w:rsidP="006909EB">
            <w:pPr>
              <w:rPr>
                <w:rFonts w:cstheme="minorHAnsi"/>
                <w:sz w:val="22"/>
                <w:szCs w:val="22"/>
              </w:rPr>
            </w:pPr>
            <w:r w:rsidRPr="00EB272B">
              <w:rPr>
                <w:rFonts w:cstheme="minorHAnsi"/>
                <w:sz w:val="22"/>
                <w:szCs w:val="22"/>
              </w:rPr>
              <w:t>GEF-7</w:t>
            </w:r>
          </w:p>
        </w:tc>
        <w:tc>
          <w:tcPr>
            <w:tcW w:w="960" w:type="dxa"/>
            <w:hideMark/>
          </w:tcPr>
          <w:p w14:paraId="42246FCC" w14:textId="77777777" w:rsidR="00E953EE" w:rsidRPr="00EB272B" w:rsidRDefault="00E953EE" w:rsidP="006909EB">
            <w:pPr>
              <w:rPr>
                <w:rFonts w:cstheme="minorHAnsi"/>
                <w:sz w:val="22"/>
                <w:szCs w:val="22"/>
              </w:rPr>
            </w:pPr>
            <w:r w:rsidRPr="00EB272B">
              <w:rPr>
                <w:rFonts w:cstheme="minorHAnsi"/>
                <w:sz w:val="22"/>
                <w:szCs w:val="22"/>
              </w:rPr>
              <w:t>EA</w:t>
            </w:r>
          </w:p>
        </w:tc>
        <w:tc>
          <w:tcPr>
            <w:tcW w:w="960" w:type="dxa"/>
            <w:hideMark/>
          </w:tcPr>
          <w:p w14:paraId="0AE1BA9C" w14:textId="77777777" w:rsidR="00E953EE" w:rsidRPr="00EB272B" w:rsidRDefault="00E953EE" w:rsidP="006909EB">
            <w:pPr>
              <w:rPr>
                <w:rFonts w:cstheme="minorHAnsi"/>
                <w:sz w:val="22"/>
                <w:szCs w:val="22"/>
              </w:rPr>
            </w:pPr>
            <w:r w:rsidRPr="00EB272B">
              <w:rPr>
                <w:rFonts w:cstheme="minorHAnsi"/>
                <w:sz w:val="22"/>
                <w:szCs w:val="22"/>
              </w:rPr>
              <w:t>UNIDO</w:t>
            </w:r>
          </w:p>
        </w:tc>
        <w:tc>
          <w:tcPr>
            <w:tcW w:w="1660" w:type="dxa"/>
            <w:hideMark/>
          </w:tcPr>
          <w:p w14:paraId="10C0A075" w14:textId="77777777" w:rsidR="00E953EE" w:rsidRPr="00EB272B" w:rsidRDefault="00E953EE" w:rsidP="006909EB">
            <w:pPr>
              <w:jc w:val="right"/>
              <w:rPr>
                <w:rFonts w:cstheme="minorHAnsi"/>
                <w:sz w:val="22"/>
                <w:szCs w:val="22"/>
              </w:rPr>
            </w:pPr>
            <w:r w:rsidRPr="00EB272B">
              <w:rPr>
                <w:rFonts w:cstheme="minorHAnsi"/>
                <w:sz w:val="22"/>
                <w:szCs w:val="22"/>
              </w:rPr>
              <w:t>200000</w:t>
            </w:r>
          </w:p>
        </w:tc>
        <w:tc>
          <w:tcPr>
            <w:tcW w:w="1620" w:type="dxa"/>
            <w:hideMark/>
          </w:tcPr>
          <w:p w14:paraId="48D85B4E" w14:textId="77777777" w:rsidR="00E953EE" w:rsidRPr="00EB272B" w:rsidRDefault="00E953EE" w:rsidP="006909EB">
            <w:pPr>
              <w:jc w:val="right"/>
              <w:rPr>
                <w:rFonts w:cstheme="minorHAnsi"/>
                <w:sz w:val="22"/>
                <w:szCs w:val="22"/>
              </w:rPr>
            </w:pPr>
            <w:r w:rsidRPr="00EB272B">
              <w:rPr>
                <w:rFonts w:cstheme="minorHAnsi"/>
                <w:sz w:val="22"/>
                <w:szCs w:val="22"/>
              </w:rPr>
              <w:t>18400</w:t>
            </w:r>
          </w:p>
        </w:tc>
      </w:tr>
      <w:tr w:rsidR="00E953EE" w:rsidRPr="00EB272B" w14:paraId="0AF636AF" w14:textId="77777777" w:rsidTr="006909EB">
        <w:trPr>
          <w:trHeight w:val="600"/>
        </w:trPr>
        <w:tc>
          <w:tcPr>
            <w:tcW w:w="1820" w:type="dxa"/>
            <w:hideMark/>
          </w:tcPr>
          <w:p w14:paraId="6A685AEE" w14:textId="77777777" w:rsidR="00E953EE" w:rsidRPr="00EB272B" w:rsidRDefault="00E953EE" w:rsidP="006909EB">
            <w:pPr>
              <w:rPr>
                <w:rFonts w:cstheme="minorHAnsi"/>
                <w:sz w:val="22"/>
                <w:szCs w:val="22"/>
              </w:rPr>
            </w:pPr>
            <w:r w:rsidRPr="00EB272B">
              <w:rPr>
                <w:rFonts w:cstheme="minorHAnsi"/>
                <w:sz w:val="22"/>
                <w:szCs w:val="22"/>
              </w:rPr>
              <w:t>Rwanda</w:t>
            </w:r>
          </w:p>
        </w:tc>
        <w:tc>
          <w:tcPr>
            <w:tcW w:w="1840" w:type="dxa"/>
            <w:hideMark/>
          </w:tcPr>
          <w:p w14:paraId="40754DAE" w14:textId="77777777" w:rsidR="00E953EE" w:rsidRPr="00EB272B" w:rsidRDefault="00E953EE" w:rsidP="006909EB">
            <w:pPr>
              <w:rPr>
                <w:rFonts w:cstheme="minorHAnsi"/>
                <w:sz w:val="22"/>
                <w:szCs w:val="22"/>
              </w:rPr>
            </w:pPr>
            <w:r w:rsidRPr="00EB272B">
              <w:rPr>
                <w:rFonts w:cstheme="minorHAnsi"/>
                <w:sz w:val="22"/>
                <w:szCs w:val="22"/>
              </w:rPr>
              <w:t> </w:t>
            </w:r>
          </w:p>
        </w:tc>
        <w:tc>
          <w:tcPr>
            <w:tcW w:w="960" w:type="dxa"/>
            <w:hideMark/>
          </w:tcPr>
          <w:p w14:paraId="6F31D14B" w14:textId="77777777" w:rsidR="00E953EE" w:rsidRPr="00EB272B" w:rsidRDefault="00E953EE" w:rsidP="006909EB">
            <w:pPr>
              <w:rPr>
                <w:rFonts w:cstheme="minorHAnsi"/>
                <w:sz w:val="22"/>
                <w:szCs w:val="22"/>
              </w:rPr>
            </w:pPr>
            <w:r w:rsidRPr="00EB272B">
              <w:rPr>
                <w:rFonts w:cstheme="minorHAnsi"/>
                <w:sz w:val="22"/>
                <w:szCs w:val="22"/>
              </w:rPr>
              <w:t>W</w:t>
            </w:r>
          </w:p>
        </w:tc>
        <w:tc>
          <w:tcPr>
            <w:tcW w:w="5380" w:type="dxa"/>
            <w:hideMark/>
          </w:tcPr>
          <w:p w14:paraId="65371637" w14:textId="77777777" w:rsidR="00E953EE" w:rsidRPr="00EB272B" w:rsidRDefault="00E953EE" w:rsidP="006909EB">
            <w:pPr>
              <w:rPr>
                <w:rFonts w:cstheme="minorHAnsi"/>
                <w:sz w:val="22"/>
                <w:szCs w:val="22"/>
              </w:rPr>
            </w:pPr>
            <w:r w:rsidRPr="00EB272B">
              <w:rPr>
                <w:rFonts w:cstheme="minorHAnsi"/>
                <w:sz w:val="22"/>
                <w:szCs w:val="22"/>
              </w:rPr>
              <w:t>National action plan on mercury in the artisanal and small-scale gold mining sector in Rwanda</w:t>
            </w:r>
          </w:p>
        </w:tc>
        <w:tc>
          <w:tcPr>
            <w:tcW w:w="960" w:type="dxa"/>
            <w:hideMark/>
          </w:tcPr>
          <w:p w14:paraId="0D5C3272" w14:textId="77777777" w:rsidR="00E953EE" w:rsidRPr="00EB272B" w:rsidRDefault="00E953EE" w:rsidP="006909EB">
            <w:pPr>
              <w:rPr>
                <w:rFonts w:cstheme="minorHAnsi"/>
                <w:sz w:val="22"/>
                <w:szCs w:val="22"/>
              </w:rPr>
            </w:pPr>
            <w:r w:rsidRPr="00EB272B">
              <w:rPr>
                <w:rFonts w:cstheme="minorHAnsi"/>
                <w:sz w:val="22"/>
                <w:szCs w:val="22"/>
              </w:rPr>
              <w:t>GEF-7</w:t>
            </w:r>
          </w:p>
        </w:tc>
        <w:tc>
          <w:tcPr>
            <w:tcW w:w="960" w:type="dxa"/>
            <w:hideMark/>
          </w:tcPr>
          <w:p w14:paraId="2507F98F" w14:textId="77777777" w:rsidR="00E953EE" w:rsidRPr="00EB272B" w:rsidRDefault="00E953EE" w:rsidP="006909EB">
            <w:pPr>
              <w:rPr>
                <w:rFonts w:cstheme="minorHAnsi"/>
                <w:sz w:val="22"/>
                <w:szCs w:val="22"/>
              </w:rPr>
            </w:pPr>
            <w:r w:rsidRPr="00EB272B">
              <w:rPr>
                <w:rFonts w:cstheme="minorHAnsi"/>
                <w:sz w:val="22"/>
                <w:szCs w:val="22"/>
              </w:rPr>
              <w:t>EA</w:t>
            </w:r>
          </w:p>
        </w:tc>
        <w:tc>
          <w:tcPr>
            <w:tcW w:w="960" w:type="dxa"/>
            <w:hideMark/>
          </w:tcPr>
          <w:p w14:paraId="3DFDBAFE" w14:textId="77777777" w:rsidR="00E953EE" w:rsidRPr="00EB272B" w:rsidRDefault="00E953EE" w:rsidP="006909EB">
            <w:pPr>
              <w:rPr>
                <w:rFonts w:cstheme="minorHAnsi"/>
                <w:sz w:val="22"/>
                <w:szCs w:val="22"/>
              </w:rPr>
            </w:pPr>
            <w:r w:rsidRPr="00EB272B">
              <w:rPr>
                <w:rFonts w:cstheme="minorHAnsi"/>
                <w:sz w:val="22"/>
                <w:szCs w:val="22"/>
              </w:rPr>
              <w:t>UNIDO</w:t>
            </w:r>
          </w:p>
        </w:tc>
        <w:tc>
          <w:tcPr>
            <w:tcW w:w="1660" w:type="dxa"/>
            <w:hideMark/>
          </w:tcPr>
          <w:p w14:paraId="49FB6628" w14:textId="77777777" w:rsidR="00E953EE" w:rsidRPr="00EB272B" w:rsidRDefault="00E953EE" w:rsidP="006909EB">
            <w:pPr>
              <w:jc w:val="right"/>
              <w:rPr>
                <w:rFonts w:cstheme="minorHAnsi"/>
                <w:sz w:val="22"/>
                <w:szCs w:val="22"/>
              </w:rPr>
            </w:pPr>
            <w:r w:rsidRPr="00EB272B">
              <w:rPr>
                <w:rFonts w:cstheme="minorHAnsi"/>
                <w:sz w:val="22"/>
                <w:szCs w:val="22"/>
              </w:rPr>
              <w:t>500000</w:t>
            </w:r>
          </w:p>
        </w:tc>
        <w:tc>
          <w:tcPr>
            <w:tcW w:w="1620" w:type="dxa"/>
            <w:hideMark/>
          </w:tcPr>
          <w:p w14:paraId="4C8AFC19" w14:textId="77777777" w:rsidR="00E953EE" w:rsidRPr="00EB272B" w:rsidRDefault="00E953EE" w:rsidP="006909EB">
            <w:pPr>
              <w:jc w:val="right"/>
              <w:rPr>
                <w:rFonts w:cstheme="minorHAnsi"/>
                <w:sz w:val="22"/>
                <w:szCs w:val="22"/>
              </w:rPr>
            </w:pPr>
            <w:r w:rsidRPr="00EB272B">
              <w:rPr>
                <w:rFonts w:cstheme="minorHAnsi"/>
                <w:sz w:val="22"/>
                <w:szCs w:val="22"/>
              </w:rPr>
              <w:t>58500</w:t>
            </w:r>
          </w:p>
        </w:tc>
      </w:tr>
      <w:tr w:rsidR="00E953EE" w:rsidRPr="00EB272B" w14:paraId="4E7E651C" w14:textId="77777777" w:rsidTr="006909EB">
        <w:trPr>
          <w:trHeight w:val="300"/>
        </w:trPr>
        <w:tc>
          <w:tcPr>
            <w:tcW w:w="1820" w:type="dxa"/>
            <w:hideMark/>
          </w:tcPr>
          <w:p w14:paraId="229C84C2" w14:textId="77777777" w:rsidR="00E953EE" w:rsidRPr="00EB272B" w:rsidRDefault="00E953EE" w:rsidP="006909EB">
            <w:pPr>
              <w:rPr>
                <w:rFonts w:cstheme="minorHAnsi"/>
                <w:sz w:val="22"/>
                <w:szCs w:val="22"/>
              </w:rPr>
            </w:pPr>
            <w:r w:rsidRPr="00EB272B">
              <w:rPr>
                <w:rFonts w:cstheme="minorHAnsi"/>
                <w:sz w:val="22"/>
                <w:szCs w:val="22"/>
              </w:rPr>
              <w:t>Serbia</w:t>
            </w:r>
          </w:p>
        </w:tc>
        <w:tc>
          <w:tcPr>
            <w:tcW w:w="1840" w:type="dxa"/>
            <w:hideMark/>
          </w:tcPr>
          <w:p w14:paraId="699DCE41" w14:textId="77777777" w:rsidR="00E953EE" w:rsidRPr="00EB272B" w:rsidRDefault="00E953EE" w:rsidP="006909EB">
            <w:pPr>
              <w:rPr>
                <w:rFonts w:cstheme="minorHAnsi"/>
                <w:sz w:val="22"/>
                <w:szCs w:val="22"/>
              </w:rPr>
            </w:pPr>
            <w:r w:rsidRPr="00EB272B">
              <w:rPr>
                <w:rFonts w:cstheme="minorHAnsi"/>
                <w:sz w:val="22"/>
                <w:szCs w:val="22"/>
              </w:rPr>
              <w:t> </w:t>
            </w:r>
          </w:p>
        </w:tc>
        <w:tc>
          <w:tcPr>
            <w:tcW w:w="960" w:type="dxa"/>
            <w:hideMark/>
          </w:tcPr>
          <w:p w14:paraId="65FE9443" w14:textId="77777777" w:rsidR="00E953EE" w:rsidRPr="00EB272B" w:rsidRDefault="00E953EE" w:rsidP="006909EB">
            <w:pPr>
              <w:rPr>
                <w:rFonts w:cstheme="minorHAnsi"/>
                <w:sz w:val="22"/>
                <w:szCs w:val="22"/>
              </w:rPr>
            </w:pPr>
            <w:r w:rsidRPr="00EB272B">
              <w:rPr>
                <w:rFonts w:cstheme="minorHAnsi"/>
                <w:sz w:val="22"/>
                <w:szCs w:val="22"/>
              </w:rPr>
              <w:t>W</w:t>
            </w:r>
          </w:p>
        </w:tc>
        <w:tc>
          <w:tcPr>
            <w:tcW w:w="5380" w:type="dxa"/>
            <w:hideMark/>
          </w:tcPr>
          <w:p w14:paraId="728AC9D2" w14:textId="77777777" w:rsidR="00E953EE" w:rsidRPr="00EB272B" w:rsidRDefault="00E953EE" w:rsidP="006909EB">
            <w:pPr>
              <w:rPr>
                <w:rFonts w:cstheme="minorHAnsi"/>
                <w:sz w:val="22"/>
                <w:szCs w:val="22"/>
              </w:rPr>
            </w:pPr>
            <w:r w:rsidRPr="00EB272B">
              <w:rPr>
                <w:rFonts w:cstheme="minorHAnsi"/>
                <w:sz w:val="22"/>
                <w:szCs w:val="22"/>
              </w:rPr>
              <w:t>Minamata Initial Assessment</w:t>
            </w:r>
          </w:p>
        </w:tc>
        <w:tc>
          <w:tcPr>
            <w:tcW w:w="960" w:type="dxa"/>
            <w:hideMark/>
          </w:tcPr>
          <w:p w14:paraId="516D6451" w14:textId="77777777" w:rsidR="00E953EE" w:rsidRPr="00EB272B" w:rsidRDefault="00E953EE" w:rsidP="006909EB">
            <w:pPr>
              <w:rPr>
                <w:rFonts w:cstheme="minorHAnsi"/>
                <w:sz w:val="22"/>
                <w:szCs w:val="22"/>
              </w:rPr>
            </w:pPr>
            <w:r w:rsidRPr="00EB272B">
              <w:rPr>
                <w:rFonts w:cstheme="minorHAnsi"/>
                <w:sz w:val="22"/>
                <w:szCs w:val="22"/>
              </w:rPr>
              <w:t>GEF-6</w:t>
            </w:r>
          </w:p>
        </w:tc>
        <w:tc>
          <w:tcPr>
            <w:tcW w:w="960" w:type="dxa"/>
            <w:hideMark/>
          </w:tcPr>
          <w:p w14:paraId="6CAE47F9" w14:textId="77777777" w:rsidR="00E953EE" w:rsidRPr="00EB272B" w:rsidRDefault="00E953EE" w:rsidP="006909EB">
            <w:pPr>
              <w:rPr>
                <w:rFonts w:cstheme="minorHAnsi"/>
                <w:sz w:val="22"/>
                <w:szCs w:val="22"/>
              </w:rPr>
            </w:pPr>
            <w:r w:rsidRPr="00EB272B">
              <w:rPr>
                <w:rFonts w:cstheme="minorHAnsi"/>
                <w:sz w:val="22"/>
                <w:szCs w:val="22"/>
              </w:rPr>
              <w:t>EA</w:t>
            </w:r>
          </w:p>
        </w:tc>
        <w:tc>
          <w:tcPr>
            <w:tcW w:w="960" w:type="dxa"/>
            <w:hideMark/>
          </w:tcPr>
          <w:p w14:paraId="750BFF69" w14:textId="77777777" w:rsidR="00E953EE" w:rsidRPr="00EB272B" w:rsidRDefault="00E953EE" w:rsidP="006909EB">
            <w:pPr>
              <w:rPr>
                <w:rFonts w:cstheme="minorHAnsi"/>
                <w:sz w:val="22"/>
                <w:szCs w:val="22"/>
              </w:rPr>
            </w:pPr>
            <w:r w:rsidRPr="00EB272B">
              <w:rPr>
                <w:rFonts w:cstheme="minorHAnsi"/>
                <w:sz w:val="22"/>
                <w:szCs w:val="22"/>
              </w:rPr>
              <w:t>UNDP</w:t>
            </w:r>
          </w:p>
        </w:tc>
        <w:tc>
          <w:tcPr>
            <w:tcW w:w="1660" w:type="dxa"/>
            <w:hideMark/>
          </w:tcPr>
          <w:p w14:paraId="685244F8" w14:textId="77777777" w:rsidR="00E953EE" w:rsidRPr="00EB272B" w:rsidRDefault="00E953EE" w:rsidP="006909EB">
            <w:pPr>
              <w:jc w:val="right"/>
              <w:rPr>
                <w:rFonts w:cstheme="minorHAnsi"/>
                <w:sz w:val="22"/>
                <w:szCs w:val="22"/>
              </w:rPr>
            </w:pPr>
            <w:r w:rsidRPr="00EB272B">
              <w:rPr>
                <w:rFonts w:cstheme="minorHAnsi"/>
                <w:sz w:val="22"/>
                <w:szCs w:val="22"/>
              </w:rPr>
              <w:t>200000</w:t>
            </w:r>
          </w:p>
        </w:tc>
        <w:tc>
          <w:tcPr>
            <w:tcW w:w="1620" w:type="dxa"/>
            <w:hideMark/>
          </w:tcPr>
          <w:p w14:paraId="372CD89A" w14:textId="77777777" w:rsidR="00E953EE" w:rsidRPr="00EB272B" w:rsidRDefault="00E953EE" w:rsidP="006909EB">
            <w:pPr>
              <w:jc w:val="right"/>
              <w:rPr>
                <w:rFonts w:cstheme="minorHAnsi"/>
                <w:sz w:val="22"/>
                <w:szCs w:val="22"/>
              </w:rPr>
            </w:pPr>
            <w:r w:rsidRPr="00EB272B">
              <w:rPr>
                <w:rFonts w:cstheme="minorHAnsi"/>
                <w:sz w:val="22"/>
                <w:szCs w:val="22"/>
              </w:rPr>
              <w:t>97220</w:t>
            </w:r>
          </w:p>
        </w:tc>
      </w:tr>
      <w:tr w:rsidR="00E953EE" w:rsidRPr="00EB272B" w14:paraId="46A2B439" w14:textId="77777777" w:rsidTr="006909EB">
        <w:trPr>
          <w:trHeight w:val="1200"/>
        </w:trPr>
        <w:tc>
          <w:tcPr>
            <w:tcW w:w="1820" w:type="dxa"/>
            <w:hideMark/>
          </w:tcPr>
          <w:p w14:paraId="61F9C2DB" w14:textId="77777777" w:rsidR="00E953EE" w:rsidRPr="00EB272B" w:rsidRDefault="00E953EE" w:rsidP="006909EB">
            <w:pPr>
              <w:rPr>
                <w:rFonts w:cstheme="minorHAnsi"/>
                <w:sz w:val="22"/>
                <w:szCs w:val="22"/>
              </w:rPr>
            </w:pPr>
            <w:r w:rsidRPr="00EB272B">
              <w:rPr>
                <w:rFonts w:cstheme="minorHAnsi"/>
                <w:sz w:val="22"/>
                <w:szCs w:val="22"/>
              </w:rPr>
              <w:t>Seychelles</w:t>
            </w:r>
          </w:p>
        </w:tc>
        <w:tc>
          <w:tcPr>
            <w:tcW w:w="1840" w:type="dxa"/>
            <w:hideMark/>
          </w:tcPr>
          <w:p w14:paraId="45B523AD" w14:textId="77777777" w:rsidR="00E953EE" w:rsidRPr="00EB272B" w:rsidRDefault="00E953EE" w:rsidP="006909EB">
            <w:pPr>
              <w:rPr>
                <w:rFonts w:cstheme="minorHAnsi"/>
                <w:sz w:val="22"/>
                <w:szCs w:val="22"/>
              </w:rPr>
            </w:pPr>
            <w:r w:rsidRPr="00EB272B">
              <w:rPr>
                <w:rFonts w:cstheme="minorHAnsi"/>
                <w:sz w:val="22"/>
                <w:szCs w:val="22"/>
              </w:rPr>
              <w:t> </w:t>
            </w:r>
          </w:p>
        </w:tc>
        <w:tc>
          <w:tcPr>
            <w:tcW w:w="960" w:type="dxa"/>
            <w:hideMark/>
          </w:tcPr>
          <w:p w14:paraId="51266EB3" w14:textId="77777777" w:rsidR="00E953EE" w:rsidRPr="00EB272B" w:rsidRDefault="00E953EE" w:rsidP="006909EB">
            <w:pPr>
              <w:rPr>
                <w:rFonts w:cstheme="minorHAnsi"/>
                <w:sz w:val="22"/>
                <w:szCs w:val="22"/>
              </w:rPr>
            </w:pPr>
            <w:r w:rsidRPr="00EB272B">
              <w:rPr>
                <w:rFonts w:cstheme="minorHAnsi"/>
                <w:sz w:val="22"/>
                <w:szCs w:val="22"/>
              </w:rPr>
              <w:t>W</w:t>
            </w:r>
          </w:p>
        </w:tc>
        <w:tc>
          <w:tcPr>
            <w:tcW w:w="5380" w:type="dxa"/>
            <w:hideMark/>
          </w:tcPr>
          <w:p w14:paraId="4A71B479" w14:textId="77777777" w:rsidR="00E953EE" w:rsidRPr="00EB272B" w:rsidRDefault="00E953EE" w:rsidP="006909EB">
            <w:pPr>
              <w:rPr>
                <w:rFonts w:cstheme="minorHAnsi"/>
                <w:sz w:val="22"/>
                <w:szCs w:val="22"/>
              </w:rPr>
            </w:pPr>
            <w:r w:rsidRPr="00EB272B">
              <w:rPr>
                <w:rFonts w:cstheme="minorHAnsi"/>
                <w:sz w:val="22"/>
                <w:szCs w:val="22"/>
              </w:rPr>
              <w:t>Strengthen National Decision Making Towards Ratification of the Minamata Convention and Build Capacity Towards Implementation of Future Provisions.</w:t>
            </w:r>
          </w:p>
        </w:tc>
        <w:tc>
          <w:tcPr>
            <w:tcW w:w="960" w:type="dxa"/>
            <w:hideMark/>
          </w:tcPr>
          <w:p w14:paraId="072571EF" w14:textId="77777777" w:rsidR="00E953EE" w:rsidRPr="00EB272B" w:rsidRDefault="00E953EE" w:rsidP="006909EB">
            <w:pPr>
              <w:rPr>
                <w:rFonts w:cstheme="minorHAnsi"/>
                <w:sz w:val="22"/>
                <w:szCs w:val="22"/>
              </w:rPr>
            </w:pPr>
            <w:r w:rsidRPr="00EB272B">
              <w:rPr>
                <w:rFonts w:cstheme="minorHAnsi"/>
                <w:sz w:val="22"/>
                <w:szCs w:val="22"/>
              </w:rPr>
              <w:t>GEF-6</w:t>
            </w:r>
          </w:p>
        </w:tc>
        <w:tc>
          <w:tcPr>
            <w:tcW w:w="960" w:type="dxa"/>
            <w:hideMark/>
          </w:tcPr>
          <w:p w14:paraId="4290877C" w14:textId="77777777" w:rsidR="00E953EE" w:rsidRPr="00EB272B" w:rsidRDefault="00E953EE" w:rsidP="006909EB">
            <w:pPr>
              <w:rPr>
                <w:rFonts w:cstheme="minorHAnsi"/>
                <w:sz w:val="22"/>
                <w:szCs w:val="22"/>
              </w:rPr>
            </w:pPr>
            <w:r w:rsidRPr="00EB272B">
              <w:rPr>
                <w:rFonts w:cstheme="minorHAnsi"/>
                <w:sz w:val="22"/>
                <w:szCs w:val="22"/>
              </w:rPr>
              <w:t>EA</w:t>
            </w:r>
          </w:p>
        </w:tc>
        <w:tc>
          <w:tcPr>
            <w:tcW w:w="960" w:type="dxa"/>
            <w:hideMark/>
          </w:tcPr>
          <w:p w14:paraId="3DAA7996" w14:textId="77777777" w:rsidR="00E953EE" w:rsidRPr="00EB272B" w:rsidRDefault="00E953EE" w:rsidP="006909EB">
            <w:pPr>
              <w:rPr>
                <w:rFonts w:cstheme="minorHAnsi"/>
                <w:sz w:val="22"/>
                <w:szCs w:val="22"/>
              </w:rPr>
            </w:pPr>
            <w:r w:rsidRPr="00EB272B">
              <w:rPr>
                <w:rFonts w:cstheme="minorHAnsi"/>
                <w:sz w:val="22"/>
                <w:szCs w:val="22"/>
              </w:rPr>
              <w:t>UNDP</w:t>
            </w:r>
          </w:p>
        </w:tc>
        <w:tc>
          <w:tcPr>
            <w:tcW w:w="1660" w:type="dxa"/>
            <w:hideMark/>
          </w:tcPr>
          <w:p w14:paraId="50074BA7" w14:textId="77777777" w:rsidR="00E953EE" w:rsidRPr="00EB272B" w:rsidRDefault="00E953EE" w:rsidP="006909EB">
            <w:pPr>
              <w:jc w:val="right"/>
              <w:rPr>
                <w:rFonts w:cstheme="minorHAnsi"/>
                <w:sz w:val="22"/>
                <w:szCs w:val="22"/>
              </w:rPr>
            </w:pPr>
            <w:r w:rsidRPr="00EB272B">
              <w:rPr>
                <w:rFonts w:cstheme="minorHAnsi"/>
                <w:sz w:val="22"/>
                <w:szCs w:val="22"/>
              </w:rPr>
              <w:t>199100</w:t>
            </w:r>
          </w:p>
        </w:tc>
        <w:tc>
          <w:tcPr>
            <w:tcW w:w="1620" w:type="dxa"/>
            <w:hideMark/>
          </w:tcPr>
          <w:p w14:paraId="42EE2F8B" w14:textId="77777777" w:rsidR="00E953EE" w:rsidRPr="00EB272B" w:rsidRDefault="00E953EE" w:rsidP="006909EB">
            <w:pPr>
              <w:jc w:val="right"/>
              <w:rPr>
                <w:rFonts w:cstheme="minorHAnsi"/>
                <w:sz w:val="22"/>
                <w:szCs w:val="22"/>
              </w:rPr>
            </w:pPr>
            <w:r w:rsidRPr="00EB272B">
              <w:rPr>
                <w:rFonts w:cstheme="minorHAnsi"/>
                <w:sz w:val="22"/>
                <w:szCs w:val="22"/>
              </w:rPr>
              <w:t>25000</w:t>
            </w:r>
          </w:p>
        </w:tc>
      </w:tr>
      <w:tr w:rsidR="00E953EE" w:rsidRPr="00EB272B" w14:paraId="2579BDF2" w14:textId="77777777" w:rsidTr="006909EB">
        <w:trPr>
          <w:trHeight w:val="900"/>
        </w:trPr>
        <w:tc>
          <w:tcPr>
            <w:tcW w:w="1820" w:type="dxa"/>
            <w:hideMark/>
          </w:tcPr>
          <w:p w14:paraId="6AE8C88B" w14:textId="77777777" w:rsidR="00E953EE" w:rsidRPr="00EB272B" w:rsidRDefault="00E953EE" w:rsidP="006909EB">
            <w:pPr>
              <w:rPr>
                <w:rFonts w:cstheme="minorHAnsi"/>
                <w:sz w:val="22"/>
                <w:szCs w:val="22"/>
              </w:rPr>
            </w:pPr>
            <w:r w:rsidRPr="00EB272B">
              <w:rPr>
                <w:rFonts w:cstheme="minorHAnsi"/>
                <w:sz w:val="22"/>
                <w:szCs w:val="22"/>
              </w:rPr>
              <w:t>Sierra Leone</w:t>
            </w:r>
          </w:p>
        </w:tc>
        <w:tc>
          <w:tcPr>
            <w:tcW w:w="1840" w:type="dxa"/>
            <w:hideMark/>
          </w:tcPr>
          <w:p w14:paraId="7F627487" w14:textId="77777777" w:rsidR="00E953EE" w:rsidRPr="00EB272B" w:rsidRDefault="00E953EE" w:rsidP="006909EB">
            <w:pPr>
              <w:rPr>
                <w:rFonts w:cstheme="minorHAnsi"/>
                <w:sz w:val="22"/>
                <w:szCs w:val="22"/>
              </w:rPr>
            </w:pPr>
            <w:r w:rsidRPr="00EB272B">
              <w:rPr>
                <w:rFonts w:cstheme="minorHAnsi"/>
                <w:sz w:val="22"/>
                <w:szCs w:val="22"/>
              </w:rPr>
              <w:t> </w:t>
            </w:r>
          </w:p>
        </w:tc>
        <w:tc>
          <w:tcPr>
            <w:tcW w:w="960" w:type="dxa"/>
            <w:hideMark/>
          </w:tcPr>
          <w:p w14:paraId="7F1D5EF1" w14:textId="77777777" w:rsidR="00E953EE" w:rsidRPr="00EB272B" w:rsidRDefault="00E953EE" w:rsidP="006909EB">
            <w:pPr>
              <w:rPr>
                <w:rFonts w:cstheme="minorHAnsi"/>
                <w:sz w:val="22"/>
                <w:szCs w:val="22"/>
              </w:rPr>
            </w:pPr>
            <w:r w:rsidRPr="00EB272B">
              <w:rPr>
                <w:rFonts w:cstheme="minorHAnsi"/>
                <w:sz w:val="22"/>
                <w:szCs w:val="22"/>
              </w:rPr>
              <w:t>W</w:t>
            </w:r>
          </w:p>
        </w:tc>
        <w:tc>
          <w:tcPr>
            <w:tcW w:w="5380" w:type="dxa"/>
            <w:hideMark/>
          </w:tcPr>
          <w:p w14:paraId="24D04627" w14:textId="77777777" w:rsidR="00E953EE" w:rsidRPr="00EB272B" w:rsidRDefault="00E953EE" w:rsidP="006909EB">
            <w:pPr>
              <w:rPr>
                <w:rFonts w:cstheme="minorHAnsi"/>
                <w:sz w:val="22"/>
                <w:szCs w:val="22"/>
              </w:rPr>
            </w:pPr>
            <w:r w:rsidRPr="00EB272B">
              <w:rPr>
                <w:rFonts w:cstheme="minorHAnsi"/>
                <w:sz w:val="22"/>
                <w:szCs w:val="22"/>
              </w:rPr>
              <w:t>Development of Minamata Initial Assessment and National Action Plan for Artisanal and Small-Scale Gold Mining in Sierra Leone</w:t>
            </w:r>
          </w:p>
        </w:tc>
        <w:tc>
          <w:tcPr>
            <w:tcW w:w="960" w:type="dxa"/>
            <w:hideMark/>
          </w:tcPr>
          <w:p w14:paraId="652010B8" w14:textId="77777777" w:rsidR="00E953EE" w:rsidRPr="00EB272B" w:rsidRDefault="00E953EE" w:rsidP="006909EB">
            <w:pPr>
              <w:rPr>
                <w:rFonts w:cstheme="minorHAnsi"/>
                <w:sz w:val="22"/>
                <w:szCs w:val="22"/>
              </w:rPr>
            </w:pPr>
            <w:r w:rsidRPr="00EB272B">
              <w:rPr>
                <w:rFonts w:cstheme="minorHAnsi"/>
                <w:sz w:val="22"/>
                <w:szCs w:val="22"/>
              </w:rPr>
              <w:t>GEF-6</w:t>
            </w:r>
          </w:p>
        </w:tc>
        <w:tc>
          <w:tcPr>
            <w:tcW w:w="960" w:type="dxa"/>
            <w:hideMark/>
          </w:tcPr>
          <w:p w14:paraId="1A2E58C9" w14:textId="77777777" w:rsidR="00E953EE" w:rsidRPr="00EB272B" w:rsidRDefault="00E953EE" w:rsidP="006909EB">
            <w:pPr>
              <w:rPr>
                <w:rFonts w:cstheme="minorHAnsi"/>
                <w:sz w:val="22"/>
                <w:szCs w:val="22"/>
              </w:rPr>
            </w:pPr>
            <w:r w:rsidRPr="00EB272B">
              <w:rPr>
                <w:rFonts w:cstheme="minorHAnsi"/>
                <w:sz w:val="22"/>
                <w:szCs w:val="22"/>
              </w:rPr>
              <w:t>EA</w:t>
            </w:r>
          </w:p>
        </w:tc>
        <w:tc>
          <w:tcPr>
            <w:tcW w:w="960" w:type="dxa"/>
            <w:hideMark/>
          </w:tcPr>
          <w:p w14:paraId="7F10C6BF" w14:textId="77777777" w:rsidR="00E953EE" w:rsidRPr="00EB272B" w:rsidRDefault="00E953EE" w:rsidP="006909EB">
            <w:pPr>
              <w:rPr>
                <w:rFonts w:cstheme="minorHAnsi"/>
                <w:sz w:val="22"/>
                <w:szCs w:val="22"/>
              </w:rPr>
            </w:pPr>
            <w:r w:rsidRPr="00EB272B">
              <w:rPr>
                <w:rFonts w:cstheme="minorHAnsi"/>
                <w:sz w:val="22"/>
                <w:szCs w:val="22"/>
              </w:rPr>
              <w:t>UNEP</w:t>
            </w:r>
          </w:p>
        </w:tc>
        <w:tc>
          <w:tcPr>
            <w:tcW w:w="1660" w:type="dxa"/>
            <w:hideMark/>
          </w:tcPr>
          <w:p w14:paraId="41A58246" w14:textId="77777777" w:rsidR="00E953EE" w:rsidRPr="00EB272B" w:rsidRDefault="00E953EE" w:rsidP="006909EB">
            <w:pPr>
              <w:jc w:val="right"/>
              <w:rPr>
                <w:rFonts w:cstheme="minorHAnsi"/>
                <w:sz w:val="22"/>
                <w:szCs w:val="22"/>
              </w:rPr>
            </w:pPr>
            <w:r w:rsidRPr="00EB272B">
              <w:rPr>
                <w:rFonts w:cstheme="minorHAnsi"/>
                <w:sz w:val="22"/>
                <w:szCs w:val="22"/>
              </w:rPr>
              <w:t>700000</w:t>
            </w:r>
          </w:p>
        </w:tc>
        <w:tc>
          <w:tcPr>
            <w:tcW w:w="1620" w:type="dxa"/>
            <w:hideMark/>
          </w:tcPr>
          <w:p w14:paraId="05839F0F" w14:textId="77777777" w:rsidR="00E953EE" w:rsidRPr="00EB272B" w:rsidRDefault="00E953EE" w:rsidP="006909EB">
            <w:pPr>
              <w:jc w:val="right"/>
              <w:rPr>
                <w:rFonts w:cstheme="minorHAnsi"/>
                <w:sz w:val="22"/>
                <w:szCs w:val="22"/>
              </w:rPr>
            </w:pPr>
            <w:r>
              <w:rPr>
                <w:rFonts w:cstheme="minorHAnsi"/>
                <w:sz w:val="22"/>
                <w:szCs w:val="22"/>
              </w:rPr>
              <w:t>0</w:t>
            </w:r>
            <w:r w:rsidRPr="00EB272B">
              <w:rPr>
                <w:rFonts w:cstheme="minorHAnsi"/>
                <w:sz w:val="22"/>
                <w:szCs w:val="22"/>
              </w:rPr>
              <w:t> </w:t>
            </w:r>
          </w:p>
        </w:tc>
      </w:tr>
      <w:tr w:rsidR="00E953EE" w:rsidRPr="00EB272B" w14:paraId="156D13B4" w14:textId="77777777" w:rsidTr="006909EB">
        <w:trPr>
          <w:trHeight w:val="600"/>
        </w:trPr>
        <w:tc>
          <w:tcPr>
            <w:tcW w:w="1820" w:type="dxa"/>
            <w:hideMark/>
          </w:tcPr>
          <w:p w14:paraId="4A78A8EE" w14:textId="77777777" w:rsidR="00E953EE" w:rsidRPr="00EB272B" w:rsidRDefault="00E953EE" w:rsidP="006909EB">
            <w:pPr>
              <w:rPr>
                <w:rFonts w:cstheme="minorHAnsi"/>
                <w:sz w:val="22"/>
                <w:szCs w:val="22"/>
              </w:rPr>
            </w:pPr>
            <w:r w:rsidRPr="00EB272B">
              <w:rPr>
                <w:rFonts w:cstheme="minorHAnsi"/>
                <w:sz w:val="22"/>
                <w:szCs w:val="22"/>
              </w:rPr>
              <w:t>South Africa</w:t>
            </w:r>
          </w:p>
        </w:tc>
        <w:tc>
          <w:tcPr>
            <w:tcW w:w="1840" w:type="dxa"/>
            <w:hideMark/>
          </w:tcPr>
          <w:p w14:paraId="11F59F43" w14:textId="77777777" w:rsidR="00E953EE" w:rsidRPr="00EB272B" w:rsidRDefault="00E953EE" w:rsidP="006909EB">
            <w:pPr>
              <w:rPr>
                <w:rFonts w:cstheme="minorHAnsi"/>
                <w:sz w:val="22"/>
                <w:szCs w:val="22"/>
              </w:rPr>
            </w:pPr>
            <w:r w:rsidRPr="00EB272B">
              <w:rPr>
                <w:rFonts w:cstheme="minorHAnsi"/>
                <w:sz w:val="22"/>
                <w:szCs w:val="22"/>
              </w:rPr>
              <w:t> </w:t>
            </w:r>
          </w:p>
        </w:tc>
        <w:tc>
          <w:tcPr>
            <w:tcW w:w="960" w:type="dxa"/>
            <w:hideMark/>
          </w:tcPr>
          <w:p w14:paraId="16EB76EE" w14:textId="77777777" w:rsidR="00E953EE" w:rsidRPr="00EB272B" w:rsidRDefault="00E953EE" w:rsidP="006909EB">
            <w:pPr>
              <w:rPr>
                <w:rFonts w:cstheme="minorHAnsi"/>
                <w:sz w:val="22"/>
                <w:szCs w:val="22"/>
              </w:rPr>
            </w:pPr>
            <w:r w:rsidRPr="00EB272B">
              <w:rPr>
                <w:rFonts w:cstheme="minorHAnsi"/>
                <w:sz w:val="22"/>
                <w:szCs w:val="22"/>
              </w:rPr>
              <w:t>W</w:t>
            </w:r>
          </w:p>
        </w:tc>
        <w:tc>
          <w:tcPr>
            <w:tcW w:w="5380" w:type="dxa"/>
            <w:hideMark/>
          </w:tcPr>
          <w:p w14:paraId="623E34AB" w14:textId="77777777" w:rsidR="00E953EE" w:rsidRPr="00EB272B" w:rsidRDefault="00E953EE" w:rsidP="006909EB">
            <w:pPr>
              <w:rPr>
                <w:rFonts w:cstheme="minorHAnsi"/>
                <w:sz w:val="22"/>
                <w:szCs w:val="22"/>
              </w:rPr>
            </w:pPr>
            <w:r w:rsidRPr="00EB272B">
              <w:rPr>
                <w:rFonts w:cstheme="minorHAnsi"/>
                <w:sz w:val="22"/>
                <w:szCs w:val="22"/>
              </w:rPr>
              <w:t>Development of Minamata Initial Assessment in South Africa</w:t>
            </w:r>
          </w:p>
        </w:tc>
        <w:tc>
          <w:tcPr>
            <w:tcW w:w="960" w:type="dxa"/>
            <w:hideMark/>
          </w:tcPr>
          <w:p w14:paraId="07776468" w14:textId="77777777" w:rsidR="00E953EE" w:rsidRPr="00EB272B" w:rsidRDefault="00E953EE" w:rsidP="006909EB">
            <w:pPr>
              <w:rPr>
                <w:rFonts w:cstheme="minorHAnsi"/>
                <w:sz w:val="22"/>
                <w:szCs w:val="22"/>
              </w:rPr>
            </w:pPr>
            <w:r w:rsidRPr="00EB272B">
              <w:rPr>
                <w:rFonts w:cstheme="minorHAnsi"/>
                <w:sz w:val="22"/>
                <w:szCs w:val="22"/>
              </w:rPr>
              <w:t>GEF-6</w:t>
            </w:r>
          </w:p>
        </w:tc>
        <w:tc>
          <w:tcPr>
            <w:tcW w:w="960" w:type="dxa"/>
            <w:hideMark/>
          </w:tcPr>
          <w:p w14:paraId="0A53ACEC" w14:textId="77777777" w:rsidR="00E953EE" w:rsidRPr="00EB272B" w:rsidRDefault="00E953EE" w:rsidP="006909EB">
            <w:pPr>
              <w:rPr>
                <w:rFonts w:cstheme="minorHAnsi"/>
                <w:sz w:val="22"/>
                <w:szCs w:val="22"/>
              </w:rPr>
            </w:pPr>
            <w:r w:rsidRPr="00EB272B">
              <w:rPr>
                <w:rFonts w:cstheme="minorHAnsi"/>
                <w:sz w:val="22"/>
                <w:szCs w:val="22"/>
              </w:rPr>
              <w:t>EA</w:t>
            </w:r>
          </w:p>
        </w:tc>
        <w:tc>
          <w:tcPr>
            <w:tcW w:w="960" w:type="dxa"/>
            <w:hideMark/>
          </w:tcPr>
          <w:p w14:paraId="471D839F" w14:textId="77777777" w:rsidR="00E953EE" w:rsidRPr="00EB272B" w:rsidRDefault="00E953EE" w:rsidP="006909EB">
            <w:pPr>
              <w:rPr>
                <w:rFonts w:cstheme="minorHAnsi"/>
                <w:sz w:val="22"/>
                <w:szCs w:val="22"/>
              </w:rPr>
            </w:pPr>
            <w:r w:rsidRPr="00EB272B">
              <w:rPr>
                <w:rFonts w:cstheme="minorHAnsi"/>
                <w:sz w:val="22"/>
                <w:szCs w:val="22"/>
              </w:rPr>
              <w:t>UNEP</w:t>
            </w:r>
          </w:p>
        </w:tc>
        <w:tc>
          <w:tcPr>
            <w:tcW w:w="1660" w:type="dxa"/>
            <w:hideMark/>
          </w:tcPr>
          <w:p w14:paraId="524F32D8" w14:textId="77777777" w:rsidR="00E953EE" w:rsidRPr="00EB272B" w:rsidRDefault="00E953EE" w:rsidP="006909EB">
            <w:pPr>
              <w:jc w:val="right"/>
              <w:rPr>
                <w:rFonts w:cstheme="minorHAnsi"/>
                <w:sz w:val="22"/>
                <w:szCs w:val="22"/>
              </w:rPr>
            </w:pPr>
            <w:r w:rsidRPr="00EB272B">
              <w:rPr>
                <w:rFonts w:cstheme="minorHAnsi"/>
                <w:sz w:val="22"/>
                <w:szCs w:val="22"/>
              </w:rPr>
              <w:t>1000000</w:t>
            </w:r>
          </w:p>
        </w:tc>
        <w:tc>
          <w:tcPr>
            <w:tcW w:w="1620" w:type="dxa"/>
            <w:hideMark/>
          </w:tcPr>
          <w:p w14:paraId="435E5844" w14:textId="77777777" w:rsidR="00E953EE" w:rsidRPr="00EB272B" w:rsidRDefault="00E953EE" w:rsidP="006909EB">
            <w:pPr>
              <w:jc w:val="right"/>
              <w:rPr>
                <w:rFonts w:cstheme="minorHAnsi"/>
                <w:sz w:val="22"/>
                <w:szCs w:val="22"/>
              </w:rPr>
            </w:pPr>
            <w:r>
              <w:rPr>
                <w:rFonts w:cstheme="minorHAnsi"/>
                <w:sz w:val="22"/>
                <w:szCs w:val="22"/>
              </w:rPr>
              <w:t>0</w:t>
            </w:r>
            <w:r w:rsidRPr="00EB272B">
              <w:rPr>
                <w:rFonts w:cstheme="minorHAnsi"/>
                <w:sz w:val="22"/>
                <w:szCs w:val="22"/>
              </w:rPr>
              <w:t> </w:t>
            </w:r>
          </w:p>
        </w:tc>
      </w:tr>
      <w:tr w:rsidR="00E953EE" w:rsidRPr="00EB272B" w14:paraId="1039E542" w14:textId="77777777" w:rsidTr="006909EB">
        <w:trPr>
          <w:trHeight w:val="300"/>
        </w:trPr>
        <w:tc>
          <w:tcPr>
            <w:tcW w:w="1820" w:type="dxa"/>
            <w:hideMark/>
          </w:tcPr>
          <w:p w14:paraId="1499A28E" w14:textId="77777777" w:rsidR="00E953EE" w:rsidRPr="00EB272B" w:rsidRDefault="00E953EE" w:rsidP="006909EB">
            <w:pPr>
              <w:rPr>
                <w:rFonts w:cstheme="minorHAnsi"/>
                <w:sz w:val="22"/>
                <w:szCs w:val="22"/>
              </w:rPr>
            </w:pPr>
            <w:r w:rsidRPr="00EB272B">
              <w:rPr>
                <w:rFonts w:cstheme="minorHAnsi"/>
                <w:sz w:val="22"/>
                <w:szCs w:val="22"/>
              </w:rPr>
              <w:t>Sri Lanka</w:t>
            </w:r>
          </w:p>
        </w:tc>
        <w:tc>
          <w:tcPr>
            <w:tcW w:w="1840" w:type="dxa"/>
            <w:hideMark/>
          </w:tcPr>
          <w:p w14:paraId="64FDE3F8" w14:textId="77777777" w:rsidR="00E953EE" w:rsidRPr="00EB272B" w:rsidRDefault="00E953EE" w:rsidP="006909EB">
            <w:pPr>
              <w:rPr>
                <w:rFonts w:cstheme="minorHAnsi"/>
                <w:sz w:val="22"/>
                <w:szCs w:val="22"/>
              </w:rPr>
            </w:pPr>
            <w:r w:rsidRPr="00EB272B">
              <w:rPr>
                <w:rFonts w:cstheme="minorHAnsi"/>
                <w:sz w:val="22"/>
                <w:szCs w:val="22"/>
              </w:rPr>
              <w:t> </w:t>
            </w:r>
          </w:p>
        </w:tc>
        <w:tc>
          <w:tcPr>
            <w:tcW w:w="960" w:type="dxa"/>
            <w:hideMark/>
          </w:tcPr>
          <w:p w14:paraId="7B1F9EBF" w14:textId="77777777" w:rsidR="00E953EE" w:rsidRPr="00EB272B" w:rsidRDefault="00E953EE" w:rsidP="006909EB">
            <w:pPr>
              <w:rPr>
                <w:rFonts w:cstheme="minorHAnsi"/>
                <w:sz w:val="22"/>
                <w:szCs w:val="22"/>
              </w:rPr>
            </w:pPr>
            <w:r w:rsidRPr="00EB272B">
              <w:rPr>
                <w:rFonts w:cstheme="minorHAnsi"/>
                <w:sz w:val="22"/>
                <w:szCs w:val="22"/>
              </w:rPr>
              <w:t>W</w:t>
            </w:r>
          </w:p>
        </w:tc>
        <w:tc>
          <w:tcPr>
            <w:tcW w:w="5380" w:type="dxa"/>
            <w:hideMark/>
          </w:tcPr>
          <w:p w14:paraId="0719F6AF" w14:textId="77777777" w:rsidR="00E953EE" w:rsidRPr="00EB272B" w:rsidRDefault="00E953EE" w:rsidP="006909EB">
            <w:pPr>
              <w:rPr>
                <w:rFonts w:cstheme="minorHAnsi"/>
                <w:sz w:val="22"/>
                <w:szCs w:val="22"/>
              </w:rPr>
            </w:pPr>
            <w:r w:rsidRPr="00EB272B">
              <w:rPr>
                <w:rFonts w:cstheme="minorHAnsi"/>
                <w:sz w:val="22"/>
                <w:szCs w:val="22"/>
              </w:rPr>
              <w:t>Minamata Convention: Initial Assessment in Sri Lanka</w:t>
            </w:r>
          </w:p>
        </w:tc>
        <w:tc>
          <w:tcPr>
            <w:tcW w:w="960" w:type="dxa"/>
            <w:hideMark/>
          </w:tcPr>
          <w:p w14:paraId="0A193D44" w14:textId="77777777" w:rsidR="00E953EE" w:rsidRPr="00EB272B" w:rsidRDefault="00E953EE" w:rsidP="006909EB">
            <w:pPr>
              <w:rPr>
                <w:rFonts w:cstheme="minorHAnsi"/>
                <w:sz w:val="22"/>
                <w:szCs w:val="22"/>
              </w:rPr>
            </w:pPr>
            <w:r w:rsidRPr="00EB272B">
              <w:rPr>
                <w:rFonts w:cstheme="minorHAnsi"/>
                <w:sz w:val="22"/>
                <w:szCs w:val="22"/>
              </w:rPr>
              <w:t>GEF-6</w:t>
            </w:r>
          </w:p>
        </w:tc>
        <w:tc>
          <w:tcPr>
            <w:tcW w:w="960" w:type="dxa"/>
            <w:hideMark/>
          </w:tcPr>
          <w:p w14:paraId="05501B32" w14:textId="77777777" w:rsidR="00E953EE" w:rsidRPr="00EB272B" w:rsidRDefault="00E953EE" w:rsidP="006909EB">
            <w:pPr>
              <w:rPr>
                <w:rFonts w:cstheme="minorHAnsi"/>
                <w:sz w:val="22"/>
                <w:szCs w:val="22"/>
              </w:rPr>
            </w:pPr>
            <w:r w:rsidRPr="00EB272B">
              <w:rPr>
                <w:rFonts w:cstheme="minorHAnsi"/>
                <w:sz w:val="22"/>
                <w:szCs w:val="22"/>
              </w:rPr>
              <w:t>EA</w:t>
            </w:r>
          </w:p>
        </w:tc>
        <w:tc>
          <w:tcPr>
            <w:tcW w:w="960" w:type="dxa"/>
            <w:hideMark/>
          </w:tcPr>
          <w:p w14:paraId="6D2FF732" w14:textId="77777777" w:rsidR="00E953EE" w:rsidRPr="00EB272B" w:rsidRDefault="00E953EE" w:rsidP="006909EB">
            <w:pPr>
              <w:rPr>
                <w:rFonts w:cstheme="minorHAnsi"/>
                <w:sz w:val="22"/>
                <w:szCs w:val="22"/>
              </w:rPr>
            </w:pPr>
            <w:r w:rsidRPr="00EB272B">
              <w:rPr>
                <w:rFonts w:cstheme="minorHAnsi"/>
                <w:sz w:val="22"/>
                <w:szCs w:val="22"/>
              </w:rPr>
              <w:t>UNIDO</w:t>
            </w:r>
          </w:p>
        </w:tc>
        <w:tc>
          <w:tcPr>
            <w:tcW w:w="1660" w:type="dxa"/>
            <w:hideMark/>
          </w:tcPr>
          <w:p w14:paraId="642B358B" w14:textId="77777777" w:rsidR="00E953EE" w:rsidRPr="00EB272B" w:rsidRDefault="00E953EE" w:rsidP="006909EB">
            <w:pPr>
              <w:jc w:val="right"/>
              <w:rPr>
                <w:rFonts w:cstheme="minorHAnsi"/>
                <w:sz w:val="22"/>
                <w:szCs w:val="22"/>
              </w:rPr>
            </w:pPr>
            <w:r w:rsidRPr="00EB272B">
              <w:rPr>
                <w:rFonts w:cstheme="minorHAnsi"/>
                <w:sz w:val="22"/>
                <w:szCs w:val="22"/>
              </w:rPr>
              <w:t>200000</w:t>
            </w:r>
          </w:p>
        </w:tc>
        <w:tc>
          <w:tcPr>
            <w:tcW w:w="1620" w:type="dxa"/>
            <w:hideMark/>
          </w:tcPr>
          <w:p w14:paraId="68B2036A" w14:textId="77777777" w:rsidR="00E953EE" w:rsidRPr="00EB272B" w:rsidRDefault="00E953EE" w:rsidP="006909EB">
            <w:pPr>
              <w:jc w:val="right"/>
              <w:rPr>
                <w:rFonts w:cstheme="minorHAnsi"/>
                <w:sz w:val="22"/>
                <w:szCs w:val="22"/>
              </w:rPr>
            </w:pPr>
            <w:r w:rsidRPr="00EB272B">
              <w:rPr>
                <w:rFonts w:cstheme="minorHAnsi"/>
                <w:sz w:val="22"/>
                <w:szCs w:val="22"/>
              </w:rPr>
              <w:t>38600</w:t>
            </w:r>
          </w:p>
        </w:tc>
      </w:tr>
      <w:tr w:rsidR="00E953EE" w:rsidRPr="00EB272B" w14:paraId="1CC08DE3" w14:textId="77777777" w:rsidTr="006909EB">
        <w:trPr>
          <w:trHeight w:val="600"/>
        </w:trPr>
        <w:tc>
          <w:tcPr>
            <w:tcW w:w="1820" w:type="dxa"/>
            <w:hideMark/>
          </w:tcPr>
          <w:p w14:paraId="181CD019" w14:textId="77777777" w:rsidR="00E953EE" w:rsidRPr="00EB272B" w:rsidRDefault="00E953EE" w:rsidP="006909EB">
            <w:pPr>
              <w:rPr>
                <w:rFonts w:cstheme="minorHAnsi"/>
                <w:sz w:val="22"/>
                <w:szCs w:val="22"/>
              </w:rPr>
            </w:pPr>
            <w:r w:rsidRPr="00EB272B">
              <w:rPr>
                <w:rFonts w:cstheme="minorHAnsi"/>
                <w:sz w:val="22"/>
                <w:szCs w:val="22"/>
              </w:rPr>
              <w:t>Sudan</w:t>
            </w:r>
          </w:p>
        </w:tc>
        <w:tc>
          <w:tcPr>
            <w:tcW w:w="1840" w:type="dxa"/>
            <w:hideMark/>
          </w:tcPr>
          <w:p w14:paraId="24680EA0" w14:textId="77777777" w:rsidR="00E953EE" w:rsidRPr="00EB272B" w:rsidRDefault="00E953EE" w:rsidP="006909EB">
            <w:pPr>
              <w:rPr>
                <w:rFonts w:cstheme="minorHAnsi"/>
                <w:sz w:val="22"/>
                <w:szCs w:val="22"/>
              </w:rPr>
            </w:pPr>
            <w:r w:rsidRPr="00EB272B">
              <w:rPr>
                <w:rFonts w:cstheme="minorHAnsi"/>
                <w:sz w:val="22"/>
                <w:szCs w:val="22"/>
              </w:rPr>
              <w:t> </w:t>
            </w:r>
          </w:p>
        </w:tc>
        <w:tc>
          <w:tcPr>
            <w:tcW w:w="960" w:type="dxa"/>
            <w:hideMark/>
          </w:tcPr>
          <w:p w14:paraId="4705C4CD" w14:textId="77777777" w:rsidR="00E953EE" w:rsidRPr="00EB272B" w:rsidRDefault="00E953EE" w:rsidP="006909EB">
            <w:pPr>
              <w:rPr>
                <w:rFonts w:cstheme="minorHAnsi"/>
                <w:sz w:val="22"/>
                <w:szCs w:val="22"/>
              </w:rPr>
            </w:pPr>
            <w:r w:rsidRPr="00EB272B">
              <w:rPr>
                <w:rFonts w:cstheme="minorHAnsi"/>
                <w:sz w:val="22"/>
                <w:szCs w:val="22"/>
              </w:rPr>
              <w:t>W</w:t>
            </w:r>
          </w:p>
        </w:tc>
        <w:tc>
          <w:tcPr>
            <w:tcW w:w="5380" w:type="dxa"/>
            <w:hideMark/>
          </w:tcPr>
          <w:p w14:paraId="435BBA8C" w14:textId="77777777" w:rsidR="00E953EE" w:rsidRPr="00EB272B" w:rsidRDefault="00E953EE" w:rsidP="006909EB">
            <w:pPr>
              <w:rPr>
                <w:rFonts w:cstheme="minorHAnsi"/>
                <w:sz w:val="22"/>
                <w:szCs w:val="22"/>
              </w:rPr>
            </w:pPr>
            <w:r w:rsidRPr="00EB272B">
              <w:rPr>
                <w:rFonts w:cstheme="minorHAnsi"/>
                <w:sz w:val="22"/>
                <w:szCs w:val="22"/>
              </w:rPr>
              <w:t>Minamata Convention: Initial assessment in the Republic of Sudan</w:t>
            </w:r>
          </w:p>
        </w:tc>
        <w:tc>
          <w:tcPr>
            <w:tcW w:w="960" w:type="dxa"/>
            <w:hideMark/>
          </w:tcPr>
          <w:p w14:paraId="3110710A" w14:textId="77777777" w:rsidR="00E953EE" w:rsidRPr="00EB272B" w:rsidRDefault="00E953EE" w:rsidP="006909EB">
            <w:pPr>
              <w:rPr>
                <w:rFonts w:cstheme="minorHAnsi"/>
                <w:sz w:val="22"/>
                <w:szCs w:val="22"/>
              </w:rPr>
            </w:pPr>
            <w:r w:rsidRPr="00EB272B">
              <w:rPr>
                <w:rFonts w:cstheme="minorHAnsi"/>
                <w:sz w:val="22"/>
                <w:szCs w:val="22"/>
              </w:rPr>
              <w:t>GEF-6</w:t>
            </w:r>
          </w:p>
        </w:tc>
        <w:tc>
          <w:tcPr>
            <w:tcW w:w="960" w:type="dxa"/>
            <w:hideMark/>
          </w:tcPr>
          <w:p w14:paraId="5ECD60DA" w14:textId="77777777" w:rsidR="00E953EE" w:rsidRPr="00EB272B" w:rsidRDefault="00E953EE" w:rsidP="006909EB">
            <w:pPr>
              <w:rPr>
                <w:rFonts w:cstheme="minorHAnsi"/>
                <w:sz w:val="22"/>
                <w:szCs w:val="22"/>
              </w:rPr>
            </w:pPr>
            <w:r w:rsidRPr="00EB272B">
              <w:rPr>
                <w:rFonts w:cstheme="minorHAnsi"/>
                <w:sz w:val="22"/>
                <w:szCs w:val="22"/>
              </w:rPr>
              <w:t>EA</w:t>
            </w:r>
          </w:p>
        </w:tc>
        <w:tc>
          <w:tcPr>
            <w:tcW w:w="960" w:type="dxa"/>
            <w:hideMark/>
          </w:tcPr>
          <w:p w14:paraId="08096B55" w14:textId="77777777" w:rsidR="00E953EE" w:rsidRPr="00EB272B" w:rsidRDefault="00E953EE" w:rsidP="006909EB">
            <w:pPr>
              <w:rPr>
                <w:rFonts w:cstheme="minorHAnsi"/>
                <w:sz w:val="22"/>
                <w:szCs w:val="22"/>
              </w:rPr>
            </w:pPr>
            <w:r w:rsidRPr="00EB272B">
              <w:rPr>
                <w:rFonts w:cstheme="minorHAnsi"/>
                <w:sz w:val="22"/>
                <w:szCs w:val="22"/>
              </w:rPr>
              <w:t>UNIDO</w:t>
            </w:r>
          </w:p>
        </w:tc>
        <w:tc>
          <w:tcPr>
            <w:tcW w:w="1660" w:type="dxa"/>
            <w:hideMark/>
          </w:tcPr>
          <w:p w14:paraId="6C675113" w14:textId="77777777" w:rsidR="00E953EE" w:rsidRPr="00EB272B" w:rsidRDefault="00E953EE" w:rsidP="006909EB">
            <w:pPr>
              <w:jc w:val="right"/>
              <w:rPr>
                <w:rFonts w:cstheme="minorHAnsi"/>
                <w:sz w:val="22"/>
                <w:szCs w:val="22"/>
              </w:rPr>
            </w:pPr>
            <w:r w:rsidRPr="00EB272B">
              <w:rPr>
                <w:rFonts w:cstheme="minorHAnsi"/>
                <w:sz w:val="22"/>
                <w:szCs w:val="22"/>
              </w:rPr>
              <w:t>200000</w:t>
            </w:r>
          </w:p>
        </w:tc>
        <w:tc>
          <w:tcPr>
            <w:tcW w:w="1620" w:type="dxa"/>
            <w:hideMark/>
          </w:tcPr>
          <w:p w14:paraId="529E44C1" w14:textId="77777777" w:rsidR="00E953EE" w:rsidRPr="00EB272B" w:rsidRDefault="00E953EE" w:rsidP="006909EB">
            <w:pPr>
              <w:jc w:val="right"/>
              <w:rPr>
                <w:rFonts w:cstheme="minorHAnsi"/>
                <w:sz w:val="22"/>
                <w:szCs w:val="22"/>
              </w:rPr>
            </w:pPr>
            <w:r w:rsidRPr="00EB272B">
              <w:rPr>
                <w:rFonts w:cstheme="minorHAnsi"/>
                <w:sz w:val="22"/>
                <w:szCs w:val="22"/>
              </w:rPr>
              <w:t>118600</w:t>
            </w:r>
          </w:p>
        </w:tc>
      </w:tr>
      <w:tr w:rsidR="00E953EE" w:rsidRPr="00EB272B" w14:paraId="6B92678C" w14:textId="77777777" w:rsidTr="006909EB">
        <w:trPr>
          <w:trHeight w:val="300"/>
        </w:trPr>
        <w:tc>
          <w:tcPr>
            <w:tcW w:w="1820" w:type="dxa"/>
            <w:hideMark/>
          </w:tcPr>
          <w:p w14:paraId="220FF4EA" w14:textId="77777777" w:rsidR="00E953EE" w:rsidRPr="00EB272B" w:rsidRDefault="00E953EE" w:rsidP="006909EB">
            <w:pPr>
              <w:rPr>
                <w:rFonts w:cstheme="minorHAnsi"/>
                <w:sz w:val="22"/>
                <w:szCs w:val="22"/>
              </w:rPr>
            </w:pPr>
            <w:r w:rsidRPr="00EB272B">
              <w:rPr>
                <w:rFonts w:cstheme="minorHAnsi"/>
                <w:sz w:val="22"/>
                <w:szCs w:val="22"/>
              </w:rPr>
              <w:t>Suriname</w:t>
            </w:r>
          </w:p>
        </w:tc>
        <w:tc>
          <w:tcPr>
            <w:tcW w:w="1840" w:type="dxa"/>
            <w:hideMark/>
          </w:tcPr>
          <w:p w14:paraId="5933785E" w14:textId="77777777" w:rsidR="00E953EE" w:rsidRPr="00EB272B" w:rsidRDefault="00E953EE" w:rsidP="006909EB">
            <w:pPr>
              <w:rPr>
                <w:rFonts w:cstheme="minorHAnsi"/>
                <w:sz w:val="22"/>
                <w:szCs w:val="22"/>
              </w:rPr>
            </w:pPr>
            <w:r w:rsidRPr="00EB272B">
              <w:rPr>
                <w:rFonts w:cstheme="minorHAnsi"/>
                <w:sz w:val="22"/>
                <w:szCs w:val="22"/>
              </w:rPr>
              <w:t> </w:t>
            </w:r>
          </w:p>
        </w:tc>
        <w:tc>
          <w:tcPr>
            <w:tcW w:w="960" w:type="dxa"/>
            <w:hideMark/>
          </w:tcPr>
          <w:p w14:paraId="269D934E" w14:textId="77777777" w:rsidR="00E953EE" w:rsidRPr="00EB272B" w:rsidRDefault="00E953EE" w:rsidP="006909EB">
            <w:pPr>
              <w:rPr>
                <w:rFonts w:cstheme="minorHAnsi"/>
                <w:sz w:val="22"/>
                <w:szCs w:val="22"/>
              </w:rPr>
            </w:pPr>
            <w:r w:rsidRPr="00EB272B">
              <w:rPr>
                <w:rFonts w:cstheme="minorHAnsi"/>
                <w:sz w:val="22"/>
                <w:szCs w:val="22"/>
              </w:rPr>
              <w:t>W</w:t>
            </w:r>
          </w:p>
        </w:tc>
        <w:tc>
          <w:tcPr>
            <w:tcW w:w="5380" w:type="dxa"/>
            <w:hideMark/>
          </w:tcPr>
          <w:p w14:paraId="0628D30F" w14:textId="77777777" w:rsidR="00E953EE" w:rsidRPr="00EB272B" w:rsidRDefault="00E953EE" w:rsidP="006909EB">
            <w:pPr>
              <w:rPr>
                <w:rFonts w:cstheme="minorHAnsi"/>
                <w:sz w:val="22"/>
                <w:szCs w:val="22"/>
              </w:rPr>
            </w:pPr>
            <w:r w:rsidRPr="00EB272B">
              <w:rPr>
                <w:rFonts w:cstheme="minorHAnsi"/>
                <w:sz w:val="22"/>
                <w:szCs w:val="22"/>
              </w:rPr>
              <w:t xml:space="preserve">Minamata Initial Assessment for Suriname </w:t>
            </w:r>
          </w:p>
        </w:tc>
        <w:tc>
          <w:tcPr>
            <w:tcW w:w="960" w:type="dxa"/>
            <w:hideMark/>
          </w:tcPr>
          <w:p w14:paraId="67359102" w14:textId="77777777" w:rsidR="00E953EE" w:rsidRPr="00EB272B" w:rsidRDefault="00E953EE" w:rsidP="006909EB">
            <w:pPr>
              <w:rPr>
                <w:rFonts w:cstheme="minorHAnsi"/>
                <w:sz w:val="22"/>
                <w:szCs w:val="22"/>
              </w:rPr>
            </w:pPr>
            <w:r w:rsidRPr="00EB272B">
              <w:rPr>
                <w:rFonts w:cstheme="minorHAnsi"/>
                <w:sz w:val="22"/>
                <w:szCs w:val="22"/>
              </w:rPr>
              <w:t>GEF-6</w:t>
            </w:r>
          </w:p>
        </w:tc>
        <w:tc>
          <w:tcPr>
            <w:tcW w:w="960" w:type="dxa"/>
            <w:hideMark/>
          </w:tcPr>
          <w:p w14:paraId="0D08DA2A" w14:textId="77777777" w:rsidR="00E953EE" w:rsidRPr="00EB272B" w:rsidRDefault="00E953EE" w:rsidP="006909EB">
            <w:pPr>
              <w:rPr>
                <w:rFonts w:cstheme="minorHAnsi"/>
                <w:sz w:val="22"/>
                <w:szCs w:val="22"/>
              </w:rPr>
            </w:pPr>
            <w:r w:rsidRPr="00EB272B">
              <w:rPr>
                <w:rFonts w:cstheme="minorHAnsi"/>
                <w:sz w:val="22"/>
                <w:szCs w:val="22"/>
              </w:rPr>
              <w:t>EA</w:t>
            </w:r>
          </w:p>
        </w:tc>
        <w:tc>
          <w:tcPr>
            <w:tcW w:w="960" w:type="dxa"/>
            <w:hideMark/>
          </w:tcPr>
          <w:p w14:paraId="27A627F8" w14:textId="77777777" w:rsidR="00E953EE" w:rsidRPr="00EB272B" w:rsidRDefault="00E953EE" w:rsidP="006909EB">
            <w:pPr>
              <w:rPr>
                <w:rFonts w:cstheme="minorHAnsi"/>
                <w:sz w:val="22"/>
                <w:szCs w:val="22"/>
              </w:rPr>
            </w:pPr>
            <w:r w:rsidRPr="00EB272B">
              <w:rPr>
                <w:rFonts w:cstheme="minorHAnsi"/>
                <w:sz w:val="22"/>
                <w:szCs w:val="22"/>
              </w:rPr>
              <w:t>UNDP</w:t>
            </w:r>
          </w:p>
        </w:tc>
        <w:tc>
          <w:tcPr>
            <w:tcW w:w="1660" w:type="dxa"/>
            <w:hideMark/>
          </w:tcPr>
          <w:p w14:paraId="2C581D1A" w14:textId="77777777" w:rsidR="00E953EE" w:rsidRPr="00EB272B" w:rsidRDefault="00E953EE" w:rsidP="006909EB">
            <w:pPr>
              <w:jc w:val="right"/>
              <w:rPr>
                <w:rFonts w:cstheme="minorHAnsi"/>
                <w:sz w:val="22"/>
                <w:szCs w:val="22"/>
              </w:rPr>
            </w:pPr>
            <w:r w:rsidRPr="00EB272B">
              <w:rPr>
                <w:rFonts w:cstheme="minorHAnsi"/>
                <w:sz w:val="22"/>
                <w:szCs w:val="22"/>
              </w:rPr>
              <w:t>200000</w:t>
            </w:r>
          </w:p>
        </w:tc>
        <w:tc>
          <w:tcPr>
            <w:tcW w:w="1620" w:type="dxa"/>
            <w:hideMark/>
          </w:tcPr>
          <w:p w14:paraId="4B613746" w14:textId="77777777" w:rsidR="00E953EE" w:rsidRPr="00EB272B" w:rsidRDefault="00E953EE" w:rsidP="006909EB">
            <w:pPr>
              <w:jc w:val="right"/>
              <w:rPr>
                <w:rFonts w:cstheme="minorHAnsi"/>
                <w:sz w:val="22"/>
                <w:szCs w:val="22"/>
              </w:rPr>
            </w:pPr>
            <w:r>
              <w:rPr>
                <w:rFonts w:cstheme="minorHAnsi"/>
                <w:sz w:val="22"/>
                <w:szCs w:val="22"/>
              </w:rPr>
              <w:t>0</w:t>
            </w:r>
            <w:r w:rsidRPr="00EB272B">
              <w:rPr>
                <w:rFonts w:cstheme="minorHAnsi"/>
                <w:sz w:val="22"/>
                <w:szCs w:val="22"/>
              </w:rPr>
              <w:t> </w:t>
            </w:r>
          </w:p>
        </w:tc>
      </w:tr>
      <w:tr w:rsidR="00E953EE" w:rsidRPr="00EB272B" w14:paraId="086E2BE8" w14:textId="77777777" w:rsidTr="006909EB">
        <w:trPr>
          <w:trHeight w:val="600"/>
        </w:trPr>
        <w:tc>
          <w:tcPr>
            <w:tcW w:w="1820" w:type="dxa"/>
            <w:hideMark/>
          </w:tcPr>
          <w:p w14:paraId="6A9B4E02" w14:textId="77777777" w:rsidR="00E953EE" w:rsidRPr="00EB272B" w:rsidRDefault="00E953EE" w:rsidP="006909EB">
            <w:pPr>
              <w:rPr>
                <w:rFonts w:cstheme="minorHAnsi"/>
                <w:sz w:val="22"/>
                <w:szCs w:val="22"/>
              </w:rPr>
            </w:pPr>
            <w:r w:rsidRPr="00EB272B">
              <w:rPr>
                <w:rFonts w:cstheme="minorHAnsi"/>
                <w:sz w:val="22"/>
                <w:szCs w:val="22"/>
              </w:rPr>
              <w:lastRenderedPageBreak/>
              <w:t>Suriname</w:t>
            </w:r>
          </w:p>
        </w:tc>
        <w:tc>
          <w:tcPr>
            <w:tcW w:w="1840" w:type="dxa"/>
            <w:hideMark/>
          </w:tcPr>
          <w:p w14:paraId="630C8F25" w14:textId="77777777" w:rsidR="00E953EE" w:rsidRPr="00EB272B" w:rsidRDefault="00E953EE" w:rsidP="006909EB">
            <w:pPr>
              <w:rPr>
                <w:rFonts w:cstheme="minorHAnsi"/>
                <w:sz w:val="22"/>
                <w:szCs w:val="22"/>
              </w:rPr>
            </w:pPr>
            <w:r w:rsidRPr="00EB272B">
              <w:rPr>
                <w:rFonts w:cstheme="minorHAnsi"/>
                <w:sz w:val="22"/>
                <w:szCs w:val="22"/>
              </w:rPr>
              <w:t> </w:t>
            </w:r>
          </w:p>
        </w:tc>
        <w:tc>
          <w:tcPr>
            <w:tcW w:w="960" w:type="dxa"/>
            <w:hideMark/>
          </w:tcPr>
          <w:p w14:paraId="73DC7846" w14:textId="77777777" w:rsidR="00E953EE" w:rsidRPr="00EB272B" w:rsidRDefault="00E953EE" w:rsidP="006909EB">
            <w:pPr>
              <w:rPr>
                <w:rFonts w:cstheme="minorHAnsi"/>
                <w:sz w:val="22"/>
                <w:szCs w:val="22"/>
              </w:rPr>
            </w:pPr>
            <w:r w:rsidRPr="00EB272B">
              <w:rPr>
                <w:rFonts w:cstheme="minorHAnsi"/>
                <w:sz w:val="22"/>
                <w:szCs w:val="22"/>
              </w:rPr>
              <w:t>W</w:t>
            </w:r>
          </w:p>
        </w:tc>
        <w:tc>
          <w:tcPr>
            <w:tcW w:w="5380" w:type="dxa"/>
            <w:hideMark/>
          </w:tcPr>
          <w:p w14:paraId="6BFEFC9B" w14:textId="77777777" w:rsidR="00E953EE" w:rsidRPr="00EB272B" w:rsidRDefault="00E953EE" w:rsidP="006909EB">
            <w:pPr>
              <w:rPr>
                <w:rFonts w:cstheme="minorHAnsi"/>
                <w:sz w:val="22"/>
                <w:szCs w:val="22"/>
              </w:rPr>
            </w:pPr>
            <w:r w:rsidRPr="00EB272B">
              <w:rPr>
                <w:rFonts w:cstheme="minorHAnsi"/>
                <w:sz w:val="22"/>
                <w:szCs w:val="22"/>
              </w:rPr>
              <w:t xml:space="preserve">Artisanal and Small-Scale Gold Mining (ASGM) National Action Plan (NAP) for Suriname </w:t>
            </w:r>
          </w:p>
        </w:tc>
        <w:tc>
          <w:tcPr>
            <w:tcW w:w="960" w:type="dxa"/>
            <w:hideMark/>
          </w:tcPr>
          <w:p w14:paraId="302DA4CB" w14:textId="77777777" w:rsidR="00E953EE" w:rsidRPr="00EB272B" w:rsidRDefault="00E953EE" w:rsidP="006909EB">
            <w:pPr>
              <w:rPr>
                <w:rFonts w:cstheme="minorHAnsi"/>
                <w:sz w:val="22"/>
                <w:szCs w:val="22"/>
              </w:rPr>
            </w:pPr>
            <w:r w:rsidRPr="00EB272B">
              <w:rPr>
                <w:rFonts w:cstheme="minorHAnsi"/>
                <w:sz w:val="22"/>
                <w:szCs w:val="22"/>
              </w:rPr>
              <w:t>GEF-6</w:t>
            </w:r>
          </w:p>
        </w:tc>
        <w:tc>
          <w:tcPr>
            <w:tcW w:w="960" w:type="dxa"/>
            <w:hideMark/>
          </w:tcPr>
          <w:p w14:paraId="6217DB88" w14:textId="77777777" w:rsidR="00E953EE" w:rsidRPr="00EB272B" w:rsidRDefault="00E953EE" w:rsidP="006909EB">
            <w:pPr>
              <w:rPr>
                <w:rFonts w:cstheme="minorHAnsi"/>
                <w:sz w:val="22"/>
                <w:szCs w:val="22"/>
              </w:rPr>
            </w:pPr>
            <w:r w:rsidRPr="00EB272B">
              <w:rPr>
                <w:rFonts w:cstheme="minorHAnsi"/>
                <w:sz w:val="22"/>
                <w:szCs w:val="22"/>
              </w:rPr>
              <w:t>EA</w:t>
            </w:r>
          </w:p>
        </w:tc>
        <w:tc>
          <w:tcPr>
            <w:tcW w:w="960" w:type="dxa"/>
            <w:hideMark/>
          </w:tcPr>
          <w:p w14:paraId="484DDDCD" w14:textId="77777777" w:rsidR="00E953EE" w:rsidRPr="00EB272B" w:rsidRDefault="00E953EE" w:rsidP="006909EB">
            <w:pPr>
              <w:rPr>
                <w:rFonts w:cstheme="minorHAnsi"/>
                <w:sz w:val="22"/>
                <w:szCs w:val="22"/>
              </w:rPr>
            </w:pPr>
            <w:r w:rsidRPr="00EB272B">
              <w:rPr>
                <w:rFonts w:cstheme="minorHAnsi"/>
                <w:sz w:val="22"/>
                <w:szCs w:val="22"/>
              </w:rPr>
              <w:t>UNDP</w:t>
            </w:r>
          </w:p>
        </w:tc>
        <w:tc>
          <w:tcPr>
            <w:tcW w:w="1660" w:type="dxa"/>
            <w:hideMark/>
          </w:tcPr>
          <w:p w14:paraId="6E42E2CD" w14:textId="77777777" w:rsidR="00E953EE" w:rsidRPr="00EB272B" w:rsidRDefault="00E953EE" w:rsidP="006909EB">
            <w:pPr>
              <w:jc w:val="right"/>
              <w:rPr>
                <w:rFonts w:cstheme="minorHAnsi"/>
                <w:sz w:val="22"/>
                <w:szCs w:val="22"/>
              </w:rPr>
            </w:pPr>
            <w:r w:rsidRPr="00EB272B">
              <w:rPr>
                <w:rFonts w:cstheme="minorHAnsi"/>
                <w:sz w:val="22"/>
                <w:szCs w:val="22"/>
              </w:rPr>
              <w:t>500000</w:t>
            </w:r>
          </w:p>
        </w:tc>
        <w:tc>
          <w:tcPr>
            <w:tcW w:w="1620" w:type="dxa"/>
            <w:hideMark/>
          </w:tcPr>
          <w:p w14:paraId="1703D0CE" w14:textId="77777777" w:rsidR="00E953EE" w:rsidRPr="00EB272B" w:rsidRDefault="00E953EE" w:rsidP="006909EB">
            <w:pPr>
              <w:jc w:val="right"/>
              <w:rPr>
                <w:rFonts w:cstheme="minorHAnsi"/>
                <w:sz w:val="22"/>
                <w:szCs w:val="22"/>
              </w:rPr>
            </w:pPr>
            <w:r>
              <w:rPr>
                <w:rFonts w:cstheme="minorHAnsi"/>
                <w:sz w:val="22"/>
                <w:szCs w:val="22"/>
              </w:rPr>
              <w:t>0</w:t>
            </w:r>
            <w:r w:rsidRPr="00EB272B">
              <w:rPr>
                <w:rFonts w:cstheme="minorHAnsi"/>
                <w:sz w:val="22"/>
                <w:szCs w:val="22"/>
              </w:rPr>
              <w:t> </w:t>
            </w:r>
          </w:p>
        </w:tc>
      </w:tr>
      <w:tr w:rsidR="00E953EE" w:rsidRPr="00EB272B" w14:paraId="058DCE97" w14:textId="77777777" w:rsidTr="006909EB">
        <w:trPr>
          <w:trHeight w:val="900"/>
        </w:trPr>
        <w:tc>
          <w:tcPr>
            <w:tcW w:w="1820" w:type="dxa"/>
            <w:hideMark/>
          </w:tcPr>
          <w:p w14:paraId="0597182F" w14:textId="77777777" w:rsidR="00E953EE" w:rsidRPr="00EB272B" w:rsidRDefault="00E953EE" w:rsidP="006909EB">
            <w:pPr>
              <w:rPr>
                <w:rFonts w:cstheme="minorHAnsi"/>
                <w:sz w:val="22"/>
                <w:szCs w:val="22"/>
              </w:rPr>
            </w:pPr>
            <w:r w:rsidRPr="00EB272B">
              <w:rPr>
                <w:rFonts w:cstheme="minorHAnsi"/>
                <w:sz w:val="22"/>
                <w:szCs w:val="22"/>
              </w:rPr>
              <w:t>Tanzania</w:t>
            </w:r>
          </w:p>
        </w:tc>
        <w:tc>
          <w:tcPr>
            <w:tcW w:w="1840" w:type="dxa"/>
            <w:hideMark/>
          </w:tcPr>
          <w:p w14:paraId="10877FB2" w14:textId="77777777" w:rsidR="00E953EE" w:rsidRPr="00EB272B" w:rsidRDefault="00E953EE" w:rsidP="006909EB">
            <w:pPr>
              <w:rPr>
                <w:rFonts w:cstheme="minorHAnsi"/>
                <w:sz w:val="22"/>
                <w:szCs w:val="22"/>
              </w:rPr>
            </w:pPr>
            <w:r w:rsidRPr="00EB272B">
              <w:rPr>
                <w:rFonts w:cstheme="minorHAnsi"/>
                <w:sz w:val="22"/>
                <w:szCs w:val="22"/>
              </w:rPr>
              <w:t> </w:t>
            </w:r>
          </w:p>
        </w:tc>
        <w:tc>
          <w:tcPr>
            <w:tcW w:w="960" w:type="dxa"/>
            <w:hideMark/>
          </w:tcPr>
          <w:p w14:paraId="393A811E" w14:textId="77777777" w:rsidR="00E953EE" w:rsidRPr="00EB272B" w:rsidRDefault="00E953EE" w:rsidP="006909EB">
            <w:pPr>
              <w:rPr>
                <w:rFonts w:cstheme="minorHAnsi"/>
                <w:sz w:val="22"/>
                <w:szCs w:val="22"/>
              </w:rPr>
            </w:pPr>
            <w:r w:rsidRPr="00EB272B">
              <w:rPr>
                <w:rFonts w:cstheme="minorHAnsi"/>
                <w:sz w:val="22"/>
                <w:szCs w:val="22"/>
              </w:rPr>
              <w:t>W</w:t>
            </w:r>
          </w:p>
        </w:tc>
        <w:tc>
          <w:tcPr>
            <w:tcW w:w="5380" w:type="dxa"/>
            <w:hideMark/>
          </w:tcPr>
          <w:p w14:paraId="1478313F" w14:textId="77777777" w:rsidR="00E953EE" w:rsidRPr="00EB272B" w:rsidRDefault="00E953EE" w:rsidP="006909EB">
            <w:pPr>
              <w:rPr>
                <w:rFonts w:cstheme="minorHAnsi"/>
                <w:sz w:val="22"/>
                <w:szCs w:val="22"/>
              </w:rPr>
            </w:pPr>
            <w:r w:rsidRPr="00EB272B">
              <w:rPr>
                <w:rFonts w:cstheme="minorHAnsi"/>
                <w:sz w:val="22"/>
                <w:szCs w:val="22"/>
              </w:rPr>
              <w:t>Development of National Action Plans for Artisanal and Small-Scale Gold Mining in the United Republic of Tanzania</w:t>
            </w:r>
          </w:p>
        </w:tc>
        <w:tc>
          <w:tcPr>
            <w:tcW w:w="960" w:type="dxa"/>
            <w:hideMark/>
          </w:tcPr>
          <w:p w14:paraId="6205ED17" w14:textId="77777777" w:rsidR="00E953EE" w:rsidRPr="00EB272B" w:rsidRDefault="00E953EE" w:rsidP="006909EB">
            <w:pPr>
              <w:rPr>
                <w:rFonts w:cstheme="minorHAnsi"/>
                <w:sz w:val="22"/>
                <w:szCs w:val="22"/>
              </w:rPr>
            </w:pPr>
            <w:r w:rsidRPr="00EB272B">
              <w:rPr>
                <w:rFonts w:cstheme="minorHAnsi"/>
                <w:sz w:val="22"/>
                <w:szCs w:val="22"/>
              </w:rPr>
              <w:t>GEF-6</w:t>
            </w:r>
          </w:p>
        </w:tc>
        <w:tc>
          <w:tcPr>
            <w:tcW w:w="960" w:type="dxa"/>
            <w:hideMark/>
          </w:tcPr>
          <w:p w14:paraId="186575D5" w14:textId="77777777" w:rsidR="00E953EE" w:rsidRPr="00EB272B" w:rsidRDefault="00E953EE" w:rsidP="006909EB">
            <w:pPr>
              <w:rPr>
                <w:rFonts w:cstheme="minorHAnsi"/>
                <w:sz w:val="22"/>
                <w:szCs w:val="22"/>
              </w:rPr>
            </w:pPr>
            <w:r w:rsidRPr="00EB272B">
              <w:rPr>
                <w:rFonts w:cstheme="minorHAnsi"/>
                <w:sz w:val="22"/>
                <w:szCs w:val="22"/>
              </w:rPr>
              <w:t>EA</w:t>
            </w:r>
          </w:p>
        </w:tc>
        <w:tc>
          <w:tcPr>
            <w:tcW w:w="960" w:type="dxa"/>
            <w:hideMark/>
          </w:tcPr>
          <w:p w14:paraId="07662421" w14:textId="77777777" w:rsidR="00E953EE" w:rsidRPr="00EB272B" w:rsidRDefault="00E953EE" w:rsidP="006909EB">
            <w:pPr>
              <w:rPr>
                <w:rFonts w:cstheme="minorHAnsi"/>
                <w:sz w:val="22"/>
                <w:szCs w:val="22"/>
              </w:rPr>
            </w:pPr>
            <w:r w:rsidRPr="00EB272B">
              <w:rPr>
                <w:rFonts w:cstheme="minorHAnsi"/>
                <w:sz w:val="22"/>
                <w:szCs w:val="22"/>
              </w:rPr>
              <w:t>UNEP</w:t>
            </w:r>
          </w:p>
        </w:tc>
        <w:tc>
          <w:tcPr>
            <w:tcW w:w="1660" w:type="dxa"/>
            <w:hideMark/>
          </w:tcPr>
          <w:p w14:paraId="7484BEDB" w14:textId="77777777" w:rsidR="00E953EE" w:rsidRPr="00EB272B" w:rsidRDefault="00E953EE" w:rsidP="006909EB">
            <w:pPr>
              <w:jc w:val="right"/>
              <w:rPr>
                <w:rFonts w:cstheme="minorHAnsi"/>
                <w:sz w:val="22"/>
                <w:szCs w:val="22"/>
              </w:rPr>
            </w:pPr>
            <w:r w:rsidRPr="00EB272B">
              <w:rPr>
                <w:rFonts w:cstheme="minorHAnsi"/>
                <w:sz w:val="22"/>
                <w:szCs w:val="22"/>
              </w:rPr>
              <w:t>500000</w:t>
            </w:r>
          </w:p>
        </w:tc>
        <w:tc>
          <w:tcPr>
            <w:tcW w:w="1620" w:type="dxa"/>
            <w:hideMark/>
          </w:tcPr>
          <w:p w14:paraId="239AD298" w14:textId="77777777" w:rsidR="00E953EE" w:rsidRPr="00EB272B" w:rsidRDefault="00E953EE" w:rsidP="006909EB">
            <w:pPr>
              <w:jc w:val="right"/>
              <w:rPr>
                <w:rFonts w:cstheme="minorHAnsi"/>
                <w:sz w:val="22"/>
                <w:szCs w:val="22"/>
              </w:rPr>
            </w:pPr>
            <w:r w:rsidRPr="00EB272B">
              <w:rPr>
                <w:rFonts w:cstheme="minorHAnsi"/>
                <w:sz w:val="22"/>
                <w:szCs w:val="22"/>
              </w:rPr>
              <w:t> </w:t>
            </w:r>
            <w:r>
              <w:rPr>
                <w:rFonts w:cstheme="minorHAnsi"/>
                <w:sz w:val="22"/>
                <w:szCs w:val="22"/>
              </w:rPr>
              <w:t>0</w:t>
            </w:r>
          </w:p>
        </w:tc>
      </w:tr>
      <w:tr w:rsidR="00E953EE" w:rsidRPr="00EB272B" w14:paraId="73A7D2A7" w14:textId="77777777" w:rsidTr="006909EB">
        <w:trPr>
          <w:trHeight w:val="300"/>
        </w:trPr>
        <w:tc>
          <w:tcPr>
            <w:tcW w:w="1820" w:type="dxa"/>
            <w:hideMark/>
          </w:tcPr>
          <w:p w14:paraId="2C3B2144" w14:textId="77777777" w:rsidR="00E953EE" w:rsidRPr="00EB272B" w:rsidRDefault="00E953EE" w:rsidP="006909EB">
            <w:pPr>
              <w:rPr>
                <w:rFonts w:cstheme="minorHAnsi"/>
                <w:sz w:val="22"/>
                <w:szCs w:val="22"/>
              </w:rPr>
            </w:pPr>
            <w:r w:rsidRPr="00EB272B">
              <w:rPr>
                <w:rFonts w:cstheme="minorHAnsi"/>
                <w:sz w:val="22"/>
                <w:szCs w:val="22"/>
              </w:rPr>
              <w:t>Tunisia</w:t>
            </w:r>
          </w:p>
        </w:tc>
        <w:tc>
          <w:tcPr>
            <w:tcW w:w="1840" w:type="dxa"/>
            <w:hideMark/>
          </w:tcPr>
          <w:p w14:paraId="73780032" w14:textId="77777777" w:rsidR="00E953EE" w:rsidRPr="00EB272B" w:rsidRDefault="00E953EE" w:rsidP="006909EB">
            <w:pPr>
              <w:rPr>
                <w:rFonts w:cstheme="minorHAnsi"/>
                <w:sz w:val="22"/>
                <w:szCs w:val="22"/>
              </w:rPr>
            </w:pPr>
            <w:r w:rsidRPr="00EB272B">
              <w:rPr>
                <w:rFonts w:cstheme="minorHAnsi"/>
                <w:sz w:val="22"/>
                <w:szCs w:val="22"/>
              </w:rPr>
              <w:t> </w:t>
            </w:r>
          </w:p>
        </w:tc>
        <w:tc>
          <w:tcPr>
            <w:tcW w:w="960" w:type="dxa"/>
            <w:hideMark/>
          </w:tcPr>
          <w:p w14:paraId="5DAC7DD7" w14:textId="77777777" w:rsidR="00E953EE" w:rsidRPr="00EB272B" w:rsidRDefault="00E953EE" w:rsidP="006909EB">
            <w:pPr>
              <w:rPr>
                <w:rFonts w:cstheme="minorHAnsi"/>
                <w:sz w:val="22"/>
                <w:szCs w:val="22"/>
              </w:rPr>
            </w:pPr>
            <w:r w:rsidRPr="00EB272B">
              <w:rPr>
                <w:rFonts w:cstheme="minorHAnsi"/>
                <w:sz w:val="22"/>
                <w:szCs w:val="22"/>
              </w:rPr>
              <w:t>W</w:t>
            </w:r>
          </w:p>
        </w:tc>
        <w:tc>
          <w:tcPr>
            <w:tcW w:w="5380" w:type="dxa"/>
            <w:hideMark/>
          </w:tcPr>
          <w:p w14:paraId="3D648EBA" w14:textId="77777777" w:rsidR="00E953EE" w:rsidRPr="00EB272B" w:rsidRDefault="00E953EE" w:rsidP="006909EB">
            <w:pPr>
              <w:rPr>
                <w:rFonts w:cstheme="minorHAnsi"/>
                <w:sz w:val="22"/>
                <w:szCs w:val="22"/>
              </w:rPr>
            </w:pPr>
            <w:r w:rsidRPr="00EB272B">
              <w:rPr>
                <w:rFonts w:cstheme="minorHAnsi"/>
                <w:sz w:val="22"/>
                <w:szCs w:val="22"/>
              </w:rPr>
              <w:t>Improve Mercury Management in Tunisia</w:t>
            </w:r>
          </w:p>
        </w:tc>
        <w:tc>
          <w:tcPr>
            <w:tcW w:w="960" w:type="dxa"/>
            <w:hideMark/>
          </w:tcPr>
          <w:p w14:paraId="55C44571" w14:textId="77777777" w:rsidR="00E953EE" w:rsidRPr="00EB272B" w:rsidRDefault="00E953EE" w:rsidP="006909EB">
            <w:pPr>
              <w:rPr>
                <w:rFonts w:cstheme="minorHAnsi"/>
                <w:sz w:val="22"/>
                <w:szCs w:val="22"/>
              </w:rPr>
            </w:pPr>
            <w:r w:rsidRPr="00EB272B">
              <w:rPr>
                <w:rFonts w:cstheme="minorHAnsi"/>
                <w:sz w:val="22"/>
                <w:szCs w:val="22"/>
              </w:rPr>
              <w:t>GEF-6</w:t>
            </w:r>
          </w:p>
        </w:tc>
        <w:tc>
          <w:tcPr>
            <w:tcW w:w="960" w:type="dxa"/>
            <w:hideMark/>
          </w:tcPr>
          <w:p w14:paraId="65A8F204" w14:textId="77777777" w:rsidR="00E953EE" w:rsidRPr="00EB272B" w:rsidRDefault="00E953EE" w:rsidP="006909EB">
            <w:pPr>
              <w:rPr>
                <w:rFonts w:cstheme="minorHAnsi"/>
                <w:sz w:val="22"/>
                <w:szCs w:val="22"/>
              </w:rPr>
            </w:pPr>
            <w:r w:rsidRPr="00EB272B">
              <w:rPr>
                <w:rFonts w:cstheme="minorHAnsi"/>
                <w:sz w:val="22"/>
                <w:szCs w:val="22"/>
              </w:rPr>
              <w:t>MSP</w:t>
            </w:r>
          </w:p>
        </w:tc>
        <w:tc>
          <w:tcPr>
            <w:tcW w:w="960" w:type="dxa"/>
            <w:hideMark/>
          </w:tcPr>
          <w:p w14:paraId="1D5967DC" w14:textId="77777777" w:rsidR="00E953EE" w:rsidRPr="00EB272B" w:rsidRDefault="00E953EE" w:rsidP="006909EB">
            <w:pPr>
              <w:rPr>
                <w:rFonts w:cstheme="minorHAnsi"/>
                <w:sz w:val="22"/>
                <w:szCs w:val="22"/>
              </w:rPr>
            </w:pPr>
            <w:r w:rsidRPr="00EB272B">
              <w:rPr>
                <w:rFonts w:cstheme="minorHAnsi"/>
                <w:sz w:val="22"/>
                <w:szCs w:val="22"/>
              </w:rPr>
              <w:t>UNIDO</w:t>
            </w:r>
          </w:p>
        </w:tc>
        <w:tc>
          <w:tcPr>
            <w:tcW w:w="1660" w:type="dxa"/>
            <w:hideMark/>
          </w:tcPr>
          <w:p w14:paraId="09F225B0" w14:textId="77777777" w:rsidR="00E953EE" w:rsidRPr="00EB272B" w:rsidRDefault="00E953EE" w:rsidP="006909EB">
            <w:pPr>
              <w:jc w:val="right"/>
              <w:rPr>
                <w:rFonts w:cstheme="minorHAnsi"/>
                <w:sz w:val="22"/>
                <w:szCs w:val="22"/>
              </w:rPr>
            </w:pPr>
            <w:r w:rsidRPr="00EB272B">
              <w:rPr>
                <w:rFonts w:cstheme="minorHAnsi"/>
                <w:sz w:val="22"/>
                <w:szCs w:val="22"/>
              </w:rPr>
              <w:t>600000</w:t>
            </w:r>
          </w:p>
        </w:tc>
        <w:tc>
          <w:tcPr>
            <w:tcW w:w="1620" w:type="dxa"/>
            <w:hideMark/>
          </w:tcPr>
          <w:p w14:paraId="299C7E59" w14:textId="77777777" w:rsidR="00E953EE" w:rsidRPr="00EB272B" w:rsidRDefault="00E953EE" w:rsidP="006909EB">
            <w:pPr>
              <w:jc w:val="right"/>
              <w:rPr>
                <w:rFonts w:cstheme="minorHAnsi"/>
                <w:sz w:val="22"/>
                <w:szCs w:val="22"/>
              </w:rPr>
            </w:pPr>
            <w:r w:rsidRPr="00EB272B">
              <w:rPr>
                <w:rFonts w:cstheme="minorHAnsi"/>
                <w:sz w:val="22"/>
                <w:szCs w:val="22"/>
              </w:rPr>
              <w:t>2350000</w:t>
            </w:r>
          </w:p>
        </w:tc>
      </w:tr>
      <w:tr w:rsidR="00E953EE" w:rsidRPr="00EB272B" w14:paraId="3A69BA48" w14:textId="77777777" w:rsidTr="006909EB">
        <w:trPr>
          <w:trHeight w:val="300"/>
        </w:trPr>
        <w:tc>
          <w:tcPr>
            <w:tcW w:w="1820" w:type="dxa"/>
            <w:hideMark/>
          </w:tcPr>
          <w:p w14:paraId="084944F6" w14:textId="77777777" w:rsidR="00E953EE" w:rsidRPr="00EB272B" w:rsidRDefault="00E953EE" w:rsidP="006909EB">
            <w:pPr>
              <w:rPr>
                <w:rFonts w:cstheme="minorHAnsi"/>
                <w:sz w:val="22"/>
                <w:szCs w:val="22"/>
              </w:rPr>
            </w:pPr>
            <w:r w:rsidRPr="00EB272B">
              <w:rPr>
                <w:rFonts w:cstheme="minorHAnsi"/>
                <w:sz w:val="22"/>
                <w:szCs w:val="22"/>
              </w:rPr>
              <w:t>Turkey</w:t>
            </w:r>
          </w:p>
        </w:tc>
        <w:tc>
          <w:tcPr>
            <w:tcW w:w="1840" w:type="dxa"/>
            <w:hideMark/>
          </w:tcPr>
          <w:p w14:paraId="7DE7413E" w14:textId="77777777" w:rsidR="00E953EE" w:rsidRPr="00EB272B" w:rsidRDefault="00E953EE" w:rsidP="006909EB">
            <w:pPr>
              <w:rPr>
                <w:rFonts w:cstheme="minorHAnsi"/>
                <w:sz w:val="22"/>
                <w:szCs w:val="22"/>
              </w:rPr>
            </w:pPr>
            <w:r w:rsidRPr="00EB272B">
              <w:rPr>
                <w:rFonts w:cstheme="minorHAnsi"/>
                <w:sz w:val="22"/>
                <w:szCs w:val="22"/>
              </w:rPr>
              <w:t> </w:t>
            </w:r>
          </w:p>
        </w:tc>
        <w:tc>
          <w:tcPr>
            <w:tcW w:w="960" w:type="dxa"/>
            <w:hideMark/>
          </w:tcPr>
          <w:p w14:paraId="2BBEEA5A" w14:textId="77777777" w:rsidR="00E953EE" w:rsidRPr="00EB272B" w:rsidRDefault="00E953EE" w:rsidP="006909EB">
            <w:pPr>
              <w:rPr>
                <w:rFonts w:cstheme="minorHAnsi"/>
                <w:sz w:val="22"/>
                <w:szCs w:val="22"/>
              </w:rPr>
            </w:pPr>
            <w:r w:rsidRPr="00EB272B">
              <w:rPr>
                <w:rFonts w:cstheme="minorHAnsi"/>
                <w:sz w:val="22"/>
                <w:szCs w:val="22"/>
              </w:rPr>
              <w:t>W</w:t>
            </w:r>
          </w:p>
        </w:tc>
        <w:tc>
          <w:tcPr>
            <w:tcW w:w="5380" w:type="dxa"/>
            <w:hideMark/>
          </w:tcPr>
          <w:p w14:paraId="563137DD" w14:textId="77777777" w:rsidR="00E953EE" w:rsidRPr="00EB272B" w:rsidRDefault="00E953EE" w:rsidP="006909EB">
            <w:pPr>
              <w:rPr>
                <w:rFonts w:cstheme="minorHAnsi"/>
                <w:sz w:val="22"/>
                <w:szCs w:val="22"/>
              </w:rPr>
            </w:pPr>
            <w:r w:rsidRPr="00EB272B">
              <w:rPr>
                <w:rFonts w:cstheme="minorHAnsi"/>
                <w:sz w:val="22"/>
                <w:szCs w:val="22"/>
              </w:rPr>
              <w:t>Minamata Convention: Initial Assessment in Turkey</w:t>
            </w:r>
          </w:p>
        </w:tc>
        <w:tc>
          <w:tcPr>
            <w:tcW w:w="960" w:type="dxa"/>
            <w:hideMark/>
          </w:tcPr>
          <w:p w14:paraId="393909D4" w14:textId="77777777" w:rsidR="00E953EE" w:rsidRPr="00EB272B" w:rsidRDefault="00E953EE" w:rsidP="006909EB">
            <w:pPr>
              <w:rPr>
                <w:rFonts w:cstheme="minorHAnsi"/>
                <w:sz w:val="22"/>
                <w:szCs w:val="22"/>
              </w:rPr>
            </w:pPr>
            <w:r w:rsidRPr="00EB272B">
              <w:rPr>
                <w:rFonts w:cstheme="minorHAnsi"/>
                <w:sz w:val="22"/>
                <w:szCs w:val="22"/>
              </w:rPr>
              <w:t>GEF-6</w:t>
            </w:r>
          </w:p>
        </w:tc>
        <w:tc>
          <w:tcPr>
            <w:tcW w:w="960" w:type="dxa"/>
            <w:hideMark/>
          </w:tcPr>
          <w:p w14:paraId="5C3ADD1C" w14:textId="77777777" w:rsidR="00E953EE" w:rsidRPr="00EB272B" w:rsidRDefault="00E953EE" w:rsidP="006909EB">
            <w:pPr>
              <w:rPr>
                <w:rFonts w:cstheme="minorHAnsi"/>
                <w:sz w:val="22"/>
                <w:szCs w:val="22"/>
              </w:rPr>
            </w:pPr>
            <w:r w:rsidRPr="00EB272B">
              <w:rPr>
                <w:rFonts w:cstheme="minorHAnsi"/>
                <w:sz w:val="22"/>
                <w:szCs w:val="22"/>
              </w:rPr>
              <w:t>EA</w:t>
            </w:r>
          </w:p>
        </w:tc>
        <w:tc>
          <w:tcPr>
            <w:tcW w:w="960" w:type="dxa"/>
            <w:hideMark/>
          </w:tcPr>
          <w:p w14:paraId="594165DE" w14:textId="77777777" w:rsidR="00E953EE" w:rsidRPr="00EB272B" w:rsidRDefault="00E953EE" w:rsidP="006909EB">
            <w:pPr>
              <w:rPr>
                <w:rFonts w:cstheme="minorHAnsi"/>
                <w:sz w:val="22"/>
                <w:szCs w:val="22"/>
              </w:rPr>
            </w:pPr>
            <w:r w:rsidRPr="00EB272B">
              <w:rPr>
                <w:rFonts w:cstheme="minorHAnsi"/>
                <w:sz w:val="22"/>
                <w:szCs w:val="22"/>
              </w:rPr>
              <w:t>UNIDO</w:t>
            </w:r>
          </w:p>
        </w:tc>
        <w:tc>
          <w:tcPr>
            <w:tcW w:w="1660" w:type="dxa"/>
            <w:hideMark/>
          </w:tcPr>
          <w:p w14:paraId="3CEDE8AA" w14:textId="77777777" w:rsidR="00E953EE" w:rsidRPr="00EB272B" w:rsidRDefault="00E953EE" w:rsidP="006909EB">
            <w:pPr>
              <w:jc w:val="right"/>
              <w:rPr>
                <w:rFonts w:cstheme="minorHAnsi"/>
                <w:sz w:val="22"/>
                <w:szCs w:val="22"/>
              </w:rPr>
            </w:pPr>
            <w:r w:rsidRPr="00EB272B">
              <w:rPr>
                <w:rFonts w:cstheme="minorHAnsi"/>
                <w:sz w:val="22"/>
                <w:szCs w:val="22"/>
              </w:rPr>
              <w:t>500000</w:t>
            </w:r>
          </w:p>
        </w:tc>
        <w:tc>
          <w:tcPr>
            <w:tcW w:w="1620" w:type="dxa"/>
            <w:hideMark/>
          </w:tcPr>
          <w:p w14:paraId="0E0394A2" w14:textId="77777777" w:rsidR="00E953EE" w:rsidRPr="00EB272B" w:rsidRDefault="00E953EE" w:rsidP="006909EB">
            <w:pPr>
              <w:jc w:val="right"/>
              <w:rPr>
                <w:rFonts w:cstheme="minorHAnsi"/>
                <w:sz w:val="22"/>
                <w:szCs w:val="22"/>
              </w:rPr>
            </w:pPr>
            <w:r w:rsidRPr="00EB272B">
              <w:rPr>
                <w:rFonts w:cstheme="minorHAnsi"/>
                <w:sz w:val="22"/>
                <w:szCs w:val="22"/>
              </w:rPr>
              <w:t>29000</w:t>
            </w:r>
          </w:p>
        </w:tc>
      </w:tr>
      <w:tr w:rsidR="00E953EE" w:rsidRPr="00EB272B" w14:paraId="7AB750F4" w14:textId="77777777" w:rsidTr="006909EB">
        <w:trPr>
          <w:trHeight w:val="600"/>
        </w:trPr>
        <w:tc>
          <w:tcPr>
            <w:tcW w:w="1820" w:type="dxa"/>
            <w:hideMark/>
          </w:tcPr>
          <w:p w14:paraId="051C352D" w14:textId="77777777" w:rsidR="00E953EE" w:rsidRPr="00EB272B" w:rsidRDefault="00E953EE" w:rsidP="006909EB">
            <w:pPr>
              <w:rPr>
                <w:rFonts w:cstheme="minorHAnsi"/>
                <w:sz w:val="22"/>
                <w:szCs w:val="22"/>
              </w:rPr>
            </w:pPr>
            <w:r w:rsidRPr="00EB272B">
              <w:rPr>
                <w:rFonts w:cstheme="minorHAnsi"/>
                <w:sz w:val="22"/>
                <w:szCs w:val="22"/>
              </w:rPr>
              <w:t>Uruguay</w:t>
            </w:r>
          </w:p>
        </w:tc>
        <w:tc>
          <w:tcPr>
            <w:tcW w:w="1840" w:type="dxa"/>
            <w:hideMark/>
          </w:tcPr>
          <w:p w14:paraId="2630AABC" w14:textId="77777777" w:rsidR="00E953EE" w:rsidRPr="00EB272B" w:rsidRDefault="00E953EE" w:rsidP="006909EB">
            <w:pPr>
              <w:rPr>
                <w:rFonts w:cstheme="minorHAnsi"/>
                <w:sz w:val="22"/>
                <w:szCs w:val="22"/>
              </w:rPr>
            </w:pPr>
            <w:r w:rsidRPr="00EB272B">
              <w:rPr>
                <w:rFonts w:cstheme="minorHAnsi"/>
                <w:sz w:val="22"/>
                <w:szCs w:val="22"/>
              </w:rPr>
              <w:t> </w:t>
            </w:r>
          </w:p>
        </w:tc>
        <w:tc>
          <w:tcPr>
            <w:tcW w:w="960" w:type="dxa"/>
            <w:hideMark/>
          </w:tcPr>
          <w:p w14:paraId="3412A84B" w14:textId="77777777" w:rsidR="00E953EE" w:rsidRPr="00EB272B" w:rsidRDefault="00E953EE" w:rsidP="006909EB">
            <w:pPr>
              <w:rPr>
                <w:rFonts w:cstheme="minorHAnsi"/>
                <w:sz w:val="22"/>
                <w:szCs w:val="22"/>
              </w:rPr>
            </w:pPr>
            <w:r w:rsidRPr="00EB272B">
              <w:rPr>
                <w:rFonts w:cstheme="minorHAnsi"/>
                <w:sz w:val="22"/>
                <w:szCs w:val="22"/>
              </w:rPr>
              <w:t>P</w:t>
            </w:r>
          </w:p>
        </w:tc>
        <w:tc>
          <w:tcPr>
            <w:tcW w:w="5380" w:type="dxa"/>
            <w:hideMark/>
          </w:tcPr>
          <w:p w14:paraId="4ACF0F5A" w14:textId="77777777" w:rsidR="00E953EE" w:rsidRPr="00EB272B" w:rsidRDefault="00E953EE" w:rsidP="006909EB">
            <w:pPr>
              <w:rPr>
                <w:rFonts w:cstheme="minorHAnsi"/>
                <w:sz w:val="22"/>
                <w:szCs w:val="22"/>
              </w:rPr>
            </w:pPr>
            <w:r w:rsidRPr="00EB272B">
              <w:rPr>
                <w:rFonts w:cstheme="minorHAnsi"/>
                <w:sz w:val="22"/>
                <w:szCs w:val="22"/>
              </w:rPr>
              <w:t>Environmental Sound Life-Cycle Management of Mercury Containing Products and their Wastes</w:t>
            </w:r>
          </w:p>
        </w:tc>
        <w:tc>
          <w:tcPr>
            <w:tcW w:w="960" w:type="dxa"/>
            <w:hideMark/>
          </w:tcPr>
          <w:p w14:paraId="048CBBD4" w14:textId="77777777" w:rsidR="00E953EE" w:rsidRPr="00EB272B" w:rsidRDefault="00E953EE" w:rsidP="006909EB">
            <w:pPr>
              <w:rPr>
                <w:rFonts w:cstheme="minorHAnsi"/>
                <w:sz w:val="22"/>
                <w:szCs w:val="22"/>
              </w:rPr>
            </w:pPr>
            <w:r w:rsidRPr="00EB272B">
              <w:rPr>
                <w:rFonts w:cstheme="minorHAnsi"/>
                <w:sz w:val="22"/>
                <w:szCs w:val="22"/>
              </w:rPr>
              <w:t>GEF-5</w:t>
            </w:r>
          </w:p>
        </w:tc>
        <w:tc>
          <w:tcPr>
            <w:tcW w:w="960" w:type="dxa"/>
            <w:hideMark/>
          </w:tcPr>
          <w:p w14:paraId="260E561C" w14:textId="77777777" w:rsidR="00E953EE" w:rsidRPr="00EB272B" w:rsidRDefault="00E953EE" w:rsidP="006909EB">
            <w:pPr>
              <w:rPr>
                <w:rFonts w:cstheme="minorHAnsi"/>
                <w:sz w:val="22"/>
                <w:szCs w:val="22"/>
              </w:rPr>
            </w:pPr>
            <w:r w:rsidRPr="00EB272B">
              <w:rPr>
                <w:rFonts w:cstheme="minorHAnsi"/>
                <w:sz w:val="22"/>
                <w:szCs w:val="22"/>
              </w:rPr>
              <w:t>MSP</w:t>
            </w:r>
          </w:p>
        </w:tc>
        <w:tc>
          <w:tcPr>
            <w:tcW w:w="960" w:type="dxa"/>
            <w:hideMark/>
          </w:tcPr>
          <w:p w14:paraId="0F0A3C74" w14:textId="77777777" w:rsidR="00E953EE" w:rsidRPr="00EB272B" w:rsidRDefault="00E953EE" w:rsidP="006909EB">
            <w:pPr>
              <w:rPr>
                <w:rFonts w:cstheme="minorHAnsi"/>
                <w:sz w:val="22"/>
                <w:szCs w:val="22"/>
              </w:rPr>
            </w:pPr>
            <w:r w:rsidRPr="00EB272B">
              <w:rPr>
                <w:rFonts w:cstheme="minorHAnsi"/>
                <w:sz w:val="22"/>
                <w:szCs w:val="22"/>
              </w:rPr>
              <w:t>UNDP</w:t>
            </w:r>
          </w:p>
        </w:tc>
        <w:tc>
          <w:tcPr>
            <w:tcW w:w="1660" w:type="dxa"/>
            <w:hideMark/>
          </w:tcPr>
          <w:p w14:paraId="16BDDE2C" w14:textId="77777777" w:rsidR="00E953EE" w:rsidRPr="00EB272B" w:rsidRDefault="00E953EE" w:rsidP="006909EB">
            <w:pPr>
              <w:jc w:val="right"/>
              <w:rPr>
                <w:rFonts w:cstheme="minorHAnsi"/>
                <w:sz w:val="22"/>
                <w:szCs w:val="22"/>
              </w:rPr>
            </w:pPr>
            <w:r w:rsidRPr="00EB272B">
              <w:rPr>
                <w:rFonts w:cstheme="minorHAnsi"/>
                <w:sz w:val="22"/>
                <w:szCs w:val="22"/>
              </w:rPr>
              <w:t>700000</w:t>
            </w:r>
          </w:p>
        </w:tc>
        <w:tc>
          <w:tcPr>
            <w:tcW w:w="1620" w:type="dxa"/>
            <w:hideMark/>
          </w:tcPr>
          <w:p w14:paraId="0D010206" w14:textId="77777777" w:rsidR="00E953EE" w:rsidRPr="00EB272B" w:rsidRDefault="00E953EE" w:rsidP="006909EB">
            <w:pPr>
              <w:jc w:val="right"/>
              <w:rPr>
                <w:rFonts w:cstheme="minorHAnsi"/>
                <w:sz w:val="22"/>
                <w:szCs w:val="22"/>
              </w:rPr>
            </w:pPr>
            <w:r w:rsidRPr="00EB272B">
              <w:rPr>
                <w:rFonts w:cstheme="minorHAnsi"/>
                <w:sz w:val="22"/>
                <w:szCs w:val="22"/>
              </w:rPr>
              <w:t>2959700</w:t>
            </w:r>
          </w:p>
        </w:tc>
      </w:tr>
      <w:tr w:rsidR="00E953EE" w:rsidRPr="00EB272B" w14:paraId="2ACAAA52" w14:textId="77777777" w:rsidTr="006909EB">
        <w:trPr>
          <w:trHeight w:val="900"/>
        </w:trPr>
        <w:tc>
          <w:tcPr>
            <w:tcW w:w="1820" w:type="dxa"/>
            <w:hideMark/>
          </w:tcPr>
          <w:p w14:paraId="65A9AA5B" w14:textId="77777777" w:rsidR="00E953EE" w:rsidRPr="00EB272B" w:rsidRDefault="00E953EE" w:rsidP="006909EB">
            <w:pPr>
              <w:rPr>
                <w:rFonts w:cstheme="minorHAnsi"/>
                <w:sz w:val="22"/>
                <w:szCs w:val="22"/>
              </w:rPr>
            </w:pPr>
            <w:r w:rsidRPr="00EB272B">
              <w:rPr>
                <w:rFonts w:cstheme="minorHAnsi"/>
                <w:sz w:val="22"/>
                <w:szCs w:val="22"/>
              </w:rPr>
              <w:t>Vietnam</w:t>
            </w:r>
          </w:p>
        </w:tc>
        <w:tc>
          <w:tcPr>
            <w:tcW w:w="1840" w:type="dxa"/>
            <w:hideMark/>
          </w:tcPr>
          <w:p w14:paraId="38F95FDE" w14:textId="77777777" w:rsidR="00E953EE" w:rsidRPr="00EB272B" w:rsidRDefault="00E953EE" w:rsidP="006909EB">
            <w:pPr>
              <w:rPr>
                <w:rFonts w:cstheme="minorHAnsi"/>
                <w:sz w:val="22"/>
                <w:szCs w:val="22"/>
              </w:rPr>
            </w:pPr>
            <w:r w:rsidRPr="00EB272B">
              <w:rPr>
                <w:rFonts w:cstheme="minorHAnsi"/>
                <w:sz w:val="22"/>
                <w:szCs w:val="22"/>
              </w:rPr>
              <w:t> </w:t>
            </w:r>
          </w:p>
        </w:tc>
        <w:tc>
          <w:tcPr>
            <w:tcW w:w="960" w:type="dxa"/>
            <w:hideMark/>
          </w:tcPr>
          <w:p w14:paraId="51DF9653" w14:textId="77777777" w:rsidR="00E953EE" w:rsidRPr="00EB272B" w:rsidRDefault="00E953EE" w:rsidP="006909EB">
            <w:pPr>
              <w:rPr>
                <w:rFonts w:cstheme="minorHAnsi"/>
                <w:sz w:val="22"/>
                <w:szCs w:val="22"/>
              </w:rPr>
            </w:pPr>
            <w:r w:rsidRPr="00EB272B">
              <w:rPr>
                <w:rFonts w:cstheme="minorHAnsi"/>
                <w:sz w:val="22"/>
                <w:szCs w:val="22"/>
              </w:rPr>
              <w:t>W</w:t>
            </w:r>
          </w:p>
        </w:tc>
        <w:tc>
          <w:tcPr>
            <w:tcW w:w="5380" w:type="dxa"/>
            <w:hideMark/>
          </w:tcPr>
          <w:p w14:paraId="0996BD5B" w14:textId="77777777" w:rsidR="00E953EE" w:rsidRPr="00EB272B" w:rsidRDefault="00E953EE" w:rsidP="006909EB">
            <w:pPr>
              <w:rPr>
                <w:rFonts w:cstheme="minorHAnsi"/>
                <w:sz w:val="22"/>
                <w:szCs w:val="22"/>
              </w:rPr>
            </w:pPr>
            <w:r w:rsidRPr="00EB272B">
              <w:rPr>
                <w:rFonts w:cstheme="minorHAnsi"/>
                <w:sz w:val="22"/>
                <w:szCs w:val="22"/>
              </w:rPr>
              <w:t>Application of Green Chemistry in Vietnam to Support Green Growth and Reduction in the use and Release of POPs/harmful Chemicals</w:t>
            </w:r>
          </w:p>
        </w:tc>
        <w:tc>
          <w:tcPr>
            <w:tcW w:w="960" w:type="dxa"/>
            <w:hideMark/>
          </w:tcPr>
          <w:p w14:paraId="76EAFF4E" w14:textId="77777777" w:rsidR="00E953EE" w:rsidRPr="00EB272B" w:rsidRDefault="00E953EE" w:rsidP="006909EB">
            <w:pPr>
              <w:rPr>
                <w:rFonts w:cstheme="minorHAnsi"/>
                <w:sz w:val="22"/>
                <w:szCs w:val="22"/>
              </w:rPr>
            </w:pPr>
            <w:r w:rsidRPr="00EB272B">
              <w:rPr>
                <w:rFonts w:cstheme="minorHAnsi"/>
                <w:sz w:val="22"/>
                <w:szCs w:val="22"/>
              </w:rPr>
              <w:t>GEF-6</w:t>
            </w:r>
          </w:p>
        </w:tc>
        <w:tc>
          <w:tcPr>
            <w:tcW w:w="960" w:type="dxa"/>
            <w:hideMark/>
          </w:tcPr>
          <w:p w14:paraId="30515CD5" w14:textId="77777777" w:rsidR="00E953EE" w:rsidRPr="00EB272B" w:rsidRDefault="00E953EE" w:rsidP="006909EB">
            <w:pPr>
              <w:rPr>
                <w:rFonts w:cstheme="minorHAnsi"/>
                <w:sz w:val="22"/>
                <w:szCs w:val="22"/>
              </w:rPr>
            </w:pPr>
            <w:r w:rsidRPr="00EB272B">
              <w:rPr>
                <w:rFonts w:cstheme="minorHAnsi"/>
                <w:sz w:val="22"/>
                <w:szCs w:val="22"/>
              </w:rPr>
              <w:t>MSP</w:t>
            </w:r>
          </w:p>
        </w:tc>
        <w:tc>
          <w:tcPr>
            <w:tcW w:w="960" w:type="dxa"/>
            <w:hideMark/>
          </w:tcPr>
          <w:p w14:paraId="3C6316D8" w14:textId="77777777" w:rsidR="00E953EE" w:rsidRPr="00EB272B" w:rsidRDefault="00E953EE" w:rsidP="006909EB">
            <w:pPr>
              <w:rPr>
                <w:rFonts w:cstheme="minorHAnsi"/>
                <w:sz w:val="22"/>
                <w:szCs w:val="22"/>
              </w:rPr>
            </w:pPr>
            <w:r w:rsidRPr="00EB272B">
              <w:rPr>
                <w:rFonts w:cstheme="minorHAnsi"/>
                <w:sz w:val="22"/>
                <w:szCs w:val="22"/>
              </w:rPr>
              <w:t>UNDP</w:t>
            </w:r>
          </w:p>
        </w:tc>
        <w:tc>
          <w:tcPr>
            <w:tcW w:w="1660" w:type="dxa"/>
            <w:hideMark/>
          </w:tcPr>
          <w:p w14:paraId="4070308A" w14:textId="77777777" w:rsidR="00E953EE" w:rsidRPr="00EB272B" w:rsidRDefault="00E953EE" w:rsidP="006909EB">
            <w:pPr>
              <w:jc w:val="right"/>
              <w:rPr>
                <w:rFonts w:cstheme="minorHAnsi"/>
                <w:sz w:val="22"/>
                <w:szCs w:val="22"/>
              </w:rPr>
            </w:pPr>
            <w:r w:rsidRPr="00EB272B">
              <w:rPr>
                <w:rFonts w:cstheme="minorHAnsi"/>
                <w:sz w:val="22"/>
                <w:szCs w:val="22"/>
              </w:rPr>
              <w:t>469800</w:t>
            </w:r>
          </w:p>
        </w:tc>
        <w:tc>
          <w:tcPr>
            <w:tcW w:w="1620" w:type="dxa"/>
            <w:hideMark/>
          </w:tcPr>
          <w:p w14:paraId="2B02F055" w14:textId="77777777" w:rsidR="00E953EE" w:rsidRPr="00EB272B" w:rsidRDefault="00E953EE" w:rsidP="006909EB">
            <w:pPr>
              <w:jc w:val="right"/>
              <w:rPr>
                <w:rFonts w:cstheme="minorHAnsi"/>
                <w:sz w:val="22"/>
                <w:szCs w:val="22"/>
              </w:rPr>
            </w:pPr>
            <w:r w:rsidRPr="00EB272B">
              <w:rPr>
                <w:rFonts w:cstheme="minorHAnsi"/>
                <w:sz w:val="22"/>
                <w:szCs w:val="22"/>
              </w:rPr>
              <w:t>1000000</w:t>
            </w:r>
          </w:p>
        </w:tc>
      </w:tr>
      <w:tr w:rsidR="00E953EE" w:rsidRPr="00EB272B" w14:paraId="67434F62" w14:textId="77777777" w:rsidTr="006909EB">
        <w:trPr>
          <w:trHeight w:val="300"/>
        </w:trPr>
        <w:tc>
          <w:tcPr>
            <w:tcW w:w="1820" w:type="dxa"/>
            <w:hideMark/>
          </w:tcPr>
          <w:p w14:paraId="3BF4E388" w14:textId="77777777" w:rsidR="00E953EE" w:rsidRPr="00EB272B" w:rsidRDefault="00E953EE" w:rsidP="006909EB">
            <w:pPr>
              <w:rPr>
                <w:rFonts w:cstheme="minorHAnsi"/>
                <w:sz w:val="22"/>
                <w:szCs w:val="22"/>
              </w:rPr>
            </w:pPr>
            <w:r w:rsidRPr="00EB272B">
              <w:rPr>
                <w:rFonts w:cstheme="minorHAnsi"/>
                <w:sz w:val="22"/>
                <w:szCs w:val="22"/>
              </w:rPr>
              <w:t>Vietnam</w:t>
            </w:r>
          </w:p>
        </w:tc>
        <w:tc>
          <w:tcPr>
            <w:tcW w:w="1840" w:type="dxa"/>
            <w:hideMark/>
          </w:tcPr>
          <w:p w14:paraId="3CC9A6C8" w14:textId="77777777" w:rsidR="00E953EE" w:rsidRPr="00EB272B" w:rsidRDefault="00E953EE" w:rsidP="006909EB">
            <w:pPr>
              <w:rPr>
                <w:rFonts w:cstheme="minorHAnsi"/>
                <w:sz w:val="22"/>
                <w:szCs w:val="22"/>
              </w:rPr>
            </w:pPr>
            <w:r w:rsidRPr="00EB272B">
              <w:rPr>
                <w:rFonts w:cstheme="minorHAnsi"/>
                <w:sz w:val="22"/>
                <w:szCs w:val="22"/>
              </w:rPr>
              <w:t> </w:t>
            </w:r>
          </w:p>
        </w:tc>
        <w:tc>
          <w:tcPr>
            <w:tcW w:w="960" w:type="dxa"/>
            <w:hideMark/>
          </w:tcPr>
          <w:p w14:paraId="1F102059" w14:textId="77777777" w:rsidR="00E953EE" w:rsidRPr="00EB272B" w:rsidRDefault="00E953EE" w:rsidP="006909EB">
            <w:pPr>
              <w:rPr>
                <w:rFonts w:cstheme="minorHAnsi"/>
                <w:sz w:val="22"/>
                <w:szCs w:val="22"/>
              </w:rPr>
            </w:pPr>
            <w:r w:rsidRPr="00EB272B">
              <w:rPr>
                <w:rFonts w:cstheme="minorHAnsi"/>
                <w:sz w:val="22"/>
                <w:szCs w:val="22"/>
              </w:rPr>
              <w:t>P</w:t>
            </w:r>
          </w:p>
        </w:tc>
        <w:tc>
          <w:tcPr>
            <w:tcW w:w="5380" w:type="dxa"/>
            <w:hideMark/>
          </w:tcPr>
          <w:p w14:paraId="48B5BA11" w14:textId="77777777" w:rsidR="00E953EE" w:rsidRPr="00EB272B" w:rsidRDefault="00E953EE" w:rsidP="006909EB">
            <w:pPr>
              <w:rPr>
                <w:rFonts w:cstheme="minorHAnsi"/>
                <w:sz w:val="22"/>
                <w:szCs w:val="22"/>
              </w:rPr>
            </w:pPr>
            <w:r w:rsidRPr="00EB272B">
              <w:rPr>
                <w:rFonts w:cstheme="minorHAnsi"/>
                <w:sz w:val="22"/>
                <w:szCs w:val="22"/>
              </w:rPr>
              <w:t>Minamata Convention Initial Assessment in Vietnam</w:t>
            </w:r>
          </w:p>
        </w:tc>
        <w:tc>
          <w:tcPr>
            <w:tcW w:w="960" w:type="dxa"/>
            <w:hideMark/>
          </w:tcPr>
          <w:p w14:paraId="7EAFFFCE" w14:textId="77777777" w:rsidR="00E953EE" w:rsidRPr="00EB272B" w:rsidRDefault="00E953EE" w:rsidP="006909EB">
            <w:pPr>
              <w:rPr>
                <w:rFonts w:cstheme="minorHAnsi"/>
                <w:sz w:val="22"/>
                <w:szCs w:val="22"/>
              </w:rPr>
            </w:pPr>
            <w:r w:rsidRPr="00EB272B">
              <w:rPr>
                <w:rFonts w:cstheme="minorHAnsi"/>
                <w:sz w:val="22"/>
                <w:szCs w:val="22"/>
              </w:rPr>
              <w:t>GEF-5</w:t>
            </w:r>
          </w:p>
        </w:tc>
        <w:tc>
          <w:tcPr>
            <w:tcW w:w="960" w:type="dxa"/>
            <w:hideMark/>
          </w:tcPr>
          <w:p w14:paraId="40F575AD" w14:textId="77777777" w:rsidR="00E953EE" w:rsidRPr="00EB272B" w:rsidRDefault="00E953EE" w:rsidP="006909EB">
            <w:pPr>
              <w:rPr>
                <w:rFonts w:cstheme="minorHAnsi"/>
                <w:sz w:val="22"/>
                <w:szCs w:val="22"/>
              </w:rPr>
            </w:pPr>
            <w:r w:rsidRPr="00EB272B">
              <w:rPr>
                <w:rFonts w:cstheme="minorHAnsi"/>
                <w:sz w:val="22"/>
                <w:szCs w:val="22"/>
              </w:rPr>
              <w:t>EA</w:t>
            </w:r>
          </w:p>
        </w:tc>
        <w:tc>
          <w:tcPr>
            <w:tcW w:w="960" w:type="dxa"/>
            <w:hideMark/>
          </w:tcPr>
          <w:p w14:paraId="23B040CC" w14:textId="77777777" w:rsidR="00E953EE" w:rsidRPr="00EB272B" w:rsidRDefault="00E953EE" w:rsidP="006909EB">
            <w:pPr>
              <w:rPr>
                <w:rFonts w:cstheme="minorHAnsi"/>
                <w:sz w:val="22"/>
                <w:szCs w:val="22"/>
              </w:rPr>
            </w:pPr>
            <w:r w:rsidRPr="00EB272B">
              <w:rPr>
                <w:rFonts w:cstheme="minorHAnsi"/>
                <w:sz w:val="22"/>
                <w:szCs w:val="22"/>
              </w:rPr>
              <w:t>UNIDO</w:t>
            </w:r>
          </w:p>
        </w:tc>
        <w:tc>
          <w:tcPr>
            <w:tcW w:w="1660" w:type="dxa"/>
            <w:hideMark/>
          </w:tcPr>
          <w:p w14:paraId="3BB28882" w14:textId="77777777" w:rsidR="00E953EE" w:rsidRPr="00EB272B" w:rsidRDefault="00E953EE" w:rsidP="006909EB">
            <w:pPr>
              <w:jc w:val="right"/>
              <w:rPr>
                <w:rFonts w:cstheme="minorHAnsi"/>
                <w:sz w:val="22"/>
                <w:szCs w:val="22"/>
              </w:rPr>
            </w:pPr>
            <w:r w:rsidRPr="00EB272B">
              <w:rPr>
                <w:rFonts w:cstheme="minorHAnsi"/>
                <w:sz w:val="22"/>
                <w:szCs w:val="22"/>
              </w:rPr>
              <w:t>500000</w:t>
            </w:r>
          </w:p>
        </w:tc>
        <w:tc>
          <w:tcPr>
            <w:tcW w:w="1620" w:type="dxa"/>
            <w:hideMark/>
          </w:tcPr>
          <w:p w14:paraId="4B2BB81F" w14:textId="77777777" w:rsidR="00E953EE" w:rsidRPr="00EB272B" w:rsidRDefault="00E953EE" w:rsidP="006909EB">
            <w:pPr>
              <w:jc w:val="right"/>
              <w:rPr>
                <w:rFonts w:cstheme="minorHAnsi"/>
                <w:sz w:val="22"/>
                <w:szCs w:val="22"/>
              </w:rPr>
            </w:pPr>
            <w:r w:rsidRPr="00EB272B">
              <w:rPr>
                <w:rFonts w:cstheme="minorHAnsi"/>
                <w:sz w:val="22"/>
                <w:szCs w:val="22"/>
              </w:rPr>
              <w:t>47000</w:t>
            </w:r>
          </w:p>
        </w:tc>
      </w:tr>
      <w:tr w:rsidR="00E953EE" w:rsidRPr="00EB272B" w14:paraId="18FD4CC3" w14:textId="77777777" w:rsidTr="006909EB">
        <w:trPr>
          <w:trHeight w:val="600"/>
        </w:trPr>
        <w:tc>
          <w:tcPr>
            <w:tcW w:w="1820" w:type="dxa"/>
            <w:hideMark/>
          </w:tcPr>
          <w:p w14:paraId="1C493F71" w14:textId="77777777" w:rsidR="00E953EE" w:rsidRPr="00EB272B" w:rsidRDefault="00E953EE" w:rsidP="006909EB">
            <w:pPr>
              <w:rPr>
                <w:rFonts w:cstheme="minorHAnsi"/>
                <w:sz w:val="22"/>
                <w:szCs w:val="22"/>
              </w:rPr>
            </w:pPr>
            <w:r w:rsidRPr="00EB272B">
              <w:rPr>
                <w:rFonts w:cstheme="minorHAnsi"/>
                <w:sz w:val="22"/>
                <w:szCs w:val="22"/>
              </w:rPr>
              <w:t>Yemen</w:t>
            </w:r>
          </w:p>
        </w:tc>
        <w:tc>
          <w:tcPr>
            <w:tcW w:w="1840" w:type="dxa"/>
            <w:hideMark/>
          </w:tcPr>
          <w:p w14:paraId="4113878D" w14:textId="77777777" w:rsidR="00E953EE" w:rsidRPr="00EB272B" w:rsidRDefault="00E953EE" w:rsidP="006909EB">
            <w:pPr>
              <w:rPr>
                <w:rFonts w:cstheme="minorHAnsi"/>
                <w:sz w:val="22"/>
                <w:szCs w:val="22"/>
              </w:rPr>
            </w:pPr>
            <w:r w:rsidRPr="00EB272B">
              <w:rPr>
                <w:rFonts w:cstheme="minorHAnsi"/>
                <w:sz w:val="22"/>
                <w:szCs w:val="22"/>
              </w:rPr>
              <w:t> </w:t>
            </w:r>
          </w:p>
        </w:tc>
        <w:tc>
          <w:tcPr>
            <w:tcW w:w="960" w:type="dxa"/>
            <w:hideMark/>
          </w:tcPr>
          <w:p w14:paraId="2543FA3A" w14:textId="77777777" w:rsidR="00E953EE" w:rsidRPr="00EB272B" w:rsidRDefault="00E953EE" w:rsidP="006909EB">
            <w:pPr>
              <w:rPr>
                <w:rFonts w:cstheme="minorHAnsi"/>
                <w:sz w:val="22"/>
                <w:szCs w:val="22"/>
              </w:rPr>
            </w:pPr>
            <w:r w:rsidRPr="00EB272B">
              <w:rPr>
                <w:rFonts w:cstheme="minorHAnsi"/>
                <w:sz w:val="22"/>
                <w:szCs w:val="22"/>
              </w:rPr>
              <w:t>P</w:t>
            </w:r>
          </w:p>
        </w:tc>
        <w:tc>
          <w:tcPr>
            <w:tcW w:w="5380" w:type="dxa"/>
            <w:hideMark/>
          </w:tcPr>
          <w:p w14:paraId="3BE339EB" w14:textId="77777777" w:rsidR="00E953EE" w:rsidRPr="00EB272B" w:rsidRDefault="00E953EE" w:rsidP="006909EB">
            <w:pPr>
              <w:rPr>
                <w:rFonts w:cstheme="minorHAnsi"/>
                <w:sz w:val="22"/>
                <w:szCs w:val="22"/>
              </w:rPr>
            </w:pPr>
            <w:r w:rsidRPr="00EB272B">
              <w:rPr>
                <w:rFonts w:cstheme="minorHAnsi"/>
                <w:sz w:val="22"/>
                <w:szCs w:val="22"/>
              </w:rPr>
              <w:t>Minamata Convention Initial Assessment (MIA) in the Republic of Yemen</w:t>
            </w:r>
          </w:p>
        </w:tc>
        <w:tc>
          <w:tcPr>
            <w:tcW w:w="960" w:type="dxa"/>
            <w:hideMark/>
          </w:tcPr>
          <w:p w14:paraId="1731C4B7" w14:textId="77777777" w:rsidR="00E953EE" w:rsidRPr="00EB272B" w:rsidRDefault="00E953EE" w:rsidP="006909EB">
            <w:pPr>
              <w:rPr>
                <w:rFonts w:cstheme="minorHAnsi"/>
                <w:sz w:val="22"/>
                <w:szCs w:val="22"/>
              </w:rPr>
            </w:pPr>
            <w:r w:rsidRPr="00EB272B">
              <w:rPr>
                <w:rFonts w:cstheme="minorHAnsi"/>
                <w:sz w:val="22"/>
                <w:szCs w:val="22"/>
              </w:rPr>
              <w:t>GEF-5</w:t>
            </w:r>
          </w:p>
        </w:tc>
        <w:tc>
          <w:tcPr>
            <w:tcW w:w="960" w:type="dxa"/>
            <w:hideMark/>
          </w:tcPr>
          <w:p w14:paraId="6B5459E0" w14:textId="77777777" w:rsidR="00E953EE" w:rsidRPr="00EB272B" w:rsidRDefault="00E953EE" w:rsidP="006909EB">
            <w:pPr>
              <w:rPr>
                <w:rFonts w:cstheme="minorHAnsi"/>
                <w:sz w:val="22"/>
                <w:szCs w:val="22"/>
              </w:rPr>
            </w:pPr>
            <w:r w:rsidRPr="00EB272B">
              <w:rPr>
                <w:rFonts w:cstheme="minorHAnsi"/>
                <w:sz w:val="22"/>
                <w:szCs w:val="22"/>
              </w:rPr>
              <w:t>EA</w:t>
            </w:r>
          </w:p>
        </w:tc>
        <w:tc>
          <w:tcPr>
            <w:tcW w:w="960" w:type="dxa"/>
            <w:hideMark/>
          </w:tcPr>
          <w:p w14:paraId="1E08C576" w14:textId="77777777" w:rsidR="00E953EE" w:rsidRPr="00EB272B" w:rsidRDefault="00E953EE" w:rsidP="006909EB">
            <w:pPr>
              <w:rPr>
                <w:rFonts w:cstheme="minorHAnsi"/>
                <w:sz w:val="22"/>
                <w:szCs w:val="22"/>
              </w:rPr>
            </w:pPr>
            <w:r w:rsidRPr="00EB272B">
              <w:rPr>
                <w:rFonts w:cstheme="minorHAnsi"/>
                <w:sz w:val="22"/>
                <w:szCs w:val="22"/>
              </w:rPr>
              <w:t>UNIDO</w:t>
            </w:r>
          </w:p>
        </w:tc>
        <w:tc>
          <w:tcPr>
            <w:tcW w:w="1660" w:type="dxa"/>
            <w:hideMark/>
          </w:tcPr>
          <w:p w14:paraId="518C06AC" w14:textId="77777777" w:rsidR="00E953EE" w:rsidRPr="00EB272B" w:rsidRDefault="00E953EE" w:rsidP="006909EB">
            <w:pPr>
              <w:jc w:val="right"/>
              <w:rPr>
                <w:rFonts w:cstheme="minorHAnsi"/>
                <w:sz w:val="22"/>
                <w:szCs w:val="22"/>
              </w:rPr>
            </w:pPr>
            <w:r w:rsidRPr="00EB272B">
              <w:rPr>
                <w:rFonts w:cstheme="minorHAnsi"/>
                <w:sz w:val="22"/>
                <w:szCs w:val="22"/>
              </w:rPr>
              <w:t>200000</w:t>
            </w:r>
          </w:p>
        </w:tc>
        <w:tc>
          <w:tcPr>
            <w:tcW w:w="1620" w:type="dxa"/>
            <w:hideMark/>
          </w:tcPr>
          <w:p w14:paraId="03E8E747" w14:textId="77777777" w:rsidR="00E953EE" w:rsidRPr="00EB272B" w:rsidRDefault="00E953EE" w:rsidP="006909EB">
            <w:pPr>
              <w:jc w:val="right"/>
              <w:rPr>
                <w:rFonts w:cstheme="minorHAnsi"/>
                <w:sz w:val="22"/>
                <w:szCs w:val="22"/>
              </w:rPr>
            </w:pPr>
            <w:r w:rsidRPr="00EB272B">
              <w:rPr>
                <w:rFonts w:cstheme="minorHAnsi"/>
                <w:sz w:val="22"/>
                <w:szCs w:val="22"/>
              </w:rPr>
              <w:t>50200</w:t>
            </w:r>
          </w:p>
        </w:tc>
      </w:tr>
      <w:tr w:rsidR="00E953EE" w:rsidRPr="00EB272B" w14:paraId="2BB953BD" w14:textId="77777777" w:rsidTr="006909EB">
        <w:trPr>
          <w:trHeight w:val="300"/>
        </w:trPr>
        <w:tc>
          <w:tcPr>
            <w:tcW w:w="1820" w:type="dxa"/>
            <w:hideMark/>
          </w:tcPr>
          <w:p w14:paraId="487690A2" w14:textId="77777777" w:rsidR="00E953EE" w:rsidRPr="00EB272B" w:rsidRDefault="00E953EE" w:rsidP="006909EB">
            <w:pPr>
              <w:rPr>
                <w:rFonts w:cstheme="minorHAnsi"/>
                <w:sz w:val="22"/>
                <w:szCs w:val="22"/>
              </w:rPr>
            </w:pPr>
            <w:r w:rsidRPr="00EB272B">
              <w:rPr>
                <w:rFonts w:cstheme="minorHAnsi"/>
                <w:sz w:val="22"/>
                <w:szCs w:val="22"/>
              </w:rPr>
              <w:t> </w:t>
            </w:r>
          </w:p>
        </w:tc>
        <w:tc>
          <w:tcPr>
            <w:tcW w:w="1840" w:type="dxa"/>
            <w:hideMark/>
          </w:tcPr>
          <w:p w14:paraId="07976EBF" w14:textId="77777777" w:rsidR="00E953EE" w:rsidRPr="00EB272B" w:rsidRDefault="00E953EE" w:rsidP="006909EB">
            <w:pPr>
              <w:rPr>
                <w:rFonts w:cstheme="minorHAnsi"/>
                <w:sz w:val="22"/>
                <w:szCs w:val="22"/>
              </w:rPr>
            </w:pPr>
            <w:r w:rsidRPr="00EB272B">
              <w:rPr>
                <w:rFonts w:cstheme="minorHAnsi"/>
                <w:sz w:val="22"/>
                <w:szCs w:val="22"/>
              </w:rPr>
              <w:t> </w:t>
            </w:r>
          </w:p>
        </w:tc>
        <w:tc>
          <w:tcPr>
            <w:tcW w:w="960" w:type="dxa"/>
            <w:hideMark/>
          </w:tcPr>
          <w:p w14:paraId="57804B55" w14:textId="77777777" w:rsidR="00E953EE" w:rsidRPr="00EB272B" w:rsidRDefault="00E953EE" w:rsidP="006909EB">
            <w:pPr>
              <w:rPr>
                <w:rFonts w:cstheme="minorHAnsi"/>
                <w:sz w:val="22"/>
                <w:szCs w:val="22"/>
              </w:rPr>
            </w:pPr>
            <w:r w:rsidRPr="00EB272B">
              <w:rPr>
                <w:rFonts w:cstheme="minorHAnsi"/>
                <w:sz w:val="22"/>
                <w:szCs w:val="22"/>
              </w:rPr>
              <w:t> </w:t>
            </w:r>
          </w:p>
        </w:tc>
        <w:tc>
          <w:tcPr>
            <w:tcW w:w="5380" w:type="dxa"/>
            <w:hideMark/>
          </w:tcPr>
          <w:p w14:paraId="6FD6F3B0" w14:textId="77777777" w:rsidR="00E953EE" w:rsidRPr="00EB272B" w:rsidRDefault="00E953EE" w:rsidP="006909EB">
            <w:pPr>
              <w:rPr>
                <w:rFonts w:cstheme="minorHAnsi"/>
                <w:sz w:val="22"/>
                <w:szCs w:val="22"/>
              </w:rPr>
            </w:pPr>
            <w:r w:rsidRPr="00EB272B">
              <w:rPr>
                <w:rFonts w:cstheme="minorHAnsi"/>
                <w:sz w:val="22"/>
                <w:szCs w:val="22"/>
              </w:rPr>
              <w:t> </w:t>
            </w:r>
          </w:p>
        </w:tc>
        <w:tc>
          <w:tcPr>
            <w:tcW w:w="960" w:type="dxa"/>
            <w:hideMark/>
          </w:tcPr>
          <w:p w14:paraId="244F91CA" w14:textId="77777777" w:rsidR="00E953EE" w:rsidRPr="00EB272B" w:rsidRDefault="00E953EE" w:rsidP="006909EB">
            <w:pPr>
              <w:rPr>
                <w:rFonts w:cstheme="minorHAnsi"/>
                <w:sz w:val="22"/>
                <w:szCs w:val="22"/>
              </w:rPr>
            </w:pPr>
            <w:r w:rsidRPr="00EB272B">
              <w:rPr>
                <w:rFonts w:cstheme="minorHAnsi"/>
                <w:sz w:val="22"/>
                <w:szCs w:val="22"/>
              </w:rPr>
              <w:t> </w:t>
            </w:r>
          </w:p>
        </w:tc>
        <w:tc>
          <w:tcPr>
            <w:tcW w:w="960" w:type="dxa"/>
            <w:hideMark/>
          </w:tcPr>
          <w:p w14:paraId="1B98A6C3" w14:textId="77777777" w:rsidR="00E953EE" w:rsidRPr="00EB272B" w:rsidRDefault="00E953EE" w:rsidP="006909EB">
            <w:pPr>
              <w:rPr>
                <w:rFonts w:cstheme="minorHAnsi"/>
                <w:sz w:val="22"/>
                <w:szCs w:val="22"/>
              </w:rPr>
            </w:pPr>
            <w:r w:rsidRPr="00EB272B">
              <w:rPr>
                <w:rFonts w:cstheme="minorHAnsi"/>
                <w:sz w:val="22"/>
                <w:szCs w:val="22"/>
              </w:rPr>
              <w:t> </w:t>
            </w:r>
          </w:p>
        </w:tc>
        <w:tc>
          <w:tcPr>
            <w:tcW w:w="960" w:type="dxa"/>
            <w:hideMark/>
          </w:tcPr>
          <w:p w14:paraId="4A42390B" w14:textId="77777777" w:rsidR="00E953EE" w:rsidRPr="00EB272B" w:rsidRDefault="00E953EE" w:rsidP="006909EB">
            <w:pPr>
              <w:rPr>
                <w:rFonts w:cstheme="minorHAnsi"/>
                <w:sz w:val="22"/>
                <w:szCs w:val="22"/>
              </w:rPr>
            </w:pPr>
            <w:r w:rsidRPr="00EB272B">
              <w:rPr>
                <w:rFonts w:cstheme="minorHAnsi"/>
                <w:sz w:val="22"/>
                <w:szCs w:val="22"/>
              </w:rPr>
              <w:t>Total</w:t>
            </w:r>
          </w:p>
        </w:tc>
        <w:tc>
          <w:tcPr>
            <w:tcW w:w="1660" w:type="dxa"/>
            <w:hideMark/>
          </w:tcPr>
          <w:p w14:paraId="6993294B" w14:textId="77777777" w:rsidR="00E953EE" w:rsidRPr="00EB272B" w:rsidRDefault="00E953EE" w:rsidP="006909EB">
            <w:pPr>
              <w:jc w:val="right"/>
              <w:rPr>
                <w:rFonts w:cstheme="minorHAnsi"/>
                <w:sz w:val="22"/>
                <w:szCs w:val="22"/>
              </w:rPr>
            </w:pPr>
            <w:r w:rsidRPr="00EB272B">
              <w:rPr>
                <w:rFonts w:cstheme="minorHAnsi"/>
                <w:sz w:val="22"/>
                <w:szCs w:val="22"/>
              </w:rPr>
              <w:t>164</w:t>
            </w:r>
            <w:r>
              <w:rPr>
                <w:rFonts w:cstheme="minorHAnsi"/>
                <w:sz w:val="22"/>
                <w:szCs w:val="22"/>
              </w:rPr>
              <w:t>,</w:t>
            </w:r>
            <w:r w:rsidRPr="00EB272B">
              <w:rPr>
                <w:rFonts w:cstheme="minorHAnsi"/>
                <w:sz w:val="22"/>
                <w:szCs w:val="22"/>
              </w:rPr>
              <w:t>963</w:t>
            </w:r>
            <w:r>
              <w:rPr>
                <w:rFonts w:cstheme="minorHAnsi"/>
                <w:sz w:val="22"/>
                <w:szCs w:val="22"/>
              </w:rPr>
              <w:t>,</w:t>
            </w:r>
            <w:r w:rsidRPr="00EB272B">
              <w:rPr>
                <w:rFonts w:cstheme="minorHAnsi"/>
                <w:sz w:val="22"/>
                <w:szCs w:val="22"/>
              </w:rPr>
              <w:t>620</w:t>
            </w:r>
          </w:p>
        </w:tc>
        <w:tc>
          <w:tcPr>
            <w:tcW w:w="1620" w:type="dxa"/>
            <w:hideMark/>
          </w:tcPr>
          <w:p w14:paraId="4DA41B54" w14:textId="77777777" w:rsidR="00E953EE" w:rsidRPr="00EB272B" w:rsidRDefault="00E953EE" w:rsidP="006909EB">
            <w:pPr>
              <w:jc w:val="right"/>
              <w:rPr>
                <w:rFonts w:cstheme="minorHAnsi"/>
                <w:sz w:val="22"/>
                <w:szCs w:val="22"/>
              </w:rPr>
            </w:pPr>
            <w:r w:rsidRPr="00EB272B">
              <w:rPr>
                <w:rFonts w:cstheme="minorHAnsi"/>
                <w:sz w:val="22"/>
                <w:szCs w:val="22"/>
              </w:rPr>
              <w:t>609</w:t>
            </w:r>
            <w:r>
              <w:rPr>
                <w:rFonts w:cstheme="minorHAnsi"/>
                <w:sz w:val="22"/>
                <w:szCs w:val="22"/>
              </w:rPr>
              <w:t>,</w:t>
            </w:r>
            <w:r w:rsidRPr="00EB272B">
              <w:rPr>
                <w:rFonts w:cstheme="minorHAnsi"/>
                <w:sz w:val="22"/>
                <w:szCs w:val="22"/>
              </w:rPr>
              <w:t>859</w:t>
            </w:r>
            <w:r>
              <w:rPr>
                <w:rFonts w:cstheme="minorHAnsi"/>
                <w:sz w:val="22"/>
                <w:szCs w:val="22"/>
              </w:rPr>
              <w:t>,</w:t>
            </w:r>
            <w:r w:rsidRPr="00EB272B">
              <w:rPr>
                <w:rFonts w:cstheme="minorHAnsi"/>
                <w:sz w:val="22"/>
                <w:szCs w:val="22"/>
              </w:rPr>
              <w:t>694</w:t>
            </w:r>
          </w:p>
        </w:tc>
      </w:tr>
    </w:tbl>
    <w:p w14:paraId="2C9B76E8" w14:textId="77777777" w:rsidR="00E953EE" w:rsidRPr="000A1CC4" w:rsidRDefault="00E953EE" w:rsidP="002F7012">
      <w:pPr>
        <w:pStyle w:val="Normal-pool"/>
      </w:pPr>
    </w:p>
    <w:p w14:paraId="6F241B13" w14:textId="77777777" w:rsidR="00C66DAD" w:rsidRPr="00AA0C59" w:rsidRDefault="00C66DAD">
      <w:pPr>
        <w:tabs>
          <w:tab w:val="clear" w:pos="1247"/>
          <w:tab w:val="clear" w:pos="1814"/>
          <w:tab w:val="clear" w:pos="2381"/>
          <w:tab w:val="clear" w:pos="2948"/>
          <w:tab w:val="clear" w:pos="3515"/>
        </w:tabs>
        <w:rPr>
          <w:bCs/>
        </w:rPr>
      </w:pPr>
      <w:r w:rsidRPr="00AA0C59">
        <w:rPr>
          <w:bCs/>
        </w:rPr>
        <w:br w:type="page"/>
      </w:r>
    </w:p>
    <w:p w14:paraId="206B2CA8" w14:textId="77777777" w:rsidR="00260668" w:rsidRDefault="00260668" w:rsidP="000A1CC4">
      <w:pPr>
        <w:pStyle w:val="ZZAnxheader"/>
        <w:sectPr w:rsidR="00260668" w:rsidSect="00260668">
          <w:headerReference w:type="even" r:id="rId24"/>
          <w:headerReference w:type="default" r:id="rId25"/>
          <w:headerReference w:type="first" r:id="rId26"/>
          <w:footerReference w:type="first" r:id="rId27"/>
          <w:type w:val="continuous"/>
          <w:pgSz w:w="16840" w:h="11907" w:orient="landscape" w:code="9"/>
          <w:pgMar w:top="1418" w:right="907" w:bottom="992" w:left="1418" w:header="539" w:footer="975" w:gutter="0"/>
          <w:cols w:space="539"/>
          <w:titlePg/>
          <w:docGrid w:linePitch="360"/>
        </w:sectPr>
      </w:pPr>
    </w:p>
    <w:p w14:paraId="572F99B8" w14:textId="6B6159C1" w:rsidR="00C66DAD" w:rsidRPr="000A1CC4" w:rsidRDefault="00C66DAD" w:rsidP="000A1CC4">
      <w:pPr>
        <w:pStyle w:val="ZZAnxheader"/>
      </w:pPr>
      <w:r w:rsidRPr="000A1CC4">
        <w:lastRenderedPageBreak/>
        <w:t xml:space="preserve">Annex II </w:t>
      </w:r>
    </w:p>
    <w:p w14:paraId="5828FE63" w14:textId="35BEFBFF" w:rsidR="00CE62B0" w:rsidRPr="000A1CC4" w:rsidRDefault="00CE62B0" w:rsidP="000A1CC4">
      <w:pPr>
        <w:pStyle w:val="ZZAnxtitle"/>
      </w:pPr>
      <w:bookmarkStart w:id="20" w:name="_Hlk19620045"/>
      <w:r w:rsidRPr="0033469F">
        <w:t xml:space="preserve">Information provided by the Specific International Programme </w:t>
      </w:r>
      <w:bookmarkEnd w:id="20"/>
      <w:r w:rsidRPr="0033469F">
        <w:t xml:space="preserve">in </w:t>
      </w:r>
      <w:r w:rsidRPr="000A1CC4">
        <w:t xml:space="preserve">accordance with </w:t>
      </w:r>
      <w:r w:rsidR="00353807">
        <w:t>a</w:t>
      </w:r>
      <w:r w:rsidRPr="000A1CC4">
        <w:t>rticle 13 of the Minamata Convention on Mercury (9</w:t>
      </w:r>
      <w:r w:rsidRPr="000A1CC4">
        <w:rPr>
          <w:b w:val="0"/>
        </w:rPr>
        <w:t xml:space="preserve"> </w:t>
      </w:r>
      <w:r w:rsidRPr="000A1CC4">
        <w:rPr>
          <w:rStyle w:val="ZZAnxtitleChar"/>
          <w:b/>
        </w:rPr>
        <w:t>August</w:t>
      </w:r>
      <w:r w:rsidRPr="000A1CC4">
        <w:rPr>
          <w:b w:val="0"/>
        </w:rPr>
        <w:t xml:space="preserve"> </w:t>
      </w:r>
      <w:r w:rsidRPr="000A1CC4">
        <w:t>2019)</w:t>
      </w:r>
    </w:p>
    <w:p w14:paraId="37B3EDF0" w14:textId="77777777" w:rsidR="00CE62B0" w:rsidRPr="00BF4413" w:rsidRDefault="00493097" w:rsidP="0025781D">
      <w:pPr>
        <w:pStyle w:val="CH2"/>
      </w:pPr>
      <w:r>
        <w:tab/>
        <w:t>1.</w:t>
      </w:r>
      <w:r>
        <w:tab/>
      </w:r>
      <w:r w:rsidR="00CE62B0" w:rsidRPr="00BF4413">
        <w:t>Introduction</w:t>
      </w:r>
    </w:p>
    <w:p w14:paraId="0CBBDF17" w14:textId="77777777" w:rsidR="00CE62B0" w:rsidRPr="00BF4413" w:rsidRDefault="00CE62B0" w:rsidP="0025781D">
      <w:pPr>
        <w:pStyle w:val="Normalnumber"/>
        <w:numPr>
          <w:ilvl w:val="0"/>
          <w:numId w:val="5"/>
        </w:numPr>
      </w:pPr>
      <w:r w:rsidRPr="00BF4413">
        <w:t xml:space="preserve">Article 13, paragraph 5 of the Minamata Convention defines a Mechanism for the provision of adequate, predictable, and timely financial resources to support developing country </w:t>
      </w:r>
      <w:r w:rsidR="009058EB">
        <w:t>parties</w:t>
      </w:r>
      <w:r w:rsidRPr="00BF4413">
        <w:t xml:space="preserve"> and </w:t>
      </w:r>
      <w:r w:rsidR="009058EB">
        <w:t>parties</w:t>
      </w:r>
      <w:r w:rsidRPr="00BF4413">
        <w:t xml:space="preserve"> with economies in transition in implementing their obligations under the Convention. </w:t>
      </w:r>
    </w:p>
    <w:p w14:paraId="1E6A3319" w14:textId="6CC05C31" w:rsidR="00CE62B0" w:rsidRPr="00493097" w:rsidRDefault="00CE62B0" w:rsidP="0025781D">
      <w:pPr>
        <w:pStyle w:val="Normalnumber"/>
        <w:numPr>
          <w:ilvl w:val="0"/>
          <w:numId w:val="5"/>
        </w:numPr>
      </w:pPr>
      <w:r w:rsidRPr="00493097">
        <w:t xml:space="preserve">Article 13, paragraph 6 includes a specific international Programme to support </w:t>
      </w:r>
      <w:r w:rsidR="00CF1CDC">
        <w:t>capacity</w:t>
      </w:r>
      <w:r w:rsidR="00CF1CDC">
        <w:noBreakHyphen/>
        <w:t>building</w:t>
      </w:r>
      <w:r w:rsidRPr="00493097">
        <w:t xml:space="preserve"> and technical assistance. Paragraph 9 of article 13 further states that the Programme will be operated under the guidance of and be accountable to the Conference of the </w:t>
      </w:r>
      <w:r w:rsidR="00357141" w:rsidRPr="00493097">
        <w:t>Parties</w:t>
      </w:r>
      <w:r w:rsidRPr="00493097">
        <w:t xml:space="preserve">. </w:t>
      </w:r>
    </w:p>
    <w:p w14:paraId="6B371355" w14:textId="77777777" w:rsidR="00CE62B0" w:rsidRPr="00493097" w:rsidRDefault="00CE62B0" w:rsidP="0025781D">
      <w:pPr>
        <w:pStyle w:val="Normalnumber"/>
        <w:numPr>
          <w:ilvl w:val="0"/>
          <w:numId w:val="5"/>
        </w:numPr>
      </w:pPr>
      <w:r w:rsidRPr="00493097">
        <w:t xml:space="preserve">At its first meeting in September 2017, the Conference of the </w:t>
      </w:r>
      <w:r w:rsidR="00357141" w:rsidRPr="00493097">
        <w:t>Parties</w:t>
      </w:r>
      <w:r w:rsidRPr="00493097">
        <w:t xml:space="preserve"> decided in MC-1/6: </w:t>
      </w:r>
    </w:p>
    <w:p w14:paraId="3AED8822" w14:textId="56785B56" w:rsidR="00CE62B0" w:rsidRPr="00493097" w:rsidRDefault="00CE62B0" w:rsidP="002F7012">
      <w:pPr>
        <w:pStyle w:val="Normalnumber"/>
        <w:numPr>
          <w:ilvl w:val="1"/>
          <w:numId w:val="8"/>
        </w:numPr>
      </w:pPr>
      <w:r w:rsidRPr="00493097">
        <w:t xml:space="preserve">that the Programme shall be hosted by the United Nations Environment Programme, and that its Executive Director will deliver administrative support through the allocation of human and other resources through the </w:t>
      </w:r>
      <w:r w:rsidR="009058EB" w:rsidRPr="00493097">
        <w:t>secretariat</w:t>
      </w:r>
      <w:r w:rsidRPr="00493097">
        <w:t xml:space="preserve"> of the Minamata Convention (annex I); </w:t>
      </w:r>
    </w:p>
    <w:p w14:paraId="458C5BB0" w14:textId="77777777" w:rsidR="00CE62B0" w:rsidRPr="00493097" w:rsidRDefault="00CE62B0" w:rsidP="002F7012">
      <w:pPr>
        <w:pStyle w:val="Normalnumber"/>
        <w:numPr>
          <w:ilvl w:val="1"/>
          <w:numId w:val="8"/>
        </w:numPr>
      </w:pPr>
      <w:r w:rsidRPr="00493097">
        <w:t xml:space="preserve">to give guidance on the operations of the Programme (annex I) including on scope, eligibility, operations, and resources; </w:t>
      </w:r>
    </w:p>
    <w:p w14:paraId="74389B34" w14:textId="7AD6379B" w:rsidR="000F5522" w:rsidRPr="00493097" w:rsidRDefault="00CE62B0" w:rsidP="002F7012">
      <w:pPr>
        <w:pStyle w:val="Normalnumber"/>
        <w:numPr>
          <w:ilvl w:val="1"/>
          <w:numId w:val="8"/>
        </w:numPr>
      </w:pPr>
      <w:r w:rsidRPr="00493097">
        <w:t xml:space="preserve">that on duration (annex I) the Programme is open to receive voluntary contributions and applications for support for a period of ten years from the establishment of its trust fund (though the Conference of the </w:t>
      </w:r>
      <w:r w:rsidR="00357141" w:rsidRPr="00493097">
        <w:t>Parties</w:t>
      </w:r>
      <w:r w:rsidRPr="00493097">
        <w:t xml:space="preserve"> may decide to extend this period, not exceeding an additional seven years, taking into account the review process described in paragraph 11of article 13</w:t>
      </w:r>
      <w:r w:rsidR="00A810E6" w:rsidRPr="00493097">
        <w:t>)</w:t>
      </w:r>
      <w:r w:rsidRPr="00493097">
        <w:t>; and</w:t>
      </w:r>
    </w:p>
    <w:p w14:paraId="6CACD028" w14:textId="77777777" w:rsidR="00CE62B0" w:rsidRPr="00493097" w:rsidRDefault="00CE62B0" w:rsidP="002F7012">
      <w:pPr>
        <w:pStyle w:val="Normalnumber"/>
        <w:numPr>
          <w:ilvl w:val="1"/>
          <w:numId w:val="8"/>
        </w:numPr>
      </w:pPr>
      <w:r w:rsidRPr="00493097">
        <w:t xml:space="preserve">on the terms of reference of the Programme (annex II), including with reference to: </w:t>
      </w:r>
    </w:p>
    <w:p w14:paraId="3CBA8A9D" w14:textId="77777777" w:rsidR="00CE62B0" w:rsidRPr="00493097" w:rsidRDefault="00CE62B0" w:rsidP="002F7012">
      <w:pPr>
        <w:pStyle w:val="Normalnumber"/>
        <w:numPr>
          <w:ilvl w:val="2"/>
          <w:numId w:val="9"/>
        </w:numPr>
      </w:pPr>
      <w:r w:rsidRPr="00493097">
        <w:t xml:space="preserve">the Governing Board of the Programme, </w:t>
      </w:r>
    </w:p>
    <w:p w14:paraId="5B647B15" w14:textId="77777777" w:rsidR="00CE62B0" w:rsidRPr="00493097" w:rsidRDefault="00CE62B0" w:rsidP="002F7012">
      <w:pPr>
        <w:pStyle w:val="Normalnumber"/>
        <w:numPr>
          <w:ilvl w:val="2"/>
          <w:numId w:val="9"/>
        </w:numPr>
      </w:pPr>
      <w:r w:rsidRPr="00493097">
        <w:t xml:space="preserve">project screening, appraisal and approval processes, </w:t>
      </w:r>
    </w:p>
    <w:p w14:paraId="38D2AA7F" w14:textId="77777777" w:rsidR="00CE62B0" w:rsidRPr="00493097" w:rsidRDefault="00CE62B0" w:rsidP="002F7012">
      <w:pPr>
        <w:pStyle w:val="Normalnumber"/>
        <w:numPr>
          <w:ilvl w:val="2"/>
          <w:numId w:val="9"/>
        </w:numPr>
      </w:pPr>
      <w:r w:rsidRPr="00493097">
        <w:t xml:space="preserve">administrative support to the Programme, </w:t>
      </w:r>
    </w:p>
    <w:p w14:paraId="04E3AA20" w14:textId="77777777" w:rsidR="00CE62B0" w:rsidRPr="00493097" w:rsidRDefault="00CE62B0" w:rsidP="002F7012">
      <w:pPr>
        <w:pStyle w:val="Normalnumber"/>
        <w:numPr>
          <w:ilvl w:val="2"/>
          <w:numId w:val="9"/>
        </w:numPr>
      </w:pPr>
      <w:r w:rsidRPr="00493097">
        <w:t xml:space="preserve">expected outcomes, and </w:t>
      </w:r>
    </w:p>
    <w:p w14:paraId="2D0234E4" w14:textId="77777777" w:rsidR="00CE62B0" w:rsidRPr="00493097" w:rsidRDefault="00CE62B0" w:rsidP="002F7012">
      <w:pPr>
        <w:pStyle w:val="Normalnumber"/>
        <w:numPr>
          <w:ilvl w:val="2"/>
          <w:numId w:val="9"/>
        </w:numPr>
      </w:pPr>
      <w:r w:rsidRPr="00493097">
        <w:t xml:space="preserve">accounts and audit. </w:t>
      </w:r>
    </w:p>
    <w:p w14:paraId="48B3C932" w14:textId="77777777" w:rsidR="00CE62B0" w:rsidRPr="00493097" w:rsidRDefault="00CE62B0" w:rsidP="0025781D">
      <w:pPr>
        <w:pStyle w:val="Normalnumber"/>
        <w:numPr>
          <w:ilvl w:val="0"/>
          <w:numId w:val="5"/>
        </w:numPr>
      </w:pPr>
      <w:r w:rsidRPr="00493097">
        <w:t xml:space="preserve">At its second meeting in November 2018, the Conference of </w:t>
      </w:r>
      <w:r w:rsidR="00357141" w:rsidRPr="00493097">
        <w:t>Parties</w:t>
      </w:r>
      <w:r w:rsidRPr="00493097">
        <w:t xml:space="preserve"> confirmed that only </w:t>
      </w:r>
      <w:r w:rsidR="009058EB" w:rsidRPr="00493097">
        <w:t>parties</w:t>
      </w:r>
      <w:r w:rsidRPr="00493097">
        <w:t xml:space="preserve"> are eligible to apply for support from the Programme, and that members of the Board are to be nominated from </w:t>
      </w:r>
      <w:r w:rsidR="009058EB" w:rsidRPr="00493097">
        <w:t>parties</w:t>
      </w:r>
      <w:r w:rsidRPr="00493097">
        <w:t xml:space="preserve"> (See UNEP/MC/COP.2/19 paragraph 103, and Annex II setting out MC-1/16 as finalized by the Conference of the </w:t>
      </w:r>
      <w:r w:rsidR="00357141" w:rsidRPr="00493097">
        <w:t>Parties</w:t>
      </w:r>
      <w:r w:rsidRPr="00493097">
        <w:t xml:space="preserve"> at its second meeting).</w:t>
      </w:r>
    </w:p>
    <w:p w14:paraId="2F33C9C8" w14:textId="77777777" w:rsidR="00CE62B0" w:rsidRPr="00493097" w:rsidRDefault="00493097" w:rsidP="0025781D">
      <w:pPr>
        <w:pStyle w:val="CH2"/>
      </w:pPr>
      <w:r>
        <w:tab/>
        <w:t>2.</w:t>
      </w:r>
      <w:r>
        <w:tab/>
      </w:r>
      <w:r w:rsidR="00CE62B0" w:rsidRPr="00493097">
        <w:t>Operationalisation of the Specific International Programme</w:t>
      </w:r>
    </w:p>
    <w:p w14:paraId="70D0B853" w14:textId="791F92C8" w:rsidR="00CE62B0" w:rsidRPr="00493097" w:rsidRDefault="00A810E6" w:rsidP="0025781D">
      <w:pPr>
        <w:pStyle w:val="Normalnumber"/>
        <w:numPr>
          <w:ilvl w:val="0"/>
          <w:numId w:val="5"/>
        </w:numPr>
      </w:pPr>
      <w:r w:rsidRPr="00493097">
        <w:t xml:space="preserve">As requested by the Conference of the Parties in decision </w:t>
      </w:r>
      <w:r w:rsidR="009236B3" w:rsidRPr="00493097">
        <w:t>MC-1/6, t</w:t>
      </w:r>
      <w:r w:rsidR="00CE62B0" w:rsidRPr="00493097">
        <w:t>he Executive Director</w:t>
      </w:r>
      <w:r w:rsidR="009236B3" w:rsidRPr="00493097">
        <w:t xml:space="preserve"> of UNEP</w:t>
      </w:r>
      <w:r w:rsidR="00CE62B0" w:rsidRPr="00493097">
        <w:t xml:space="preserve"> established the Specific Trust Fund to receive voluntary contributions for a period of ten years for the Programme. The Trust Fund is operational with effect on 1 January 2018 (see UNEP/MC/COP.2/9, the Overall report on the Specific International Programme to Support </w:t>
      </w:r>
      <w:r w:rsidR="00E56515">
        <w:t>Capacity</w:t>
      </w:r>
      <w:r w:rsidR="00E56515">
        <w:noBreakHyphen/>
        <w:t>building</w:t>
      </w:r>
      <w:r w:rsidR="00CE62B0" w:rsidRPr="00493097">
        <w:t xml:space="preserve"> and Technical Assistance; and UNEP/MC/COP.2/18, the Update on the programme of work and budget for the biennium 2018–2019).</w:t>
      </w:r>
    </w:p>
    <w:p w14:paraId="123C2A9C" w14:textId="77777777" w:rsidR="00CE62B0" w:rsidRPr="00493097" w:rsidRDefault="00CE62B0" w:rsidP="0025781D">
      <w:pPr>
        <w:pStyle w:val="Normalnumber"/>
        <w:numPr>
          <w:ilvl w:val="0"/>
          <w:numId w:val="5"/>
        </w:numPr>
      </w:pPr>
      <w:r w:rsidRPr="00493097">
        <w:t>The Governing Board of the Specific International Programme was constituted in early 2018 and met for the first time in May 2018 (see Report of the First Meeting of the Governing Board, UNEP/MC/SIP.GB.1/6</w:t>
      </w:r>
      <w:r w:rsidRPr="00493097">
        <w:rPr>
          <w:vertAlign w:val="superscript"/>
        </w:rPr>
        <w:footnoteReference w:id="19"/>
      </w:r>
      <w:r w:rsidRPr="00493097">
        <w:rPr>
          <w:vertAlign w:val="superscript"/>
        </w:rPr>
        <w:t>)</w:t>
      </w:r>
      <w:r w:rsidRPr="00493097">
        <w:t xml:space="preserve">. The Governing Board adopted its Rules of Procedure at its first meeting and presented the adopted Rules to the second meeting of the Conference of the </w:t>
      </w:r>
      <w:r w:rsidR="00357141" w:rsidRPr="00493097">
        <w:t>Parties</w:t>
      </w:r>
      <w:r w:rsidRPr="00493097">
        <w:t xml:space="preserve">. </w:t>
      </w:r>
    </w:p>
    <w:p w14:paraId="293B7039" w14:textId="77777777" w:rsidR="00CE62B0" w:rsidRPr="00493097" w:rsidRDefault="00CE62B0" w:rsidP="0025781D">
      <w:pPr>
        <w:pStyle w:val="Normalnumber"/>
        <w:numPr>
          <w:ilvl w:val="0"/>
          <w:numId w:val="5"/>
        </w:numPr>
      </w:pPr>
      <w:r w:rsidRPr="00493097">
        <w:t xml:space="preserve">Following the first meeting of the Governing Board where the criteria were agreed for appraisal of applications, the </w:t>
      </w:r>
      <w:r w:rsidR="009058EB" w:rsidRPr="00493097">
        <w:t>secretariat</w:t>
      </w:r>
      <w:r w:rsidRPr="00493097">
        <w:t xml:space="preserve"> finalised the application forms and application guidelines. The First Round of applications was then opened on 5 June 2018, receiving applications until 31 August 2018. Upon closure of the period, nineteen applications were received by the </w:t>
      </w:r>
      <w:r w:rsidR="009058EB" w:rsidRPr="00493097">
        <w:t>secretariat</w:t>
      </w:r>
      <w:r w:rsidRPr="00493097">
        <w:t xml:space="preserve">. At its second </w:t>
      </w:r>
      <w:r w:rsidRPr="00493097">
        <w:lastRenderedPageBreak/>
        <w:t>meeting in October 2018, the Governing Board approved five projects</w:t>
      </w:r>
      <w:r w:rsidRPr="00493097">
        <w:footnoteReference w:id="20"/>
      </w:r>
      <w:r w:rsidRPr="00493097">
        <w:t xml:space="preserve"> for funding based on guidance by the Conference of the </w:t>
      </w:r>
      <w:r w:rsidR="00357141" w:rsidRPr="00493097">
        <w:t>Parties</w:t>
      </w:r>
      <w:r w:rsidRPr="00493097">
        <w:t xml:space="preserve">, the appraisals prepared by the </w:t>
      </w:r>
      <w:r w:rsidR="009058EB" w:rsidRPr="00493097">
        <w:t>secretariat</w:t>
      </w:r>
      <w:r w:rsidRPr="00493097">
        <w:t xml:space="preserve"> and against the contributions received in the Specific Trust Fund at the time of the meeting (see report of the Second Meeting of the Governing Board, UNEP/MC/SIP.GB.3/2</w:t>
      </w:r>
      <w:r w:rsidRPr="00493097">
        <w:rPr>
          <w:vertAlign w:val="superscript"/>
        </w:rPr>
        <w:footnoteReference w:id="21"/>
      </w:r>
      <w:r w:rsidRPr="00493097">
        <w:t xml:space="preserve">). </w:t>
      </w:r>
    </w:p>
    <w:p w14:paraId="684D1478" w14:textId="77777777" w:rsidR="00CE62B0" w:rsidRPr="00AC4EF2" w:rsidRDefault="00CE62B0" w:rsidP="0025781D">
      <w:pPr>
        <w:pStyle w:val="Normalnumber"/>
        <w:numPr>
          <w:ilvl w:val="0"/>
          <w:numId w:val="5"/>
        </w:numPr>
      </w:pPr>
      <w:r w:rsidRPr="00493097">
        <w:t xml:space="preserve">Following a review of feedback solicited from </w:t>
      </w:r>
      <w:r w:rsidR="009058EB" w:rsidRPr="00493097">
        <w:t>parties</w:t>
      </w:r>
      <w:r w:rsidRPr="00493097">
        <w:t xml:space="preserve"> on the First Round, as well as lessons learned and reflections by the Governing Board and the </w:t>
      </w:r>
      <w:r w:rsidR="009058EB" w:rsidRPr="00493097">
        <w:t>secretariat</w:t>
      </w:r>
      <w:r w:rsidRPr="00493097">
        <w:t xml:space="preserve"> at its third meeting (February 2019</w:t>
      </w:r>
      <w:r w:rsidRPr="00493097">
        <w:rPr>
          <w:vertAlign w:val="superscript"/>
        </w:rPr>
        <w:footnoteReference w:id="22"/>
      </w:r>
      <w:r w:rsidRPr="00493097">
        <w:t xml:space="preserve">), the </w:t>
      </w:r>
      <w:r w:rsidR="009058EB" w:rsidRPr="00493097">
        <w:t>secretariat</w:t>
      </w:r>
      <w:r w:rsidRPr="00493097">
        <w:t xml:space="preserve"> finalised the revised application forms and application guidelines. The Second Round of applications was then opened from 5 March to 14 June 2019. Upon closure of the period, twenty applications were received by the </w:t>
      </w:r>
      <w:r w:rsidR="009058EB" w:rsidRPr="00493097">
        <w:t>secretariat</w:t>
      </w:r>
      <w:r w:rsidRPr="00493097">
        <w:t xml:space="preserve">. The Governing Board is expected to meet in September 2019 to decide on these applications, based on the guidance by the Conference of the </w:t>
      </w:r>
      <w:r w:rsidR="00357141" w:rsidRPr="00493097">
        <w:t>Parties</w:t>
      </w:r>
      <w:r w:rsidRPr="00493097">
        <w:t xml:space="preserve">, appraisals prepared by the </w:t>
      </w:r>
      <w:r w:rsidR="009058EB" w:rsidRPr="00493097">
        <w:t>secretariat</w:t>
      </w:r>
      <w:r w:rsidRPr="00493097">
        <w:t xml:space="preserve"> and against the contributions received in the Specific Trust Fund </w:t>
      </w:r>
      <w:r w:rsidR="00D86AA5" w:rsidRPr="00493097">
        <w:t>by</w:t>
      </w:r>
      <w:r w:rsidRPr="00493097">
        <w:t xml:space="preserve"> the time of the meeting. </w:t>
      </w:r>
    </w:p>
    <w:p w14:paraId="701730A8" w14:textId="77777777" w:rsidR="00CE62B0" w:rsidRPr="00493097" w:rsidRDefault="00CE62B0" w:rsidP="0025781D">
      <w:pPr>
        <w:pStyle w:val="Normalnumber"/>
        <w:numPr>
          <w:ilvl w:val="0"/>
          <w:numId w:val="5"/>
        </w:numPr>
      </w:pPr>
      <w:r w:rsidRPr="00493097">
        <w:t xml:space="preserve">Following the approval of the five projects for the First Round (2018) the </w:t>
      </w:r>
      <w:r w:rsidR="009058EB" w:rsidRPr="00493097">
        <w:t>secretariat</w:t>
      </w:r>
      <w:r w:rsidRPr="00493097">
        <w:t xml:space="preserve"> began the administrative and programmatic work of finalising the implementation plan on these projects with the respective governments in the last quarter of 2018. Following the finalisation of the implementation plan with the respective governments the </w:t>
      </w:r>
      <w:r w:rsidR="009058EB" w:rsidRPr="00493097">
        <w:t>secretariat</w:t>
      </w:r>
      <w:r w:rsidRPr="00493097">
        <w:t xml:space="preserve"> prepared the legal agreements for signature by the government and </w:t>
      </w:r>
      <w:r w:rsidR="009C3D2D" w:rsidRPr="00493097">
        <w:t>UNEP, represented by the Secretariat of the Minamata Convention</w:t>
      </w:r>
      <w:r w:rsidRPr="00493097">
        <w:t>, to allow the disbursement of funds to begin. By 9 August 2019, four legal agreements were concluded, and disbursement of funds has begun on these four projects. One legal agreement is in the process of being signed. For each of the projects two-page summaries have been prepared for information sharing and outreach purposes.</w:t>
      </w:r>
      <w:r w:rsidRPr="00493097">
        <w:rPr>
          <w:vertAlign w:val="superscript"/>
        </w:rPr>
        <w:footnoteReference w:id="23"/>
      </w:r>
      <w:r w:rsidRPr="00493097">
        <w:t xml:space="preserve"> The duration of implementation of the projects is up to three years. The </w:t>
      </w:r>
      <w:r w:rsidR="009058EB" w:rsidRPr="00493097">
        <w:t>secretariat</w:t>
      </w:r>
      <w:r w:rsidRPr="00493097">
        <w:t xml:space="preserve"> is responsible for disbursement of funds against agreed reporting time lines, as well as overall monitoring of progress of the projects for report to the Governing Board, and final reporting and closure of the projects at the conclusion of the project cycle. </w:t>
      </w:r>
    </w:p>
    <w:p w14:paraId="44B2A0E8" w14:textId="77777777" w:rsidR="00CE62B0" w:rsidRPr="0025781D" w:rsidRDefault="0025781D" w:rsidP="0025781D">
      <w:pPr>
        <w:pStyle w:val="CH2"/>
      </w:pPr>
      <w:r>
        <w:tab/>
        <w:t>3.</w:t>
      </w:r>
      <w:r>
        <w:tab/>
      </w:r>
      <w:r w:rsidR="00CE62B0" w:rsidRPr="0025781D">
        <w:t>Level of Funding</w:t>
      </w:r>
    </w:p>
    <w:p w14:paraId="13D3B223" w14:textId="77777777" w:rsidR="00CE62B0" w:rsidRPr="00493097" w:rsidRDefault="00CE62B0" w:rsidP="0025781D">
      <w:pPr>
        <w:pStyle w:val="Normalnumber"/>
        <w:numPr>
          <w:ilvl w:val="0"/>
          <w:numId w:val="5"/>
        </w:numPr>
      </w:pPr>
      <w:r w:rsidRPr="00493097">
        <w:t xml:space="preserve">For the First Round (2018), USD 1,281,448 was received from Austria, Denmark, Germany, the Netherlands, Norway, Sweden, the United Kingdom and the United States of America. </w:t>
      </w:r>
    </w:p>
    <w:p w14:paraId="3B6591A0" w14:textId="77777777" w:rsidR="00CE62B0" w:rsidRPr="00493097" w:rsidRDefault="00CE62B0" w:rsidP="0025781D">
      <w:pPr>
        <w:pStyle w:val="Normalnumber"/>
        <w:numPr>
          <w:ilvl w:val="0"/>
          <w:numId w:val="5"/>
        </w:numPr>
      </w:pPr>
      <w:r w:rsidRPr="00493097">
        <w:t xml:space="preserve">For the Second Round (2019), USD 2,414,413 has been pledged and/or contributed by 31 July 2019. The donors are Austria, Denmark, Germany, the Netherlands, Norway, Sweden, Switzerland, the United Kingdom and the United States of America. </w:t>
      </w:r>
    </w:p>
    <w:p w14:paraId="429087B5" w14:textId="77777777" w:rsidR="00CE62B0" w:rsidRPr="00493097" w:rsidRDefault="00CE62B0" w:rsidP="0025781D">
      <w:pPr>
        <w:pStyle w:val="Normalnumber"/>
        <w:numPr>
          <w:ilvl w:val="0"/>
          <w:numId w:val="5"/>
        </w:numPr>
      </w:pPr>
      <w:r w:rsidRPr="00493097">
        <w:t xml:space="preserve">The amount pledged and contributed for the Second Round (2019) is almost double the amount that was available for the First Round, which signifies strong donor confidence in the Programme. </w:t>
      </w:r>
    </w:p>
    <w:p w14:paraId="3DB309C3" w14:textId="77777777" w:rsidR="00CE62B0" w:rsidRPr="00493097" w:rsidRDefault="00CE62B0" w:rsidP="0025781D">
      <w:pPr>
        <w:pStyle w:val="Normalnumber"/>
        <w:numPr>
          <w:ilvl w:val="0"/>
          <w:numId w:val="5"/>
        </w:numPr>
      </w:pPr>
      <w:r w:rsidRPr="00493097">
        <w:t xml:space="preserve">In addition to the grants made available to the successful applicant governments, the costs related to the operation of the Specific International Programme, including the costs of meetings, are also to be funded from the voluntary contributions received for the Programme in the Specific Trust Fund (MC-1/6, annex II). </w:t>
      </w:r>
    </w:p>
    <w:p w14:paraId="188A63F8" w14:textId="77777777" w:rsidR="00CE62B0" w:rsidRPr="00493097" w:rsidRDefault="00CE62B0" w:rsidP="0025781D">
      <w:pPr>
        <w:pStyle w:val="Normalnumber"/>
        <w:numPr>
          <w:ilvl w:val="0"/>
          <w:numId w:val="5"/>
        </w:numPr>
      </w:pPr>
      <w:r w:rsidRPr="00493097">
        <w:t>It is to be noted also that despite the substantial increase in funding available in the Specific Trust Fund for the Second Round, the funding available for each round was only half of the requested amount in the received applications. For the Second Round, the total requested amount for the twenty applications received is USD 4,284,393.</w:t>
      </w:r>
    </w:p>
    <w:p w14:paraId="1029EAAD" w14:textId="77777777" w:rsidR="00CE62B0" w:rsidRPr="00493097" w:rsidRDefault="00CE62B0" w:rsidP="0025781D">
      <w:pPr>
        <w:pStyle w:val="Normalnumber"/>
        <w:numPr>
          <w:ilvl w:val="0"/>
          <w:numId w:val="5"/>
        </w:numPr>
      </w:pPr>
      <w:r w:rsidRPr="00493097">
        <w:t>As per the guidance provided (MC-1/6, annex I) the resources for the Programme shall include financial and in-kind contributions</w:t>
      </w:r>
      <w:r w:rsidR="00C164B5" w:rsidRPr="00493097">
        <w:t xml:space="preserve"> and expertise</w:t>
      </w:r>
      <w:r w:rsidRPr="00493097">
        <w:t xml:space="preserve">. Contributions of resources are encouraged from a broad range of sources. This includes all </w:t>
      </w:r>
      <w:r w:rsidR="009058EB" w:rsidRPr="00493097">
        <w:t>parties</w:t>
      </w:r>
      <w:r w:rsidRPr="00493097">
        <w:t xml:space="preserve"> to the Minamata Convention with the capacity to contribute, as well as other relevant stakeholders, including Governments, the private sector, foundations, non-governmental organizations, intergovernmental organizations, academia and other types of civil society actors. Furthermore, a resource mobilization strategy for the Programme should be developed by the </w:t>
      </w:r>
      <w:r w:rsidR="009058EB" w:rsidRPr="00493097">
        <w:t>secretariat</w:t>
      </w:r>
      <w:r w:rsidRPr="00493097">
        <w:t xml:space="preserve"> in consultation with the Governing Board with a view to achieving the objective of the Convention and attracting a broad range of donors. The </w:t>
      </w:r>
      <w:r w:rsidR="009058EB" w:rsidRPr="00493097">
        <w:t>secretariat</w:t>
      </w:r>
      <w:r w:rsidRPr="00493097">
        <w:t xml:space="preserve"> prepared a document on “Elements for a Resource Mobilization Strategy for the Specific International Programme” for consideration by the Governing Board at its first meeting (May 2018). The Governing </w:t>
      </w:r>
      <w:r w:rsidRPr="00493097">
        <w:lastRenderedPageBreak/>
        <w:t xml:space="preserve">Board extensively deliberated on this matter at its first, its second and its third meetings (see respective reports). At multiple occasions, and again at its third meeting the Governing Board reiterated its appreciation to the donors for their contributions to the Specific International Programme. While recognising that the Programme is time-limited (see paragraph 3 (c) above), the Governing Board concluded that: </w:t>
      </w:r>
    </w:p>
    <w:p w14:paraId="331CB090" w14:textId="61C4D150" w:rsidR="00CE62B0" w:rsidRPr="00493097" w:rsidRDefault="00CE62B0" w:rsidP="002F7012">
      <w:pPr>
        <w:pStyle w:val="Normalnumber"/>
        <w:numPr>
          <w:ilvl w:val="1"/>
          <w:numId w:val="7"/>
        </w:numPr>
      </w:pPr>
      <w:r w:rsidRPr="00493097">
        <w:t>it was important to take realistic and step-wise approaches on resource mobilisation for the Programme;</w:t>
      </w:r>
    </w:p>
    <w:p w14:paraId="6EAE4340" w14:textId="77777777" w:rsidR="00CE62B0" w:rsidRPr="00493097" w:rsidRDefault="00CE62B0" w:rsidP="002F7012">
      <w:pPr>
        <w:pStyle w:val="Normalnumber"/>
        <w:numPr>
          <w:ilvl w:val="1"/>
          <w:numId w:val="7"/>
        </w:numPr>
      </w:pPr>
      <w:r w:rsidRPr="00493097">
        <w:t>it was imperative to show donors the value of their investment in the Programme, to retain their support, and to motivate new donors to join as contributors;</w:t>
      </w:r>
    </w:p>
    <w:p w14:paraId="2E56DE45" w14:textId="77777777" w:rsidR="00CE62B0" w:rsidRPr="00493097" w:rsidRDefault="00CE62B0" w:rsidP="002F7012">
      <w:pPr>
        <w:pStyle w:val="Normalnumber"/>
        <w:numPr>
          <w:ilvl w:val="1"/>
          <w:numId w:val="7"/>
        </w:numPr>
      </w:pPr>
      <w:r w:rsidRPr="00493097">
        <w:t>there were six sources of support available to developing countries for implementation;</w:t>
      </w:r>
      <w:r w:rsidRPr="00493097">
        <w:rPr>
          <w:vertAlign w:val="superscript"/>
        </w:rPr>
        <w:footnoteReference w:id="24"/>
      </w:r>
      <w:r w:rsidRPr="00493097">
        <w:t xml:space="preserve"> and</w:t>
      </w:r>
    </w:p>
    <w:p w14:paraId="5599C5D2" w14:textId="77777777" w:rsidR="00CE62B0" w:rsidRPr="00493097" w:rsidRDefault="00CE62B0" w:rsidP="002F7012">
      <w:pPr>
        <w:pStyle w:val="Normalnumber"/>
        <w:numPr>
          <w:ilvl w:val="1"/>
          <w:numId w:val="7"/>
        </w:numPr>
      </w:pPr>
      <w:r w:rsidRPr="00493097">
        <w:t xml:space="preserve">in the near-term the </w:t>
      </w:r>
      <w:r w:rsidR="009058EB" w:rsidRPr="00493097">
        <w:t>secretariat</w:t>
      </w:r>
      <w:r w:rsidRPr="00493097">
        <w:t xml:space="preserve"> is to focus on a few tangible areas of effort to support resource mobilisation through strategic communication.</w:t>
      </w:r>
    </w:p>
    <w:p w14:paraId="0746F171" w14:textId="77777777" w:rsidR="00CE62B0" w:rsidRPr="00BF4413" w:rsidRDefault="0025781D" w:rsidP="0025781D">
      <w:pPr>
        <w:pStyle w:val="CH2"/>
      </w:pPr>
      <w:r>
        <w:tab/>
        <w:t>4.</w:t>
      </w:r>
      <w:r>
        <w:tab/>
      </w:r>
      <w:r w:rsidR="00CE62B0" w:rsidRPr="00BF4413">
        <w:t xml:space="preserve">Guidance provided by the Conference of the </w:t>
      </w:r>
      <w:r w:rsidR="00357141">
        <w:t>Parties</w:t>
      </w:r>
    </w:p>
    <w:p w14:paraId="47A941F5" w14:textId="77777777" w:rsidR="00CE62B0" w:rsidRPr="00493097" w:rsidRDefault="00CE62B0" w:rsidP="0025781D">
      <w:pPr>
        <w:pStyle w:val="Normalnumber"/>
        <w:numPr>
          <w:ilvl w:val="0"/>
          <w:numId w:val="5"/>
        </w:numPr>
      </w:pPr>
      <w:r w:rsidRPr="00493097">
        <w:t xml:space="preserve">The guidance provided by the Conference of the </w:t>
      </w:r>
      <w:r w:rsidR="00357141" w:rsidRPr="00493097">
        <w:t>Parties</w:t>
      </w:r>
      <w:r w:rsidRPr="00493097">
        <w:t xml:space="preserve"> on scope, eligibility, operations and resources (MC-1/6 annex I) is clear and helpful.</w:t>
      </w:r>
    </w:p>
    <w:p w14:paraId="43543FE7" w14:textId="77777777" w:rsidR="00CE62B0" w:rsidRPr="00493097" w:rsidRDefault="00CE62B0" w:rsidP="0025781D">
      <w:pPr>
        <w:pStyle w:val="Normalnumber"/>
        <w:numPr>
          <w:ilvl w:val="0"/>
          <w:numId w:val="5"/>
        </w:numPr>
      </w:pPr>
      <w:r w:rsidRPr="00493097">
        <w:t xml:space="preserve">The Governing Board oversees the operations of the Specific International Programme, and implements the guidance received. The guidance and terms of reference provided by the Conference of the </w:t>
      </w:r>
      <w:r w:rsidR="00357141" w:rsidRPr="00493097">
        <w:t>Parties</w:t>
      </w:r>
      <w:r w:rsidRPr="00493097">
        <w:t xml:space="preserve"> has been </w:t>
      </w:r>
      <w:r w:rsidR="00C164B5" w:rsidRPr="00493097">
        <w:t>internalised</w:t>
      </w:r>
      <w:r w:rsidR="00DA4165" w:rsidRPr="00493097">
        <w:t xml:space="preserve"> </w:t>
      </w:r>
      <w:r w:rsidRPr="00493097">
        <w:t>in</w:t>
      </w:r>
      <w:r w:rsidR="00C164B5" w:rsidRPr="00493097">
        <w:t xml:space="preserve"> the</w:t>
      </w:r>
      <w:r w:rsidRPr="00493097">
        <w:t xml:space="preserve"> Rules of Procedure that have been adopted by the Governing Board, as well as agreed criteria for appraisal and a framework for decision-making. The Governing Board ensures the Programme is country-driven, complementary to and not duplicative of other existing arrangements to provide capacity-building and technical support, builds on lessons learned, and is consistent with the integrated approach to financing the sound management of chemicals and waste, as relevant to the Convention. </w:t>
      </w:r>
    </w:p>
    <w:p w14:paraId="122449FA" w14:textId="77777777" w:rsidR="0025781D" w:rsidRDefault="00CE62B0" w:rsidP="0025781D">
      <w:pPr>
        <w:pStyle w:val="Normalnumber"/>
      </w:pPr>
      <w:r w:rsidRPr="00493097">
        <w:t xml:space="preserve">The </w:t>
      </w:r>
      <w:r w:rsidRPr="0025781D">
        <w:t>Governing</w:t>
      </w:r>
      <w:r w:rsidRPr="00493097">
        <w:t xml:space="preserve"> Board and </w:t>
      </w:r>
      <w:r w:rsidR="009058EB" w:rsidRPr="00493097">
        <w:t>secretariat</w:t>
      </w:r>
      <w:r w:rsidRPr="00493097">
        <w:t xml:space="preserve"> paid special attention to avoid duplication and overlap with other existing arrangements. Representatives of the Global Environment Facility and the Special Programme on Institutional Strengthening contributed to the appraisals of the applications to the First and the Second Round, to ensure project complementarity and avoid funding overlap. Upon invitation </w:t>
      </w:r>
      <w:r w:rsidR="00C164B5" w:rsidRPr="00493097">
        <w:t xml:space="preserve">by the Governing Board </w:t>
      </w:r>
      <w:r w:rsidRPr="00493097">
        <w:t>they also participated in the Second Meeting as observers.</w:t>
      </w:r>
      <w:r w:rsidR="0025781D">
        <w:t xml:space="preserve"> </w:t>
      </w:r>
    </w:p>
    <w:p w14:paraId="1536B31F" w14:textId="77777777" w:rsidR="00CE62B0" w:rsidRPr="0025781D" w:rsidRDefault="00CE62B0" w:rsidP="0025781D">
      <w:pPr>
        <w:pStyle w:val="Normalnumber"/>
        <w:rPr>
          <w:rFonts w:asciiTheme="majorBidi" w:hAnsiTheme="majorBidi" w:cstheme="majorBidi"/>
          <w:sz w:val="24"/>
          <w:szCs w:val="24"/>
        </w:rPr>
      </w:pPr>
      <w:r w:rsidRPr="00493097">
        <w:t xml:space="preserve">The Governing Board and the </w:t>
      </w:r>
      <w:r w:rsidR="009058EB" w:rsidRPr="00493097">
        <w:t>secretariat</w:t>
      </w:r>
      <w:r w:rsidRPr="00493097">
        <w:t xml:space="preserve"> also paid special attention to assembling the appropriate staff expertise within the Minamata </w:t>
      </w:r>
      <w:r w:rsidR="009058EB" w:rsidRPr="00493097">
        <w:t>secretariat</w:t>
      </w:r>
      <w:r w:rsidRPr="00493097">
        <w:t xml:space="preserve"> and from relevant international governmental organisations in the technical and programme appraisal of applications. Representatives of the Global Environment Facility (in 2018 and 2019), the Special Programme on Institutional Strengthening (in 2018 and 2019), and the Global Mercury Partnership (in 2019) were consulted on their technical and other insights as relevant to the appraisal of the applications.</w:t>
      </w:r>
    </w:p>
    <w:p w14:paraId="6E8261AF" w14:textId="77777777" w:rsidR="00CE62B0" w:rsidRPr="0025781D" w:rsidRDefault="0025781D" w:rsidP="0025781D">
      <w:pPr>
        <w:pStyle w:val="CH2"/>
      </w:pPr>
      <w:r w:rsidRPr="0025781D">
        <w:tab/>
        <w:t>5.</w:t>
      </w:r>
      <w:r w:rsidRPr="0025781D">
        <w:tab/>
      </w:r>
      <w:r w:rsidR="00CE62B0" w:rsidRPr="0025781D">
        <w:t>The effectiveness of the Programme, and its ability to address the changing needs of developing country parties and parties with economies in transition, and lessons learned</w:t>
      </w:r>
    </w:p>
    <w:p w14:paraId="1AEA63F9" w14:textId="77777777" w:rsidR="00CE62B0" w:rsidRPr="0025781D" w:rsidRDefault="00CE62B0" w:rsidP="0025781D">
      <w:pPr>
        <w:pStyle w:val="Normalnumber"/>
        <w:numPr>
          <w:ilvl w:val="0"/>
          <w:numId w:val="5"/>
        </w:numPr>
      </w:pPr>
      <w:r w:rsidRPr="0025781D">
        <w:t xml:space="preserve">According to MC-1/6 the expected outcomes of the Specific International Programme are defined as follows: </w:t>
      </w:r>
      <w:r w:rsidRPr="0025781D">
        <w:rPr>
          <w:i/>
        </w:rPr>
        <w:t>The support for capacity-building and technical assistance provided by the Specific International Programme is expected to improve the capacity of developing country parties and parties with economies in transition in implementing their obligations under the Convention</w:t>
      </w:r>
      <w:r w:rsidRPr="0025781D">
        <w:t>.</w:t>
      </w:r>
    </w:p>
    <w:p w14:paraId="2D0A026D" w14:textId="77777777" w:rsidR="00CE62B0" w:rsidRPr="0025781D" w:rsidRDefault="00CE62B0" w:rsidP="0025781D">
      <w:pPr>
        <w:pStyle w:val="Normalnumber"/>
      </w:pPr>
      <w:r w:rsidRPr="00BF4413">
        <w:t xml:space="preserve">It is to be noted that given that it was only at the first meeting of the </w:t>
      </w:r>
      <w:r w:rsidR="00CD4723">
        <w:t>Conference</w:t>
      </w:r>
      <w:r w:rsidR="00357141">
        <w:t xml:space="preserve"> of the Parties</w:t>
      </w:r>
      <w:r w:rsidRPr="00BF4413">
        <w:t xml:space="preserve"> in September 2017 that the hosting arrangements, guidance on the operations and duration, and terms of reference for the Programme were adopted (MC-1/6), and despite the fast operationalisation into action following that decision by the Governing Board and the </w:t>
      </w:r>
      <w:r w:rsidR="009058EB">
        <w:t>secretariat</w:t>
      </w:r>
      <w:r w:rsidRPr="00BF4413">
        <w:t xml:space="preserve"> (see above), the Programme has only been in operation for 18 months. It has concluded the First Round of applications</w:t>
      </w:r>
      <w:r>
        <w:t xml:space="preserve"> in 2018</w:t>
      </w:r>
      <w:r w:rsidRPr="00BF4413">
        <w:t xml:space="preserve"> and </w:t>
      </w:r>
      <w:r w:rsidRPr="00BF4413">
        <w:lastRenderedPageBreak/>
        <w:t xml:space="preserve">will conclude the Second Round of applications in September 2019. Project implementation </w:t>
      </w:r>
      <w:r>
        <w:t xml:space="preserve">of four of the five approved projects from the First Round </w:t>
      </w:r>
      <w:r w:rsidRPr="00BF4413">
        <w:t xml:space="preserve">began in the second quarter of 2019. </w:t>
      </w:r>
      <w:r>
        <w:t xml:space="preserve">(Implementation on the fifth project is to commence on the signature of the legal agreement.) </w:t>
      </w:r>
      <w:r w:rsidRPr="00BF4413">
        <w:t xml:space="preserve">Furthermore, as the project duration of the approved projects is about three years, the final reports of the projects from the </w:t>
      </w:r>
      <w:r>
        <w:t>F</w:t>
      </w:r>
      <w:r w:rsidRPr="00BF4413">
        <w:t xml:space="preserve">irst </w:t>
      </w:r>
      <w:r>
        <w:t>R</w:t>
      </w:r>
      <w:r w:rsidRPr="00BF4413">
        <w:t>ound are only expected upon clos</w:t>
      </w:r>
      <w:r>
        <w:t>ure</w:t>
      </w:r>
      <w:r w:rsidRPr="00BF4413">
        <w:t xml:space="preserve"> of final accounts. The Governing Board therefore </w:t>
      </w:r>
      <w:r w:rsidRPr="0025781D">
        <w:t xml:space="preserve">concluded that it is premature at this stage to assess the effectiveness of the Programme or its ability to address the changing needs for developing country parties and parties with economies in transition based on only 18 months of operation, beyond the factual information in this note and its annexes. </w:t>
      </w:r>
    </w:p>
    <w:p w14:paraId="740BE790" w14:textId="77777777" w:rsidR="00CE62B0" w:rsidRPr="0025781D" w:rsidRDefault="00CE62B0" w:rsidP="0025781D">
      <w:pPr>
        <w:pStyle w:val="Normalnumber"/>
      </w:pPr>
      <w:r w:rsidRPr="0025781D">
        <w:t>For information purposes two diagrams are provided in annex I to this note on the applications received for the First Round (2018), and another two diagrams in annex II on the applications received in Second Round (2019). Further information is contained in UNEP/MC/COP3/10, the overall report on the Specific International Programme to Support Capacity-Building and Technical Assistance and UNEP/MC/COP3/10/Add.1, the Governing Board of the Specific International Programme to Support Capacity-building and Technical Assistance.</w:t>
      </w:r>
    </w:p>
    <w:p w14:paraId="07BF6299" w14:textId="77777777" w:rsidR="00CE62B0" w:rsidRPr="0025781D" w:rsidRDefault="00CE62B0" w:rsidP="0025781D">
      <w:pPr>
        <w:pStyle w:val="Normalnumber"/>
      </w:pPr>
      <w:r w:rsidRPr="0025781D">
        <w:t xml:space="preserve">A lesson learned regarding the effectiveness of the Programme over the past eighteen months of operation of the Programme, is the need to have adequate secretariat staff capacity in place to support the work of the Governing Board and to provide the full complement of secretariat services required to operate the Programme, including: </w:t>
      </w:r>
    </w:p>
    <w:p w14:paraId="54362E9E" w14:textId="77777777" w:rsidR="00CE62B0" w:rsidRPr="0025781D" w:rsidRDefault="00CE62B0" w:rsidP="00E56515">
      <w:pPr>
        <w:pStyle w:val="Normalnumber"/>
        <w:numPr>
          <w:ilvl w:val="2"/>
          <w:numId w:val="1"/>
        </w:numPr>
        <w:tabs>
          <w:tab w:val="clear" w:pos="1134"/>
          <w:tab w:val="clear" w:pos="1247"/>
          <w:tab w:val="clear" w:pos="1814"/>
          <w:tab w:val="clear" w:pos="2381"/>
          <w:tab w:val="clear" w:pos="2948"/>
          <w:tab w:val="clear" w:pos="3515"/>
          <w:tab w:val="clear" w:pos="4082"/>
          <w:tab w:val="num" w:pos="624"/>
        </w:tabs>
        <w:ind w:left="2495" w:hanging="624"/>
      </w:pPr>
      <w:r w:rsidRPr="0025781D">
        <w:t xml:space="preserve">run the application rounds, </w:t>
      </w:r>
    </w:p>
    <w:p w14:paraId="3DA75597" w14:textId="77777777" w:rsidR="00CE62B0" w:rsidRPr="0025781D" w:rsidRDefault="00CE62B0" w:rsidP="00E56515">
      <w:pPr>
        <w:pStyle w:val="Normalnumber"/>
        <w:numPr>
          <w:ilvl w:val="2"/>
          <w:numId w:val="1"/>
        </w:numPr>
        <w:tabs>
          <w:tab w:val="clear" w:pos="1134"/>
          <w:tab w:val="clear" w:pos="1247"/>
          <w:tab w:val="clear" w:pos="1814"/>
          <w:tab w:val="clear" w:pos="2381"/>
          <w:tab w:val="clear" w:pos="2948"/>
          <w:tab w:val="clear" w:pos="3515"/>
          <w:tab w:val="clear" w:pos="4082"/>
          <w:tab w:val="num" w:pos="624"/>
        </w:tabs>
        <w:ind w:left="2495" w:hanging="624"/>
      </w:pPr>
      <w:r w:rsidRPr="0025781D">
        <w:t xml:space="preserve">screen and appraise the applications, </w:t>
      </w:r>
    </w:p>
    <w:p w14:paraId="578B54CD" w14:textId="77777777" w:rsidR="00CE62B0" w:rsidRPr="0025781D" w:rsidRDefault="00CE62B0" w:rsidP="00E56515">
      <w:pPr>
        <w:pStyle w:val="Normalnumber"/>
        <w:numPr>
          <w:ilvl w:val="2"/>
          <w:numId w:val="1"/>
        </w:numPr>
        <w:tabs>
          <w:tab w:val="clear" w:pos="1134"/>
          <w:tab w:val="clear" w:pos="1247"/>
          <w:tab w:val="clear" w:pos="1814"/>
          <w:tab w:val="clear" w:pos="2381"/>
          <w:tab w:val="clear" w:pos="2948"/>
          <w:tab w:val="clear" w:pos="3515"/>
          <w:tab w:val="clear" w:pos="4082"/>
          <w:tab w:val="num" w:pos="624"/>
        </w:tabs>
        <w:ind w:left="2495" w:hanging="624"/>
      </w:pPr>
      <w:r w:rsidRPr="0025781D">
        <w:t xml:space="preserve">implement the decisions of the Governing Board, </w:t>
      </w:r>
    </w:p>
    <w:p w14:paraId="1741193D" w14:textId="77777777" w:rsidR="00CE62B0" w:rsidRPr="0025781D" w:rsidRDefault="00CE62B0" w:rsidP="00E56515">
      <w:pPr>
        <w:pStyle w:val="Normalnumber"/>
        <w:numPr>
          <w:ilvl w:val="2"/>
          <w:numId w:val="1"/>
        </w:numPr>
        <w:tabs>
          <w:tab w:val="clear" w:pos="1134"/>
          <w:tab w:val="clear" w:pos="1247"/>
          <w:tab w:val="clear" w:pos="1814"/>
          <w:tab w:val="clear" w:pos="2381"/>
          <w:tab w:val="clear" w:pos="2948"/>
          <w:tab w:val="clear" w:pos="3515"/>
          <w:tab w:val="clear" w:pos="4082"/>
          <w:tab w:val="num" w:pos="624"/>
        </w:tabs>
        <w:ind w:left="2495" w:hanging="624"/>
      </w:pPr>
      <w:r w:rsidRPr="0025781D">
        <w:t xml:space="preserve">finalise the project implementation plans with the successful governments, </w:t>
      </w:r>
    </w:p>
    <w:p w14:paraId="3771E7B1" w14:textId="77777777" w:rsidR="00CE62B0" w:rsidRPr="0025781D" w:rsidRDefault="00CE62B0" w:rsidP="00E56515">
      <w:pPr>
        <w:pStyle w:val="Normalnumber"/>
        <w:numPr>
          <w:ilvl w:val="2"/>
          <w:numId w:val="1"/>
        </w:numPr>
        <w:tabs>
          <w:tab w:val="clear" w:pos="1134"/>
          <w:tab w:val="clear" w:pos="1247"/>
          <w:tab w:val="clear" w:pos="1814"/>
          <w:tab w:val="clear" w:pos="2381"/>
          <w:tab w:val="clear" w:pos="2948"/>
          <w:tab w:val="clear" w:pos="3515"/>
          <w:tab w:val="clear" w:pos="4082"/>
          <w:tab w:val="num" w:pos="624"/>
        </w:tabs>
        <w:ind w:left="2495" w:hanging="624"/>
      </w:pPr>
      <w:r w:rsidRPr="0025781D">
        <w:t>follow-up project management responsibilities with each project (fund management, conclusion of legal agreements, periodic fund disbursement, periodic project monitoring, periodic and final reporting, closure of projects, communication on projects, donor reporting).</w:t>
      </w:r>
    </w:p>
    <w:p w14:paraId="27D2436D" w14:textId="77777777" w:rsidR="00CE62B0" w:rsidRDefault="00CE62B0" w:rsidP="0025781D">
      <w:pPr>
        <w:pStyle w:val="Normal-pool"/>
      </w:pPr>
      <w:r>
        <w:br w:type="page"/>
      </w:r>
    </w:p>
    <w:p w14:paraId="48716312" w14:textId="77777777" w:rsidR="00CE62B0" w:rsidRPr="0033469F" w:rsidRDefault="00CE62B0" w:rsidP="0025781D">
      <w:pPr>
        <w:pStyle w:val="ZZAnxheader"/>
      </w:pPr>
      <w:r>
        <w:lastRenderedPageBreak/>
        <w:t>Appendix</w:t>
      </w:r>
      <w:r w:rsidRPr="0033469F">
        <w:t xml:space="preserve"> I </w:t>
      </w:r>
      <w:r w:rsidRPr="0033469F">
        <w:tab/>
        <w:t>First Round (2018)</w:t>
      </w:r>
    </w:p>
    <w:p w14:paraId="40F28567" w14:textId="77777777" w:rsidR="00CE62B0" w:rsidRPr="002F7012" w:rsidRDefault="00CE62B0" w:rsidP="0025781D">
      <w:pPr>
        <w:pStyle w:val="ZZAnxtitle"/>
        <w:rPr>
          <w:sz w:val="24"/>
          <w:szCs w:val="24"/>
        </w:rPr>
      </w:pPr>
      <w:r w:rsidRPr="002F7012">
        <w:rPr>
          <w:sz w:val="24"/>
          <w:szCs w:val="24"/>
        </w:rPr>
        <w:t>Applications received for the first round of applications, by region</w:t>
      </w:r>
    </w:p>
    <w:p w14:paraId="32F48E6B" w14:textId="77777777" w:rsidR="00CE62B0" w:rsidRPr="00BF4413" w:rsidRDefault="00CE62B0" w:rsidP="00CE62B0">
      <w:pPr>
        <w:pStyle w:val="NormalNonumber"/>
        <w:spacing w:after="0"/>
        <w:rPr>
          <w:rFonts w:asciiTheme="majorBidi" w:hAnsiTheme="majorBidi" w:cstheme="majorBidi"/>
          <w:sz w:val="24"/>
          <w:szCs w:val="24"/>
        </w:rPr>
      </w:pPr>
      <w:r w:rsidRPr="00BF4413">
        <w:rPr>
          <w:rFonts w:asciiTheme="majorBidi" w:hAnsiTheme="majorBidi" w:cstheme="majorBidi"/>
          <w:noProof/>
          <w:sz w:val="24"/>
          <w:szCs w:val="24"/>
          <w:lang w:eastAsia="en-GB"/>
        </w:rPr>
        <w:drawing>
          <wp:inline distT="0" distB="0" distL="0" distR="0" wp14:anchorId="4C386FED" wp14:editId="2C2AAD1E">
            <wp:extent cx="3133725" cy="3271838"/>
            <wp:effectExtent l="0" t="0" r="9525" b="5080"/>
            <wp:docPr id="1" name="Chart 1">
              <a:extLst xmlns:a="http://schemas.openxmlformats.org/drawingml/2006/main">
                <a:ext uri="{FF2B5EF4-FFF2-40B4-BE49-F238E27FC236}">
                  <a16:creationId xmlns:a16="http://schemas.microsoft.com/office/drawing/2014/main" id="{E76AB67A-FCD9-4720-89A7-E4CD70D8E87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14:paraId="6B087C14" w14:textId="77777777" w:rsidR="00CE62B0" w:rsidRPr="00BF4413" w:rsidRDefault="00CE62B0" w:rsidP="00CE62B0">
      <w:pPr>
        <w:pStyle w:val="CH2"/>
        <w:spacing w:after="60"/>
        <w:rPr>
          <w:rFonts w:asciiTheme="majorBidi" w:hAnsiTheme="majorBidi" w:cstheme="majorBidi"/>
        </w:rPr>
      </w:pPr>
      <w:r w:rsidRPr="00BF4413">
        <w:rPr>
          <w:rFonts w:asciiTheme="majorBidi" w:hAnsiTheme="majorBidi" w:cstheme="majorBidi"/>
        </w:rPr>
        <w:tab/>
      </w:r>
      <w:r w:rsidRPr="00BF4413">
        <w:rPr>
          <w:rFonts w:asciiTheme="majorBidi" w:hAnsiTheme="majorBidi" w:cstheme="majorBidi"/>
        </w:rPr>
        <w:tab/>
        <w:t>Applications received for the first round of applications, by countries’ economic status</w:t>
      </w:r>
    </w:p>
    <w:p w14:paraId="3F8D09F8" w14:textId="77777777" w:rsidR="00CE62B0" w:rsidRPr="00BF4413" w:rsidRDefault="00CE62B0" w:rsidP="00CE62B0">
      <w:pPr>
        <w:pStyle w:val="NormalNonumber"/>
        <w:spacing w:after="0"/>
        <w:rPr>
          <w:rFonts w:asciiTheme="majorBidi" w:hAnsiTheme="majorBidi" w:cstheme="majorBidi"/>
          <w:sz w:val="24"/>
          <w:szCs w:val="24"/>
        </w:rPr>
      </w:pPr>
      <w:r w:rsidRPr="00BF4413">
        <w:rPr>
          <w:rFonts w:asciiTheme="majorBidi" w:hAnsiTheme="majorBidi" w:cstheme="majorBidi"/>
          <w:noProof/>
          <w:sz w:val="24"/>
          <w:szCs w:val="24"/>
          <w:lang w:eastAsia="en-GB"/>
        </w:rPr>
        <w:drawing>
          <wp:inline distT="0" distB="0" distL="0" distR="0" wp14:anchorId="7C401F74" wp14:editId="430390E3">
            <wp:extent cx="3128964" cy="3033712"/>
            <wp:effectExtent l="0" t="0" r="14605" b="14605"/>
            <wp:docPr id="4" name="Chart 4">
              <a:extLst xmlns:a="http://schemas.openxmlformats.org/drawingml/2006/main">
                <a:ext uri="{FF2B5EF4-FFF2-40B4-BE49-F238E27FC236}">
                  <a16:creationId xmlns:a16="http://schemas.microsoft.com/office/drawing/2014/main" id="{2FD997DC-DB29-4B1E-A07A-49E15520E29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14:paraId="20C44EEE" w14:textId="77777777" w:rsidR="00CE62B0" w:rsidRPr="00BF4413" w:rsidRDefault="00CE62B0" w:rsidP="00CE62B0">
      <w:pPr>
        <w:pStyle w:val="Normal-pool"/>
        <w:rPr>
          <w:rFonts w:asciiTheme="majorBidi" w:hAnsiTheme="majorBidi" w:cstheme="majorBidi"/>
          <w:sz w:val="24"/>
          <w:szCs w:val="24"/>
        </w:rPr>
      </w:pPr>
    </w:p>
    <w:p w14:paraId="2614C027" w14:textId="77777777" w:rsidR="00CE62B0" w:rsidRPr="00BF4413" w:rsidRDefault="00CE62B0" w:rsidP="00CE62B0">
      <w:pPr>
        <w:rPr>
          <w:rFonts w:asciiTheme="majorBidi" w:hAnsiTheme="majorBidi" w:cstheme="majorBidi"/>
          <w:b/>
          <w:bCs/>
          <w:sz w:val="24"/>
          <w:szCs w:val="24"/>
        </w:rPr>
      </w:pPr>
      <w:r w:rsidRPr="00BF4413">
        <w:rPr>
          <w:rFonts w:asciiTheme="majorBidi" w:hAnsiTheme="majorBidi" w:cstheme="majorBidi"/>
          <w:b/>
          <w:bCs/>
          <w:sz w:val="24"/>
          <w:szCs w:val="24"/>
        </w:rPr>
        <w:br w:type="page"/>
      </w:r>
    </w:p>
    <w:p w14:paraId="051C5AC8" w14:textId="77777777" w:rsidR="00CE62B0" w:rsidRPr="0033469F" w:rsidRDefault="00CE62B0" w:rsidP="0025781D">
      <w:pPr>
        <w:pStyle w:val="ZZAnxheader"/>
        <w:spacing w:after="240"/>
      </w:pPr>
      <w:r>
        <w:lastRenderedPageBreak/>
        <w:t>Appendix</w:t>
      </w:r>
      <w:r w:rsidRPr="0033469F">
        <w:t xml:space="preserve"> II </w:t>
      </w:r>
      <w:r w:rsidRPr="0033469F">
        <w:tab/>
        <w:t>Second Round (2019)</w:t>
      </w:r>
    </w:p>
    <w:p w14:paraId="2BD3707E" w14:textId="77777777" w:rsidR="00CE62B0" w:rsidRDefault="00CE62B0" w:rsidP="0025781D">
      <w:pPr>
        <w:pStyle w:val="NormalNonumber"/>
        <w:spacing w:after="240"/>
        <w:rPr>
          <w:rFonts w:asciiTheme="majorBidi" w:hAnsiTheme="majorBidi" w:cstheme="majorBidi"/>
          <w:sz w:val="24"/>
          <w:szCs w:val="24"/>
        </w:rPr>
      </w:pPr>
      <w:r w:rsidRPr="00BF4413">
        <w:rPr>
          <w:rFonts w:asciiTheme="majorBidi" w:hAnsiTheme="majorBidi" w:cstheme="majorBidi"/>
          <w:noProof/>
          <w:sz w:val="24"/>
          <w:szCs w:val="24"/>
          <w:lang w:eastAsia="en-GB"/>
        </w:rPr>
        <w:drawing>
          <wp:inline distT="0" distB="0" distL="0" distR="0" wp14:anchorId="7ADA3618" wp14:editId="205A2A8F">
            <wp:extent cx="3081487" cy="3199551"/>
            <wp:effectExtent l="0" t="0" r="5080" b="1270"/>
            <wp:docPr id="5" name="Picture 1">
              <a:extLst xmlns:a="http://schemas.openxmlformats.org/drawingml/2006/main">
                <a:ext uri="{FF2B5EF4-FFF2-40B4-BE49-F238E27FC236}">
                  <a16:creationId xmlns:a16="http://schemas.microsoft.com/office/drawing/2014/main" id="{3A65767B-F7A4-4D24-B5BF-4DED3E897FF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a:extLst>
                        <a:ext uri="{FF2B5EF4-FFF2-40B4-BE49-F238E27FC236}">
                          <a16:creationId xmlns:a16="http://schemas.microsoft.com/office/drawing/2014/main" id="{3A65767B-F7A4-4D24-B5BF-4DED3E897FFB}"/>
                        </a:ext>
                      </a:extLst>
                    </pic:cNvPr>
                    <pic:cNvPicPr>
                      <a:picLocks noChangeAspect="1"/>
                    </pic:cNvPicPr>
                  </pic:nvPicPr>
                  <pic:blipFill>
                    <a:blip r:embed="rId30"/>
                    <a:stretch>
                      <a:fillRect/>
                    </a:stretch>
                  </pic:blipFill>
                  <pic:spPr>
                    <a:xfrm>
                      <a:off x="0" y="0"/>
                      <a:ext cx="3106879" cy="3225916"/>
                    </a:xfrm>
                    <a:prstGeom prst="rect">
                      <a:avLst/>
                    </a:prstGeom>
                  </pic:spPr>
                </pic:pic>
              </a:graphicData>
            </a:graphic>
          </wp:inline>
        </w:drawing>
      </w:r>
      <w:r w:rsidRPr="00BF4413">
        <w:rPr>
          <w:rFonts w:asciiTheme="majorBidi" w:hAnsiTheme="majorBidi" w:cstheme="majorBidi"/>
          <w:noProof/>
          <w:sz w:val="24"/>
          <w:szCs w:val="24"/>
          <w:lang w:eastAsia="en-GB"/>
        </w:rPr>
        <w:drawing>
          <wp:inline distT="0" distB="0" distL="0" distR="0" wp14:anchorId="3E1F82E5" wp14:editId="59ED67F4">
            <wp:extent cx="3096298" cy="2948099"/>
            <wp:effectExtent l="0" t="0" r="8890" b="5080"/>
            <wp:docPr id="3" name="Picture 2">
              <a:extLst xmlns:a="http://schemas.openxmlformats.org/drawingml/2006/main">
                <a:ext uri="{FF2B5EF4-FFF2-40B4-BE49-F238E27FC236}">
                  <a16:creationId xmlns:a16="http://schemas.microsoft.com/office/drawing/2014/main" id="{F186F7DF-42AC-4233-8394-BA37E762DFB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a:extLst>
                        <a:ext uri="{FF2B5EF4-FFF2-40B4-BE49-F238E27FC236}">
                          <a16:creationId xmlns:a16="http://schemas.microsoft.com/office/drawing/2014/main" id="{F186F7DF-42AC-4233-8394-BA37E762DFB4}"/>
                        </a:ext>
                      </a:extLst>
                    </pic:cNvPr>
                    <pic:cNvPicPr>
                      <a:picLocks noChangeAspect="1"/>
                    </pic:cNvPicPr>
                  </pic:nvPicPr>
                  <pic:blipFill>
                    <a:blip r:embed="rId31"/>
                    <a:stretch>
                      <a:fillRect/>
                    </a:stretch>
                  </pic:blipFill>
                  <pic:spPr>
                    <a:xfrm>
                      <a:off x="0" y="0"/>
                      <a:ext cx="3151576" cy="3000732"/>
                    </a:xfrm>
                    <a:prstGeom prst="rect">
                      <a:avLst/>
                    </a:prstGeom>
                  </pic:spPr>
                </pic:pic>
              </a:graphicData>
            </a:graphic>
          </wp:inline>
        </w:drawing>
      </w:r>
    </w:p>
    <w:p w14:paraId="25E97DC2" w14:textId="6E1E2AF8" w:rsidR="00E600B2" w:rsidRDefault="00E600B2" w:rsidP="00CE62B0">
      <w:pPr>
        <w:rPr>
          <w:rFonts w:asciiTheme="majorBidi" w:hAnsiTheme="majorBidi" w:cstheme="majorBidi"/>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97"/>
        <w:gridCol w:w="1897"/>
        <w:gridCol w:w="1897"/>
        <w:gridCol w:w="1897"/>
        <w:gridCol w:w="1898"/>
      </w:tblGrid>
      <w:tr w:rsidR="000A1CC4" w14:paraId="0553E25C" w14:textId="77777777" w:rsidTr="000A1CC4">
        <w:tc>
          <w:tcPr>
            <w:tcW w:w="1897" w:type="dxa"/>
          </w:tcPr>
          <w:p w14:paraId="3A09E6C8" w14:textId="77777777" w:rsidR="000A1CC4" w:rsidRDefault="000A1CC4" w:rsidP="000A1CC4">
            <w:pPr>
              <w:pStyle w:val="Normal-pool"/>
              <w:spacing w:before="520"/>
            </w:pPr>
          </w:p>
        </w:tc>
        <w:tc>
          <w:tcPr>
            <w:tcW w:w="1897" w:type="dxa"/>
          </w:tcPr>
          <w:p w14:paraId="28E763F2" w14:textId="77777777" w:rsidR="000A1CC4" w:rsidRDefault="000A1CC4" w:rsidP="000A1CC4">
            <w:pPr>
              <w:pStyle w:val="Normal-pool"/>
              <w:spacing w:before="520"/>
            </w:pPr>
          </w:p>
        </w:tc>
        <w:tc>
          <w:tcPr>
            <w:tcW w:w="1897" w:type="dxa"/>
            <w:tcBorders>
              <w:bottom w:val="single" w:sz="4" w:space="0" w:color="auto"/>
            </w:tcBorders>
          </w:tcPr>
          <w:p w14:paraId="4FF1F3DC" w14:textId="77777777" w:rsidR="000A1CC4" w:rsidRDefault="000A1CC4" w:rsidP="000A1CC4">
            <w:pPr>
              <w:pStyle w:val="Normal-pool"/>
              <w:spacing w:before="520"/>
            </w:pPr>
          </w:p>
        </w:tc>
        <w:tc>
          <w:tcPr>
            <w:tcW w:w="1897" w:type="dxa"/>
          </w:tcPr>
          <w:p w14:paraId="10251A90" w14:textId="77777777" w:rsidR="000A1CC4" w:rsidRDefault="000A1CC4" w:rsidP="000A1CC4">
            <w:pPr>
              <w:pStyle w:val="Normal-pool"/>
              <w:spacing w:before="520"/>
            </w:pPr>
          </w:p>
        </w:tc>
        <w:tc>
          <w:tcPr>
            <w:tcW w:w="1898" w:type="dxa"/>
          </w:tcPr>
          <w:p w14:paraId="7A78BF68" w14:textId="77777777" w:rsidR="000A1CC4" w:rsidRDefault="000A1CC4" w:rsidP="000A1CC4">
            <w:pPr>
              <w:pStyle w:val="Normal-pool"/>
              <w:spacing w:before="520"/>
            </w:pPr>
          </w:p>
        </w:tc>
      </w:tr>
    </w:tbl>
    <w:p w14:paraId="7E1F9459" w14:textId="77777777" w:rsidR="000A1CC4" w:rsidRPr="00BF4413" w:rsidRDefault="000A1CC4" w:rsidP="000A1CC4">
      <w:pPr>
        <w:pStyle w:val="Normal-pool"/>
      </w:pPr>
    </w:p>
    <w:sectPr w:rsidR="000A1CC4" w:rsidRPr="00BF4413" w:rsidSect="00260668">
      <w:headerReference w:type="even" r:id="rId32"/>
      <w:headerReference w:type="default" r:id="rId33"/>
      <w:headerReference w:type="first" r:id="rId34"/>
      <w:footnotePr>
        <w:numRestart w:val="eachSect"/>
      </w:footnotePr>
      <w:type w:val="continuous"/>
      <w:pgSz w:w="11907" w:h="16840"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2D950E" w14:textId="77777777" w:rsidR="00593872" w:rsidRDefault="00593872">
      <w:r>
        <w:separator/>
      </w:r>
    </w:p>
  </w:endnote>
  <w:endnote w:type="continuationSeparator" w:id="0">
    <w:p w14:paraId="47468665" w14:textId="77777777" w:rsidR="00593872" w:rsidRDefault="005938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44689502"/>
      <w:docPartObj>
        <w:docPartGallery w:val="Page Numbers (Bottom of Page)"/>
        <w:docPartUnique/>
      </w:docPartObj>
    </w:sdtPr>
    <w:sdtEndPr>
      <w:rPr>
        <w:noProof/>
      </w:rPr>
    </w:sdtEndPr>
    <w:sdtContent>
      <w:p w14:paraId="0A5E2B91" w14:textId="207D59A9" w:rsidR="00593872" w:rsidRDefault="00593872" w:rsidP="00C75B4C">
        <w:pPr>
          <w:pStyle w:val="Footer-pool"/>
        </w:pPr>
        <w:r>
          <w:fldChar w:fldCharType="begin"/>
        </w:r>
        <w:r>
          <w:instrText xml:space="preserve"> PAGE   \* MERGEFORMAT </w:instrText>
        </w:r>
        <w:r>
          <w:fldChar w:fldCharType="separate"/>
        </w:r>
        <w:r w:rsidR="003621EE">
          <w:rPr>
            <w:noProof/>
          </w:rPr>
          <w:t>4</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5646081"/>
      <w:docPartObj>
        <w:docPartGallery w:val="Page Numbers (Bottom of Page)"/>
        <w:docPartUnique/>
      </w:docPartObj>
    </w:sdtPr>
    <w:sdtEndPr>
      <w:rPr>
        <w:noProof/>
      </w:rPr>
    </w:sdtEndPr>
    <w:sdtContent>
      <w:p w14:paraId="21174EB6" w14:textId="63B5C288" w:rsidR="00593872" w:rsidRPr="00C75B4C" w:rsidRDefault="00593872" w:rsidP="00C75B4C">
        <w:pPr>
          <w:pStyle w:val="Footer-pool"/>
          <w:jc w:val="right"/>
        </w:pPr>
        <w:r>
          <w:fldChar w:fldCharType="begin"/>
        </w:r>
        <w:r>
          <w:instrText xml:space="preserve"> PAGE   \* MERGEFORMAT </w:instrText>
        </w:r>
        <w:r>
          <w:fldChar w:fldCharType="separate"/>
        </w:r>
        <w:r w:rsidR="003621EE">
          <w:rPr>
            <w:noProof/>
          </w:rPr>
          <w:t>3</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591831" w14:textId="597D2F7E" w:rsidR="00593872" w:rsidRDefault="00593872" w:rsidP="00314D43">
    <w:pPr>
      <w:pStyle w:val="Normal-pool"/>
    </w:pPr>
    <w:r>
      <w:t>K1903771</w:t>
    </w:r>
    <w:r>
      <w:tab/>
    </w:r>
    <w:r w:rsidR="004221DB">
      <w:t>270919</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55BF82" w14:textId="0E4857BD" w:rsidR="00593872" w:rsidRDefault="00593872" w:rsidP="000A1CC4">
    <w:pPr>
      <w:pStyle w:val="Footer"/>
    </w:pPr>
    <w:r>
      <w:rPr>
        <w:rStyle w:val="PageNumber"/>
      </w:rPr>
      <w:fldChar w:fldCharType="begin"/>
    </w:r>
    <w:r>
      <w:rPr>
        <w:rStyle w:val="PageNumber"/>
      </w:rPr>
      <w:instrText xml:space="preserve"> PAGE </w:instrText>
    </w:r>
    <w:r>
      <w:rPr>
        <w:rStyle w:val="PageNumber"/>
      </w:rPr>
      <w:fldChar w:fldCharType="separate"/>
    </w:r>
    <w:r w:rsidR="003621EE">
      <w:rPr>
        <w:rStyle w:val="PageNumber"/>
        <w:noProof/>
      </w:rPr>
      <w:t>8</w:t>
    </w:r>
    <w:r>
      <w:rPr>
        <w:rStyle w:val="PageNumber"/>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865B18" w14:textId="7C40B203" w:rsidR="00593872" w:rsidRDefault="00593872" w:rsidP="000A1CC4">
    <w:pPr>
      <w:pStyle w:val="Footer"/>
      <w:jc w:val="right"/>
    </w:pPr>
    <w:r w:rsidRPr="0046461D">
      <w:rPr>
        <w:rStyle w:val="PageNumber"/>
      </w:rPr>
      <w:fldChar w:fldCharType="begin"/>
    </w:r>
    <w:r w:rsidRPr="0046461D">
      <w:rPr>
        <w:rStyle w:val="PageNumber"/>
      </w:rPr>
      <w:instrText xml:space="preserve"> PAGE </w:instrText>
    </w:r>
    <w:r w:rsidRPr="0046461D">
      <w:rPr>
        <w:rStyle w:val="PageNumber"/>
      </w:rPr>
      <w:fldChar w:fldCharType="separate"/>
    </w:r>
    <w:r w:rsidR="003621EE">
      <w:rPr>
        <w:rStyle w:val="PageNumber"/>
        <w:noProof/>
      </w:rPr>
      <w:t>7</w:t>
    </w:r>
    <w:r w:rsidRPr="0046461D">
      <w:rPr>
        <w:rStyle w:val="PageNumber"/>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08331722"/>
      <w:docPartObj>
        <w:docPartGallery w:val="Page Numbers (Bottom of Page)"/>
        <w:docPartUnique/>
      </w:docPartObj>
    </w:sdtPr>
    <w:sdtEndPr>
      <w:rPr>
        <w:noProof/>
      </w:rPr>
    </w:sdtEndPr>
    <w:sdtContent>
      <w:p w14:paraId="1CD593B1" w14:textId="6F0BF6C3" w:rsidR="00593872" w:rsidRDefault="00593872" w:rsidP="005E4496">
        <w:pPr>
          <w:pStyle w:val="Footer-pool"/>
          <w:jc w:val="right"/>
        </w:pPr>
        <w:r>
          <w:fldChar w:fldCharType="begin"/>
        </w:r>
        <w:r>
          <w:instrText xml:space="preserve"> PAGE   \* MERGEFORMAT </w:instrText>
        </w:r>
        <w:r>
          <w:fldChar w:fldCharType="separate"/>
        </w:r>
        <w:r w:rsidR="003621EE">
          <w:rPr>
            <w:noProof/>
          </w:rPr>
          <w:t>5</w:t>
        </w:r>
        <w:r>
          <w:rPr>
            <w:noProof/>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4290081"/>
      <w:docPartObj>
        <w:docPartGallery w:val="Page Numbers (Bottom of Page)"/>
        <w:docPartUnique/>
      </w:docPartObj>
    </w:sdtPr>
    <w:sdtEndPr>
      <w:rPr>
        <w:noProof/>
      </w:rPr>
    </w:sdtEndPr>
    <w:sdtContent>
      <w:p w14:paraId="3B3CCCF9" w14:textId="1CBE63A1" w:rsidR="00593872" w:rsidRDefault="00593872" w:rsidP="00260668">
        <w:pPr>
          <w:pStyle w:val="Footer-pool"/>
        </w:pPr>
        <w:r>
          <w:fldChar w:fldCharType="begin"/>
        </w:r>
        <w:r>
          <w:instrText xml:space="preserve"> PAGE   \* MERGEFORMAT </w:instrText>
        </w:r>
        <w:r>
          <w:fldChar w:fldCharType="separate"/>
        </w:r>
        <w:r w:rsidR="003621EE">
          <w:rPr>
            <w:noProof/>
          </w:rPr>
          <w:t>16</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9F942F" w14:textId="77777777" w:rsidR="00593872" w:rsidRPr="00493097" w:rsidRDefault="00593872" w:rsidP="00B675A6">
      <w:pPr>
        <w:tabs>
          <w:tab w:val="clear" w:pos="1247"/>
          <w:tab w:val="clear" w:pos="1814"/>
          <w:tab w:val="clear" w:pos="2381"/>
          <w:tab w:val="clear" w:pos="2948"/>
          <w:tab w:val="clear" w:pos="3515"/>
          <w:tab w:val="left" w:pos="624"/>
        </w:tabs>
        <w:spacing w:before="60"/>
        <w:ind w:left="624"/>
        <w:rPr>
          <w:sz w:val="18"/>
          <w:szCs w:val="18"/>
        </w:rPr>
      </w:pPr>
      <w:r w:rsidRPr="00493097">
        <w:rPr>
          <w:sz w:val="18"/>
          <w:szCs w:val="18"/>
        </w:rPr>
        <w:separator/>
      </w:r>
    </w:p>
  </w:footnote>
  <w:footnote w:type="continuationSeparator" w:id="0">
    <w:p w14:paraId="15D8853C" w14:textId="77777777" w:rsidR="00593872" w:rsidRDefault="00593872">
      <w:r>
        <w:continuationSeparator/>
      </w:r>
    </w:p>
  </w:footnote>
  <w:footnote w:id="1">
    <w:p w14:paraId="64D35957" w14:textId="6F29A528" w:rsidR="00593872" w:rsidRPr="0026575C" w:rsidRDefault="00593872" w:rsidP="00C014A5">
      <w:pPr>
        <w:tabs>
          <w:tab w:val="left" w:pos="624"/>
        </w:tabs>
        <w:spacing w:before="20" w:after="40"/>
        <w:ind w:left="1247"/>
        <w:rPr>
          <w:sz w:val="18"/>
          <w:szCs w:val="18"/>
        </w:rPr>
      </w:pPr>
      <w:r w:rsidRPr="004B6E95">
        <w:rPr>
          <w:sz w:val="18"/>
          <w:szCs w:val="18"/>
        </w:rPr>
        <w:t>* UNEP/MC/COP.</w:t>
      </w:r>
      <w:r w:rsidRPr="0026575C">
        <w:rPr>
          <w:sz w:val="18"/>
          <w:szCs w:val="18"/>
        </w:rPr>
        <w:t>3/1.</w:t>
      </w:r>
    </w:p>
  </w:footnote>
  <w:footnote w:id="2">
    <w:p w14:paraId="669ACB0A" w14:textId="77777777" w:rsidR="00593872" w:rsidRPr="00C014A5" w:rsidRDefault="00593872" w:rsidP="00C014A5">
      <w:pPr>
        <w:pStyle w:val="FootnoteText"/>
        <w:tabs>
          <w:tab w:val="left" w:pos="624"/>
        </w:tabs>
        <w:rPr>
          <w:szCs w:val="18"/>
          <w:lang w:val="en-GB"/>
        </w:rPr>
      </w:pPr>
      <w:r w:rsidRPr="004B6E95">
        <w:rPr>
          <w:rStyle w:val="FootnoteReference"/>
          <w:sz w:val="18"/>
          <w:lang w:val="en-GB"/>
        </w:rPr>
        <w:footnoteRef/>
      </w:r>
      <w:r w:rsidRPr="004B6E95">
        <w:rPr>
          <w:szCs w:val="18"/>
          <w:lang w:val="en-GB"/>
        </w:rPr>
        <w:t xml:space="preserve"> Joint s</w:t>
      </w:r>
      <w:r w:rsidRPr="0026575C">
        <w:rPr>
          <w:szCs w:val="18"/>
          <w:lang w:val="en-GB"/>
        </w:rPr>
        <w:t>ummary of the chairs of the fifty-sixth GEF Council meeting, decision on agenda item 15.</w:t>
      </w:r>
      <w:r w:rsidRPr="00C014A5">
        <w:rPr>
          <w:szCs w:val="18"/>
          <w:lang w:val="en-GB"/>
        </w:rPr>
        <w:t xml:space="preserve"> Available at: https://www.gefieo.org/sites/default/files/ieo/council-documents/files/c-56-joint-summary-chairs.pdf.</w:t>
      </w:r>
    </w:p>
  </w:footnote>
  <w:footnote w:id="3">
    <w:p w14:paraId="5EE4F541" w14:textId="77777777" w:rsidR="00593872" w:rsidRPr="004B6E95" w:rsidRDefault="00593872" w:rsidP="00C014A5">
      <w:pPr>
        <w:pStyle w:val="FootnoteText"/>
        <w:tabs>
          <w:tab w:val="left" w:pos="624"/>
        </w:tabs>
        <w:rPr>
          <w:szCs w:val="18"/>
          <w:lang w:val="en-US"/>
        </w:rPr>
      </w:pPr>
      <w:r w:rsidRPr="004B6E95">
        <w:rPr>
          <w:rStyle w:val="FootnoteReference"/>
          <w:sz w:val="18"/>
        </w:rPr>
        <w:footnoteRef/>
      </w:r>
      <w:r w:rsidRPr="004B6E95">
        <w:rPr>
          <w:szCs w:val="18"/>
          <w:lang w:val="en-US"/>
        </w:rPr>
        <w:t xml:space="preserve"> http://www.gefieo.org/.</w:t>
      </w:r>
    </w:p>
  </w:footnote>
  <w:footnote w:id="4">
    <w:p w14:paraId="10A1A7F7" w14:textId="2589B87F" w:rsidR="00593872" w:rsidRPr="00C014A5" w:rsidRDefault="00593872" w:rsidP="00C014A5">
      <w:pPr>
        <w:pStyle w:val="FootnoteText"/>
        <w:tabs>
          <w:tab w:val="left" w:pos="624"/>
        </w:tabs>
        <w:rPr>
          <w:szCs w:val="18"/>
          <w:lang w:val="en-US"/>
        </w:rPr>
      </w:pPr>
      <w:r w:rsidRPr="004B6E95">
        <w:rPr>
          <w:rStyle w:val="FootnoteReference"/>
          <w:sz w:val="18"/>
        </w:rPr>
        <w:footnoteRef/>
      </w:r>
      <w:r w:rsidRPr="004B6E95">
        <w:rPr>
          <w:szCs w:val="18"/>
          <w:lang w:val="en-US"/>
        </w:rPr>
        <w:t xml:space="preserve"> </w:t>
      </w:r>
      <w:r w:rsidRPr="004B6E95">
        <w:rPr>
          <w:szCs w:val="18"/>
          <w:lang w:val="en-GB"/>
        </w:rPr>
        <w:t xml:space="preserve">Regional </w:t>
      </w:r>
      <w:r w:rsidRPr="0026575C">
        <w:rPr>
          <w:szCs w:val="18"/>
          <w:lang w:val="en-GB"/>
        </w:rPr>
        <w:t xml:space="preserve">breakdown: Africa: Benin and Lesotho; Asia-Pacific: </w:t>
      </w:r>
      <w:r w:rsidRPr="00C014A5">
        <w:rPr>
          <w:szCs w:val="18"/>
          <w:lang w:val="en-GB"/>
        </w:rPr>
        <w:t>Islamic Republic of Iran; Central and Eastern Europe: Armenia; Latin America and the Caribbean: Argentina.</w:t>
      </w:r>
    </w:p>
  </w:footnote>
  <w:footnote w:id="5">
    <w:p w14:paraId="3D2696C9" w14:textId="03057E2C" w:rsidR="00593872" w:rsidRPr="0026575C" w:rsidRDefault="00593872" w:rsidP="00C014A5">
      <w:pPr>
        <w:pStyle w:val="FootnoteText"/>
        <w:tabs>
          <w:tab w:val="left" w:pos="624"/>
        </w:tabs>
        <w:rPr>
          <w:szCs w:val="18"/>
          <w:lang w:val="en-US"/>
        </w:rPr>
      </w:pPr>
      <w:r w:rsidRPr="004B6E95">
        <w:rPr>
          <w:rStyle w:val="FootnoteReference"/>
          <w:sz w:val="18"/>
        </w:rPr>
        <w:footnoteRef/>
      </w:r>
      <w:r w:rsidRPr="004B6E95">
        <w:rPr>
          <w:szCs w:val="18"/>
          <w:lang w:val="en-US"/>
        </w:rPr>
        <w:t xml:space="preserve"> </w:t>
      </w:r>
      <w:hyperlink r:id="rId1" w:history="1">
        <w:r w:rsidRPr="004B6E95">
          <w:rPr>
            <w:szCs w:val="18"/>
            <w:lang w:val="en-GB"/>
          </w:rPr>
          <w:t>http://www.mercuryconvention.org/Implementation/SpecificInternationalProgramme/tabid/6334/language/en-US/Default.aspx</w:t>
        </w:r>
      </w:hyperlink>
      <w:r w:rsidRPr="004B6E95">
        <w:rPr>
          <w:szCs w:val="18"/>
          <w:lang w:val="en-GB"/>
        </w:rPr>
        <w:t>.</w:t>
      </w:r>
      <w:r w:rsidRPr="004B6E95" w:rsidDel="00D45B7D">
        <w:rPr>
          <w:rStyle w:val="Hyperlink"/>
          <w:sz w:val="18"/>
          <w:szCs w:val="18"/>
          <w:lang w:val="en-GB"/>
        </w:rPr>
        <w:t xml:space="preserve"> </w:t>
      </w:r>
    </w:p>
  </w:footnote>
  <w:footnote w:id="6">
    <w:p w14:paraId="6829F0B1" w14:textId="77777777" w:rsidR="00593872" w:rsidRPr="004B6E95" w:rsidRDefault="00593872" w:rsidP="00C014A5">
      <w:pPr>
        <w:pStyle w:val="FootnoteText"/>
        <w:tabs>
          <w:tab w:val="left" w:pos="624"/>
        </w:tabs>
        <w:rPr>
          <w:szCs w:val="18"/>
          <w:lang w:val="en-GB"/>
        </w:rPr>
      </w:pPr>
      <w:r w:rsidRPr="00C014A5">
        <w:rPr>
          <w:rStyle w:val="FootnoteReference"/>
          <w:sz w:val="18"/>
        </w:rPr>
        <w:footnoteRef/>
      </w:r>
      <w:r w:rsidRPr="004B6E95">
        <w:rPr>
          <w:szCs w:val="18"/>
          <w:lang w:val="en-GB"/>
        </w:rPr>
        <w:t xml:space="preserve"> UNEP/MC/COP.2/INF/3 - Report of the Global Environment Facility to the Conference of the Parties to the Minamata Convention on Mercury at its second meeting</w:t>
      </w:r>
    </w:p>
  </w:footnote>
  <w:footnote w:id="7">
    <w:p w14:paraId="2C03A259" w14:textId="56ACE27E" w:rsidR="00593872" w:rsidRPr="004B6E95" w:rsidRDefault="00593872" w:rsidP="00C014A5">
      <w:pPr>
        <w:pStyle w:val="FootnoteText"/>
        <w:tabs>
          <w:tab w:val="left" w:pos="624"/>
        </w:tabs>
        <w:rPr>
          <w:szCs w:val="18"/>
          <w:lang w:val="en-GB"/>
        </w:rPr>
      </w:pPr>
      <w:r w:rsidRPr="00C014A5">
        <w:rPr>
          <w:rStyle w:val="FootnoteReference"/>
          <w:sz w:val="18"/>
        </w:rPr>
        <w:footnoteRef/>
      </w:r>
      <w:r w:rsidRPr="004B6E95">
        <w:rPr>
          <w:szCs w:val="18"/>
          <w:lang w:val="en-GB"/>
        </w:rPr>
        <w:t xml:space="preserve"> GEF, 2014, </w:t>
      </w:r>
      <w:hyperlink r:id="rId2" w:history="1">
        <w:r w:rsidRPr="00C014A5">
          <w:rPr>
            <w:rStyle w:val="Hyperlink"/>
            <w:sz w:val="18"/>
            <w:szCs w:val="18"/>
            <w:lang w:val="en-GB"/>
          </w:rPr>
          <w:t>Initial Guidelines for Enabling Activities for the Minamata Convention on Mercury</w:t>
        </w:r>
      </w:hyperlink>
      <w:r w:rsidRPr="004B6E95">
        <w:rPr>
          <w:szCs w:val="18"/>
          <w:lang w:val="en-GB"/>
        </w:rPr>
        <w:t>, Council Document, GEF/C.45/Inf.05/Rev.01.</w:t>
      </w:r>
    </w:p>
  </w:footnote>
  <w:footnote w:id="8">
    <w:p w14:paraId="22780753" w14:textId="77777777" w:rsidR="00593872" w:rsidRPr="004B6E95" w:rsidRDefault="00593872" w:rsidP="00C014A5">
      <w:pPr>
        <w:pStyle w:val="FootnoteText"/>
        <w:tabs>
          <w:tab w:val="left" w:pos="624"/>
        </w:tabs>
        <w:rPr>
          <w:szCs w:val="18"/>
          <w:lang w:val="en-GB"/>
        </w:rPr>
      </w:pPr>
      <w:r w:rsidRPr="00C014A5">
        <w:rPr>
          <w:rStyle w:val="FootnoteReference"/>
          <w:sz w:val="18"/>
        </w:rPr>
        <w:footnoteRef/>
      </w:r>
      <w:r w:rsidRPr="004B6E95">
        <w:rPr>
          <w:szCs w:val="18"/>
          <w:lang w:val="en-GB"/>
        </w:rPr>
        <w:t xml:space="preserve"> Up to May 15, 2019, the GEF supported a total of 111 countries through GEF-5 to GEF-7 to implement Minamata Initial Assessments (MIA) and 34 countries to conduct their artisanal and small-scale gold mining (ASGM) National Action Plans (NAP). Of the 111 MIAs funded to date, 17 countries are non-signatory and non-party, 33 are signatory but non-party, 45 are signatory and party and 16 are non-signatory but party. Of the 34 ASGM NAPS funded, 18 are for signatory that are party, 9 are signatory but non-party, 4 are non-signatory but party and 3 are neither signatory or party. There are 18 countries that will have to ratify the Convention to be eligible to receive funding for MIAs.</w:t>
      </w:r>
    </w:p>
  </w:footnote>
  <w:footnote w:id="9">
    <w:p w14:paraId="71BDD091" w14:textId="77777777" w:rsidR="00593872" w:rsidRPr="004B6E95" w:rsidRDefault="00593872" w:rsidP="00C014A5">
      <w:pPr>
        <w:pStyle w:val="FootnoteText"/>
        <w:tabs>
          <w:tab w:val="left" w:pos="624"/>
        </w:tabs>
        <w:rPr>
          <w:szCs w:val="18"/>
          <w:lang w:val="en-GB"/>
        </w:rPr>
      </w:pPr>
      <w:r w:rsidRPr="00C014A5">
        <w:rPr>
          <w:rStyle w:val="FootnoteReference"/>
          <w:sz w:val="18"/>
        </w:rPr>
        <w:footnoteRef/>
      </w:r>
      <w:r w:rsidRPr="004B6E95">
        <w:rPr>
          <w:szCs w:val="18"/>
          <w:lang w:val="en-GB"/>
        </w:rPr>
        <w:t xml:space="preserve"> GEF, 2018, </w:t>
      </w:r>
      <w:hyperlink r:id="rId3" w:history="1">
        <w:r w:rsidRPr="00C014A5">
          <w:rPr>
            <w:rStyle w:val="Hyperlink"/>
            <w:sz w:val="18"/>
            <w:szCs w:val="18"/>
            <w:lang w:val="en-GB"/>
          </w:rPr>
          <w:t>Report On The Seventh Replenishment Of The GEF Trust Fund</w:t>
        </w:r>
      </w:hyperlink>
      <w:r w:rsidRPr="004B6E95">
        <w:rPr>
          <w:szCs w:val="18"/>
          <w:lang w:val="en-GB"/>
        </w:rPr>
        <w:t>, Council Document GEF/A.6/05/Rev.01.</w:t>
      </w:r>
    </w:p>
  </w:footnote>
  <w:footnote w:id="10">
    <w:p w14:paraId="19F74D94" w14:textId="77777777" w:rsidR="00593872" w:rsidRPr="004B6E95" w:rsidRDefault="00593872" w:rsidP="00C014A5">
      <w:pPr>
        <w:pStyle w:val="FootnoteText"/>
        <w:tabs>
          <w:tab w:val="left" w:pos="624"/>
        </w:tabs>
        <w:rPr>
          <w:szCs w:val="18"/>
        </w:rPr>
      </w:pPr>
      <w:r w:rsidRPr="00C014A5">
        <w:rPr>
          <w:rStyle w:val="FootnoteReference"/>
          <w:sz w:val="18"/>
        </w:rPr>
        <w:footnoteRef/>
      </w:r>
      <w:r w:rsidRPr="004B6E95">
        <w:rPr>
          <w:szCs w:val="18"/>
        </w:rPr>
        <w:t xml:space="preserve"> UNEP(DTIE)/Hg/INC.6/24, </w:t>
      </w:r>
      <w:hyperlink r:id="rId4" w:history="1">
        <w:r w:rsidRPr="00C014A5">
          <w:rPr>
            <w:rStyle w:val="Hyperlink"/>
            <w:sz w:val="18"/>
            <w:szCs w:val="18"/>
          </w:rPr>
          <w:t>http://www.mercuryconvention.org/Portals/11/documents/meetings/inc6/English/6_24_e_report.pdf</w:t>
        </w:r>
      </w:hyperlink>
      <w:r w:rsidRPr="004B6E95">
        <w:rPr>
          <w:szCs w:val="18"/>
        </w:rPr>
        <w:t xml:space="preserve"> </w:t>
      </w:r>
    </w:p>
  </w:footnote>
  <w:footnote w:id="11">
    <w:p w14:paraId="3F67E6D4" w14:textId="77777777" w:rsidR="00593872" w:rsidRPr="004B6E95" w:rsidRDefault="00593872" w:rsidP="00C014A5">
      <w:pPr>
        <w:pStyle w:val="FootnoteText"/>
        <w:tabs>
          <w:tab w:val="left" w:pos="624"/>
        </w:tabs>
        <w:rPr>
          <w:szCs w:val="18"/>
        </w:rPr>
      </w:pPr>
      <w:r w:rsidRPr="00C014A5">
        <w:rPr>
          <w:rStyle w:val="FootnoteReference"/>
          <w:sz w:val="18"/>
        </w:rPr>
        <w:footnoteRef/>
      </w:r>
      <w:r w:rsidRPr="004B6E95">
        <w:rPr>
          <w:szCs w:val="18"/>
        </w:rPr>
        <w:t xml:space="preserve"> UNEP(DTIE)/Hg/CONF/4, </w:t>
      </w:r>
      <w:hyperlink r:id="rId5" w:history="1">
        <w:r w:rsidRPr="00C014A5">
          <w:rPr>
            <w:rStyle w:val="Hyperlink"/>
            <w:sz w:val="18"/>
            <w:szCs w:val="18"/>
          </w:rPr>
          <w:t>http://www.mercuryconvention.org/Portals/11/documents/meetings/dipcon/english/CONF_4_Final_Act_e.pdf</w:t>
        </w:r>
      </w:hyperlink>
      <w:r w:rsidRPr="004B6E95">
        <w:rPr>
          <w:szCs w:val="18"/>
        </w:rPr>
        <w:t xml:space="preserve"> </w:t>
      </w:r>
    </w:p>
  </w:footnote>
  <w:footnote w:id="12">
    <w:p w14:paraId="100F3879" w14:textId="77777777" w:rsidR="00593872" w:rsidRPr="004B6E95" w:rsidRDefault="00593872" w:rsidP="00C014A5">
      <w:pPr>
        <w:pStyle w:val="FootnoteText"/>
        <w:tabs>
          <w:tab w:val="left" w:pos="624"/>
        </w:tabs>
        <w:rPr>
          <w:szCs w:val="18"/>
        </w:rPr>
      </w:pPr>
      <w:r w:rsidRPr="00C014A5">
        <w:rPr>
          <w:rStyle w:val="FootnoteReference"/>
          <w:sz w:val="18"/>
        </w:rPr>
        <w:footnoteRef/>
      </w:r>
      <w:r w:rsidRPr="004B6E95">
        <w:rPr>
          <w:szCs w:val="18"/>
        </w:rPr>
        <w:t xml:space="preserve"> UNEP(DTIE)/Hg/INC.6/24, </w:t>
      </w:r>
      <w:hyperlink r:id="rId6" w:history="1">
        <w:r w:rsidRPr="00C014A5">
          <w:rPr>
            <w:rStyle w:val="Hyperlink"/>
            <w:sz w:val="18"/>
            <w:szCs w:val="18"/>
          </w:rPr>
          <w:t>http://www.mercuryconvention.org/Portals/11/documents/meetings/inc6/English/6_24_e_report.pdf</w:t>
        </w:r>
      </w:hyperlink>
      <w:r w:rsidRPr="004B6E95">
        <w:rPr>
          <w:szCs w:val="18"/>
        </w:rPr>
        <w:t xml:space="preserve"> </w:t>
      </w:r>
    </w:p>
  </w:footnote>
  <w:footnote w:id="13">
    <w:p w14:paraId="32F62B30" w14:textId="77777777" w:rsidR="00593872" w:rsidRPr="004B6E95" w:rsidRDefault="00593872" w:rsidP="00C014A5">
      <w:pPr>
        <w:pStyle w:val="FootnoteText"/>
        <w:tabs>
          <w:tab w:val="left" w:pos="624"/>
        </w:tabs>
        <w:rPr>
          <w:szCs w:val="18"/>
          <w:lang w:val="en-GB"/>
        </w:rPr>
      </w:pPr>
      <w:r w:rsidRPr="00C014A5">
        <w:rPr>
          <w:rStyle w:val="FootnoteReference"/>
          <w:sz w:val="18"/>
        </w:rPr>
        <w:footnoteRef/>
      </w:r>
      <w:r w:rsidRPr="004B6E95">
        <w:rPr>
          <w:szCs w:val="18"/>
          <w:lang w:val="en-GB"/>
        </w:rPr>
        <w:t xml:space="preserve"> GEF/A.5/09, </w:t>
      </w:r>
      <w:hyperlink r:id="rId7" w:history="1">
        <w:r w:rsidRPr="00C014A5">
          <w:rPr>
            <w:rStyle w:val="Hyperlink"/>
            <w:sz w:val="18"/>
            <w:szCs w:val="18"/>
            <w:lang w:val="en-GB"/>
          </w:rPr>
          <w:t>https://www.thegef.org/sites/default/files/council-meeting- documents/GEF.A.5.09_Amendments_to_the_Instrument_April_16_2014_V3_1.pdf</w:t>
        </w:r>
      </w:hyperlink>
      <w:r w:rsidRPr="004B6E95">
        <w:rPr>
          <w:szCs w:val="18"/>
          <w:lang w:val="en-GB"/>
        </w:rPr>
        <w:t xml:space="preserve"> </w:t>
      </w:r>
    </w:p>
  </w:footnote>
  <w:footnote w:id="14">
    <w:p w14:paraId="28E390E1" w14:textId="77777777" w:rsidR="00593872" w:rsidRPr="004B6E95" w:rsidRDefault="00593872" w:rsidP="00C014A5">
      <w:pPr>
        <w:pStyle w:val="FootnoteText"/>
        <w:tabs>
          <w:tab w:val="left" w:pos="624"/>
        </w:tabs>
        <w:rPr>
          <w:szCs w:val="18"/>
          <w:lang w:val="en-GB"/>
        </w:rPr>
      </w:pPr>
      <w:r w:rsidRPr="00C014A5">
        <w:rPr>
          <w:rStyle w:val="FootnoteReference"/>
          <w:sz w:val="18"/>
        </w:rPr>
        <w:footnoteRef/>
      </w:r>
      <w:r w:rsidRPr="004B6E95">
        <w:rPr>
          <w:szCs w:val="18"/>
          <w:lang w:val="en-GB"/>
        </w:rPr>
        <w:t xml:space="preserve"> EA – Enabling Activities, MSP – Medium Sized Projects (projects less than 2M USD), FSP – Full Sized Projects (Projects over 2M USD), PFD – Program Framework Document for programmatic approaches</w:t>
      </w:r>
    </w:p>
  </w:footnote>
  <w:footnote w:id="15">
    <w:p w14:paraId="3D39C34F" w14:textId="77777777" w:rsidR="00593872" w:rsidRPr="004B6E95" w:rsidRDefault="00593872" w:rsidP="00C014A5">
      <w:pPr>
        <w:pStyle w:val="FootnoteText"/>
        <w:tabs>
          <w:tab w:val="left" w:pos="624"/>
        </w:tabs>
        <w:rPr>
          <w:szCs w:val="18"/>
          <w:lang w:val="en-GB"/>
        </w:rPr>
      </w:pPr>
      <w:r w:rsidRPr="00C014A5">
        <w:rPr>
          <w:rStyle w:val="FootnoteReference"/>
          <w:sz w:val="18"/>
        </w:rPr>
        <w:footnoteRef/>
      </w:r>
      <w:r w:rsidRPr="004B6E95">
        <w:rPr>
          <w:szCs w:val="18"/>
          <w:lang w:val="en-GB"/>
        </w:rPr>
        <w:t xml:space="preserve"> This is only the GEF grant excluding PPG and agency fees.</w:t>
      </w:r>
    </w:p>
  </w:footnote>
  <w:footnote w:id="16">
    <w:p w14:paraId="6C0670AF" w14:textId="77777777" w:rsidR="00593872" w:rsidRPr="004B6E95" w:rsidRDefault="00593872" w:rsidP="00C014A5">
      <w:pPr>
        <w:pStyle w:val="FootnoteText"/>
        <w:tabs>
          <w:tab w:val="left" w:pos="624"/>
        </w:tabs>
        <w:rPr>
          <w:szCs w:val="18"/>
          <w:lang w:val="en-GB"/>
        </w:rPr>
      </w:pPr>
      <w:r w:rsidRPr="00C014A5">
        <w:rPr>
          <w:rStyle w:val="FootnoteReference"/>
          <w:sz w:val="18"/>
        </w:rPr>
        <w:footnoteRef/>
      </w:r>
      <w:r w:rsidRPr="004B6E95">
        <w:rPr>
          <w:szCs w:val="18"/>
          <w:lang w:val="en-GB"/>
        </w:rPr>
        <w:t xml:space="preserve"> W refers to the chemicals and wastes focal area/</w:t>
      </w:r>
    </w:p>
  </w:footnote>
  <w:footnote w:id="17">
    <w:p w14:paraId="4E1DD240" w14:textId="7A91935E" w:rsidR="00593872" w:rsidRPr="00C014A5" w:rsidRDefault="00593872" w:rsidP="00C014A5">
      <w:pPr>
        <w:pStyle w:val="FootnoteText"/>
        <w:tabs>
          <w:tab w:val="left" w:pos="624"/>
        </w:tabs>
        <w:rPr>
          <w:szCs w:val="18"/>
          <w:lang w:val="en-GB"/>
        </w:rPr>
      </w:pPr>
      <w:r w:rsidRPr="00C014A5">
        <w:rPr>
          <w:rStyle w:val="FootnoteReference"/>
          <w:sz w:val="18"/>
        </w:rPr>
        <w:footnoteRef/>
      </w:r>
      <w:r w:rsidRPr="004B6E95">
        <w:rPr>
          <w:szCs w:val="18"/>
          <w:lang w:val="en-GB"/>
        </w:rPr>
        <w:t xml:space="preserve"> P refers to the POPs focal area, which existed up to the end of GEF-5. </w:t>
      </w:r>
      <w:r w:rsidRPr="0026575C">
        <w:rPr>
          <w:szCs w:val="18"/>
          <w:lang w:val="en-GB"/>
        </w:rPr>
        <w:t>The POPs focal area was replaced by the chemicals and wastes focal area following an amendment to the GEF Instrument at the 5</w:t>
      </w:r>
      <w:r w:rsidRPr="00C014A5">
        <w:rPr>
          <w:szCs w:val="18"/>
          <w:vertAlign w:val="superscript"/>
          <w:lang w:val="en-GB"/>
        </w:rPr>
        <w:t>th</w:t>
      </w:r>
      <w:r w:rsidRPr="00C014A5">
        <w:rPr>
          <w:szCs w:val="18"/>
          <w:lang w:val="en-GB"/>
        </w:rPr>
        <w:t xml:space="preserve"> GEF Assembly in May 2014.</w:t>
      </w:r>
    </w:p>
  </w:footnote>
  <w:footnote w:id="18">
    <w:p w14:paraId="6917B1A5" w14:textId="77777777" w:rsidR="00593872" w:rsidRPr="004B6E95" w:rsidRDefault="00593872" w:rsidP="00C014A5">
      <w:pPr>
        <w:pStyle w:val="FootnoteText"/>
        <w:tabs>
          <w:tab w:val="left" w:pos="624"/>
        </w:tabs>
        <w:rPr>
          <w:szCs w:val="18"/>
          <w:lang w:val="en-GB"/>
        </w:rPr>
      </w:pPr>
      <w:r w:rsidRPr="00C014A5">
        <w:rPr>
          <w:rStyle w:val="FootnoteReference"/>
          <w:sz w:val="18"/>
        </w:rPr>
        <w:footnoteRef/>
      </w:r>
      <w:r w:rsidRPr="004B6E95">
        <w:rPr>
          <w:szCs w:val="18"/>
          <w:lang w:val="en-GB"/>
        </w:rPr>
        <w:t xml:space="preserve"> MFA – Multi-focal area projects, i.e. projects that address multiple GEF focal area priorities in the same project</w:t>
      </w:r>
    </w:p>
  </w:footnote>
  <w:footnote w:id="19">
    <w:p w14:paraId="0C736208" w14:textId="77777777" w:rsidR="00593872" w:rsidRPr="00C014A5" w:rsidRDefault="00593872" w:rsidP="00C014A5">
      <w:pPr>
        <w:pStyle w:val="FootnoteText"/>
        <w:tabs>
          <w:tab w:val="clear" w:pos="1247"/>
          <w:tab w:val="left" w:pos="284"/>
          <w:tab w:val="left" w:pos="624"/>
        </w:tabs>
        <w:rPr>
          <w:szCs w:val="18"/>
          <w:lang w:val="en-GB"/>
        </w:rPr>
      </w:pPr>
      <w:r w:rsidRPr="00C014A5">
        <w:rPr>
          <w:rStyle w:val="FootnoteReference"/>
          <w:sz w:val="18"/>
          <w:lang w:val="en-GB"/>
        </w:rPr>
        <w:footnoteRef/>
      </w:r>
      <w:r w:rsidRPr="00C014A5">
        <w:rPr>
          <w:szCs w:val="18"/>
          <w:lang w:val="en-GB"/>
        </w:rPr>
        <w:t xml:space="preserve"> http://www.mercuryconvention.org/Portals/11/documents/SIP/SIP.1_6Report.pdf</w:t>
      </w:r>
    </w:p>
  </w:footnote>
  <w:footnote w:id="20">
    <w:p w14:paraId="41848B8C" w14:textId="77777777" w:rsidR="00593872" w:rsidRPr="00C014A5" w:rsidRDefault="00593872" w:rsidP="00C014A5">
      <w:pPr>
        <w:pStyle w:val="FootnoteText"/>
        <w:tabs>
          <w:tab w:val="clear" w:pos="1247"/>
          <w:tab w:val="left" w:pos="624"/>
        </w:tabs>
        <w:rPr>
          <w:szCs w:val="18"/>
          <w:lang w:val="en-GB"/>
        </w:rPr>
      </w:pPr>
      <w:r w:rsidRPr="00C014A5">
        <w:rPr>
          <w:rStyle w:val="FootnoteReference"/>
          <w:sz w:val="18"/>
          <w:lang w:val="en-GB"/>
        </w:rPr>
        <w:footnoteRef/>
      </w:r>
      <w:r w:rsidRPr="00C014A5">
        <w:rPr>
          <w:szCs w:val="18"/>
          <w:lang w:val="en-GB"/>
        </w:rPr>
        <w:t xml:space="preserve"> Regional Breakdown: Africa: Benin and Lesotho; Asia Pacific: Iran; Central and Eastern Europe: Armenia; Latin America and the Caribbean: Argentina.</w:t>
      </w:r>
    </w:p>
  </w:footnote>
  <w:footnote w:id="21">
    <w:p w14:paraId="14EA4E02" w14:textId="77777777" w:rsidR="00593872" w:rsidRPr="00C014A5" w:rsidRDefault="00593872" w:rsidP="00C014A5">
      <w:pPr>
        <w:pStyle w:val="FootnoteText"/>
        <w:tabs>
          <w:tab w:val="clear" w:pos="1247"/>
          <w:tab w:val="left" w:pos="284"/>
          <w:tab w:val="left" w:pos="624"/>
        </w:tabs>
        <w:rPr>
          <w:szCs w:val="18"/>
          <w:lang w:val="en-GB"/>
        </w:rPr>
      </w:pPr>
      <w:r w:rsidRPr="00C014A5">
        <w:rPr>
          <w:rStyle w:val="FootnoteReference"/>
          <w:sz w:val="18"/>
          <w:lang w:val="en-GB"/>
        </w:rPr>
        <w:footnoteRef/>
      </w:r>
      <w:r w:rsidRPr="00C014A5">
        <w:rPr>
          <w:szCs w:val="18"/>
          <w:lang w:val="en-GB"/>
        </w:rPr>
        <w:t xml:space="preserve"> http://www.mercuryconvention.org/Portals/11/documents/SIP/SIP.GB.3.2_Report_Second_Meeting.pdf</w:t>
      </w:r>
    </w:p>
  </w:footnote>
  <w:footnote w:id="22">
    <w:p w14:paraId="7BBF5586" w14:textId="77777777" w:rsidR="00593872" w:rsidRPr="00C014A5" w:rsidRDefault="00593872" w:rsidP="00C014A5">
      <w:pPr>
        <w:pStyle w:val="FootnoteText"/>
        <w:tabs>
          <w:tab w:val="clear" w:pos="1247"/>
          <w:tab w:val="left" w:pos="284"/>
          <w:tab w:val="left" w:pos="624"/>
        </w:tabs>
        <w:rPr>
          <w:szCs w:val="18"/>
          <w:lang w:val="en-GB"/>
        </w:rPr>
      </w:pPr>
      <w:r w:rsidRPr="00C014A5">
        <w:rPr>
          <w:rStyle w:val="FootnoteReference"/>
          <w:sz w:val="18"/>
          <w:lang w:val="en-GB"/>
        </w:rPr>
        <w:footnoteRef/>
      </w:r>
      <w:r w:rsidRPr="00C014A5">
        <w:rPr>
          <w:szCs w:val="18"/>
          <w:lang w:val="en-GB"/>
        </w:rPr>
        <w:t xml:space="preserve"> See UNEP/MC/COP3/10/Add.1 annex I for the Report of the Third Meeting of the Governing Board.</w:t>
      </w:r>
    </w:p>
  </w:footnote>
  <w:footnote w:id="23">
    <w:p w14:paraId="7640FBB9" w14:textId="77777777" w:rsidR="00593872" w:rsidRPr="00C014A5" w:rsidRDefault="00593872" w:rsidP="00C014A5">
      <w:pPr>
        <w:pStyle w:val="FootnoteText"/>
        <w:tabs>
          <w:tab w:val="clear" w:pos="1247"/>
          <w:tab w:val="left" w:pos="284"/>
          <w:tab w:val="left" w:pos="624"/>
        </w:tabs>
        <w:rPr>
          <w:szCs w:val="18"/>
          <w:lang w:val="en-GB"/>
        </w:rPr>
      </w:pPr>
      <w:r w:rsidRPr="00C014A5">
        <w:rPr>
          <w:rStyle w:val="FootnoteReference"/>
          <w:sz w:val="18"/>
        </w:rPr>
        <w:footnoteRef/>
      </w:r>
      <w:r w:rsidRPr="00C014A5">
        <w:rPr>
          <w:szCs w:val="18"/>
          <w:lang w:val="en-GB"/>
        </w:rPr>
        <w:t xml:space="preserve"> http://www.mercuryconvention.org/Implementation/SpecificInternationalProgramme/tabid/6334/language/en-US/Default.aspx</w:t>
      </w:r>
    </w:p>
  </w:footnote>
  <w:footnote w:id="24">
    <w:p w14:paraId="3605E6C3" w14:textId="77777777" w:rsidR="00593872" w:rsidRPr="00C014A5" w:rsidRDefault="00593872" w:rsidP="00C014A5">
      <w:pPr>
        <w:pStyle w:val="FootnoteText"/>
        <w:tabs>
          <w:tab w:val="clear" w:pos="1247"/>
          <w:tab w:val="left" w:pos="624"/>
        </w:tabs>
        <w:rPr>
          <w:szCs w:val="18"/>
          <w:lang w:val="en-GB"/>
        </w:rPr>
      </w:pPr>
      <w:r w:rsidRPr="00C014A5">
        <w:rPr>
          <w:rStyle w:val="FootnoteReference"/>
          <w:sz w:val="18"/>
          <w:lang w:val="en-GB"/>
        </w:rPr>
        <w:footnoteRef/>
      </w:r>
      <w:r w:rsidRPr="00C014A5">
        <w:rPr>
          <w:szCs w:val="18"/>
          <w:lang w:val="en-GB"/>
        </w:rPr>
        <w:t xml:space="preserve"> The six sources are : (i) the Global Environment Facility; (ii) the Specific International Programme of the Minamata Convention; (iii) the Special Programme on Institutional Strengthening at the national level for the implementation of the Basel Convention, the Rotterdam Convention on the Prior Informed Consent Procedure for Certain Hazardous Chemicals and Pesticides in International Trade, the Stockholm Convention, the Minamata Convention, and the Strategic Approach to International Chemicals Management; (iv) the Minamata secretariat’s own activities to support capacity building and technical assistance; (v) the Global Mercury Partnership, and (vi) direct bilateral implementation support activities.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FB3C17" w14:textId="29CAFD06" w:rsidR="00593872" w:rsidRPr="00C75B4C" w:rsidRDefault="00593872" w:rsidP="00C75B4C">
    <w:pPr>
      <w:pStyle w:val="Header-pool"/>
    </w:pPr>
    <w:r w:rsidRPr="00C75B4C">
      <w:rPr>
        <w:bCs/>
      </w:rPr>
      <w:t>UNEP</w:t>
    </w:r>
    <w:r w:rsidRPr="00C75B4C">
      <w:t>/MC/COP.3/11</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3916FA" w14:textId="20F6BE91" w:rsidR="00593872" w:rsidRDefault="00593872" w:rsidP="00CF1CDC">
    <w:pPr>
      <w:pStyle w:val="Header-pool"/>
    </w:pPr>
    <w:r>
      <w:rPr>
        <w:bCs/>
      </w:rPr>
      <w:t>U</w:t>
    </w:r>
    <w:r w:rsidRPr="00C75B4C">
      <w:rPr>
        <w:bCs/>
      </w:rPr>
      <w:t>NEP</w:t>
    </w:r>
    <w:r w:rsidRPr="00C75B4C">
      <w:t>/MC/COP.3/11</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5D71E" w14:textId="34F97E1E" w:rsidR="00593872" w:rsidRDefault="00593872" w:rsidP="00CF1CDC">
    <w:pPr>
      <w:pStyle w:val="Header-pool"/>
      <w:jc w:val="right"/>
    </w:pPr>
    <w:r>
      <w:rPr>
        <w:bCs/>
      </w:rPr>
      <w:t>U</w:t>
    </w:r>
    <w:r w:rsidRPr="00C75B4C">
      <w:rPr>
        <w:bCs/>
      </w:rPr>
      <w:t>NEP</w:t>
    </w:r>
    <w:r w:rsidRPr="00C75B4C">
      <w:t>/MC/COP.3/11</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1627F4" w14:textId="528A5BF6" w:rsidR="00593872" w:rsidRDefault="00593872" w:rsidP="00260668">
    <w:pPr>
      <w:pStyle w:val="Header-pool"/>
    </w:pPr>
    <w:r w:rsidRPr="00260668">
      <w:rPr>
        <w:bCs/>
      </w:rPr>
      <w:t>UNEP</w:t>
    </w:r>
    <w:r w:rsidRPr="00260668">
      <w:t>/MC/COP.3/11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A7305B" w14:textId="6B598D98" w:rsidR="00593872" w:rsidRDefault="00593872" w:rsidP="00C75B4C">
    <w:pPr>
      <w:pStyle w:val="Header"/>
      <w:jc w:val="right"/>
    </w:pPr>
    <w:r w:rsidRPr="00C75B4C">
      <w:rPr>
        <w:bCs/>
      </w:rPr>
      <w:t>UNEP</w:t>
    </w:r>
    <w:r w:rsidRPr="00C75B4C">
      <w:t>/MC/COP.3/11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4F44E6" w14:textId="1C8B5F12" w:rsidR="00593872" w:rsidRDefault="00593872" w:rsidP="00314D43">
    <w:pPr>
      <w:pStyle w:val="Header"/>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B0EBCA" w14:textId="5C128ED1" w:rsidR="00593872" w:rsidRPr="00CA5CA9" w:rsidRDefault="00593872" w:rsidP="001646EA">
    <w:pPr>
      <w:pStyle w:val="Header"/>
      <w:rPr>
        <w:szCs w:val="18"/>
      </w:rPr>
    </w:pPr>
    <w:r w:rsidRPr="00CA5CA9">
      <w:rPr>
        <w:bCs/>
        <w:szCs w:val="18"/>
      </w:rPr>
      <w:t>UNEP</w:t>
    </w:r>
    <w:r w:rsidRPr="00CA5CA9">
      <w:rPr>
        <w:szCs w:val="18"/>
      </w:rPr>
      <w:t>/</w:t>
    </w:r>
    <w:r>
      <w:rPr>
        <w:szCs w:val="18"/>
      </w:rPr>
      <w:t>MC</w:t>
    </w:r>
    <w:r w:rsidRPr="00CA5CA9">
      <w:rPr>
        <w:szCs w:val="18"/>
      </w:rPr>
      <w:t>/</w:t>
    </w:r>
    <w:r>
      <w:rPr>
        <w:szCs w:val="18"/>
      </w:rPr>
      <w:t>COP.3</w:t>
    </w:r>
    <w:r w:rsidRPr="00CA5CA9">
      <w:rPr>
        <w:szCs w:val="18"/>
      </w:rPr>
      <w:t>/</w:t>
    </w:r>
    <w:r>
      <w:rPr>
        <w:szCs w:val="18"/>
      </w:rPr>
      <w:t>11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79C825" w14:textId="4EFDC67C" w:rsidR="00593872" w:rsidRPr="00CA5CA9" w:rsidRDefault="00593872" w:rsidP="00F7137B">
    <w:pPr>
      <w:pStyle w:val="Header"/>
      <w:jc w:val="right"/>
      <w:rPr>
        <w:szCs w:val="18"/>
      </w:rPr>
    </w:pPr>
    <w:r w:rsidRPr="00CA5CA9">
      <w:rPr>
        <w:bCs/>
        <w:szCs w:val="18"/>
      </w:rPr>
      <w:t>UNEP</w:t>
    </w:r>
    <w:r w:rsidRPr="00CA5CA9">
      <w:rPr>
        <w:szCs w:val="18"/>
      </w:rPr>
      <w:t>/</w:t>
    </w:r>
    <w:r>
      <w:rPr>
        <w:szCs w:val="18"/>
      </w:rPr>
      <w:t>MC</w:t>
    </w:r>
    <w:r w:rsidRPr="00CA5CA9">
      <w:rPr>
        <w:szCs w:val="18"/>
      </w:rPr>
      <w:t>/</w:t>
    </w:r>
    <w:r>
      <w:rPr>
        <w:szCs w:val="18"/>
      </w:rPr>
      <w:t>COP.3</w:t>
    </w:r>
    <w:r w:rsidRPr="00CA5CA9">
      <w:rPr>
        <w:szCs w:val="18"/>
      </w:rPr>
      <w:t>/</w:t>
    </w:r>
    <w:r>
      <w:rPr>
        <w:szCs w:val="18"/>
      </w:rPr>
      <w:t>11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46E18A" w14:textId="6599E5D2" w:rsidR="00593872" w:rsidRDefault="00593872" w:rsidP="005E4496">
    <w:pPr>
      <w:pStyle w:val="Header-pool"/>
      <w:jc w:val="right"/>
    </w:pPr>
    <w:r w:rsidRPr="005E4496">
      <w:rPr>
        <w:bCs/>
      </w:rPr>
      <w:t>UNEP</w:t>
    </w:r>
    <w:r w:rsidRPr="005E4496">
      <w:t>/MC/COP.3/11</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5E1782" w14:textId="3BAF72E0" w:rsidR="00593872" w:rsidRDefault="00593872" w:rsidP="00CF1CDC">
    <w:pPr>
      <w:pStyle w:val="Header-pool"/>
    </w:pPr>
    <w:r>
      <w:rPr>
        <w:bCs/>
      </w:rPr>
      <w:t>U</w:t>
    </w:r>
    <w:r w:rsidRPr="00C75B4C">
      <w:rPr>
        <w:bCs/>
      </w:rPr>
      <w:t>NEP</w:t>
    </w:r>
    <w:r w:rsidRPr="00C75B4C">
      <w:t>/MC/COP.3/11</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8FE026" w14:textId="54D6E134" w:rsidR="00593872" w:rsidRDefault="00593872" w:rsidP="00CF1CDC">
    <w:pPr>
      <w:pStyle w:val="Header-pool"/>
      <w:jc w:val="right"/>
    </w:pPr>
    <w:r>
      <w:rPr>
        <w:bCs/>
      </w:rPr>
      <w:t>U</w:t>
    </w:r>
    <w:r w:rsidRPr="00C75B4C">
      <w:rPr>
        <w:bCs/>
      </w:rPr>
      <w:t>NEP</w:t>
    </w:r>
    <w:r w:rsidRPr="00C75B4C">
      <w:t>/MC/COP.3/11</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D19E62" w14:textId="78B465B9" w:rsidR="00593872" w:rsidRDefault="00593872" w:rsidP="00F042C8">
    <w:pPr>
      <w:pStyle w:val="Header-pool"/>
    </w:pPr>
    <w:r w:rsidRPr="005E4496">
      <w:rPr>
        <w:bCs/>
      </w:rPr>
      <w:t>UNEP</w:t>
    </w:r>
    <w:r w:rsidRPr="005E4496">
      <w:t>/MC/COP.3/11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A7FF5"/>
    <w:multiLevelType w:val="multilevel"/>
    <w:tmpl w:val="AD3C4848"/>
    <w:lvl w:ilvl="0">
      <w:start w:val="1"/>
      <w:numFmt w:val="decimal"/>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ascii="Times New Roman" w:eastAsia="Times New Roman" w:hAnsi="Times New Roman" w:cs="Times New Roman"/>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 w15:restartNumberingAfterBreak="0">
    <w:nsid w:val="16E34146"/>
    <w:multiLevelType w:val="multilevel"/>
    <w:tmpl w:val="CF2EA1FC"/>
    <w:lvl w:ilvl="0">
      <w:start w:val="1"/>
      <w:numFmt w:val="decimal"/>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bullet"/>
      <w:lvlText w:val=""/>
      <w:lvlJc w:val="left"/>
      <w:pPr>
        <w:tabs>
          <w:tab w:val="num" w:pos="1134"/>
        </w:tabs>
        <w:ind w:left="2948" w:hanging="567"/>
      </w:pPr>
      <w:rPr>
        <w:rFonts w:ascii="Wingdings" w:hAnsi="Wingding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2"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3" w15:restartNumberingAfterBreak="0">
    <w:nsid w:val="27C16143"/>
    <w:multiLevelType w:val="multilevel"/>
    <w:tmpl w:val="C4A8D48E"/>
    <w:lvl w:ilvl="0">
      <w:start w:val="1"/>
      <w:numFmt w:val="decimal"/>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ascii="Times New Roman" w:eastAsia="Times New Roman" w:hAnsi="Times New Roman" w:cs="Times New Roman"/>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4" w15:restartNumberingAfterBreak="0">
    <w:nsid w:val="29B6776B"/>
    <w:multiLevelType w:val="hybridMultilevel"/>
    <w:tmpl w:val="49D865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6" w15:restartNumberingAfterBreak="0">
    <w:nsid w:val="44372AF7"/>
    <w:multiLevelType w:val="hybridMultilevel"/>
    <w:tmpl w:val="26A4CA74"/>
    <w:lvl w:ilvl="0" w:tplc="5D74888E">
      <w:start w:val="1"/>
      <w:numFmt w:val="lowerLetter"/>
      <w:lvlText w:val="(%1)"/>
      <w:lvlJc w:val="left"/>
      <w:pPr>
        <w:ind w:left="103" w:hanging="303"/>
      </w:pPr>
      <w:rPr>
        <w:rFonts w:ascii="Times New Roman" w:eastAsia="Times New Roman" w:hAnsi="Times New Roman" w:cs="Times New Roman" w:hint="default"/>
        <w:color w:val="FFFFFF"/>
        <w:w w:val="100"/>
        <w:sz w:val="22"/>
        <w:szCs w:val="22"/>
      </w:rPr>
    </w:lvl>
    <w:lvl w:ilvl="1" w:tplc="24206C04">
      <w:numFmt w:val="bullet"/>
      <w:lvlText w:val="•"/>
      <w:lvlJc w:val="left"/>
      <w:pPr>
        <w:ind w:left="534" w:hanging="303"/>
      </w:pPr>
      <w:rPr>
        <w:rFonts w:hint="default"/>
      </w:rPr>
    </w:lvl>
    <w:lvl w:ilvl="2" w:tplc="466863BE">
      <w:numFmt w:val="bullet"/>
      <w:lvlText w:val="•"/>
      <w:lvlJc w:val="left"/>
      <w:pPr>
        <w:ind w:left="968" w:hanging="303"/>
      </w:pPr>
      <w:rPr>
        <w:rFonts w:hint="default"/>
      </w:rPr>
    </w:lvl>
    <w:lvl w:ilvl="3" w:tplc="DF8A38CE">
      <w:numFmt w:val="bullet"/>
      <w:lvlText w:val="•"/>
      <w:lvlJc w:val="left"/>
      <w:pPr>
        <w:ind w:left="1402" w:hanging="303"/>
      </w:pPr>
      <w:rPr>
        <w:rFonts w:hint="default"/>
      </w:rPr>
    </w:lvl>
    <w:lvl w:ilvl="4" w:tplc="C818B5BC">
      <w:numFmt w:val="bullet"/>
      <w:lvlText w:val="•"/>
      <w:lvlJc w:val="left"/>
      <w:pPr>
        <w:ind w:left="1836" w:hanging="303"/>
      </w:pPr>
      <w:rPr>
        <w:rFonts w:hint="default"/>
      </w:rPr>
    </w:lvl>
    <w:lvl w:ilvl="5" w:tplc="5F8E4920">
      <w:numFmt w:val="bullet"/>
      <w:lvlText w:val="•"/>
      <w:lvlJc w:val="left"/>
      <w:pPr>
        <w:ind w:left="2270" w:hanging="303"/>
      </w:pPr>
      <w:rPr>
        <w:rFonts w:hint="default"/>
      </w:rPr>
    </w:lvl>
    <w:lvl w:ilvl="6" w:tplc="D8C21DB4">
      <w:numFmt w:val="bullet"/>
      <w:lvlText w:val="•"/>
      <w:lvlJc w:val="left"/>
      <w:pPr>
        <w:ind w:left="2704" w:hanging="303"/>
      </w:pPr>
      <w:rPr>
        <w:rFonts w:hint="default"/>
      </w:rPr>
    </w:lvl>
    <w:lvl w:ilvl="7" w:tplc="E3FE2872">
      <w:numFmt w:val="bullet"/>
      <w:lvlText w:val="•"/>
      <w:lvlJc w:val="left"/>
      <w:pPr>
        <w:ind w:left="3138" w:hanging="303"/>
      </w:pPr>
      <w:rPr>
        <w:rFonts w:hint="default"/>
      </w:rPr>
    </w:lvl>
    <w:lvl w:ilvl="8" w:tplc="EF4E20CE">
      <w:numFmt w:val="bullet"/>
      <w:lvlText w:val="•"/>
      <w:lvlJc w:val="left"/>
      <w:pPr>
        <w:ind w:left="3573" w:hanging="303"/>
      </w:pPr>
      <w:rPr>
        <w:rFonts w:hint="default"/>
      </w:rPr>
    </w:lvl>
  </w:abstractNum>
  <w:abstractNum w:abstractNumId="7" w15:restartNumberingAfterBreak="0">
    <w:nsid w:val="45A217B9"/>
    <w:multiLevelType w:val="hybridMultilevel"/>
    <w:tmpl w:val="9ED27720"/>
    <w:lvl w:ilvl="0" w:tplc="A8EE1C58">
      <w:start w:val="1"/>
      <w:numFmt w:val="decimal"/>
      <w:pStyle w:val="MainParagraphwith"/>
      <w:lvlText w:val="%1."/>
      <w:lvlJc w:val="left"/>
      <w:pPr>
        <w:ind w:left="720" w:hanging="360"/>
      </w:pPr>
      <w:rPr>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81B7EFF"/>
    <w:multiLevelType w:val="hybridMultilevel"/>
    <w:tmpl w:val="4B405B9E"/>
    <w:lvl w:ilvl="0" w:tplc="47D07EA0">
      <w:start w:val="1"/>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2A66A9D"/>
    <w:multiLevelType w:val="multilevel"/>
    <w:tmpl w:val="C85CFF9A"/>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0" w15:restartNumberingAfterBreak="0">
    <w:nsid w:val="53AA5D1F"/>
    <w:multiLevelType w:val="hybridMultilevel"/>
    <w:tmpl w:val="6C849AC8"/>
    <w:lvl w:ilvl="0" w:tplc="8912FC1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6B24183B"/>
    <w:multiLevelType w:val="hybridMultilevel"/>
    <w:tmpl w:val="77905102"/>
    <w:lvl w:ilvl="0" w:tplc="12BC36F4">
      <w:start w:val="1"/>
      <w:numFmt w:val="lowerRoman"/>
      <w:lvlText w:val="(%1)"/>
      <w:lvlJc w:val="left"/>
      <w:pPr>
        <w:ind w:left="103" w:hanging="264"/>
      </w:pPr>
      <w:rPr>
        <w:rFonts w:ascii="Times New Roman" w:eastAsia="Times New Roman" w:hAnsi="Times New Roman" w:cs="Times New Roman" w:hint="default"/>
        <w:color w:val="FFFFFF"/>
        <w:w w:val="100"/>
        <w:sz w:val="22"/>
        <w:szCs w:val="22"/>
      </w:rPr>
    </w:lvl>
    <w:lvl w:ilvl="1" w:tplc="BFEC4494">
      <w:numFmt w:val="bullet"/>
      <w:lvlText w:val="•"/>
      <w:lvlJc w:val="left"/>
      <w:pPr>
        <w:ind w:left="534" w:hanging="264"/>
      </w:pPr>
      <w:rPr>
        <w:rFonts w:hint="default"/>
      </w:rPr>
    </w:lvl>
    <w:lvl w:ilvl="2" w:tplc="3FF62CAA">
      <w:numFmt w:val="bullet"/>
      <w:lvlText w:val="•"/>
      <w:lvlJc w:val="left"/>
      <w:pPr>
        <w:ind w:left="968" w:hanging="264"/>
      </w:pPr>
      <w:rPr>
        <w:rFonts w:hint="default"/>
      </w:rPr>
    </w:lvl>
    <w:lvl w:ilvl="3" w:tplc="FF24BB98">
      <w:numFmt w:val="bullet"/>
      <w:lvlText w:val="•"/>
      <w:lvlJc w:val="left"/>
      <w:pPr>
        <w:ind w:left="1402" w:hanging="264"/>
      </w:pPr>
      <w:rPr>
        <w:rFonts w:hint="default"/>
      </w:rPr>
    </w:lvl>
    <w:lvl w:ilvl="4" w:tplc="33C8DA62">
      <w:numFmt w:val="bullet"/>
      <w:lvlText w:val="•"/>
      <w:lvlJc w:val="left"/>
      <w:pPr>
        <w:ind w:left="1836" w:hanging="264"/>
      </w:pPr>
      <w:rPr>
        <w:rFonts w:hint="default"/>
      </w:rPr>
    </w:lvl>
    <w:lvl w:ilvl="5" w:tplc="6CD6C58E">
      <w:numFmt w:val="bullet"/>
      <w:lvlText w:val="•"/>
      <w:lvlJc w:val="left"/>
      <w:pPr>
        <w:ind w:left="2270" w:hanging="264"/>
      </w:pPr>
      <w:rPr>
        <w:rFonts w:hint="default"/>
      </w:rPr>
    </w:lvl>
    <w:lvl w:ilvl="6" w:tplc="922A02EE">
      <w:numFmt w:val="bullet"/>
      <w:lvlText w:val="•"/>
      <w:lvlJc w:val="left"/>
      <w:pPr>
        <w:ind w:left="2704" w:hanging="264"/>
      </w:pPr>
      <w:rPr>
        <w:rFonts w:hint="default"/>
      </w:rPr>
    </w:lvl>
    <w:lvl w:ilvl="7" w:tplc="9C503C62">
      <w:numFmt w:val="bullet"/>
      <w:lvlText w:val="•"/>
      <w:lvlJc w:val="left"/>
      <w:pPr>
        <w:ind w:left="3138" w:hanging="264"/>
      </w:pPr>
      <w:rPr>
        <w:rFonts w:hint="default"/>
      </w:rPr>
    </w:lvl>
    <w:lvl w:ilvl="8" w:tplc="D96ECF00">
      <w:numFmt w:val="bullet"/>
      <w:lvlText w:val="•"/>
      <w:lvlJc w:val="left"/>
      <w:pPr>
        <w:ind w:left="3573" w:hanging="264"/>
      </w:pPr>
      <w:rPr>
        <w:rFonts w:hint="default"/>
      </w:rPr>
    </w:lvl>
  </w:abstractNum>
  <w:abstractNum w:abstractNumId="12" w15:restartNumberingAfterBreak="0">
    <w:nsid w:val="70525B2E"/>
    <w:multiLevelType w:val="hybridMultilevel"/>
    <w:tmpl w:val="69C4E2A0"/>
    <w:lvl w:ilvl="0" w:tplc="A7A016AE">
      <w:start w:val="1"/>
      <w:numFmt w:val="lowerLetter"/>
      <w:lvlText w:val="(%1)"/>
      <w:lvlJc w:val="left"/>
      <w:pPr>
        <w:ind w:left="103" w:hanging="324"/>
      </w:pPr>
      <w:rPr>
        <w:rFonts w:ascii="Times New Roman" w:eastAsia="Times New Roman" w:hAnsi="Times New Roman" w:cs="Times New Roman" w:hint="default"/>
        <w:color w:val="FFFFFF"/>
        <w:w w:val="100"/>
        <w:sz w:val="22"/>
        <w:szCs w:val="22"/>
      </w:rPr>
    </w:lvl>
    <w:lvl w:ilvl="1" w:tplc="5A9EEA34">
      <w:numFmt w:val="bullet"/>
      <w:lvlText w:val="•"/>
      <w:lvlJc w:val="left"/>
      <w:pPr>
        <w:ind w:left="534" w:hanging="324"/>
      </w:pPr>
      <w:rPr>
        <w:rFonts w:hint="default"/>
      </w:rPr>
    </w:lvl>
    <w:lvl w:ilvl="2" w:tplc="5B0EA282">
      <w:numFmt w:val="bullet"/>
      <w:lvlText w:val="•"/>
      <w:lvlJc w:val="left"/>
      <w:pPr>
        <w:ind w:left="968" w:hanging="324"/>
      </w:pPr>
      <w:rPr>
        <w:rFonts w:hint="default"/>
      </w:rPr>
    </w:lvl>
    <w:lvl w:ilvl="3" w:tplc="C756D256">
      <w:numFmt w:val="bullet"/>
      <w:lvlText w:val="•"/>
      <w:lvlJc w:val="left"/>
      <w:pPr>
        <w:ind w:left="1402" w:hanging="324"/>
      </w:pPr>
      <w:rPr>
        <w:rFonts w:hint="default"/>
      </w:rPr>
    </w:lvl>
    <w:lvl w:ilvl="4" w:tplc="CE3C8A06">
      <w:numFmt w:val="bullet"/>
      <w:lvlText w:val="•"/>
      <w:lvlJc w:val="left"/>
      <w:pPr>
        <w:ind w:left="1836" w:hanging="324"/>
      </w:pPr>
      <w:rPr>
        <w:rFonts w:hint="default"/>
      </w:rPr>
    </w:lvl>
    <w:lvl w:ilvl="5" w:tplc="8DE299D6">
      <w:numFmt w:val="bullet"/>
      <w:lvlText w:val="•"/>
      <w:lvlJc w:val="left"/>
      <w:pPr>
        <w:ind w:left="2270" w:hanging="324"/>
      </w:pPr>
      <w:rPr>
        <w:rFonts w:hint="default"/>
      </w:rPr>
    </w:lvl>
    <w:lvl w:ilvl="6" w:tplc="1DDE590E">
      <w:numFmt w:val="bullet"/>
      <w:lvlText w:val="•"/>
      <w:lvlJc w:val="left"/>
      <w:pPr>
        <w:ind w:left="2704" w:hanging="324"/>
      </w:pPr>
      <w:rPr>
        <w:rFonts w:hint="default"/>
      </w:rPr>
    </w:lvl>
    <w:lvl w:ilvl="7" w:tplc="F9526C2A">
      <w:numFmt w:val="bullet"/>
      <w:lvlText w:val="•"/>
      <w:lvlJc w:val="left"/>
      <w:pPr>
        <w:ind w:left="3138" w:hanging="324"/>
      </w:pPr>
      <w:rPr>
        <w:rFonts w:hint="default"/>
      </w:rPr>
    </w:lvl>
    <w:lvl w:ilvl="8" w:tplc="278438C0">
      <w:numFmt w:val="bullet"/>
      <w:lvlText w:val="•"/>
      <w:lvlJc w:val="left"/>
      <w:pPr>
        <w:ind w:left="3573" w:hanging="324"/>
      </w:pPr>
      <w:rPr>
        <w:rFonts w:hint="default"/>
      </w:rPr>
    </w:lvl>
  </w:abstractNum>
  <w:num w:numId="1">
    <w:abstractNumId w:val="9"/>
    <w:lvlOverride w:ilvl="0">
      <w:lvl w:ilvl="0">
        <w:start w:val="1"/>
        <w:numFmt w:val="decimal"/>
        <w:pStyle w:val="Normalnumber"/>
        <w:lvlText w:val="%1."/>
        <w:lvlJc w:val="left"/>
        <w:pPr>
          <w:tabs>
            <w:tab w:val="num" w:pos="1134"/>
          </w:tabs>
          <w:ind w:left="1247" w:firstLine="0"/>
        </w:pPr>
        <w:rPr>
          <w:rFonts w:hint="default"/>
          <w:sz w:val="20"/>
          <w:szCs w:val="20"/>
        </w:rPr>
      </w:lvl>
    </w:lvlOverride>
  </w:num>
  <w:num w:numId="2">
    <w:abstractNumId w:val="2"/>
  </w:num>
  <w:num w:numId="3">
    <w:abstractNumId w:val="5"/>
  </w:num>
  <w:num w:numId="4">
    <w:abstractNumId w:val="7"/>
  </w:num>
  <w:num w:numId="5">
    <w:abstractNumId w:val="9"/>
    <w:lvlOverride w:ilvl="0">
      <w:startOverride w:val="1"/>
      <w:lvl w:ilvl="0">
        <w:start w:val="1"/>
        <w:numFmt w:val="decimal"/>
        <w:pStyle w:val="Normalnumber"/>
        <w:lvlText w:val="%1."/>
        <w:lvlJc w:val="left"/>
        <w:pPr>
          <w:tabs>
            <w:tab w:val="num" w:pos="1134"/>
          </w:tabs>
          <w:ind w:left="1247" w:firstLine="0"/>
        </w:pPr>
        <w:rPr>
          <w:rFonts w:hint="default"/>
          <w:sz w:val="20"/>
          <w:szCs w:val="20"/>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num>
  <w:num w:numId="6">
    <w:abstractNumId w:val="9"/>
  </w:num>
  <w:num w:numId="7">
    <w:abstractNumId w:val="0"/>
  </w:num>
  <w:num w:numId="8">
    <w:abstractNumId w:val="3"/>
  </w:num>
  <w:num w:numId="9">
    <w:abstractNumId w:val="1"/>
  </w:num>
  <w:num w:numId="10">
    <w:abstractNumId w:val="10"/>
  </w:num>
  <w:num w:numId="11">
    <w:abstractNumId w:val="8"/>
  </w:num>
  <w:num w:numId="12">
    <w:abstractNumId w:val="11"/>
  </w:num>
  <w:num w:numId="13">
    <w:abstractNumId w:val="12"/>
  </w:num>
  <w:num w:numId="14">
    <w:abstractNumId w:val="6"/>
  </w:num>
  <w:num w:numId="15">
    <w:abstractNumId w:val="4"/>
  </w:num>
  <w:num w:numId="16">
    <w:abstractNumId w:val="9"/>
    <w:lvlOverride w:ilvl="0">
      <w:lvl w:ilvl="0">
        <w:start w:val="1"/>
        <w:numFmt w:val="decimal"/>
        <w:pStyle w:val="Normalnumber"/>
        <w:lvlText w:val="%1."/>
        <w:lvlJc w:val="left"/>
        <w:pPr>
          <w:tabs>
            <w:tab w:val="num" w:pos="1134"/>
          </w:tabs>
          <w:ind w:left="1247" w:firstLine="0"/>
        </w:pPr>
        <w:rPr>
          <w:rFonts w:hint="default"/>
          <w:sz w:val="20"/>
          <w:szCs w:val="20"/>
        </w:rPr>
      </w:lvl>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8"/>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activeWritingStyle w:appName="MSWord" w:lang="es-ES" w:vendorID="64" w:dllVersion="0" w:nlCheck="1" w:checkStyle="0"/>
  <w:activeWritingStyle w:appName="MSWord" w:lang="fr-CH" w:vendorID="64" w:dllVersion="0" w:nlCheck="1" w:checkStyle="0"/>
  <w:activeWritingStyle w:appName="MSWord" w:lang="fr-CA" w:vendorID="64" w:dllVersion="0" w:nlCheck="1" w:checkStyle="0"/>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14337"/>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D7F"/>
    <w:rsid w:val="00000995"/>
    <w:rsid w:val="00000E4A"/>
    <w:rsid w:val="0000222A"/>
    <w:rsid w:val="000024A3"/>
    <w:rsid w:val="000077AD"/>
    <w:rsid w:val="000078CE"/>
    <w:rsid w:val="00011A16"/>
    <w:rsid w:val="00013AA2"/>
    <w:rsid w:val="000149E6"/>
    <w:rsid w:val="00023DA9"/>
    <w:rsid w:val="000247B0"/>
    <w:rsid w:val="0002588C"/>
    <w:rsid w:val="000265A2"/>
    <w:rsid w:val="00026997"/>
    <w:rsid w:val="00026A08"/>
    <w:rsid w:val="00032E4E"/>
    <w:rsid w:val="00033E0B"/>
    <w:rsid w:val="00035EDE"/>
    <w:rsid w:val="0004098F"/>
    <w:rsid w:val="0005075A"/>
    <w:rsid w:val="000509B4"/>
    <w:rsid w:val="00051DC8"/>
    <w:rsid w:val="00056013"/>
    <w:rsid w:val="0006035B"/>
    <w:rsid w:val="0006096F"/>
    <w:rsid w:val="000649C5"/>
    <w:rsid w:val="00066CC0"/>
    <w:rsid w:val="00071886"/>
    <w:rsid w:val="000742BC"/>
    <w:rsid w:val="00076CC6"/>
    <w:rsid w:val="000803B0"/>
    <w:rsid w:val="000813F1"/>
    <w:rsid w:val="00082A0C"/>
    <w:rsid w:val="00083504"/>
    <w:rsid w:val="000839C0"/>
    <w:rsid w:val="00085EFC"/>
    <w:rsid w:val="00091D87"/>
    <w:rsid w:val="00095A76"/>
    <w:rsid w:val="00095CA9"/>
    <w:rsid w:val="00096083"/>
    <w:rsid w:val="0009617A"/>
    <w:rsid w:val="0009640C"/>
    <w:rsid w:val="000A1CC4"/>
    <w:rsid w:val="000A730C"/>
    <w:rsid w:val="000B20E4"/>
    <w:rsid w:val="000B22A2"/>
    <w:rsid w:val="000B541B"/>
    <w:rsid w:val="000B73F9"/>
    <w:rsid w:val="000C25C0"/>
    <w:rsid w:val="000C262E"/>
    <w:rsid w:val="000C2A52"/>
    <w:rsid w:val="000C2A88"/>
    <w:rsid w:val="000C7417"/>
    <w:rsid w:val="000D142B"/>
    <w:rsid w:val="000D33C0"/>
    <w:rsid w:val="000D4CF6"/>
    <w:rsid w:val="000D59BC"/>
    <w:rsid w:val="000D6941"/>
    <w:rsid w:val="000E23D8"/>
    <w:rsid w:val="000E2DAC"/>
    <w:rsid w:val="000F09C6"/>
    <w:rsid w:val="000F4829"/>
    <w:rsid w:val="000F5522"/>
    <w:rsid w:val="000F6BEE"/>
    <w:rsid w:val="001020A9"/>
    <w:rsid w:val="00102AAC"/>
    <w:rsid w:val="001030C9"/>
    <w:rsid w:val="00103368"/>
    <w:rsid w:val="00113D07"/>
    <w:rsid w:val="00114DC2"/>
    <w:rsid w:val="00117F6B"/>
    <w:rsid w:val="001202E3"/>
    <w:rsid w:val="00123699"/>
    <w:rsid w:val="001241FB"/>
    <w:rsid w:val="0013059D"/>
    <w:rsid w:val="00132FAC"/>
    <w:rsid w:val="00134617"/>
    <w:rsid w:val="00136187"/>
    <w:rsid w:val="0014074F"/>
    <w:rsid w:val="00141A55"/>
    <w:rsid w:val="00141F90"/>
    <w:rsid w:val="0014293F"/>
    <w:rsid w:val="0014397D"/>
    <w:rsid w:val="00143F8B"/>
    <w:rsid w:val="001446A3"/>
    <w:rsid w:val="0014699D"/>
    <w:rsid w:val="0015187C"/>
    <w:rsid w:val="00152775"/>
    <w:rsid w:val="00152B6B"/>
    <w:rsid w:val="00155395"/>
    <w:rsid w:val="00155A2F"/>
    <w:rsid w:val="00156B6B"/>
    <w:rsid w:val="00160D74"/>
    <w:rsid w:val="001646EA"/>
    <w:rsid w:val="00167D02"/>
    <w:rsid w:val="001714BF"/>
    <w:rsid w:val="001715ED"/>
    <w:rsid w:val="001759D8"/>
    <w:rsid w:val="00176A7F"/>
    <w:rsid w:val="00177D7F"/>
    <w:rsid w:val="001800F9"/>
    <w:rsid w:val="00180C3F"/>
    <w:rsid w:val="00181EC8"/>
    <w:rsid w:val="00181F66"/>
    <w:rsid w:val="00184349"/>
    <w:rsid w:val="001875E9"/>
    <w:rsid w:val="001933B0"/>
    <w:rsid w:val="00195F33"/>
    <w:rsid w:val="001A1DFE"/>
    <w:rsid w:val="001B1617"/>
    <w:rsid w:val="001B4B28"/>
    <w:rsid w:val="001B504B"/>
    <w:rsid w:val="001B6F98"/>
    <w:rsid w:val="001C191A"/>
    <w:rsid w:val="001C24BC"/>
    <w:rsid w:val="001C3BBF"/>
    <w:rsid w:val="001D2310"/>
    <w:rsid w:val="001D3874"/>
    <w:rsid w:val="001D7E75"/>
    <w:rsid w:val="001E0D73"/>
    <w:rsid w:val="001E45BD"/>
    <w:rsid w:val="001E4B3D"/>
    <w:rsid w:val="001E5422"/>
    <w:rsid w:val="001E56D2"/>
    <w:rsid w:val="001E5A81"/>
    <w:rsid w:val="001E7D56"/>
    <w:rsid w:val="001F235D"/>
    <w:rsid w:val="001F405F"/>
    <w:rsid w:val="001F75DE"/>
    <w:rsid w:val="001F7B27"/>
    <w:rsid w:val="0020077E"/>
    <w:rsid w:val="00200D58"/>
    <w:rsid w:val="002011C1"/>
    <w:rsid w:val="002013BE"/>
    <w:rsid w:val="00201EDC"/>
    <w:rsid w:val="00203C88"/>
    <w:rsid w:val="002063A4"/>
    <w:rsid w:val="0021145B"/>
    <w:rsid w:val="00220C23"/>
    <w:rsid w:val="00222EFD"/>
    <w:rsid w:val="002244E3"/>
    <w:rsid w:val="002247F6"/>
    <w:rsid w:val="00225E21"/>
    <w:rsid w:val="00225E44"/>
    <w:rsid w:val="00226D2C"/>
    <w:rsid w:val="00234E78"/>
    <w:rsid w:val="00243D36"/>
    <w:rsid w:val="00243F29"/>
    <w:rsid w:val="00246151"/>
    <w:rsid w:val="00247707"/>
    <w:rsid w:val="00252456"/>
    <w:rsid w:val="00253913"/>
    <w:rsid w:val="0025781D"/>
    <w:rsid w:val="0026018E"/>
    <w:rsid w:val="00260668"/>
    <w:rsid w:val="0026575C"/>
    <w:rsid w:val="00266723"/>
    <w:rsid w:val="00270AB2"/>
    <w:rsid w:val="0027136D"/>
    <w:rsid w:val="0027451E"/>
    <w:rsid w:val="00275CF2"/>
    <w:rsid w:val="002761B1"/>
    <w:rsid w:val="002769ED"/>
    <w:rsid w:val="00276C5F"/>
    <w:rsid w:val="002810BA"/>
    <w:rsid w:val="00286740"/>
    <w:rsid w:val="002874F3"/>
    <w:rsid w:val="00291EAE"/>
    <w:rsid w:val="002923BE"/>
    <w:rsid w:val="002929D8"/>
    <w:rsid w:val="00296E5F"/>
    <w:rsid w:val="00297B74"/>
    <w:rsid w:val="002A1D06"/>
    <w:rsid w:val="002A237D"/>
    <w:rsid w:val="002A25E7"/>
    <w:rsid w:val="002A33E4"/>
    <w:rsid w:val="002A4C53"/>
    <w:rsid w:val="002A783B"/>
    <w:rsid w:val="002B0292"/>
    <w:rsid w:val="002B0672"/>
    <w:rsid w:val="002B247F"/>
    <w:rsid w:val="002B50D4"/>
    <w:rsid w:val="002B58BF"/>
    <w:rsid w:val="002B5AC1"/>
    <w:rsid w:val="002C145D"/>
    <w:rsid w:val="002C2C3E"/>
    <w:rsid w:val="002C533E"/>
    <w:rsid w:val="002C5C69"/>
    <w:rsid w:val="002D027F"/>
    <w:rsid w:val="002D2D13"/>
    <w:rsid w:val="002D3E15"/>
    <w:rsid w:val="002D540C"/>
    <w:rsid w:val="002D7A85"/>
    <w:rsid w:val="002D7B60"/>
    <w:rsid w:val="002E11A7"/>
    <w:rsid w:val="002E5339"/>
    <w:rsid w:val="002E6C6A"/>
    <w:rsid w:val="002E73F4"/>
    <w:rsid w:val="002E7FBE"/>
    <w:rsid w:val="002F08DB"/>
    <w:rsid w:val="002F123A"/>
    <w:rsid w:val="002F4761"/>
    <w:rsid w:val="002F5C79"/>
    <w:rsid w:val="002F68C2"/>
    <w:rsid w:val="002F68EE"/>
    <w:rsid w:val="002F7012"/>
    <w:rsid w:val="003019E2"/>
    <w:rsid w:val="00302B7F"/>
    <w:rsid w:val="003043C3"/>
    <w:rsid w:val="00310162"/>
    <w:rsid w:val="00310A32"/>
    <w:rsid w:val="00310B32"/>
    <w:rsid w:val="00310BEB"/>
    <w:rsid w:val="0031413F"/>
    <w:rsid w:val="00314854"/>
    <w:rsid w:val="003148BB"/>
    <w:rsid w:val="00314D43"/>
    <w:rsid w:val="00317976"/>
    <w:rsid w:val="00320F2F"/>
    <w:rsid w:val="0032457E"/>
    <w:rsid w:val="00325D38"/>
    <w:rsid w:val="0032612A"/>
    <w:rsid w:val="00327BE0"/>
    <w:rsid w:val="00333D70"/>
    <w:rsid w:val="00334792"/>
    <w:rsid w:val="00335FB2"/>
    <w:rsid w:val="00337FE2"/>
    <w:rsid w:val="003410C9"/>
    <w:rsid w:val="003458E2"/>
    <w:rsid w:val="00347C79"/>
    <w:rsid w:val="0035220C"/>
    <w:rsid w:val="0035277E"/>
    <w:rsid w:val="00353807"/>
    <w:rsid w:val="0035395B"/>
    <w:rsid w:val="00355EA9"/>
    <w:rsid w:val="00357141"/>
    <w:rsid w:val="003578DE"/>
    <w:rsid w:val="003609A4"/>
    <w:rsid w:val="00361688"/>
    <w:rsid w:val="003621EE"/>
    <w:rsid w:val="00364032"/>
    <w:rsid w:val="003649C2"/>
    <w:rsid w:val="00367FFE"/>
    <w:rsid w:val="00372D38"/>
    <w:rsid w:val="0037396C"/>
    <w:rsid w:val="00380A39"/>
    <w:rsid w:val="0038536E"/>
    <w:rsid w:val="003877D5"/>
    <w:rsid w:val="003929B8"/>
    <w:rsid w:val="00392DCC"/>
    <w:rsid w:val="00393432"/>
    <w:rsid w:val="00393B0E"/>
    <w:rsid w:val="00394208"/>
    <w:rsid w:val="00396257"/>
    <w:rsid w:val="00397EB8"/>
    <w:rsid w:val="003A4FD0"/>
    <w:rsid w:val="003A5430"/>
    <w:rsid w:val="003A69D1"/>
    <w:rsid w:val="003A7705"/>
    <w:rsid w:val="003A77F1"/>
    <w:rsid w:val="003B04FE"/>
    <w:rsid w:val="003B0920"/>
    <w:rsid w:val="003B1545"/>
    <w:rsid w:val="003B208C"/>
    <w:rsid w:val="003C3219"/>
    <w:rsid w:val="003C3840"/>
    <w:rsid w:val="003C409D"/>
    <w:rsid w:val="003C4544"/>
    <w:rsid w:val="003C5583"/>
    <w:rsid w:val="003C5BA6"/>
    <w:rsid w:val="003C74CF"/>
    <w:rsid w:val="003D0AA5"/>
    <w:rsid w:val="003D3752"/>
    <w:rsid w:val="003D6BCD"/>
    <w:rsid w:val="003E12A0"/>
    <w:rsid w:val="003E35DA"/>
    <w:rsid w:val="003E455D"/>
    <w:rsid w:val="003F06AA"/>
    <w:rsid w:val="003F0E85"/>
    <w:rsid w:val="00410C55"/>
    <w:rsid w:val="00414005"/>
    <w:rsid w:val="00414D69"/>
    <w:rsid w:val="00416854"/>
    <w:rsid w:val="00417725"/>
    <w:rsid w:val="00420FA9"/>
    <w:rsid w:val="004221DB"/>
    <w:rsid w:val="0042266F"/>
    <w:rsid w:val="00422B0C"/>
    <w:rsid w:val="00425695"/>
    <w:rsid w:val="004323B4"/>
    <w:rsid w:val="00432FD5"/>
    <w:rsid w:val="00437F26"/>
    <w:rsid w:val="00444097"/>
    <w:rsid w:val="00445487"/>
    <w:rsid w:val="00447E0D"/>
    <w:rsid w:val="00450216"/>
    <w:rsid w:val="00453EA8"/>
    <w:rsid w:val="00454769"/>
    <w:rsid w:val="0046461D"/>
    <w:rsid w:val="00466991"/>
    <w:rsid w:val="0047064C"/>
    <w:rsid w:val="00473671"/>
    <w:rsid w:val="004742F5"/>
    <w:rsid w:val="004774F6"/>
    <w:rsid w:val="00477A02"/>
    <w:rsid w:val="004822B7"/>
    <w:rsid w:val="004834AA"/>
    <w:rsid w:val="0048755F"/>
    <w:rsid w:val="00493033"/>
    <w:rsid w:val="00493097"/>
    <w:rsid w:val="0049469E"/>
    <w:rsid w:val="004A1D8F"/>
    <w:rsid w:val="004A2217"/>
    <w:rsid w:val="004A24F9"/>
    <w:rsid w:val="004A42E1"/>
    <w:rsid w:val="004B033D"/>
    <w:rsid w:val="004B162C"/>
    <w:rsid w:val="004B2ABE"/>
    <w:rsid w:val="004B6E95"/>
    <w:rsid w:val="004C3A6C"/>
    <w:rsid w:val="004C3DBE"/>
    <w:rsid w:val="004C5C96"/>
    <w:rsid w:val="004C768A"/>
    <w:rsid w:val="004D06A4"/>
    <w:rsid w:val="004E0DFF"/>
    <w:rsid w:val="004F1A81"/>
    <w:rsid w:val="004F2DBC"/>
    <w:rsid w:val="004F3FCB"/>
    <w:rsid w:val="004F4A4F"/>
    <w:rsid w:val="004F5C4C"/>
    <w:rsid w:val="004F78FD"/>
    <w:rsid w:val="00501354"/>
    <w:rsid w:val="005050D2"/>
    <w:rsid w:val="0051062C"/>
    <w:rsid w:val="00511F58"/>
    <w:rsid w:val="0051601D"/>
    <w:rsid w:val="005218D9"/>
    <w:rsid w:val="00521BFC"/>
    <w:rsid w:val="00525403"/>
    <w:rsid w:val="00525C45"/>
    <w:rsid w:val="00527B13"/>
    <w:rsid w:val="00532D35"/>
    <w:rsid w:val="005345C9"/>
    <w:rsid w:val="00535E09"/>
    <w:rsid w:val="00536186"/>
    <w:rsid w:val="00544CBB"/>
    <w:rsid w:val="005464D2"/>
    <w:rsid w:val="00551B65"/>
    <w:rsid w:val="0055235C"/>
    <w:rsid w:val="00554050"/>
    <w:rsid w:val="00556704"/>
    <w:rsid w:val="00564176"/>
    <w:rsid w:val="005656D7"/>
    <w:rsid w:val="00566984"/>
    <w:rsid w:val="0057315F"/>
    <w:rsid w:val="00573A85"/>
    <w:rsid w:val="005752C8"/>
    <w:rsid w:val="00576104"/>
    <w:rsid w:val="00585979"/>
    <w:rsid w:val="00586418"/>
    <w:rsid w:val="0059133F"/>
    <w:rsid w:val="00592B21"/>
    <w:rsid w:val="00593872"/>
    <w:rsid w:val="0059564D"/>
    <w:rsid w:val="005A2B9E"/>
    <w:rsid w:val="005B0A78"/>
    <w:rsid w:val="005B44BF"/>
    <w:rsid w:val="005B7421"/>
    <w:rsid w:val="005C3436"/>
    <w:rsid w:val="005C67C8"/>
    <w:rsid w:val="005D0249"/>
    <w:rsid w:val="005D18FA"/>
    <w:rsid w:val="005D2E3E"/>
    <w:rsid w:val="005D4FD4"/>
    <w:rsid w:val="005D664C"/>
    <w:rsid w:val="005D6E8C"/>
    <w:rsid w:val="005D709B"/>
    <w:rsid w:val="005E2A4D"/>
    <w:rsid w:val="005E3004"/>
    <w:rsid w:val="005E3357"/>
    <w:rsid w:val="005E4496"/>
    <w:rsid w:val="005F100C"/>
    <w:rsid w:val="005F68DA"/>
    <w:rsid w:val="005F7419"/>
    <w:rsid w:val="00601BC9"/>
    <w:rsid w:val="00603EC1"/>
    <w:rsid w:val="00604142"/>
    <w:rsid w:val="0060773B"/>
    <w:rsid w:val="0061107E"/>
    <w:rsid w:val="006110FA"/>
    <w:rsid w:val="00611CFF"/>
    <w:rsid w:val="00613FD6"/>
    <w:rsid w:val="006157B5"/>
    <w:rsid w:val="00617224"/>
    <w:rsid w:val="00626FC6"/>
    <w:rsid w:val="006303B4"/>
    <w:rsid w:val="00630ADC"/>
    <w:rsid w:val="00633D3D"/>
    <w:rsid w:val="00640196"/>
    <w:rsid w:val="00641703"/>
    <w:rsid w:val="006431A6"/>
    <w:rsid w:val="00643E3A"/>
    <w:rsid w:val="006459F6"/>
    <w:rsid w:val="00647CF5"/>
    <w:rsid w:val="006501AD"/>
    <w:rsid w:val="00651BFA"/>
    <w:rsid w:val="00654475"/>
    <w:rsid w:val="00656010"/>
    <w:rsid w:val="00656D9D"/>
    <w:rsid w:val="00656DF0"/>
    <w:rsid w:val="0066146C"/>
    <w:rsid w:val="00663DDB"/>
    <w:rsid w:val="00665A4B"/>
    <w:rsid w:val="00667388"/>
    <w:rsid w:val="00670FAE"/>
    <w:rsid w:val="006710C3"/>
    <w:rsid w:val="00681ADF"/>
    <w:rsid w:val="00682B4E"/>
    <w:rsid w:val="006909EB"/>
    <w:rsid w:val="00692E2A"/>
    <w:rsid w:val="006946EE"/>
    <w:rsid w:val="0069496A"/>
    <w:rsid w:val="006965FB"/>
    <w:rsid w:val="00696C1C"/>
    <w:rsid w:val="006A76F2"/>
    <w:rsid w:val="006B20CE"/>
    <w:rsid w:val="006B7D29"/>
    <w:rsid w:val="006C5732"/>
    <w:rsid w:val="006D071F"/>
    <w:rsid w:val="006D19D4"/>
    <w:rsid w:val="006D2D04"/>
    <w:rsid w:val="006D5644"/>
    <w:rsid w:val="006D6146"/>
    <w:rsid w:val="006D70BC"/>
    <w:rsid w:val="006D7EFB"/>
    <w:rsid w:val="006E17D2"/>
    <w:rsid w:val="006E6672"/>
    <w:rsid w:val="006E6722"/>
    <w:rsid w:val="006E68AA"/>
    <w:rsid w:val="006F7AFF"/>
    <w:rsid w:val="0070279D"/>
    <w:rsid w:val="007027B9"/>
    <w:rsid w:val="0070374D"/>
    <w:rsid w:val="00705304"/>
    <w:rsid w:val="007066B5"/>
    <w:rsid w:val="007072C8"/>
    <w:rsid w:val="007121D1"/>
    <w:rsid w:val="007145DA"/>
    <w:rsid w:val="00715E88"/>
    <w:rsid w:val="00724512"/>
    <w:rsid w:val="00734CAA"/>
    <w:rsid w:val="00735935"/>
    <w:rsid w:val="00740EE2"/>
    <w:rsid w:val="00742134"/>
    <w:rsid w:val="00742680"/>
    <w:rsid w:val="00747058"/>
    <w:rsid w:val="00747081"/>
    <w:rsid w:val="00747A12"/>
    <w:rsid w:val="0075101E"/>
    <w:rsid w:val="0075473D"/>
    <w:rsid w:val="0075533C"/>
    <w:rsid w:val="00755725"/>
    <w:rsid w:val="00755A18"/>
    <w:rsid w:val="00757581"/>
    <w:rsid w:val="007602F5"/>
    <w:rsid w:val="00760D36"/>
    <w:rsid w:val="007611A0"/>
    <w:rsid w:val="007701A6"/>
    <w:rsid w:val="007720C0"/>
    <w:rsid w:val="00772574"/>
    <w:rsid w:val="00773E54"/>
    <w:rsid w:val="007814C2"/>
    <w:rsid w:val="00781BE0"/>
    <w:rsid w:val="00783B0C"/>
    <w:rsid w:val="00784676"/>
    <w:rsid w:val="00787688"/>
    <w:rsid w:val="007901C3"/>
    <w:rsid w:val="0079185B"/>
    <w:rsid w:val="007935E6"/>
    <w:rsid w:val="00794326"/>
    <w:rsid w:val="0079604B"/>
    <w:rsid w:val="00796D3F"/>
    <w:rsid w:val="007A1683"/>
    <w:rsid w:val="007A322A"/>
    <w:rsid w:val="007A5C12"/>
    <w:rsid w:val="007A681D"/>
    <w:rsid w:val="007A7CB0"/>
    <w:rsid w:val="007B34A8"/>
    <w:rsid w:val="007B68A3"/>
    <w:rsid w:val="007C2541"/>
    <w:rsid w:val="007C3F1B"/>
    <w:rsid w:val="007C4CBC"/>
    <w:rsid w:val="007D66A8"/>
    <w:rsid w:val="007E003F"/>
    <w:rsid w:val="007E3768"/>
    <w:rsid w:val="007E5F26"/>
    <w:rsid w:val="007E69D8"/>
    <w:rsid w:val="007F0CF8"/>
    <w:rsid w:val="007F62CB"/>
    <w:rsid w:val="007F7E21"/>
    <w:rsid w:val="0080454B"/>
    <w:rsid w:val="00805369"/>
    <w:rsid w:val="008068A6"/>
    <w:rsid w:val="008142EC"/>
    <w:rsid w:val="008164F2"/>
    <w:rsid w:val="00821395"/>
    <w:rsid w:val="00823789"/>
    <w:rsid w:val="00830E26"/>
    <w:rsid w:val="00831322"/>
    <w:rsid w:val="00833602"/>
    <w:rsid w:val="00834368"/>
    <w:rsid w:val="0083441A"/>
    <w:rsid w:val="00843576"/>
    <w:rsid w:val="00843B64"/>
    <w:rsid w:val="00845261"/>
    <w:rsid w:val="0084754F"/>
    <w:rsid w:val="008478FC"/>
    <w:rsid w:val="00851C51"/>
    <w:rsid w:val="00852097"/>
    <w:rsid w:val="00853128"/>
    <w:rsid w:val="0085512F"/>
    <w:rsid w:val="00855479"/>
    <w:rsid w:val="00864EF2"/>
    <w:rsid w:val="00867BFF"/>
    <w:rsid w:val="00867FD2"/>
    <w:rsid w:val="00871542"/>
    <w:rsid w:val="00872BF6"/>
    <w:rsid w:val="008738EE"/>
    <w:rsid w:val="0088480A"/>
    <w:rsid w:val="008874BC"/>
    <w:rsid w:val="0088757A"/>
    <w:rsid w:val="008876C2"/>
    <w:rsid w:val="00891849"/>
    <w:rsid w:val="0089283F"/>
    <w:rsid w:val="0089431B"/>
    <w:rsid w:val="008954D6"/>
    <w:rsid w:val="00895668"/>
    <w:rsid w:val="008957DD"/>
    <w:rsid w:val="00897D98"/>
    <w:rsid w:val="008A11C8"/>
    <w:rsid w:val="008A6DF2"/>
    <w:rsid w:val="008A7524"/>
    <w:rsid w:val="008A7807"/>
    <w:rsid w:val="008B4CC9"/>
    <w:rsid w:val="008C0B15"/>
    <w:rsid w:val="008C6C56"/>
    <w:rsid w:val="008D75E4"/>
    <w:rsid w:val="008D7C99"/>
    <w:rsid w:val="008E0FCB"/>
    <w:rsid w:val="008E22C4"/>
    <w:rsid w:val="008E2A08"/>
    <w:rsid w:val="008E5341"/>
    <w:rsid w:val="008E6E64"/>
    <w:rsid w:val="008F49A8"/>
    <w:rsid w:val="008F6DFE"/>
    <w:rsid w:val="0090529F"/>
    <w:rsid w:val="009058EB"/>
    <w:rsid w:val="00906282"/>
    <w:rsid w:val="009063B6"/>
    <w:rsid w:val="00906B1D"/>
    <w:rsid w:val="00907B30"/>
    <w:rsid w:val="0092157D"/>
    <w:rsid w:val="0092178C"/>
    <w:rsid w:val="009236B3"/>
    <w:rsid w:val="009251FF"/>
    <w:rsid w:val="00930B88"/>
    <w:rsid w:val="00934F2E"/>
    <w:rsid w:val="00935376"/>
    <w:rsid w:val="00940DCC"/>
    <w:rsid w:val="0094179A"/>
    <w:rsid w:val="00941FAC"/>
    <w:rsid w:val="00942355"/>
    <w:rsid w:val="0094325D"/>
    <w:rsid w:val="0094459E"/>
    <w:rsid w:val="00944806"/>
    <w:rsid w:val="00944DBC"/>
    <w:rsid w:val="00950116"/>
    <w:rsid w:val="00950977"/>
    <w:rsid w:val="00951673"/>
    <w:rsid w:val="00951A7B"/>
    <w:rsid w:val="00955512"/>
    <w:rsid w:val="00955D70"/>
    <w:rsid w:val="009564A6"/>
    <w:rsid w:val="00956F1F"/>
    <w:rsid w:val="00957EF8"/>
    <w:rsid w:val="00957FA0"/>
    <w:rsid w:val="00966A53"/>
    <w:rsid w:val="00967621"/>
    <w:rsid w:val="00967E6A"/>
    <w:rsid w:val="00972302"/>
    <w:rsid w:val="0097365F"/>
    <w:rsid w:val="009771B5"/>
    <w:rsid w:val="009807B3"/>
    <w:rsid w:val="00984E5F"/>
    <w:rsid w:val="009907B9"/>
    <w:rsid w:val="00990918"/>
    <w:rsid w:val="00991DA4"/>
    <w:rsid w:val="00992BA8"/>
    <w:rsid w:val="009972C0"/>
    <w:rsid w:val="009A3A83"/>
    <w:rsid w:val="009B4A0F"/>
    <w:rsid w:val="009B52CD"/>
    <w:rsid w:val="009C11D2"/>
    <w:rsid w:val="009C3B5E"/>
    <w:rsid w:val="009C3D2D"/>
    <w:rsid w:val="009C3DA6"/>
    <w:rsid w:val="009C3E45"/>
    <w:rsid w:val="009C6C70"/>
    <w:rsid w:val="009C7B0A"/>
    <w:rsid w:val="009D0B63"/>
    <w:rsid w:val="009D5CB8"/>
    <w:rsid w:val="009E307E"/>
    <w:rsid w:val="009E6376"/>
    <w:rsid w:val="009F2730"/>
    <w:rsid w:val="009F6871"/>
    <w:rsid w:val="009F6CA9"/>
    <w:rsid w:val="00A02DF0"/>
    <w:rsid w:val="00A06CF5"/>
    <w:rsid w:val="00A07870"/>
    <w:rsid w:val="00A07C54"/>
    <w:rsid w:val="00A07F19"/>
    <w:rsid w:val="00A1348D"/>
    <w:rsid w:val="00A13C99"/>
    <w:rsid w:val="00A21AFF"/>
    <w:rsid w:val="00A232EE"/>
    <w:rsid w:val="00A24E09"/>
    <w:rsid w:val="00A26141"/>
    <w:rsid w:val="00A364BE"/>
    <w:rsid w:val="00A4047F"/>
    <w:rsid w:val="00A407F0"/>
    <w:rsid w:val="00A4175F"/>
    <w:rsid w:val="00A43B15"/>
    <w:rsid w:val="00A43FA6"/>
    <w:rsid w:val="00A44411"/>
    <w:rsid w:val="00A469FA"/>
    <w:rsid w:val="00A53662"/>
    <w:rsid w:val="00A53BF5"/>
    <w:rsid w:val="00A55B01"/>
    <w:rsid w:val="00A56B5B"/>
    <w:rsid w:val="00A603FF"/>
    <w:rsid w:val="00A619B6"/>
    <w:rsid w:val="00A61F4F"/>
    <w:rsid w:val="00A622F0"/>
    <w:rsid w:val="00A648CA"/>
    <w:rsid w:val="00A6551A"/>
    <w:rsid w:val="00A657DD"/>
    <w:rsid w:val="00A66474"/>
    <w:rsid w:val="00A666A6"/>
    <w:rsid w:val="00A675FD"/>
    <w:rsid w:val="00A70D10"/>
    <w:rsid w:val="00A72437"/>
    <w:rsid w:val="00A730E4"/>
    <w:rsid w:val="00A8048B"/>
    <w:rsid w:val="00A80611"/>
    <w:rsid w:val="00A80B86"/>
    <w:rsid w:val="00A810E6"/>
    <w:rsid w:val="00A94539"/>
    <w:rsid w:val="00A96321"/>
    <w:rsid w:val="00AA0C59"/>
    <w:rsid w:val="00AA5BF4"/>
    <w:rsid w:val="00AA7CD5"/>
    <w:rsid w:val="00AB061E"/>
    <w:rsid w:val="00AB5340"/>
    <w:rsid w:val="00AB6F63"/>
    <w:rsid w:val="00AC0A89"/>
    <w:rsid w:val="00AC1CA0"/>
    <w:rsid w:val="00AC6678"/>
    <w:rsid w:val="00AC7AA1"/>
    <w:rsid w:val="00AC7C96"/>
    <w:rsid w:val="00AC7D76"/>
    <w:rsid w:val="00AD39F2"/>
    <w:rsid w:val="00AD4C8B"/>
    <w:rsid w:val="00AE0812"/>
    <w:rsid w:val="00AE1DCC"/>
    <w:rsid w:val="00AE237D"/>
    <w:rsid w:val="00AE502A"/>
    <w:rsid w:val="00AF0010"/>
    <w:rsid w:val="00AF1A5E"/>
    <w:rsid w:val="00AF1AA8"/>
    <w:rsid w:val="00AF28A7"/>
    <w:rsid w:val="00AF2C1F"/>
    <w:rsid w:val="00AF398A"/>
    <w:rsid w:val="00AF5B8A"/>
    <w:rsid w:val="00AF7C07"/>
    <w:rsid w:val="00B023C4"/>
    <w:rsid w:val="00B03580"/>
    <w:rsid w:val="00B06C64"/>
    <w:rsid w:val="00B07D8E"/>
    <w:rsid w:val="00B11CAC"/>
    <w:rsid w:val="00B124B2"/>
    <w:rsid w:val="00B15A29"/>
    <w:rsid w:val="00B17D36"/>
    <w:rsid w:val="00B22C93"/>
    <w:rsid w:val="00B23B8D"/>
    <w:rsid w:val="00B27589"/>
    <w:rsid w:val="00B3462A"/>
    <w:rsid w:val="00B3712A"/>
    <w:rsid w:val="00B40056"/>
    <w:rsid w:val="00B405B7"/>
    <w:rsid w:val="00B4223A"/>
    <w:rsid w:val="00B4420E"/>
    <w:rsid w:val="00B468C0"/>
    <w:rsid w:val="00B52222"/>
    <w:rsid w:val="00B531DA"/>
    <w:rsid w:val="00B54895"/>
    <w:rsid w:val="00B54FE7"/>
    <w:rsid w:val="00B647C6"/>
    <w:rsid w:val="00B655F9"/>
    <w:rsid w:val="00B66901"/>
    <w:rsid w:val="00B66F60"/>
    <w:rsid w:val="00B675A6"/>
    <w:rsid w:val="00B71E6D"/>
    <w:rsid w:val="00B72070"/>
    <w:rsid w:val="00B7321B"/>
    <w:rsid w:val="00B777DE"/>
    <w:rsid w:val="00B779E1"/>
    <w:rsid w:val="00B81E3A"/>
    <w:rsid w:val="00B85CFB"/>
    <w:rsid w:val="00B87A21"/>
    <w:rsid w:val="00B914E9"/>
    <w:rsid w:val="00B91EE1"/>
    <w:rsid w:val="00B92087"/>
    <w:rsid w:val="00B94602"/>
    <w:rsid w:val="00BA0090"/>
    <w:rsid w:val="00BA1A67"/>
    <w:rsid w:val="00BA6A80"/>
    <w:rsid w:val="00BB4ABB"/>
    <w:rsid w:val="00BB5902"/>
    <w:rsid w:val="00BC0658"/>
    <w:rsid w:val="00BC4C81"/>
    <w:rsid w:val="00BC62BA"/>
    <w:rsid w:val="00BD4E66"/>
    <w:rsid w:val="00BD5045"/>
    <w:rsid w:val="00BD5C3C"/>
    <w:rsid w:val="00BE5290"/>
    <w:rsid w:val="00BE5B5F"/>
    <w:rsid w:val="00BE7993"/>
    <w:rsid w:val="00BF0620"/>
    <w:rsid w:val="00BF08FD"/>
    <w:rsid w:val="00BF18A4"/>
    <w:rsid w:val="00BF6C58"/>
    <w:rsid w:val="00C014A5"/>
    <w:rsid w:val="00C0264B"/>
    <w:rsid w:val="00C02CDC"/>
    <w:rsid w:val="00C06BE8"/>
    <w:rsid w:val="00C15963"/>
    <w:rsid w:val="00C164B5"/>
    <w:rsid w:val="00C169FE"/>
    <w:rsid w:val="00C179DE"/>
    <w:rsid w:val="00C23BE3"/>
    <w:rsid w:val="00C240C1"/>
    <w:rsid w:val="00C26E5D"/>
    <w:rsid w:val="00C26F55"/>
    <w:rsid w:val="00C30C63"/>
    <w:rsid w:val="00C30FF3"/>
    <w:rsid w:val="00C34D5C"/>
    <w:rsid w:val="00C36B8B"/>
    <w:rsid w:val="00C376CF"/>
    <w:rsid w:val="00C414DD"/>
    <w:rsid w:val="00C415C1"/>
    <w:rsid w:val="00C462EE"/>
    <w:rsid w:val="00C47DBF"/>
    <w:rsid w:val="00C552FF"/>
    <w:rsid w:val="00C55430"/>
    <w:rsid w:val="00C558DA"/>
    <w:rsid w:val="00C55AF3"/>
    <w:rsid w:val="00C65903"/>
    <w:rsid w:val="00C66DAD"/>
    <w:rsid w:val="00C70AFE"/>
    <w:rsid w:val="00C7134D"/>
    <w:rsid w:val="00C73E44"/>
    <w:rsid w:val="00C75B4C"/>
    <w:rsid w:val="00C771A9"/>
    <w:rsid w:val="00C80767"/>
    <w:rsid w:val="00C84759"/>
    <w:rsid w:val="00C90C02"/>
    <w:rsid w:val="00C91E8D"/>
    <w:rsid w:val="00C925E5"/>
    <w:rsid w:val="00C93096"/>
    <w:rsid w:val="00C974D5"/>
    <w:rsid w:val="00CA1158"/>
    <w:rsid w:val="00CA5CA9"/>
    <w:rsid w:val="00CA660C"/>
    <w:rsid w:val="00CA664E"/>
    <w:rsid w:val="00CA6C7F"/>
    <w:rsid w:val="00CA7F54"/>
    <w:rsid w:val="00CB007D"/>
    <w:rsid w:val="00CB0644"/>
    <w:rsid w:val="00CB60CA"/>
    <w:rsid w:val="00CC0FC7"/>
    <w:rsid w:val="00CC10A6"/>
    <w:rsid w:val="00CC111E"/>
    <w:rsid w:val="00CC3F1D"/>
    <w:rsid w:val="00CC4108"/>
    <w:rsid w:val="00CC4807"/>
    <w:rsid w:val="00CD2391"/>
    <w:rsid w:val="00CD4723"/>
    <w:rsid w:val="00CD5EB8"/>
    <w:rsid w:val="00CD7044"/>
    <w:rsid w:val="00CD7A30"/>
    <w:rsid w:val="00CE08B9"/>
    <w:rsid w:val="00CE3515"/>
    <w:rsid w:val="00CE524C"/>
    <w:rsid w:val="00CE59A0"/>
    <w:rsid w:val="00CE62B0"/>
    <w:rsid w:val="00CE6405"/>
    <w:rsid w:val="00CF141F"/>
    <w:rsid w:val="00CF1CDC"/>
    <w:rsid w:val="00CF4777"/>
    <w:rsid w:val="00CF4E6A"/>
    <w:rsid w:val="00CF65C8"/>
    <w:rsid w:val="00D013F5"/>
    <w:rsid w:val="00D05E3F"/>
    <w:rsid w:val="00D062B6"/>
    <w:rsid w:val="00D067BB"/>
    <w:rsid w:val="00D1243E"/>
    <w:rsid w:val="00D1352A"/>
    <w:rsid w:val="00D1638E"/>
    <w:rsid w:val="00D169AF"/>
    <w:rsid w:val="00D200EF"/>
    <w:rsid w:val="00D22F14"/>
    <w:rsid w:val="00D24A52"/>
    <w:rsid w:val="00D25175"/>
    <w:rsid w:val="00D25249"/>
    <w:rsid w:val="00D25766"/>
    <w:rsid w:val="00D26854"/>
    <w:rsid w:val="00D33F35"/>
    <w:rsid w:val="00D3611B"/>
    <w:rsid w:val="00D36877"/>
    <w:rsid w:val="00D40CA1"/>
    <w:rsid w:val="00D40F7A"/>
    <w:rsid w:val="00D42000"/>
    <w:rsid w:val="00D44172"/>
    <w:rsid w:val="00D45B7D"/>
    <w:rsid w:val="00D468FB"/>
    <w:rsid w:val="00D47BE3"/>
    <w:rsid w:val="00D5006A"/>
    <w:rsid w:val="00D63B8C"/>
    <w:rsid w:val="00D67794"/>
    <w:rsid w:val="00D67FF7"/>
    <w:rsid w:val="00D739CC"/>
    <w:rsid w:val="00D7403E"/>
    <w:rsid w:val="00D806F9"/>
    <w:rsid w:val="00D8093D"/>
    <w:rsid w:val="00D8108C"/>
    <w:rsid w:val="00D842AE"/>
    <w:rsid w:val="00D85791"/>
    <w:rsid w:val="00D86AA5"/>
    <w:rsid w:val="00D9211C"/>
    <w:rsid w:val="00D92DE0"/>
    <w:rsid w:val="00D92E8C"/>
    <w:rsid w:val="00D92FEF"/>
    <w:rsid w:val="00D931F9"/>
    <w:rsid w:val="00D93A0F"/>
    <w:rsid w:val="00D97A04"/>
    <w:rsid w:val="00DA1BCA"/>
    <w:rsid w:val="00DA1D80"/>
    <w:rsid w:val="00DA3084"/>
    <w:rsid w:val="00DA3663"/>
    <w:rsid w:val="00DA4165"/>
    <w:rsid w:val="00DA6690"/>
    <w:rsid w:val="00DB1D42"/>
    <w:rsid w:val="00DB1FA1"/>
    <w:rsid w:val="00DB73E9"/>
    <w:rsid w:val="00DC46FF"/>
    <w:rsid w:val="00DC5254"/>
    <w:rsid w:val="00DC569D"/>
    <w:rsid w:val="00DC7ADC"/>
    <w:rsid w:val="00DD02D3"/>
    <w:rsid w:val="00DD1A4F"/>
    <w:rsid w:val="00DD3107"/>
    <w:rsid w:val="00DD457C"/>
    <w:rsid w:val="00DD7C2C"/>
    <w:rsid w:val="00DE0ECA"/>
    <w:rsid w:val="00DE1A6F"/>
    <w:rsid w:val="00DE5BDA"/>
    <w:rsid w:val="00DF433C"/>
    <w:rsid w:val="00DF519F"/>
    <w:rsid w:val="00E0035A"/>
    <w:rsid w:val="00E06100"/>
    <w:rsid w:val="00E06797"/>
    <w:rsid w:val="00E1265B"/>
    <w:rsid w:val="00E12E09"/>
    <w:rsid w:val="00E13B48"/>
    <w:rsid w:val="00E14040"/>
    <w:rsid w:val="00E1404F"/>
    <w:rsid w:val="00E15C53"/>
    <w:rsid w:val="00E21C83"/>
    <w:rsid w:val="00E24ADA"/>
    <w:rsid w:val="00E32F59"/>
    <w:rsid w:val="00E3646D"/>
    <w:rsid w:val="00E37CA8"/>
    <w:rsid w:val="00E41908"/>
    <w:rsid w:val="00E46D9A"/>
    <w:rsid w:val="00E5132F"/>
    <w:rsid w:val="00E51E61"/>
    <w:rsid w:val="00E52927"/>
    <w:rsid w:val="00E55DE4"/>
    <w:rsid w:val="00E56515"/>
    <w:rsid w:val="00E565FF"/>
    <w:rsid w:val="00E600B2"/>
    <w:rsid w:val="00E600E6"/>
    <w:rsid w:val="00E63DD7"/>
    <w:rsid w:val="00E65388"/>
    <w:rsid w:val="00E65CFC"/>
    <w:rsid w:val="00E66179"/>
    <w:rsid w:val="00E72B5F"/>
    <w:rsid w:val="00E75326"/>
    <w:rsid w:val="00E7563E"/>
    <w:rsid w:val="00E7741D"/>
    <w:rsid w:val="00E808CD"/>
    <w:rsid w:val="00E8348F"/>
    <w:rsid w:val="00E85B7D"/>
    <w:rsid w:val="00E90383"/>
    <w:rsid w:val="00E9121B"/>
    <w:rsid w:val="00E9302E"/>
    <w:rsid w:val="00E9533F"/>
    <w:rsid w:val="00E953EE"/>
    <w:rsid w:val="00E956DC"/>
    <w:rsid w:val="00E976AB"/>
    <w:rsid w:val="00EA0AE2"/>
    <w:rsid w:val="00EA39E5"/>
    <w:rsid w:val="00EA57A3"/>
    <w:rsid w:val="00EB47FE"/>
    <w:rsid w:val="00EB6B2D"/>
    <w:rsid w:val="00EC2813"/>
    <w:rsid w:val="00EC5A46"/>
    <w:rsid w:val="00EC63E2"/>
    <w:rsid w:val="00EC7999"/>
    <w:rsid w:val="00ED0225"/>
    <w:rsid w:val="00ED366A"/>
    <w:rsid w:val="00ED3A07"/>
    <w:rsid w:val="00ED515B"/>
    <w:rsid w:val="00ED6BB7"/>
    <w:rsid w:val="00EF073C"/>
    <w:rsid w:val="00EF22B3"/>
    <w:rsid w:val="00EF3A61"/>
    <w:rsid w:val="00F02718"/>
    <w:rsid w:val="00F031C0"/>
    <w:rsid w:val="00F03441"/>
    <w:rsid w:val="00F03B69"/>
    <w:rsid w:val="00F03EC0"/>
    <w:rsid w:val="00F042C8"/>
    <w:rsid w:val="00F05257"/>
    <w:rsid w:val="00F07A50"/>
    <w:rsid w:val="00F113DA"/>
    <w:rsid w:val="00F151EA"/>
    <w:rsid w:val="00F2463D"/>
    <w:rsid w:val="00F2638C"/>
    <w:rsid w:val="00F266FC"/>
    <w:rsid w:val="00F3037A"/>
    <w:rsid w:val="00F344EA"/>
    <w:rsid w:val="00F3465A"/>
    <w:rsid w:val="00F36140"/>
    <w:rsid w:val="00F37DC8"/>
    <w:rsid w:val="00F40503"/>
    <w:rsid w:val="00F42E68"/>
    <w:rsid w:val="00F439B3"/>
    <w:rsid w:val="00F50D97"/>
    <w:rsid w:val="00F50F81"/>
    <w:rsid w:val="00F534EC"/>
    <w:rsid w:val="00F5532A"/>
    <w:rsid w:val="00F56213"/>
    <w:rsid w:val="00F567F9"/>
    <w:rsid w:val="00F62F77"/>
    <w:rsid w:val="00F650C3"/>
    <w:rsid w:val="00F65D85"/>
    <w:rsid w:val="00F6700B"/>
    <w:rsid w:val="00F701D0"/>
    <w:rsid w:val="00F7137B"/>
    <w:rsid w:val="00F8091E"/>
    <w:rsid w:val="00F8615C"/>
    <w:rsid w:val="00F91674"/>
    <w:rsid w:val="00F96879"/>
    <w:rsid w:val="00F969E5"/>
    <w:rsid w:val="00FA0390"/>
    <w:rsid w:val="00FA4972"/>
    <w:rsid w:val="00FA6BB0"/>
    <w:rsid w:val="00FB2DBD"/>
    <w:rsid w:val="00FC1662"/>
    <w:rsid w:val="00FC41EF"/>
    <w:rsid w:val="00FC59B9"/>
    <w:rsid w:val="00FD0963"/>
    <w:rsid w:val="00FD17F9"/>
    <w:rsid w:val="00FD48DF"/>
    <w:rsid w:val="00FD5860"/>
    <w:rsid w:val="00FD632E"/>
    <w:rsid w:val="00FE352D"/>
    <w:rsid w:val="00FE40EB"/>
    <w:rsid w:val="00FE4D02"/>
    <w:rsid w:val="00FE512B"/>
    <w:rsid w:val="00FE6067"/>
    <w:rsid w:val="00FE6D2A"/>
    <w:rsid w:val="00FE7303"/>
    <w:rsid w:val="00FE7D62"/>
    <w:rsid w:val="00FF1401"/>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21F5315"/>
  <w15:docId w15:val="{86A76775-DFB5-4ADB-A65A-A9F521E97B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4">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link w:val="Heading1Char"/>
    <w:uiPriority w:val="9"/>
    <w:qFormat/>
    <w:rsid w:val="000D6941"/>
    <w:pPr>
      <w:keepNext/>
      <w:spacing w:before="240" w:after="120"/>
      <w:ind w:left="1247" w:hanging="680"/>
      <w:outlineLvl w:val="0"/>
    </w:pPr>
    <w:rPr>
      <w:b/>
      <w:sz w:val="28"/>
    </w:rPr>
  </w:style>
  <w:style w:type="paragraph" w:styleId="Heading2">
    <w:name w:val="heading 2"/>
    <w:basedOn w:val="Normal"/>
    <w:next w:val="Normalnumber"/>
    <w:link w:val="Heading2Char"/>
    <w:uiPriority w:val="9"/>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uiPriority w:val="39"/>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uiPriority w:val="39"/>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uiPriority w:val="39"/>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uiPriority w:val="39"/>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7A322A"/>
    <w:pPr>
      <w:keepNext/>
      <w:keepLines/>
      <w:tabs>
        <w:tab w:val="right" w:pos="851"/>
      </w:tabs>
      <w:suppressAutoHyphens/>
      <w:spacing w:before="240" w:after="120"/>
      <w:ind w:left="1247" w:right="284" w:hanging="1247"/>
    </w:pPr>
    <w:rPr>
      <w:b/>
      <w:sz w:val="24"/>
      <w:szCs w:val="24"/>
      <w:lang w:val="en-GB"/>
    </w:rPr>
  </w:style>
  <w:style w:type="paragraph" w:customStyle="1" w:styleId="CH3">
    <w:name w:val="CH3"/>
    <w:basedOn w:val="Normalpool"/>
    <w:next w:val="Normalnumber"/>
    <w:rsid w:val="007A322A"/>
    <w:pPr>
      <w:keepNext/>
      <w:keepLines/>
      <w:tabs>
        <w:tab w:val="right" w:pos="851"/>
      </w:tabs>
      <w:suppressAutoHyphens/>
      <w:spacing w:before="240" w:after="120"/>
      <w:ind w:left="1247" w:right="284" w:hanging="1247"/>
    </w:pPr>
    <w:rPr>
      <w:b/>
      <w:lang w:val="en-GB"/>
    </w:rPr>
  </w:style>
  <w:style w:type="paragraph" w:customStyle="1" w:styleId="CH4">
    <w:name w:val="CH4"/>
    <w:basedOn w:val="Normalpool"/>
    <w:next w:val="Normalnumber"/>
    <w:rsid w:val="007A322A"/>
    <w:pPr>
      <w:keepNext/>
      <w:keepLines/>
      <w:tabs>
        <w:tab w:val="right" w:pos="851"/>
      </w:tabs>
      <w:suppressAutoHyphens/>
      <w:spacing w:before="240"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7A322A"/>
    <w:pPr>
      <w:keepNext/>
      <w:keepLines/>
      <w:tabs>
        <w:tab w:val="right" w:pos="851"/>
      </w:tabs>
      <w:suppressAutoHyphens/>
      <w:spacing w:before="240"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Superscript 6 Point + 11 pt,Appel note de bas de page,-E Fußnotenzeichen,(Diplomarbeit FZ),(Diplomarbeit FZ)1,(Diplomarbeit FZ)2"/>
    <w:qFormat/>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pool"/>
    <w:link w:val="FootnoteTextChar"/>
    <w:qFormat/>
    <w:rsid w:val="000D6941"/>
    <w:pPr>
      <w:spacing w:before="20" w:after="40"/>
      <w:ind w:left="1247"/>
    </w:pPr>
    <w:rPr>
      <w:sz w:val="18"/>
    </w:rPr>
  </w:style>
  <w:style w:type="character" w:styleId="CommentReference">
    <w:name w:val="annotation reference"/>
    <w:uiPriority w:val="99"/>
    <w:rsid w:val="003929B8"/>
    <w:rPr>
      <w:sz w:val="16"/>
      <w:szCs w:val="16"/>
    </w:rPr>
  </w:style>
  <w:style w:type="paragraph" w:styleId="CommentText">
    <w:name w:val="annotation text"/>
    <w:basedOn w:val="Normal"/>
    <w:link w:val="CommentTextChar"/>
    <w:uiPriority w:val="99"/>
    <w:rsid w:val="003929B8"/>
  </w:style>
  <w:style w:type="character" w:customStyle="1" w:styleId="CommentTextChar">
    <w:name w:val="Comment Text Char"/>
    <w:link w:val="CommentText"/>
    <w:uiPriority w:val="99"/>
    <w:rsid w:val="003929B8"/>
    <w:rPr>
      <w:lang w:eastAsia="en-US"/>
    </w:rPr>
  </w:style>
  <w:style w:type="paragraph" w:styleId="CommentSubject">
    <w:name w:val="annotation subject"/>
    <w:basedOn w:val="CommentText"/>
    <w:next w:val="CommentText"/>
    <w:link w:val="CommentSubjectChar"/>
    <w:uiPriority w:val="99"/>
    <w:rsid w:val="003929B8"/>
    <w:rPr>
      <w:b/>
      <w:bCs/>
    </w:rPr>
  </w:style>
  <w:style w:type="character" w:customStyle="1" w:styleId="CommentSubjectChar">
    <w:name w:val="Comment Subject Char"/>
    <w:link w:val="CommentSubject"/>
    <w:uiPriority w:val="99"/>
    <w:rsid w:val="003929B8"/>
    <w:rPr>
      <w:b/>
      <w:bCs/>
      <w:lang w:eastAsia="en-US"/>
    </w:rPr>
  </w:style>
  <w:style w:type="paragraph" w:styleId="BalloonText">
    <w:name w:val="Balloon Text"/>
    <w:basedOn w:val="Normal"/>
    <w:link w:val="BalloonTextChar"/>
    <w:uiPriority w:val="99"/>
    <w:rsid w:val="003929B8"/>
    <w:rPr>
      <w:rFonts w:ascii="Tahoma" w:hAnsi="Tahoma" w:cs="Tahoma"/>
      <w:sz w:val="16"/>
      <w:szCs w:val="16"/>
    </w:rPr>
  </w:style>
  <w:style w:type="character" w:customStyle="1" w:styleId="BalloonTextChar">
    <w:name w:val="Balloon Text Char"/>
    <w:link w:val="BalloonText"/>
    <w:uiPriority w:val="99"/>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4293F"/>
    <w:rPr>
      <w:sz w:val="18"/>
      <w:lang w:val="fr-FR" w:eastAsia="en-US"/>
    </w:rPr>
  </w:style>
  <w:style w:type="table" w:styleId="TableGrid">
    <w:name w:val="Table Grid"/>
    <w:basedOn w:val="TableNormal"/>
    <w:uiPriority w:val="39"/>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lets,List Paragraph1,Bullets1,List Paragraph11,Bullets2,List Paragraph12,Bullets3,List Paragraph13,Dot pt,F5 List Paragraph,No Spacing1,List Paragraph Char Char Char,Indicator Text,Colorful List - Accent 11,Numbered Para 1,Bullet 1"/>
    <w:basedOn w:val="Normal"/>
    <w:link w:val="ListParagraphChar"/>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C014A5"/>
    <w:pPr>
      <w:tabs>
        <w:tab w:val="clear" w:pos="1247"/>
        <w:tab w:val="clear" w:pos="1814"/>
        <w:tab w:val="clear" w:pos="2381"/>
        <w:tab w:val="clear" w:pos="2948"/>
        <w:tab w:val="clear" w:pos="3515"/>
        <w:tab w:val="clear" w:pos="4082"/>
        <w:tab w:val="left" w:pos="624"/>
      </w:tabs>
      <w:spacing w:before="6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link w:val="HeaderChar"/>
    <w:uiPriority w:val="99"/>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uiPriority w:val="99"/>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6"/>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link w:val="NormalnumberChar"/>
    <w:rsid w:val="00160D74"/>
    <w:pPr>
      <w:numPr>
        <w:numId w:val="1"/>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uiPriority w:val="39"/>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uiPriority w:val="39"/>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uiPriority w:val="39"/>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uiPriority w:val="39"/>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uiPriority w:val="39"/>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character" w:customStyle="1" w:styleId="BBTitleChar">
    <w:name w:val="BB_Title Char"/>
    <w:link w:val="BBTitle"/>
    <w:rsid w:val="00FE7303"/>
    <w:rPr>
      <w:b/>
      <w:sz w:val="28"/>
      <w:szCs w:val="28"/>
      <w:lang w:eastAsia="en-US"/>
    </w:rPr>
  </w:style>
  <w:style w:type="character" w:customStyle="1" w:styleId="CH2Char">
    <w:name w:val="CH2 Char"/>
    <w:link w:val="CH2"/>
    <w:rsid w:val="007A322A"/>
    <w:rPr>
      <w:b/>
      <w:sz w:val="24"/>
      <w:szCs w:val="24"/>
      <w:lang w:eastAsia="en-US"/>
    </w:rPr>
  </w:style>
  <w:style w:type="character" w:customStyle="1" w:styleId="ZZAnxtitleChar">
    <w:name w:val="ZZ_Anx_title Char"/>
    <w:link w:val="ZZAnxtitle"/>
    <w:rsid w:val="00FE7303"/>
    <w:rPr>
      <w:b/>
      <w:bCs/>
      <w:sz w:val="28"/>
      <w:szCs w:val="26"/>
      <w:lang w:eastAsia="en-US"/>
    </w:rPr>
  </w:style>
  <w:style w:type="character" w:customStyle="1" w:styleId="ZZAnxheaderChar">
    <w:name w:val="ZZ_Anx_header Char"/>
    <w:link w:val="ZZAnxheader"/>
    <w:rsid w:val="00FE7303"/>
    <w:rPr>
      <w:b/>
      <w:bCs/>
      <w:sz w:val="28"/>
      <w:szCs w:val="22"/>
      <w:lang w:eastAsia="en-US"/>
    </w:rPr>
  </w:style>
  <w:style w:type="character" w:customStyle="1" w:styleId="Normal-poolChar">
    <w:name w:val="Normal-pool Char"/>
    <w:link w:val="Normal-pool"/>
    <w:rsid w:val="00FE7303"/>
    <w:rPr>
      <w:lang w:eastAsia="en-US"/>
    </w:rPr>
  </w:style>
  <w:style w:type="character" w:customStyle="1" w:styleId="Inget">
    <w:name w:val="Inget"/>
    <w:rsid w:val="00FE7303"/>
  </w:style>
  <w:style w:type="paragraph" w:customStyle="1" w:styleId="MainParagraphwith">
    <w:name w:val="Main Paragraph with #"/>
    <w:basedOn w:val="ListParagraph"/>
    <w:next w:val="Normal"/>
    <w:link w:val="MainParagraphwithChar"/>
    <w:autoRedefine/>
    <w:qFormat/>
    <w:rsid w:val="0004098F"/>
    <w:pPr>
      <w:numPr>
        <w:numId w:val="4"/>
      </w:numPr>
      <w:tabs>
        <w:tab w:val="clear" w:pos="1247"/>
        <w:tab w:val="clear" w:pos="1814"/>
        <w:tab w:val="clear" w:pos="2381"/>
        <w:tab w:val="clear" w:pos="2948"/>
        <w:tab w:val="clear" w:pos="3515"/>
      </w:tabs>
      <w:adjustRightInd w:val="0"/>
      <w:spacing w:before="240" w:after="240"/>
      <w:ind w:left="0" w:firstLine="0"/>
    </w:pPr>
    <w:rPr>
      <w:rFonts w:asciiTheme="minorHAnsi" w:eastAsiaTheme="minorEastAsia" w:hAnsiTheme="minorHAnsi" w:cs="Verdana"/>
      <w:bCs/>
      <w:color w:val="000000"/>
      <w:sz w:val="24"/>
      <w:szCs w:val="24"/>
      <w:lang w:val="en-US" w:eastAsia="zh-CN"/>
    </w:rPr>
  </w:style>
  <w:style w:type="character" w:customStyle="1" w:styleId="MainParagraphwithChar">
    <w:name w:val="Main Paragraph with # Char"/>
    <w:basedOn w:val="DefaultParagraphFont"/>
    <w:link w:val="MainParagraphwith"/>
    <w:rsid w:val="0004098F"/>
    <w:rPr>
      <w:rFonts w:asciiTheme="minorHAnsi" w:eastAsiaTheme="minorEastAsia" w:hAnsiTheme="minorHAnsi" w:cs="Verdana"/>
      <w:bCs/>
      <w:color w:val="000000"/>
      <w:sz w:val="24"/>
      <w:szCs w:val="24"/>
      <w:lang w:val="en-US"/>
    </w:rPr>
  </w:style>
  <w:style w:type="character" w:customStyle="1" w:styleId="UnresolvedMention1">
    <w:name w:val="Unresolved Mention1"/>
    <w:basedOn w:val="DefaultParagraphFont"/>
    <w:uiPriority w:val="99"/>
    <w:semiHidden/>
    <w:unhideWhenUsed/>
    <w:rsid w:val="00F91674"/>
    <w:rPr>
      <w:color w:val="605E5C"/>
      <w:shd w:val="clear" w:color="auto" w:fill="E1DFDD"/>
    </w:rPr>
  </w:style>
  <w:style w:type="character" w:customStyle="1" w:styleId="NormalnumberChar">
    <w:name w:val="Normal_number Char"/>
    <w:link w:val="Normalnumber"/>
    <w:locked/>
    <w:rsid w:val="0032612A"/>
    <w:rPr>
      <w:lang w:eastAsia="en-US"/>
    </w:rPr>
  </w:style>
  <w:style w:type="paragraph" w:styleId="TOCHeading">
    <w:name w:val="TOC Heading"/>
    <w:basedOn w:val="Heading1"/>
    <w:next w:val="Normal"/>
    <w:uiPriority w:val="39"/>
    <w:unhideWhenUsed/>
    <w:qFormat/>
    <w:rsid w:val="00E953EE"/>
    <w:pPr>
      <w:keepLines/>
      <w:spacing w:after="0"/>
      <w:ind w:left="0" w:firstLine="0"/>
      <w:outlineLvl w:val="9"/>
    </w:pPr>
    <w:rPr>
      <w:rFonts w:asciiTheme="majorHAnsi" w:eastAsiaTheme="majorEastAsia" w:hAnsiTheme="majorHAnsi" w:cstheme="majorBidi"/>
      <w:b w:val="0"/>
      <w:color w:val="365F91" w:themeColor="accent1" w:themeShade="BF"/>
      <w:sz w:val="32"/>
      <w:szCs w:val="32"/>
    </w:rPr>
  </w:style>
  <w:style w:type="character" w:customStyle="1" w:styleId="ListParagraphChar">
    <w:name w:val="List Paragraph Char"/>
    <w:aliases w:val="Bullets Char,List Paragraph1 Char,Bullets1 Char,List Paragraph11 Char,Bullets2 Char,List Paragraph12 Char,Bullets3 Char,List Paragraph13 Char,Dot pt Char,F5 List Paragraph Char,No Spacing1 Char,List Paragraph Char Char Char Char"/>
    <w:link w:val="ListParagraph"/>
    <w:uiPriority w:val="34"/>
    <w:locked/>
    <w:rsid w:val="00E953EE"/>
    <w:rPr>
      <w:lang w:eastAsia="en-US"/>
    </w:rPr>
  </w:style>
  <w:style w:type="table" w:styleId="GridTable5Dark-Accent1">
    <w:name w:val="Grid Table 5 Dark Accent 1"/>
    <w:basedOn w:val="TableNormal"/>
    <w:uiPriority w:val="50"/>
    <w:rsid w:val="00E953EE"/>
    <w:rPr>
      <w:rFonts w:eastAsia="MS Mincho"/>
      <w:szCs w:val="16"/>
      <w:lang w:val="en-US"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paragraph" w:styleId="BodyText">
    <w:name w:val="Body Text"/>
    <w:basedOn w:val="Normal"/>
    <w:link w:val="BodyTextChar"/>
    <w:uiPriority w:val="1"/>
    <w:qFormat/>
    <w:rsid w:val="00E953EE"/>
    <w:pPr>
      <w:widowControl w:val="0"/>
      <w:tabs>
        <w:tab w:val="clear" w:pos="1247"/>
        <w:tab w:val="clear" w:pos="1814"/>
        <w:tab w:val="clear" w:pos="2381"/>
        <w:tab w:val="clear" w:pos="2948"/>
        <w:tab w:val="clear" w:pos="3515"/>
      </w:tabs>
      <w:autoSpaceDE w:val="0"/>
      <w:autoSpaceDN w:val="0"/>
    </w:pPr>
    <w:rPr>
      <w:sz w:val="24"/>
      <w:szCs w:val="24"/>
      <w:lang w:val="en-US"/>
    </w:rPr>
  </w:style>
  <w:style w:type="character" w:customStyle="1" w:styleId="BodyTextChar">
    <w:name w:val="Body Text Char"/>
    <w:basedOn w:val="DefaultParagraphFont"/>
    <w:link w:val="BodyText"/>
    <w:uiPriority w:val="1"/>
    <w:rsid w:val="00E953EE"/>
    <w:rPr>
      <w:sz w:val="24"/>
      <w:szCs w:val="24"/>
      <w:lang w:val="en-US" w:eastAsia="en-US"/>
    </w:rPr>
  </w:style>
  <w:style w:type="paragraph" w:customStyle="1" w:styleId="TableParagraph">
    <w:name w:val="Table Paragraph"/>
    <w:basedOn w:val="Normal"/>
    <w:uiPriority w:val="1"/>
    <w:qFormat/>
    <w:rsid w:val="00E953EE"/>
    <w:pPr>
      <w:widowControl w:val="0"/>
      <w:tabs>
        <w:tab w:val="clear" w:pos="1247"/>
        <w:tab w:val="clear" w:pos="1814"/>
        <w:tab w:val="clear" w:pos="2381"/>
        <w:tab w:val="clear" w:pos="2948"/>
        <w:tab w:val="clear" w:pos="3515"/>
      </w:tabs>
      <w:autoSpaceDE w:val="0"/>
      <w:autoSpaceDN w:val="0"/>
      <w:spacing w:before="53"/>
    </w:pPr>
    <w:rPr>
      <w:sz w:val="22"/>
      <w:szCs w:val="22"/>
      <w:lang w:val="en-US"/>
    </w:rPr>
  </w:style>
  <w:style w:type="character" w:customStyle="1" w:styleId="UnresolvedMention2">
    <w:name w:val="Unresolved Mention2"/>
    <w:basedOn w:val="DefaultParagraphFont"/>
    <w:uiPriority w:val="99"/>
    <w:semiHidden/>
    <w:unhideWhenUsed/>
    <w:rsid w:val="00E953EE"/>
    <w:rPr>
      <w:color w:val="605E5C"/>
      <w:shd w:val="clear" w:color="auto" w:fill="E1DFDD"/>
    </w:rPr>
  </w:style>
  <w:style w:type="character" w:customStyle="1" w:styleId="HeaderChar">
    <w:name w:val="Header Char"/>
    <w:basedOn w:val="DefaultParagraphFont"/>
    <w:link w:val="Header"/>
    <w:uiPriority w:val="99"/>
    <w:rsid w:val="00E953EE"/>
    <w:rPr>
      <w:b/>
      <w:sz w:val="18"/>
      <w:lang w:eastAsia="en-US"/>
    </w:rPr>
  </w:style>
  <w:style w:type="character" w:customStyle="1" w:styleId="FooterChar">
    <w:name w:val="Footer Char"/>
    <w:basedOn w:val="DefaultParagraphFont"/>
    <w:link w:val="Footer"/>
    <w:uiPriority w:val="99"/>
    <w:rsid w:val="00E953EE"/>
    <w:rPr>
      <w:sz w:val="18"/>
      <w:lang w:eastAsia="en-US"/>
    </w:rPr>
  </w:style>
  <w:style w:type="character" w:styleId="FollowedHyperlink">
    <w:name w:val="FollowedHyperlink"/>
    <w:basedOn w:val="DefaultParagraphFont"/>
    <w:uiPriority w:val="99"/>
    <w:semiHidden/>
    <w:unhideWhenUsed/>
    <w:rsid w:val="00E953EE"/>
    <w:rPr>
      <w:color w:val="954F72"/>
      <w:u w:val="single"/>
    </w:rPr>
  </w:style>
  <w:style w:type="paragraph" w:customStyle="1" w:styleId="msonormal0">
    <w:name w:val="msonormal"/>
    <w:basedOn w:val="Normal"/>
    <w:rsid w:val="00E953EE"/>
    <w:pPr>
      <w:tabs>
        <w:tab w:val="clear" w:pos="1247"/>
        <w:tab w:val="clear" w:pos="1814"/>
        <w:tab w:val="clear" w:pos="2381"/>
        <w:tab w:val="clear" w:pos="2948"/>
        <w:tab w:val="clear" w:pos="3515"/>
      </w:tabs>
      <w:spacing w:before="100" w:beforeAutospacing="1" w:after="100" w:afterAutospacing="1"/>
    </w:pPr>
    <w:rPr>
      <w:sz w:val="24"/>
      <w:szCs w:val="24"/>
      <w:lang w:val="en-US"/>
    </w:rPr>
  </w:style>
  <w:style w:type="paragraph" w:customStyle="1" w:styleId="xl65">
    <w:name w:val="xl65"/>
    <w:basedOn w:val="Normal"/>
    <w:rsid w:val="00E953EE"/>
    <w:pPr>
      <w:tabs>
        <w:tab w:val="clear" w:pos="1247"/>
        <w:tab w:val="clear" w:pos="1814"/>
        <w:tab w:val="clear" w:pos="2381"/>
        <w:tab w:val="clear" w:pos="2948"/>
        <w:tab w:val="clear" w:pos="3515"/>
      </w:tabs>
      <w:spacing w:before="100" w:beforeAutospacing="1" w:after="100" w:afterAutospacing="1"/>
      <w:textAlignment w:val="top"/>
    </w:pPr>
    <w:rPr>
      <w:sz w:val="24"/>
      <w:szCs w:val="24"/>
      <w:lang w:val="en-US"/>
    </w:rPr>
  </w:style>
  <w:style w:type="paragraph" w:customStyle="1" w:styleId="xl66">
    <w:name w:val="xl66"/>
    <w:basedOn w:val="Normal"/>
    <w:rsid w:val="00E953EE"/>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top"/>
    </w:pPr>
    <w:rPr>
      <w:sz w:val="24"/>
      <w:szCs w:val="24"/>
      <w:lang w:val="en-US"/>
    </w:rPr>
  </w:style>
  <w:style w:type="paragraph" w:customStyle="1" w:styleId="xl67">
    <w:name w:val="xl67"/>
    <w:basedOn w:val="Normal"/>
    <w:rsid w:val="00E953EE"/>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top"/>
    </w:pPr>
    <w:rPr>
      <w:sz w:val="24"/>
      <w:szCs w:val="24"/>
      <w:lang w:val="en-US"/>
    </w:rPr>
  </w:style>
  <w:style w:type="paragraph" w:customStyle="1" w:styleId="xl68">
    <w:name w:val="xl68"/>
    <w:basedOn w:val="Normal"/>
    <w:rsid w:val="00E953EE"/>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top"/>
    </w:pPr>
    <w:rPr>
      <w:sz w:val="24"/>
      <w:szCs w:val="24"/>
      <w:lang w:val="en-US"/>
    </w:rPr>
  </w:style>
  <w:style w:type="character" w:customStyle="1" w:styleId="Heading1Char">
    <w:name w:val="Heading 1 Char"/>
    <w:basedOn w:val="DefaultParagraphFont"/>
    <w:link w:val="Heading1"/>
    <w:uiPriority w:val="9"/>
    <w:rsid w:val="00E953EE"/>
    <w:rPr>
      <w:b/>
      <w:sz w:val="28"/>
      <w:lang w:eastAsia="en-US"/>
    </w:rPr>
  </w:style>
  <w:style w:type="character" w:customStyle="1" w:styleId="Heading2Char">
    <w:name w:val="Heading 2 Char"/>
    <w:basedOn w:val="DefaultParagraphFont"/>
    <w:link w:val="Heading2"/>
    <w:uiPriority w:val="9"/>
    <w:rsid w:val="00E953EE"/>
    <w:rPr>
      <w:b/>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662520">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footer" Target="footer5.xml"/><Relationship Id="rId34" Type="http://schemas.openxmlformats.org/officeDocument/2006/relationships/header" Target="header12.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3.png"/><Relationship Id="rId25" Type="http://schemas.openxmlformats.org/officeDocument/2006/relationships/header" Target="header8.xml"/><Relationship Id="rId33" Type="http://schemas.openxmlformats.org/officeDocument/2006/relationships/header" Target="header11.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4.xml"/><Relationship Id="rId29" Type="http://schemas.openxmlformats.org/officeDocument/2006/relationships/chart" Target="charts/chart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7.xml"/><Relationship Id="rId32" Type="http://schemas.openxmlformats.org/officeDocument/2006/relationships/header" Target="header10.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6.xml"/><Relationship Id="rId28" Type="http://schemas.openxmlformats.org/officeDocument/2006/relationships/chart" Target="charts/chart1.xml"/><Relationship Id="rId36"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header" Target="header5.xml"/><Relationship Id="rId31"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 Id="rId22" Type="http://schemas.openxmlformats.org/officeDocument/2006/relationships/header" Target="header6.xml"/><Relationship Id="rId27" Type="http://schemas.openxmlformats.org/officeDocument/2006/relationships/footer" Target="footer7.xml"/><Relationship Id="rId30" Type="http://schemas.openxmlformats.org/officeDocument/2006/relationships/image" Target="media/image4.png"/><Relationship Id="rId35"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thegef.org/sites/default/files/council-meeting-documents/GEF.A6.05.Rev_.01_Replenishment.pdf" TargetMode="External"/><Relationship Id="rId7" Type="http://schemas.openxmlformats.org/officeDocument/2006/relationships/hyperlink" Target="https://www.thegef.org/sites/default/files/council-meeting-%20documents/GEF.A.5.09_Amendments_to_the_Instrument_April_16_2014_V3_1.pdf" TargetMode="External"/><Relationship Id="rId2" Type="http://schemas.openxmlformats.org/officeDocument/2006/relationships/hyperlink" Target="https://www.thegef.org/council-meeting-documents/initial-guidelines-enabling-activities-minamata-convention-mercury-0" TargetMode="External"/><Relationship Id="rId1" Type="http://schemas.openxmlformats.org/officeDocument/2006/relationships/hyperlink" Target="http://www.mercuryconvention.org/Implementation/SpecificInternationalProgramme/tabid/6334/language/en-US/Default.aspx" TargetMode="External"/><Relationship Id="rId6" Type="http://schemas.openxmlformats.org/officeDocument/2006/relationships/hyperlink" Target="http://www.mercuryconvention.org/Portals/11/documents/meetings/inc6/English/6_24_e_report.pdf" TargetMode="External"/><Relationship Id="rId5" Type="http://schemas.openxmlformats.org/officeDocument/2006/relationships/hyperlink" Target="http://www.mercuryconvention.org/Portals/11/documents/meetings/dipcon/english/CONF_4_Final_Act_e.pdf" TargetMode="External"/><Relationship Id="rId4" Type="http://schemas.openxmlformats.org/officeDocument/2006/relationships/hyperlink" Target="http://www.mercuryconvention.org/Portals/11/documents/meetings/inc6/English/6_24_e_report.pdf"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Keondc1ha011\UNON3\DCS\Common\docs\english\DRAFTS%202018\INSTRUMENTS\MINAMATA\1802572_excel%20files%20for%20UNEP-MC-COP-2-9.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Keondc1ha011\UNON3\DCS\Common\docs\english\DRAFTS%202018\INSTRUMENTS\MINAMATA\1802572_excel%20files%20for%20UNEP-MC-COP-2-9.xlsx"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Sheet1!$C$22</c:f>
              <c:strCache>
                <c:ptCount val="1"/>
                <c:pt idx="0">
                  <c:v>Number of applications</c:v>
                </c:pt>
              </c:strCache>
            </c:strRef>
          </c:tx>
          <c:dPt>
            <c:idx val="0"/>
            <c:bubble3D val="0"/>
            <c:spPr>
              <a:solidFill>
                <a:schemeClr val="accent6"/>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1-1B78-4CD7-9499-3B358470862D}"/>
              </c:ext>
            </c:extLst>
          </c:dPt>
          <c:dPt>
            <c:idx val="1"/>
            <c:bubble3D val="0"/>
            <c:spPr>
              <a:solidFill>
                <a:schemeClr val="accent5"/>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3-1B78-4CD7-9499-3B358470862D}"/>
              </c:ext>
            </c:extLst>
          </c:dPt>
          <c:dPt>
            <c:idx val="2"/>
            <c:bubble3D val="0"/>
            <c:spPr>
              <a:solidFill>
                <a:schemeClr val="accent4"/>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5-1B78-4CD7-9499-3B358470862D}"/>
              </c:ext>
            </c:extLst>
          </c:dPt>
          <c:dPt>
            <c:idx val="3"/>
            <c:bubble3D val="0"/>
            <c:spPr>
              <a:solidFill>
                <a:schemeClr val="accent6">
                  <a:lumMod val="60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7-1B78-4CD7-9499-3B358470862D}"/>
              </c:ext>
            </c:extLst>
          </c:dPt>
          <c:dLbls>
            <c:delete val="1"/>
          </c:dLbls>
          <c:cat>
            <c:strRef>
              <c:f>Sheet1!$B$23:$B$26</c:f>
              <c:strCache>
                <c:ptCount val="4"/>
                <c:pt idx="0">
                  <c:v>Africa (5)</c:v>
                </c:pt>
                <c:pt idx="1">
                  <c:v>LAC (7)</c:v>
                </c:pt>
                <c:pt idx="2">
                  <c:v>Asia (5)</c:v>
                </c:pt>
                <c:pt idx="3">
                  <c:v>CEE (2)</c:v>
                </c:pt>
              </c:strCache>
            </c:strRef>
          </c:cat>
          <c:val>
            <c:numRef>
              <c:f>Sheet1!$C$23:$C$26</c:f>
              <c:numCache>
                <c:formatCode>General</c:formatCode>
                <c:ptCount val="4"/>
                <c:pt idx="0">
                  <c:v>5</c:v>
                </c:pt>
                <c:pt idx="1">
                  <c:v>7</c:v>
                </c:pt>
                <c:pt idx="2">
                  <c:v>5</c:v>
                </c:pt>
                <c:pt idx="3">
                  <c:v>2</c:v>
                </c:pt>
              </c:numCache>
            </c:numRef>
          </c:val>
          <c:extLst>
            <c:ext xmlns:c16="http://schemas.microsoft.com/office/drawing/2014/chart" uri="{C3380CC4-5D6E-409C-BE32-E72D297353CC}">
              <c16:uniqueId val="{00000008-1B78-4CD7-9499-3B358470862D}"/>
            </c:ext>
          </c:extLst>
        </c:ser>
        <c:dLbls>
          <c:showLegendKey val="0"/>
          <c:showVal val="1"/>
          <c:showCatName val="0"/>
          <c:showSerName val="0"/>
          <c:showPercent val="0"/>
          <c:showBubbleSize val="0"/>
          <c:showLeaderLines val="1"/>
        </c:dLbls>
        <c:firstSliceAng val="0"/>
      </c:pieChart>
      <c:spPr>
        <a:noFill/>
        <a:ln>
          <a:noFill/>
        </a:ln>
        <a:effectLst/>
      </c:spPr>
    </c:plotArea>
    <c:legend>
      <c:legendPos val="r"/>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en-US"/>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Sheet1!$C$28</c:f>
              <c:strCache>
                <c:ptCount val="1"/>
                <c:pt idx="0">
                  <c:v>Number of applications</c:v>
                </c:pt>
              </c:strCache>
            </c:strRef>
          </c:tx>
          <c:dPt>
            <c:idx val="0"/>
            <c:bubble3D val="0"/>
            <c:spPr>
              <a:solidFill>
                <a:schemeClr val="accent1"/>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1-D652-4D70-AA3F-C969680E8E57}"/>
              </c:ext>
            </c:extLst>
          </c:dPt>
          <c:dPt>
            <c:idx val="1"/>
            <c:bubble3D val="0"/>
            <c:spPr>
              <a:solidFill>
                <a:schemeClr val="accent2"/>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3-D652-4D70-AA3F-C969680E8E57}"/>
              </c:ext>
            </c:extLst>
          </c:dPt>
          <c:dPt>
            <c:idx val="2"/>
            <c:bubble3D val="0"/>
            <c:spPr>
              <a:solidFill>
                <a:schemeClr val="accent3"/>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5-D652-4D70-AA3F-C969680E8E57}"/>
              </c:ext>
            </c:extLst>
          </c:dPt>
          <c:dPt>
            <c:idx val="3"/>
            <c:bubble3D val="0"/>
            <c:spPr>
              <a:solidFill>
                <a:schemeClr val="accent4"/>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7-D652-4D70-AA3F-C969680E8E57}"/>
              </c:ext>
            </c:extLst>
          </c:dPt>
          <c:cat>
            <c:strRef>
              <c:f>Sheet1!$B$29:$B$32</c:f>
              <c:strCache>
                <c:ptCount val="4"/>
                <c:pt idx="0">
                  <c:v>DCs (11)</c:v>
                </c:pt>
                <c:pt idx="1">
                  <c:v>LDCs (4)</c:v>
                </c:pt>
                <c:pt idx="2">
                  <c:v>SIDS (2)</c:v>
                </c:pt>
                <c:pt idx="3">
                  <c:v>CEITs (2)</c:v>
                </c:pt>
              </c:strCache>
            </c:strRef>
          </c:cat>
          <c:val>
            <c:numRef>
              <c:f>Sheet1!$C$29:$C$32</c:f>
              <c:numCache>
                <c:formatCode>General</c:formatCode>
                <c:ptCount val="4"/>
                <c:pt idx="0">
                  <c:v>11</c:v>
                </c:pt>
                <c:pt idx="1">
                  <c:v>4</c:v>
                </c:pt>
                <c:pt idx="2">
                  <c:v>2</c:v>
                </c:pt>
                <c:pt idx="3">
                  <c:v>2</c:v>
                </c:pt>
              </c:numCache>
            </c:numRef>
          </c:val>
          <c:extLst>
            <c:ext xmlns:c16="http://schemas.microsoft.com/office/drawing/2014/chart" uri="{C3380CC4-5D6E-409C-BE32-E72D297353CC}">
              <c16:uniqueId val="{00000008-D652-4D70-AA3F-C969680E8E57}"/>
            </c:ext>
          </c:extLst>
        </c:ser>
        <c:dLbls>
          <c:showLegendKey val="0"/>
          <c:showVal val="0"/>
          <c:showCatName val="0"/>
          <c:showSerName val="0"/>
          <c:showPercent val="0"/>
          <c:showBubbleSize val="0"/>
          <c:showLeaderLines val="1"/>
        </c:dLbls>
        <c:firstSliceAng val="0"/>
      </c:pieChart>
      <c:spPr>
        <a:noFill/>
        <a:ln>
          <a:noFill/>
        </a:ln>
        <a:effectLst/>
      </c:spPr>
    </c:plotArea>
    <c:legend>
      <c:legendPos val="r"/>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en-US"/>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3">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53">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6FA431-E0AF-4154-A9B5-4C40FCEB7E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33</Pages>
  <Words>9855</Words>
  <Characters>56175</Characters>
  <Application>Microsoft Office Word</Application>
  <DocSecurity>0</DocSecurity>
  <Lines>468</Lines>
  <Paragraphs>131</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65899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Veronica Gathu</cp:lastModifiedBy>
  <cp:revision>8</cp:revision>
  <cp:lastPrinted>2019-09-27T11:41:00Z</cp:lastPrinted>
  <dcterms:created xsi:type="dcterms:W3CDTF">2019-09-27T09:15:00Z</dcterms:created>
  <dcterms:modified xsi:type="dcterms:W3CDTF">2019-09-27T11:41:00Z</dcterms:modified>
</cp:coreProperties>
</file>