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8302A" w14:textId="77777777" w:rsidR="00992024" w:rsidRDefault="000952B6" w:rsidP="000952B6">
      <w:pPr>
        <w:pStyle w:val="BBTitle"/>
      </w:pPr>
      <w:r>
        <w:t>Draft report of the group of technical experts on mercury releases</w:t>
      </w:r>
      <w:r w:rsidR="00992024">
        <w:t xml:space="preserve"> </w:t>
      </w:r>
    </w:p>
    <w:p w14:paraId="35DCCCCC" w14:textId="2CE9E548" w:rsidR="000952B6" w:rsidRPr="00992024" w:rsidRDefault="00992024" w:rsidP="000952B6">
      <w:pPr>
        <w:pStyle w:val="BBTitle"/>
        <w:rPr>
          <w:b w:val="0"/>
          <w:bCs/>
          <w:sz w:val="24"/>
          <w:szCs w:val="24"/>
        </w:rPr>
      </w:pPr>
      <w:r>
        <w:rPr>
          <w:b w:val="0"/>
          <w:bCs/>
          <w:sz w:val="24"/>
          <w:szCs w:val="24"/>
        </w:rPr>
        <w:t xml:space="preserve">Comments on this draft should be sent to </w:t>
      </w:r>
      <w:hyperlink r:id="rId14" w:history="1">
        <w:r w:rsidRPr="005A31F0">
          <w:rPr>
            <w:rStyle w:val="Hyperlink"/>
            <w:b w:val="0"/>
            <w:bCs/>
            <w:sz w:val="24"/>
            <w:szCs w:val="24"/>
            <w:lang w:val="en-GB"/>
          </w:rPr>
          <w:t>mea-minamatasecretariat@un.org</w:t>
        </w:r>
      </w:hyperlink>
      <w:r>
        <w:rPr>
          <w:b w:val="0"/>
          <w:bCs/>
          <w:sz w:val="24"/>
          <w:szCs w:val="24"/>
        </w:rPr>
        <w:t xml:space="preserve"> by </w:t>
      </w:r>
      <w:r w:rsidRPr="00992024">
        <w:rPr>
          <w:b w:val="0"/>
          <w:bCs/>
          <w:sz w:val="24"/>
          <w:szCs w:val="24"/>
        </w:rPr>
        <w:t>Friday 23 July 2021</w:t>
      </w:r>
    </w:p>
    <w:p w14:paraId="2AAB80E9" w14:textId="77777777" w:rsidR="0026014C" w:rsidRPr="0026014C" w:rsidRDefault="0026014C" w:rsidP="0026014C">
      <w:pPr>
        <w:pStyle w:val="CH2"/>
        <w:rPr>
          <w:lang w:eastAsia="zh-CN"/>
        </w:rPr>
      </w:pPr>
      <w:r>
        <w:rPr>
          <w:lang w:eastAsia="zh-CN"/>
        </w:rPr>
        <w:tab/>
      </w:r>
      <w:r>
        <w:rPr>
          <w:lang w:eastAsia="zh-CN"/>
        </w:rPr>
        <w:tab/>
      </w:r>
      <w:r w:rsidRPr="0026014C">
        <w:rPr>
          <w:lang w:eastAsia="zh-CN"/>
        </w:rPr>
        <w:t>Background</w:t>
      </w:r>
    </w:p>
    <w:p w14:paraId="6AFCBC07" w14:textId="541A19BE" w:rsidR="000952B6" w:rsidRDefault="000952B6" w:rsidP="000952B6">
      <w:pPr>
        <w:pStyle w:val="Normal-pool"/>
        <w:tabs>
          <w:tab w:val="clear" w:pos="1247"/>
          <w:tab w:val="clear" w:pos="1814"/>
          <w:tab w:val="clear" w:pos="2381"/>
          <w:tab w:val="clear" w:pos="2948"/>
          <w:tab w:val="clear" w:pos="3515"/>
          <w:tab w:val="clear" w:pos="4082"/>
          <w:tab w:val="left" w:pos="624"/>
        </w:tabs>
        <w:spacing w:after="120"/>
        <w:ind w:left="1247"/>
        <w:rPr>
          <w:rFonts w:asciiTheme="majorBidi" w:hAnsiTheme="majorBidi" w:cstheme="majorBidi"/>
        </w:rPr>
      </w:pPr>
      <w:r>
        <w:rPr>
          <w:rFonts w:asciiTheme="majorBidi" w:hAnsiTheme="majorBidi" w:cstheme="majorBidi"/>
        </w:rPr>
        <w:t xml:space="preserve">The </w:t>
      </w:r>
      <w:r w:rsidRPr="000952B6">
        <w:t>Conference</w:t>
      </w:r>
      <w:r>
        <w:rPr>
          <w:rFonts w:asciiTheme="majorBidi" w:hAnsiTheme="majorBidi" w:cstheme="majorBidi"/>
        </w:rPr>
        <w:t xml:space="preserve"> of the Parties, in its decision MC-2/3, established a group of technical experts </w:t>
      </w:r>
      <w:r w:rsidR="003D5328">
        <w:rPr>
          <w:rFonts w:asciiTheme="majorBidi" w:hAnsiTheme="majorBidi" w:cstheme="majorBidi"/>
        </w:rPr>
        <w:t xml:space="preserve">to </w:t>
      </w:r>
      <w:r w:rsidRPr="0064147E">
        <w:rPr>
          <w:rFonts w:asciiTheme="majorBidi" w:hAnsiTheme="majorBidi" w:cstheme="majorBidi"/>
        </w:rPr>
        <w:t>develop draft guidance on methodologies for the preparation of inventories for a list of potentially relevant point source categories</w:t>
      </w:r>
      <w:r w:rsidR="00AE23C0">
        <w:rPr>
          <w:rFonts w:asciiTheme="majorBidi" w:hAnsiTheme="majorBidi" w:cstheme="majorBidi"/>
        </w:rPr>
        <w:t xml:space="preserve"> of mercury release to </w:t>
      </w:r>
      <w:r w:rsidR="00A84A86">
        <w:rPr>
          <w:rFonts w:asciiTheme="majorBidi" w:hAnsiTheme="majorBidi" w:cstheme="majorBidi"/>
        </w:rPr>
        <w:t>land and water</w:t>
      </w:r>
      <w:r>
        <w:rPr>
          <w:rFonts w:asciiTheme="majorBidi" w:hAnsiTheme="majorBidi" w:cstheme="majorBidi"/>
        </w:rPr>
        <w:t>.</w:t>
      </w:r>
    </w:p>
    <w:p w14:paraId="7CC6458F" w14:textId="77777777" w:rsidR="000952B6" w:rsidRDefault="000952B6" w:rsidP="000952B6">
      <w:pPr>
        <w:pStyle w:val="Normal-pool"/>
        <w:tabs>
          <w:tab w:val="clear" w:pos="1247"/>
          <w:tab w:val="clear" w:pos="1814"/>
          <w:tab w:val="clear" w:pos="2381"/>
          <w:tab w:val="clear" w:pos="2948"/>
          <w:tab w:val="clear" w:pos="3515"/>
          <w:tab w:val="clear" w:pos="4082"/>
          <w:tab w:val="left" w:pos="624"/>
        </w:tabs>
        <w:spacing w:after="120"/>
        <w:ind w:left="1247"/>
        <w:rPr>
          <w:rFonts w:asciiTheme="majorBidi" w:hAnsiTheme="majorBidi" w:cstheme="majorBidi"/>
        </w:rPr>
      </w:pPr>
      <w:r>
        <w:rPr>
          <w:rFonts w:asciiTheme="majorBidi" w:hAnsiTheme="majorBidi" w:cstheme="majorBidi"/>
        </w:rPr>
        <w:t xml:space="preserve">The Conference at its third meeting in November 2019 considered the report from the group, and in its decision MC-3/4 </w:t>
      </w:r>
      <w:r w:rsidRPr="0008717B">
        <w:rPr>
          <w:rFonts w:asciiTheme="majorBidi" w:hAnsiTheme="majorBidi" w:cstheme="majorBidi"/>
        </w:rPr>
        <w:t>request</w:t>
      </w:r>
      <w:r>
        <w:rPr>
          <w:rFonts w:asciiTheme="majorBidi" w:hAnsiTheme="majorBidi" w:cstheme="majorBidi"/>
        </w:rPr>
        <w:t>ed</w:t>
      </w:r>
      <w:r w:rsidRPr="0008717B">
        <w:rPr>
          <w:rFonts w:asciiTheme="majorBidi" w:hAnsiTheme="majorBidi" w:cstheme="majorBidi"/>
        </w:rPr>
        <w:t xml:space="preserve"> the group</w:t>
      </w:r>
      <w:r>
        <w:rPr>
          <w:rFonts w:asciiTheme="majorBidi" w:hAnsiTheme="majorBidi" w:cstheme="majorBidi"/>
        </w:rPr>
        <w:t xml:space="preserve"> to </w:t>
      </w:r>
      <w:r w:rsidRPr="0064147E">
        <w:rPr>
          <w:rFonts w:asciiTheme="majorBidi" w:hAnsiTheme="majorBidi" w:cstheme="majorBidi"/>
        </w:rPr>
        <w:t xml:space="preserve">continue to work </w:t>
      </w:r>
      <w:r>
        <w:rPr>
          <w:rFonts w:asciiTheme="majorBidi" w:hAnsiTheme="majorBidi" w:cstheme="majorBidi"/>
        </w:rPr>
        <w:t>and</w:t>
      </w:r>
      <w:r w:rsidRPr="0064147E">
        <w:rPr>
          <w:rFonts w:asciiTheme="majorBidi" w:hAnsiTheme="majorBidi" w:cstheme="majorBidi"/>
        </w:rPr>
        <w:t xml:space="preserve"> to produce a report including</w:t>
      </w:r>
      <w:r>
        <w:rPr>
          <w:rFonts w:asciiTheme="majorBidi" w:hAnsiTheme="majorBidi" w:cstheme="majorBidi"/>
        </w:rPr>
        <w:t>:</w:t>
      </w:r>
    </w:p>
    <w:p w14:paraId="5D678A3D" w14:textId="77777777" w:rsidR="000952B6" w:rsidRPr="00402061" w:rsidRDefault="000952B6" w:rsidP="000952B6">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402061">
        <w:rPr>
          <w:rFonts w:asciiTheme="majorBidi" w:hAnsiTheme="majorBidi" w:cstheme="majorBidi"/>
        </w:rPr>
        <w:t xml:space="preserve">Draft guidance on the methodology for preparing inventories of </w:t>
      </w:r>
      <w:proofErr w:type="gramStart"/>
      <w:r w:rsidRPr="00402061">
        <w:rPr>
          <w:rFonts w:asciiTheme="majorBidi" w:hAnsiTheme="majorBidi" w:cstheme="majorBidi"/>
        </w:rPr>
        <w:t>releases;</w:t>
      </w:r>
      <w:proofErr w:type="gramEnd"/>
    </w:p>
    <w:p w14:paraId="682F39C6" w14:textId="77777777" w:rsidR="000952B6" w:rsidRPr="00402061" w:rsidRDefault="000952B6" w:rsidP="000952B6">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402061">
        <w:rPr>
          <w:rFonts w:asciiTheme="majorBidi" w:hAnsiTheme="majorBidi" w:cstheme="majorBidi"/>
        </w:rPr>
        <w:t xml:space="preserve">Proposed categories of point sources of releases; and </w:t>
      </w:r>
    </w:p>
    <w:p w14:paraId="76C8452E" w14:textId="71F89CC4" w:rsidR="000952B6" w:rsidRPr="00402061" w:rsidRDefault="000952B6" w:rsidP="000952B6">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402061">
        <w:rPr>
          <w:rFonts w:asciiTheme="majorBidi" w:hAnsiTheme="majorBidi" w:cstheme="majorBidi"/>
        </w:rPr>
        <w:t xml:space="preserve">A </w:t>
      </w:r>
      <w:bookmarkStart w:id="0" w:name="_Hlk67313982"/>
      <w:r w:rsidRPr="00402061">
        <w:rPr>
          <w:rFonts w:asciiTheme="majorBidi" w:hAnsiTheme="majorBidi" w:cstheme="majorBidi"/>
        </w:rPr>
        <w:t>road map for the development of guidance on best available techniques and best environmental practices</w:t>
      </w:r>
      <w:bookmarkEnd w:id="0"/>
      <w:r w:rsidR="0026014C">
        <w:rPr>
          <w:rFonts w:asciiTheme="majorBidi" w:hAnsiTheme="majorBidi" w:cstheme="majorBidi"/>
        </w:rPr>
        <w:t xml:space="preserve"> (BAT/BEP)</w:t>
      </w:r>
      <w:r w:rsidRPr="00402061">
        <w:rPr>
          <w:rFonts w:asciiTheme="majorBidi" w:hAnsiTheme="majorBidi" w:cstheme="majorBidi"/>
        </w:rPr>
        <w:t xml:space="preserve">. </w:t>
      </w:r>
    </w:p>
    <w:p w14:paraId="7C12F742" w14:textId="77777777" w:rsidR="000952B6" w:rsidRPr="0008717B" w:rsidRDefault="000952B6" w:rsidP="000952B6">
      <w:pPr>
        <w:pStyle w:val="Normal-pool"/>
        <w:tabs>
          <w:tab w:val="clear" w:pos="1247"/>
          <w:tab w:val="clear" w:pos="1814"/>
          <w:tab w:val="clear" w:pos="2381"/>
          <w:tab w:val="clear" w:pos="2948"/>
          <w:tab w:val="clear" w:pos="3515"/>
          <w:tab w:val="clear" w:pos="4082"/>
          <w:tab w:val="left" w:pos="624"/>
        </w:tabs>
        <w:spacing w:after="120"/>
        <w:ind w:left="1247"/>
        <w:rPr>
          <w:rFonts w:asciiTheme="majorBidi" w:hAnsiTheme="majorBidi" w:cstheme="majorBidi"/>
        </w:rPr>
      </w:pPr>
      <w:r>
        <w:rPr>
          <w:rFonts w:asciiTheme="majorBidi" w:hAnsiTheme="majorBidi" w:cstheme="majorBidi"/>
        </w:rPr>
        <w:t xml:space="preserve">In the same decision, the Conference requested the group </w:t>
      </w:r>
      <w:r w:rsidRPr="0008717B">
        <w:rPr>
          <w:rFonts w:asciiTheme="majorBidi" w:hAnsiTheme="majorBidi" w:cstheme="majorBidi"/>
        </w:rPr>
        <w:t>to base its work on the following considerations:</w:t>
      </w:r>
    </w:p>
    <w:p w14:paraId="7EA4A16C" w14:textId="77777777" w:rsidR="000952B6" w:rsidRPr="0008717B" w:rsidRDefault="000952B6" w:rsidP="000952B6">
      <w:pPr>
        <w:pStyle w:val="Normal-pool"/>
        <w:numPr>
          <w:ilvl w:val="0"/>
          <w:numId w:val="19"/>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08717B">
        <w:rPr>
          <w:rFonts w:asciiTheme="majorBidi" w:hAnsiTheme="majorBidi" w:cstheme="majorBidi"/>
        </w:rPr>
        <w:t xml:space="preserve">The proposed categories should not include potentially significant relevant point sources for which releases are addressed in other provisions of the Minamata Convention on Mercury, irrespective of whether those other provisions include an inventory </w:t>
      </w:r>
      <w:proofErr w:type="gramStart"/>
      <w:r w:rsidRPr="0008717B">
        <w:rPr>
          <w:rFonts w:asciiTheme="majorBidi" w:hAnsiTheme="majorBidi" w:cstheme="majorBidi"/>
        </w:rPr>
        <w:t>obligation;</w:t>
      </w:r>
      <w:proofErr w:type="gramEnd"/>
    </w:p>
    <w:p w14:paraId="0CD1B595" w14:textId="77777777" w:rsidR="000952B6" w:rsidRPr="0008717B" w:rsidRDefault="000952B6" w:rsidP="000952B6">
      <w:pPr>
        <w:pStyle w:val="Normal-pool"/>
        <w:numPr>
          <w:ilvl w:val="0"/>
          <w:numId w:val="19"/>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08717B">
        <w:rPr>
          <w:rFonts w:asciiTheme="majorBidi" w:hAnsiTheme="majorBidi" w:cstheme="majorBidi"/>
        </w:rPr>
        <w:t xml:space="preserve">Given that article 9 of the Convention concerns relevant point sources, diffuse sources should not be included in the proposed categories. The categories identified in the guidance should also be limited to those source categories for which mercury releases have been </w:t>
      </w:r>
      <w:proofErr w:type="gramStart"/>
      <w:r w:rsidRPr="0008717B">
        <w:rPr>
          <w:rFonts w:asciiTheme="majorBidi" w:hAnsiTheme="majorBidi" w:cstheme="majorBidi"/>
        </w:rPr>
        <w:t>documented;</w:t>
      </w:r>
      <w:proofErr w:type="gramEnd"/>
    </w:p>
    <w:p w14:paraId="642FC6A8" w14:textId="77777777" w:rsidR="000952B6" w:rsidRPr="0008717B" w:rsidRDefault="000952B6" w:rsidP="000952B6">
      <w:pPr>
        <w:pStyle w:val="Normal-pool"/>
        <w:numPr>
          <w:ilvl w:val="0"/>
          <w:numId w:val="19"/>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08717B">
        <w:rPr>
          <w:rFonts w:asciiTheme="majorBidi" w:hAnsiTheme="majorBidi" w:cstheme="majorBidi"/>
        </w:rPr>
        <w:t xml:space="preserve">The obligation to ensure the environmentally sound management of waste set out under the Convention addresses significant releases to land and </w:t>
      </w:r>
      <w:proofErr w:type="gramStart"/>
      <w:r w:rsidRPr="0008717B">
        <w:rPr>
          <w:rFonts w:asciiTheme="majorBidi" w:hAnsiTheme="majorBidi" w:cstheme="majorBidi"/>
        </w:rPr>
        <w:t>water;</w:t>
      </w:r>
      <w:proofErr w:type="gramEnd"/>
      <w:r w:rsidRPr="0008717B">
        <w:rPr>
          <w:rFonts w:asciiTheme="majorBidi" w:hAnsiTheme="majorBidi" w:cstheme="majorBidi"/>
        </w:rPr>
        <w:t xml:space="preserve"> </w:t>
      </w:r>
    </w:p>
    <w:p w14:paraId="17E4F758" w14:textId="77777777" w:rsidR="000952B6" w:rsidRPr="0008717B" w:rsidRDefault="000952B6" w:rsidP="000952B6">
      <w:pPr>
        <w:pStyle w:val="Normal-pool"/>
        <w:numPr>
          <w:ilvl w:val="0"/>
          <w:numId w:val="19"/>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08717B">
        <w:rPr>
          <w:rFonts w:asciiTheme="majorBidi" w:hAnsiTheme="majorBidi" w:cstheme="majorBidi"/>
        </w:rPr>
        <w:t xml:space="preserve">While wastewater is addressed under article 9, </w:t>
      </w:r>
      <w:r>
        <w:rPr>
          <w:rFonts w:asciiTheme="majorBidi" w:hAnsiTheme="majorBidi" w:cstheme="majorBidi"/>
        </w:rPr>
        <w:t>P</w:t>
      </w:r>
      <w:r w:rsidRPr="0008717B">
        <w:rPr>
          <w:rFonts w:asciiTheme="majorBidi" w:hAnsiTheme="majorBidi" w:cstheme="majorBidi"/>
        </w:rPr>
        <w:t xml:space="preserve">arties may additionally control wastewater under article 11 of the </w:t>
      </w:r>
      <w:proofErr w:type="gramStart"/>
      <w:r w:rsidRPr="0008717B">
        <w:rPr>
          <w:rFonts w:asciiTheme="majorBidi" w:hAnsiTheme="majorBidi" w:cstheme="majorBidi"/>
        </w:rPr>
        <w:t>Convention;</w:t>
      </w:r>
      <w:proofErr w:type="gramEnd"/>
    </w:p>
    <w:p w14:paraId="45F1BC6A" w14:textId="77777777" w:rsidR="000952B6" w:rsidRPr="0008717B" w:rsidRDefault="000952B6" w:rsidP="000952B6">
      <w:pPr>
        <w:pStyle w:val="Normal-pool"/>
        <w:numPr>
          <w:ilvl w:val="0"/>
          <w:numId w:val="19"/>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08717B">
        <w:rPr>
          <w:rFonts w:asciiTheme="majorBidi" w:hAnsiTheme="majorBidi" w:cstheme="majorBidi"/>
        </w:rPr>
        <w:t xml:space="preserve">Subject to the completion of the work outlined above, and with a view to helping </w:t>
      </w:r>
      <w:r>
        <w:rPr>
          <w:rFonts w:asciiTheme="majorBidi" w:hAnsiTheme="majorBidi" w:cstheme="majorBidi"/>
        </w:rPr>
        <w:t>P</w:t>
      </w:r>
      <w:r w:rsidRPr="0008717B">
        <w:rPr>
          <w:rFonts w:asciiTheme="majorBidi" w:hAnsiTheme="majorBidi" w:cstheme="majorBidi"/>
        </w:rPr>
        <w:t>arties that wish to widen the scope of the inventory referred to in paragraph 6 of article 9 to additional point sources other than those covered by article 9, the guidance on the methodology for preparing inventories of releases should also provide information on significant point sources of releases covered by other provisions of the Convention.</w:t>
      </w:r>
    </w:p>
    <w:p w14:paraId="476A7388" w14:textId="61CB3E84" w:rsidR="0026014C" w:rsidRPr="0026014C" w:rsidRDefault="0026014C" w:rsidP="0026014C">
      <w:pPr>
        <w:pStyle w:val="CH2"/>
        <w:rPr>
          <w:lang w:eastAsia="zh-CN"/>
        </w:rPr>
      </w:pPr>
      <w:r>
        <w:rPr>
          <w:lang w:eastAsia="zh-CN"/>
        </w:rPr>
        <w:tab/>
      </w:r>
      <w:r>
        <w:rPr>
          <w:lang w:eastAsia="zh-CN"/>
        </w:rPr>
        <w:tab/>
      </w:r>
      <w:r w:rsidRPr="0026014C">
        <w:rPr>
          <w:lang w:eastAsia="zh-CN"/>
        </w:rPr>
        <w:t xml:space="preserve">Relationship between Articles 9 and </w:t>
      </w:r>
      <w:r w:rsidR="002217C7">
        <w:rPr>
          <w:lang w:eastAsia="zh-CN"/>
        </w:rPr>
        <w:t>other articles</w:t>
      </w:r>
    </w:p>
    <w:p w14:paraId="72865934" w14:textId="085A7E1F" w:rsidR="00BE4F9A" w:rsidRDefault="00BE4F9A" w:rsidP="002217C7">
      <w:pPr>
        <w:pStyle w:val="Normal-pool"/>
        <w:tabs>
          <w:tab w:val="left" w:pos="624"/>
        </w:tabs>
        <w:spacing w:after="120"/>
        <w:ind w:left="1247"/>
        <w:rPr>
          <w:rFonts w:asciiTheme="majorBidi" w:hAnsiTheme="majorBidi" w:cstheme="majorBidi"/>
        </w:rPr>
      </w:pPr>
      <w:r w:rsidRPr="00BE4F9A">
        <w:rPr>
          <w:rFonts w:asciiTheme="majorBidi" w:hAnsiTheme="majorBidi" w:cstheme="majorBidi"/>
        </w:rPr>
        <w:t xml:space="preserve">The group of experts on mercury releases considered the relationship between Article 9 and </w:t>
      </w:r>
      <w:r w:rsidR="002217C7">
        <w:rPr>
          <w:rFonts w:asciiTheme="majorBidi" w:hAnsiTheme="majorBidi" w:cstheme="majorBidi"/>
        </w:rPr>
        <w:t>other articles</w:t>
      </w:r>
      <w:r w:rsidR="001E3A51">
        <w:rPr>
          <w:rFonts w:asciiTheme="majorBidi" w:hAnsiTheme="majorBidi" w:cstheme="majorBidi"/>
        </w:rPr>
        <w:t xml:space="preserve"> </w:t>
      </w:r>
      <w:r w:rsidRPr="00BE4F9A">
        <w:rPr>
          <w:rFonts w:asciiTheme="majorBidi" w:hAnsiTheme="majorBidi" w:cstheme="majorBidi"/>
        </w:rPr>
        <w:t xml:space="preserve">in the </w:t>
      </w:r>
      <w:r w:rsidRPr="002217C7">
        <w:rPr>
          <w:rFonts w:asciiTheme="majorBidi" w:hAnsiTheme="majorBidi" w:cstheme="majorBidi"/>
          <w:lang w:val="en-US"/>
        </w:rPr>
        <w:t>context</w:t>
      </w:r>
      <w:r w:rsidRPr="00BE4F9A">
        <w:rPr>
          <w:rFonts w:asciiTheme="majorBidi" w:hAnsiTheme="majorBidi" w:cstheme="majorBidi"/>
        </w:rPr>
        <w:t xml:space="preserve"> of considering whether certain releases are addressed in </w:t>
      </w:r>
      <w:r w:rsidR="002217C7">
        <w:rPr>
          <w:rFonts w:asciiTheme="majorBidi" w:hAnsiTheme="majorBidi" w:cstheme="majorBidi"/>
        </w:rPr>
        <w:t>those other articles</w:t>
      </w:r>
      <w:r w:rsidRPr="00BE4F9A">
        <w:rPr>
          <w:rFonts w:asciiTheme="majorBidi" w:hAnsiTheme="majorBidi" w:cstheme="majorBidi"/>
        </w:rPr>
        <w:t xml:space="preserve"> and therefore are not subject to Article 9.</w:t>
      </w:r>
    </w:p>
    <w:p w14:paraId="21A56D48" w14:textId="77777777" w:rsidR="002217C7" w:rsidRPr="002217C7" w:rsidRDefault="002217C7" w:rsidP="002217C7">
      <w:pPr>
        <w:pStyle w:val="Normal-pool"/>
        <w:tabs>
          <w:tab w:val="left" w:pos="624"/>
        </w:tabs>
        <w:spacing w:after="120"/>
        <w:ind w:left="1247"/>
        <w:rPr>
          <w:rFonts w:asciiTheme="majorBidi" w:hAnsiTheme="majorBidi" w:cstheme="majorBidi"/>
        </w:rPr>
      </w:pPr>
      <w:r w:rsidRPr="002217C7">
        <w:rPr>
          <w:rFonts w:asciiTheme="majorBidi" w:hAnsiTheme="majorBidi" w:cstheme="majorBidi"/>
        </w:rPr>
        <w:t>The objective of the Convention is to protect human health and the environment from anthropogenic emissions and releases of mercury and mercury compounds. Articles 3 to 12 cover the life cycle of mercury and mercury compounds to accomplish this objective.</w:t>
      </w:r>
    </w:p>
    <w:p w14:paraId="17AAB651" w14:textId="312E07D1" w:rsidR="00724909" w:rsidRDefault="002217C7" w:rsidP="00724909">
      <w:pPr>
        <w:pStyle w:val="Normal-pool"/>
        <w:tabs>
          <w:tab w:val="left" w:pos="624"/>
        </w:tabs>
        <w:spacing w:after="120"/>
        <w:ind w:left="1247"/>
        <w:rPr>
          <w:rFonts w:asciiTheme="majorBidi" w:hAnsiTheme="majorBidi" w:cstheme="majorBidi"/>
          <w:highlight w:val="yellow"/>
        </w:rPr>
      </w:pPr>
      <w:r w:rsidRPr="002217C7">
        <w:rPr>
          <w:rFonts w:asciiTheme="majorBidi" w:hAnsiTheme="majorBidi" w:cstheme="majorBidi"/>
        </w:rPr>
        <w:t>Article 9 defines "releases" to mean releases of mercury or mercury compounds to land or water. Relevant source means any significant anthropogenic point source of releases as identified by a Party that is not addressed in other provisions of the Convention.</w:t>
      </w:r>
      <w:r w:rsidR="00724909">
        <w:rPr>
          <w:rFonts w:asciiTheme="majorBidi" w:hAnsiTheme="majorBidi" w:cstheme="majorBidi"/>
        </w:rPr>
        <w:t xml:space="preserve"> </w:t>
      </w:r>
      <w:r w:rsidR="00724909" w:rsidRPr="0001533C">
        <w:rPr>
          <w:rFonts w:asciiTheme="majorBidi" w:hAnsiTheme="majorBidi" w:cstheme="majorBidi"/>
        </w:rPr>
        <w:t>Accordingly, i</w:t>
      </w:r>
      <w:r w:rsidR="00273F00" w:rsidRPr="0001533C">
        <w:rPr>
          <w:rFonts w:asciiTheme="majorBidi" w:hAnsiTheme="majorBidi" w:cstheme="majorBidi"/>
        </w:rPr>
        <w:t xml:space="preserve">n identifying relevant point sources, it is for a Party to determine what releases are significant for it and which are point sources within its territory, noting that some sources are addressed in other Articles of the Convention.  </w:t>
      </w:r>
    </w:p>
    <w:p w14:paraId="50F59B3C" w14:textId="222C46F4" w:rsidR="002217C7" w:rsidRPr="002217C7" w:rsidRDefault="002217C7" w:rsidP="00724909">
      <w:pPr>
        <w:pStyle w:val="Normal-pool"/>
        <w:tabs>
          <w:tab w:val="left" w:pos="624"/>
        </w:tabs>
        <w:spacing w:after="120"/>
        <w:ind w:left="1247"/>
        <w:rPr>
          <w:rFonts w:asciiTheme="majorBidi" w:hAnsiTheme="majorBidi" w:cstheme="majorBidi"/>
        </w:rPr>
      </w:pPr>
      <w:proofErr w:type="gramStart"/>
      <w:r w:rsidRPr="00724909">
        <w:rPr>
          <w:rFonts w:asciiTheme="majorBidi" w:hAnsiTheme="majorBidi" w:cstheme="majorBidi"/>
        </w:rPr>
        <w:lastRenderedPageBreak/>
        <w:t>For the purpose of</w:t>
      </w:r>
      <w:proofErr w:type="gramEnd"/>
      <w:r w:rsidRPr="00724909">
        <w:rPr>
          <w:rFonts w:asciiTheme="majorBidi" w:hAnsiTheme="majorBidi" w:cstheme="majorBidi"/>
        </w:rPr>
        <w:t xml:space="preserve"> identifying potentially relevant point source categories, the expert group noted the following:</w:t>
      </w:r>
      <w:r w:rsidRPr="002217C7">
        <w:rPr>
          <w:rFonts w:asciiTheme="majorBidi" w:hAnsiTheme="majorBidi" w:cstheme="majorBidi"/>
        </w:rPr>
        <w:t xml:space="preserve">  </w:t>
      </w:r>
    </w:p>
    <w:p w14:paraId="303D51D1" w14:textId="3CD0D70E" w:rsidR="00573775" w:rsidRPr="001E3A51" w:rsidRDefault="00724909" w:rsidP="001E3A51">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Pr>
          <w:rFonts w:asciiTheme="majorBidi" w:hAnsiTheme="majorBidi" w:cstheme="majorBidi"/>
        </w:rPr>
        <w:t>D</w:t>
      </w:r>
      <w:r w:rsidR="00974FC2" w:rsidRPr="001E3A51">
        <w:rPr>
          <w:rFonts w:asciiTheme="majorBidi" w:hAnsiTheme="majorBidi" w:cstheme="majorBidi"/>
        </w:rPr>
        <w:t xml:space="preserve">ischarges of wastewater to a waterbody </w:t>
      </w:r>
      <w:proofErr w:type="gramStart"/>
      <w:r w:rsidR="00974FC2" w:rsidRPr="001E3A51">
        <w:rPr>
          <w:rFonts w:asciiTheme="majorBidi" w:hAnsiTheme="majorBidi" w:cstheme="majorBidi"/>
        </w:rPr>
        <w:t xml:space="preserve">are  </w:t>
      </w:r>
      <w:r>
        <w:rPr>
          <w:rFonts w:asciiTheme="majorBidi" w:hAnsiTheme="majorBidi" w:cstheme="majorBidi"/>
        </w:rPr>
        <w:t>candidate</w:t>
      </w:r>
      <w:proofErr w:type="gramEnd"/>
      <w:r>
        <w:rPr>
          <w:rFonts w:asciiTheme="majorBidi" w:hAnsiTheme="majorBidi" w:cstheme="majorBidi"/>
        </w:rPr>
        <w:t xml:space="preserve"> </w:t>
      </w:r>
      <w:r w:rsidR="00974FC2" w:rsidRPr="001E3A51">
        <w:rPr>
          <w:rFonts w:asciiTheme="majorBidi" w:hAnsiTheme="majorBidi" w:cstheme="majorBidi"/>
        </w:rPr>
        <w:t>releases</w:t>
      </w:r>
      <w:r>
        <w:rPr>
          <w:rFonts w:asciiTheme="majorBidi" w:hAnsiTheme="majorBidi" w:cstheme="majorBidi"/>
        </w:rPr>
        <w:t xml:space="preserve"> under Article 9</w:t>
      </w:r>
      <w:r w:rsidR="00563FE2" w:rsidRPr="001E3A51">
        <w:rPr>
          <w:rFonts w:asciiTheme="majorBidi" w:hAnsiTheme="majorBidi" w:cstheme="majorBidi"/>
        </w:rPr>
        <w:t xml:space="preserve">, </w:t>
      </w:r>
      <w:r w:rsidR="00974FC2" w:rsidRPr="001E3A51">
        <w:rPr>
          <w:rFonts w:asciiTheme="majorBidi" w:hAnsiTheme="majorBidi" w:cstheme="majorBidi"/>
        </w:rPr>
        <w:t>whether discharged directly to the waterbody or indirectly through an off-site wastewater treatment plant or to a common discharge pipe</w:t>
      </w:r>
      <w:r w:rsidR="001E3A51" w:rsidRPr="001E3A51">
        <w:rPr>
          <w:rFonts w:asciiTheme="majorBidi" w:hAnsiTheme="majorBidi" w:cstheme="majorBidi"/>
        </w:rPr>
        <w:t>.</w:t>
      </w:r>
    </w:p>
    <w:p w14:paraId="377DE61D" w14:textId="2D703B82" w:rsidR="002217C7" w:rsidRDefault="002217C7" w:rsidP="002217C7">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2217C7">
        <w:rPr>
          <w:rFonts w:asciiTheme="majorBidi" w:hAnsiTheme="majorBidi" w:cstheme="majorBidi"/>
        </w:rPr>
        <w:t>The deposit of mercury or mercury compounds into controlled containment areas</w:t>
      </w:r>
      <w:r w:rsidR="00A96FBF">
        <w:rPr>
          <w:rFonts w:asciiTheme="majorBidi" w:hAnsiTheme="majorBidi" w:cstheme="majorBidi"/>
        </w:rPr>
        <w:t xml:space="preserve">, </w:t>
      </w:r>
      <w:r w:rsidRPr="002217C7">
        <w:rPr>
          <w:rFonts w:asciiTheme="majorBidi" w:hAnsiTheme="majorBidi" w:cstheme="majorBidi"/>
        </w:rPr>
        <w:t xml:space="preserve">such as impoundments or piles, are not regarded as releases under Article 9, although releases to the environment can occur from containment areas </w:t>
      </w:r>
      <w:r w:rsidR="0055368B">
        <w:rPr>
          <w:rFonts w:asciiTheme="majorBidi" w:hAnsiTheme="majorBidi" w:cstheme="majorBidi"/>
        </w:rPr>
        <w:t xml:space="preserve">through </w:t>
      </w:r>
      <w:r w:rsidR="00BE1D1C">
        <w:rPr>
          <w:rFonts w:asciiTheme="majorBidi" w:hAnsiTheme="majorBidi" w:cstheme="majorBidi"/>
        </w:rPr>
        <w:t xml:space="preserve">intentional </w:t>
      </w:r>
      <w:r w:rsidR="0055368B">
        <w:rPr>
          <w:rFonts w:asciiTheme="majorBidi" w:hAnsiTheme="majorBidi" w:cstheme="majorBidi"/>
        </w:rPr>
        <w:t>controlled discharges</w:t>
      </w:r>
      <w:r w:rsidR="00A84A86">
        <w:rPr>
          <w:rStyle w:val="FootnoteReference"/>
          <w:rFonts w:cstheme="majorBidi"/>
        </w:rPr>
        <w:footnoteReference w:id="2"/>
      </w:r>
      <w:r w:rsidRPr="002217C7">
        <w:rPr>
          <w:rFonts w:asciiTheme="majorBidi" w:hAnsiTheme="majorBidi" w:cstheme="majorBidi"/>
        </w:rPr>
        <w:t xml:space="preserve">.  Releases from containment areas </w:t>
      </w:r>
      <w:r w:rsidR="00424380">
        <w:rPr>
          <w:rFonts w:asciiTheme="majorBidi" w:hAnsiTheme="majorBidi" w:cstheme="majorBidi"/>
        </w:rPr>
        <w:t xml:space="preserve">could be </w:t>
      </w:r>
      <w:r w:rsidRPr="002217C7">
        <w:rPr>
          <w:rFonts w:asciiTheme="majorBidi" w:hAnsiTheme="majorBidi" w:cstheme="majorBidi"/>
        </w:rPr>
        <w:t>potentially relevant point source releases subject to article 9.</w:t>
      </w:r>
      <w:r w:rsidR="001E3A51">
        <w:rPr>
          <w:rFonts w:asciiTheme="majorBidi" w:hAnsiTheme="majorBidi" w:cstheme="majorBidi"/>
        </w:rPr>
        <w:t xml:space="preserve"> </w:t>
      </w:r>
    </w:p>
    <w:p w14:paraId="27192604" w14:textId="77777777" w:rsidR="00BE4F9A" w:rsidRPr="00BE4F9A" w:rsidRDefault="00BE4F9A" w:rsidP="00BE4F9A">
      <w:pPr>
        <w:pStyle w:val="Normal-pool"/>
        <w:tabs>
          <w:tab w:val="left" w:pos="624"/>
        </w:tabs>
        <w:spacing w:after="120"/>
        <w:ind w:left="1247"/>
        <w:rPr>
          <w:rFonts w:asciiTheme="majorBidi" w:hAnsiTheme="majorBidi" w:cstheme="majorBidi"/>
        </w:rPr>
      </w:pPr>
      <w:r w:rsidRPr="00BE4F9A">
        <w:rPr>
          <w:rFonts w:asciiTheme="majorBidi" w:hAnsiTheme="majorBidi" w:cstheme="majorBidi"/>
        </w:rPr>
        <w:t xml:space="preserve">“Mercury wastes” are defined as substances or objects consisting of, containing or contaminated with mercury or mercury compounds in a quantity above the thresholds defined by the Conference of the Parties, that are disposed of or are intended or required to be disposed of by the provisions of national law. The definition of “mercury wastes” states that overburden, waste rock and tailings (except from primary mercury mining) are not mercury wastes unless they contain mercury or mercury compounds above thresholds defined by the Conference of the Parties.  </w:t>
      </w:r>
    </w:p>
    <w:p w14:paraId="6D00E42F" w14:textId="6F611CCD" w:rsidR="001C6566" w:rsidRPr="00BE4F9A" w:rsidRDefault="00BE4F9A" w:rsidP="005C5320">
      <w:pPr>
        <w:pStyle w:val="Normal-pool"/>
        <w:tabs>
          <w:tab w:val="left" w:pos="624"/>
        </w:tabs>
        <w:spacing w:after="120"/>
        <w:ind w:left="1247"/>
        <w:rPr>
          <w:rFonts w:asciiTheme="majorBidi" w:hAnsiTheme="majorBidi" w:cstheme="majorBidi"/>
        </w:rPr>
      </w:pPr>
      <w:r w:rsidRPr="00BE4F9A">
        <w:rPr>
          <w:rFonts w:asciiTheme="majorBidi" w:hAnsiTheme="majorBidi" w:cstheme="majorBidi"/>
        </w:rPr>
        <w:t xml:space="preserve">Article 11 provides that Parties shall take appropriate measures to ensure that mercury waste is managed in an environmentally sound manner, </w:t>
      </w:r>
      <w:proofErr w:type="gramStart"/>
      <w:r w:rsidRPr="00BE4F9A">
        <w:rPr>
          <w:rFonts w:asciiTheme="majorBidi" w:hAnsiTheme="majorBidi" w:cstheme="majorBidi"/>
        </w:rPr>
        <w:t>taking into account</w:t>
      </w:r>
      <w:proofErr w:type="gramEnd"/>
      <w:r w:rsidRPr="00BE4F9A">
        <w:rPr>
          <w:rFonts w:asciiTheme="majorBidi" w:hAnsiTheme="majorBidi" w:cstheme="majorBidi"/>
        </w:rPr>
        <w:t xml:space="preserve"> the guidelines developed under the Basel Convention on the Control of Transboundary Movements of Hazardous Wastes and Their Disposal. Article 11 thereby addresses releases of mercury to land and water that arise from the generation and management of mercury waste from a broad range of facilities and activities. </w:t>
      </w:r>
    </w:p>
    <w:p w14:paraId="06E8E4D3" w14:textId="2FE0DECF" w:rsidR="00BE4F9A" w:rsidRPr="00BE4F9A" w:rsidRDefault="00BE4F9A" w:rsidP="00BE4F9A">
      <w:pPr>
        <w:pStyle w:val="Normal-pool"/>
        <w:tabs>
          <w:tab w:val="left" w:pos="624"/>
        </w:tabs>
        <w:spacing w:after="120"/>
        <w:ind w:left="1247"/>
        <w:rPr>
          <w:rFonts w:asciiTheme="majorBidi" w:hAnsiTheme="majorBidi" w:cstheme="majorBidi"/>
        </w:rPr>
      </w:pPr>
      <w:r w:rsidRPr="00BE4F9A">
        <w:rPr>
          <w:rFonts w:asciiTheme="majorBidi" w:hAnsiTheme="majorBidi" w:cstheme="majorBidi"/>
        </w:rPr>
        <w:t>Some experts believe that wastes</w:t>
      </w:r>
      <w:r w:rsidR="00EB19BE">
        <w:rPr>
          <w:rFonts w:asciiTheme="majorBidi" w:hAnsiTheme="majorBidi" w:cstheme="majorBidi"/>
        </w:rPr>
        <w:t xml:space="preserve"> </w:t>
      </w:r>
      <w:r w:rsidR="004E5176" w:rsidRPr="00A84A86">
        <w:rPr>
          <w:rFonts w:asciiTheme="majorBidi" w:hAnsiTheme="majorBidi" w:cstheme="majorBidi"/>
        </w:rPr>
        <w:t>which are not mercury wastes as defined</w:t>
      </w:r>
      <w:r w:rsidR="004E5176">
        <w:rPr>
          <w:rFonts w:asciiTheme="majorBidi" w:hAnsiTheme="majorBidi" w:cstheme="majorBidi"/>
        </w:rPr>
        <w:t xml:space="preserve"> </w:t>
      </w:r>
      <w:r w:rsidRPr="00BE4F9A">
        <w:rPr>
          <w:rFonts w:asciiTheme="majorBidi" w:hAnsiTheme="majorBidi" w:cstheme="majorBidi"/>
        </w:rPr>
        <w:t xml:space="preserve">under Article 11 cannot be considered “addressed” because they fall outside Convention coverage, and therefore the control measures of Article 11 or other provisions of the Convention do not apply. </w:t>
      </w:r>
      <w:r w:rsidR="0089167E" w:rsidRPr="00BE4F9A">
        <w:rPr>
          <w:rFonts w:asciiTheme="majorBidi" w:hAnsiTheme="majorBidi" w:cstheme="majorBidi"/>
        </w:rPr>
        <w:t>Such wastes include</w:t>
      </w:r>
      <w:r w:rsidRPr="00BE4F9A">
        <w:rPr>
          <w:rFonts w:asciiTheme="majorBidi" w:hAnsiTheme="majorBidi" w:cstheme="majorBidi"/>
        </w:rPr>
        <w:t>:</w:t>
      </w:r>
    </w:p>
    <w:p w14:paraId="5A8ED20E" w14:textId="42F58AD6" w:rsidR="00F825F6" w:rsidRDefault="00BE4F9A" w:rsidP="00BE4F9A">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BE4F9A">
        <w:rPr>
          <w:rFonts w:asciiTheme="majorBidi" w:hAnsiTheme="majorBidi" w:cstheme="majorBidi"/>
        </w:rPr>
        <w:t xml:space="preserve">Overburden, waste rock, and tailings from mining other than primary </w:t>
      </w:r>
      <w:r w:rsidR="006A331E">
        <w:rPr>
          <w:rFonts w:asciiTheme="majorBidi" w:hAnsiTheme="majorBidi" w:cstheme="majorBidi"/>
        </w:rPr>
        <w:t xml:space="preserve">mercury </w:t>
      </w:r>
      <w:r w:rsidRPr="00BE4F9A">
        <w:rPr>
          <w:rFonts w:asciiTheme="majorBidi" w:hAnsiTheme="majorBidi" w:cstheme="majorBidi"/>
        </w:rPr>
        <w:t>mining</w:t>
      </w:r>
      <w:r w:rsidR="006A331E">
        <w:rPr>
          <w:rFonts w:asciiTheme="majorBidi" w:hAnsiTheme="majorBidi" w:cstheme="majorBidi"/>
        </w:rPr>
        <w:t>,</w:t>
      </w:r>
      <w:r w:rsidRPr="00BE4F9A">
        <w:rPr>
          <w:rFonts w:asciiTheme="majorBidi" w:hAnsiTheme="majorBidi" w:cstheme="majorBidi"/>
        </w:rPr>
        <w:t xml:space="preserve"> until the Conference of the Parties establishes thresholds for these wastes, </w:t>
      </w:r>
    </w:p>
    <w:p w14:paraId="2F9F2FDF" w14:textId="60D06CD6" w:rsidR="00BE4F9A" w:rsidRPr="00BE4F9A" w:rsidRDefault="006A331E" w:rsidP="00BE4F9A">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Pr>
          <w:rFonts w:asciiTheme="majorBidi" w:hAnsiTheme="majorBidi" w:cstheme="majorBidi"/>
        </w:rPr>
        <w:t xml:space="preserve">Tailings from mining other than primary mercury mining under the </w:t>
      </w:r>
      <w:r w:rsidRPr="00BE4F9A">
        <w:rPr>
          <w:rFonts w:asciiTheme="majorBidi" w:hAnsiTheme="majorBidi" w:cstheme="majorBidi"/>
        </w:rPr>
        <w:t>threshold</w:t>
      </w:r>
      <w:r>
        <w:rPr>
          <w:rFonts w:asciiTheme="majorBidi" w:hAnsiTheme="majorBidi" w:cstheme="majorBidi"/>
        </w:rPr>
        <w:t>s</w:t>
      </w:r>
      <w:r w:rsidRPr="00BE4F9A">
        <w:rPr>
          <w:rFonts w:asciiTheme="majorBidi" w:hAnsiTheme="majorBidi" w:cstheme="majorBidi"/>
        </w:rPr>
        <w:t xml:space="preserve"> to be established by the Conference of the Parties</w:t>
      </w:r>
      <w:r>
        <w:rPr>
          <w:rFonts w:asciiTheme="majorBidi" w:hAnsiTheme="majorBidi" w:cstheme="majorBidi"/>
        </w:rPr>
        <w:t>,</w:t>
      </w:r>
      <w:r w:rsidRPr="00BE4F9A">
        <w:rPr>
          <w:rFonts w:asciiTheme="majorBidi" w:hAnsiTheme="majorBidi" w:cstheme="majorBidi"/>
        </w:rPr>
        <w:t xml:space="preserve"> </w:t>
      </w:r>
      <w:r w:rsidR="00BE4F9A" w:rsidRPr="00BE4F9A">
        <w:rPr>
          <w:rFonts w:asciiTheme="majorBidi" w:hAnsiTheme="majorBidi" w:cstheme="majorBidi"/>
        </w:rPr>
        <w:t>and</w:t>
      </w:r>
    </w:p>
    <w:p w14:paraId="08FC40DA" w14:textId="3982B8C7" w:rsidR="00BE4F9A" w:rsidRPr="00BE4F9A" w:rsidRDefault="00BE4F9A" w:rsidP="00BE4F9A">
      <w:pPr>
        <w:pStyle w:val="Normal-pool"/>
        <w:numPr>
          <w:ilvl w:val="0"/>
          <w:numId w:val="18"/>
        </w:numPr>
        <w:tabs>
          <w:tab w:val="clear" w:pos="1247"/>
          <w:tab w:val="clear" w:pos="1814"/>
          <w:tab w:val="clear" w:pos="2381"/>
          <w:tab w:val="clear" w:pos="2948"/>
          <w:tab w:val="clear" w:pos="3515"/>
          <w:tab w:val="clear" w:pos="4082"/>
          <w:tab w:val="left" w:pos="624"/>
        </w:tabs>
        <w:spacing w:after="120"/>
        <w:rPr>
          <w:rFonts w:asciiTheme="majorBidi" w:hAnsiTheme="majorBidi" w:cstheme="majorBidi"/>
        </w:rPr>
      </w:pPr>
      <w:r w:rsidRPr="00BE4F9A">
        <w:rPr>
          <w:rFonts w:asciiTheme="majorBidi" w:hAnsiTheme="majorBidi" w:cstheme="majorBidi"/>
        </w:rPr>
        <w:t>Waste contaminated with mercury (e.g. ash</w:t>
      </w:r>
      <w:r w:rsidR="00CE5A51">
        <w:rPr>
          <w:rFonts w:asciiTheme="majorBidi" w:hAnsiTheme="majorBidi" w:cstheme="majorBidi"/>
        </w:rPr>
        <w:t xml:space="preserve">es, </w:t>
      </w:r>
      <w:proofErr w:type="gramStart"/>
      <w:r w:rsidR="00CE5A51">
        <w:rPr>
          <w:rFonts w:asciiTheme="majorBidi" w:hAnsiTheme="majorBidi" w:cstheme="majorBidi"/>
        </w:rPr>
        <w:t>slag</w:t>
      </w:r>
      <w:proofErr w:type="gramEnd"/>
      <w:r w:rsidRPr="00BE4F9A">
        <w:rPr>
          <w:rFonts w:asciiTheme="majorBidi" w:hAnsiTheme="majorBidi" w:cstheme="majorBidi"/>
        </w:rPr>
        <w:t xml:space="preserve"> and air pollution control sludges) under the threshold to be established by the Conference of the Parties.  </w:t>
      </w:r>
    </w:p>
    <w:p w14:paraId="27167292" w14:textId="1824734E" w:rsidR="003649A5" w:rsidRDefault="00BE4F9A" w:rsidP="00BE4F9A">
      <w:pPr>
        <w:pStyle w:val="Normal-pool"/>
        <w:tabs>
          <w:tab w:val="left" w:pos="624"/>
        </w:tabs>
        <w:spacing w:after="120"/>
        <w:ind w:left="1247"/>
        <w:rPr>
          <w:rFonts w:asciiTheme="majorBidi" w:hAnsiTheme="majorBidi" w:cstheme="majorBidi"/>
        </w:rPr>
      </w:pPr>
      <w:r w:rsidRPr="00BE4F9A">
        <w:rPr>
          <w:rFonts w:asciiTheme="majorBidi" w:hAnsiTheme="majorBidi" w:cstheme="majorBidi"/>
        </w:rPr>
        <w:t xml:space="preserve">Other experts believe that the risks posed by mining overburden and waste rock have been considered, </w:t>
      </w:r>
      <w:r w:rsidR="00207E47">
        <w:rPr>
          <w:rFonts w:asciiTheme="majorBidi" w:hAnsiTheme="majorBidi" w:cstheme="majorBidi"/>
        </w:rPr>
        <w:t>because</w:t>
      </w:r>
      <w:r w:rsidR="001C6566">
        <w:rPr>
          <w:rFonts w:asciiTheme="majorBidi" w:hAnsiTheme="majorBidi" w:cstheme="majorBidi"/>
        </w:rPr>
        <w:t xml:space="preserve"> </w:t>
      </w:r>
      <w:r w:rsidR="005C5320">
        <w:rPr>
          <w:rFonts w:asciiTheme="majorBidi" w:hAnsiTheme="majorBidi" w:cstheme="majorBidi"/>
        </w:rPr>
        <w:t xml:space="preserve">the </w:t>
      </w:r>
      <w:r w:rsidRPr="00BE4F9A">
        <w:rPr>
          <w:rFonts w:asciiTheme="majorBidi" w:hAnsiTheme="majorBidi" w:cstheme="majorBidi"/>
        </w:rPr>
        <w:t>Conference of the Parties determined in its decision MC-3/</w:t>
      </w:r>
      <w:r w:rsidR="00CE5A51">
        <w:rPr>
          <w:rFonts w:asciiTheme="majorBidi" w:hAnsiTheme="majorBidi" w:cstheme="majorBidi"/>
        </w:rPr>
        <w:t>5</w:t>
      </w:r>
      <w:r w:rsidRPr="00BE4F9A">
        <w:rPr>
          <w:rFonts w:asciiTheme="majorBidi" w:hAnsiTheme="majorBidi" w:cstheme="majorBidi"/>
        </w:rPr>
        <w:t xml:space="preserve"> that it is not necessary to establish thresholds for waste rock and overburden at this time, because they pose minimal risks.  Thus, these wastes and the risks they pose, having been considered and a decision made by the Conference </w:t>
      </w:r>
      <w:r w:rsidR="00E8118C">
        <w:rPr>
          <w:rFonts w:asciiTheme="majorBidi" w:hAnsiTheme="majorBidi" w:cstheme="majorBidi"/>
        </w:rPr>
        <w:t xml:space="preserve">of the Parties </w:t>
      </w:r>
      <w:r w:rsidRPr="00BE4F9A">
        <w:rPr>
          <w:rFonts w:asciiTheme="majorBidi" w:hAnsiTheme="majorBidi" w:cstheme="majorBidi"/>
        </w:rPr>
        <w:t xml:space="preserve">about the need for controls, have been addressed under Article 11.  </w:t>
      </w:r>
      <w:r w:rsidR="00E8118C">
        <w:rPr>
          <w:rFonts w:asciiTheme="majorBidi" w:hAnsiTheme="majorBidi" w:cstheme="majorBidi"/>
        </w:rPr>
        <w:t xml:space="preserve">Additionally, </w:t>
      </w:r>
      <w:r w:rsidR="00CE5A51">
        <w:rPr>
          <w:rFonts w:asciiTheme="majorBidi" w:hAnsiTheme="majorBidi" w:cstheme="majorBidi"/>
        </w:rPr>
        <w:t xml:space="preserve">some </w:t>
      </w:r>
      <w:r w:rsidR="00E8118C">
        <w:rPr>
          <w:rFonts w:asciiTheme="majorBidi" w:hAnsiTheme="majorBidi" w:cstheme="majorBidi"/>
        </w:rPr>
        <w:t xml:space="preserve">experts </w:t>
      </w:r>
      <w:r w:rsidR="00AE6A3E">
        <w:rPr>
          <w:rFonts w:asciiTheme="majorBidi" w:hAnsiTheme="majorBidi" w:cstheme="majorBidi"/>
        </w:rPr>
        <w:t xml:space="preserve">have </w:t>
      </w:r>
      <w:r w:rsidR="00E8118C">
        <w:rPr>
          <w:rFonts w:asciiTheme="majorBidi" w:hAnsiTheme="majorBidi" w:cstheme="majorBidi"/>
        </w:rPr>
        <w:t>highlight</w:t>
      </w:r>
      <w:r w:rsidR="00AE6A3E">
        <w:rPr>
          <w:rFonts w:asciiTheme="majorBidi" w:hAnsiTheme="majorBidi" w:cstheme="majorBidi"/>
        </w:rPr>
        <w:t>ed</w:t>
      </w:r>
      <w:r w:rsidR="00E8118C">
        <w:rPr>
          <w:rFonts w:asciiTheme="majorBidi" w:hAnsiTheme="majorBidi" w:cstheme="majorBidi"/>
        </w:rPr>
        <w:t xml:space="preserve"> that waste rock and overburden are not point sources and therefore </w:t>
      </w:r>
      <w:r w:rsidR="00CE5A51">
        <w:rPr>
          <w:rFonts w:asciiTheme="majorBidi" w:hAnsiTheme="majorBidi" w:cstheme="majorBidi"/>
        </w:rPr>
        <w:t xml:space="preserve">would not </w:t>
      </w:r>
      <w:r w:rsidR="00E8118C">
        <w:rPr>
          <w:rFonts w:asciiTheme="majorBidi" w:hAnsiTheme="majorBidi" w:cstheme="majorBidi"/>
        </w:rPr>
        <w:t>be considered releases under Article 9.</w:t>
      </w:r>
      <w:r w:rsidRPr="00BE4F9A">
        <w:rPr>
          <w:rFonts w:asciiTheme="majorBidi" w:hAnsiTheme="majorBidi" w:cstheme="majorBidi"/>
        </w:rPr>
        <w:t xml:space="preserve"> </w:t>
      </w:r>
      <w:r w:rsidR="003649A5" w:rsidRPr="003649A5">
        <w:rPr>
          <w:rFonts w:asciiTheme="majorBidi" w:hAnsiTheme="majorBidi" w:cstheme="majorBidi"/>
        </w:rPr>
        <w:t xml:space="preserve">Further, some experts </w:t>
      </w:r>
      <w:r w:rsidR="00A96FBF">
        <w:rPr>
          <w:rFonts w:asciiTheme="majorBidi" w:hAnsiTheme="majorBidi" w:cstheme="majorBidi"/>
        </w:rPr>
        <w:t>were</w:t>
      </w:r>
      <w:r w:rsidR="003649A5" w:rsidRPr="003649A5">
        <w:rPr>
          <w:rFonts w:asciiTheme="majorBidi" w:hAnsiTheme="majorBidi" w:cstheme="majorBidi"/>
        </w:rPr>
        <w:t xml:space="preserve"> of the view that tailings (except from primary mercury mining) are also addressed by article 11 even </w:t>
      </w:r>
      <w:r w:rsidR="00006456">
        <w:rPr>
          <w:rFonts w:asciiTheme="majorBidi" w:hAnsiTheme="majorBidi" w:cstheme="majorBidi"/>
        </w:rPr>
        <w:t>if</w:t>
      </w:r>
      <w:r w:rsidR="003649A5" w:rsidRPr="003649A5">
        <w:rPr>
          <w:rFonts w:asciiTheme="majorBidi" w:hAnsiTheme="majorBidi" w:cstheme="majorBidi"/>
        </w:rPr>
        <w:t xml:space="preserve"> they contain mercury or mercury compounds below the thresholds</w:t>
      </w:r>
      <w:r w:rsidR="00AF369A">
        <w:rPr>
          <w:rFonts w:asciiTheme="majorBidi" w:hAnsiTheme="majorBidi" w:cstheme="majorBidi"/>
        </w:rPr>
        <w:t>.</w:t>
      </w:r>
    </w:p>
    <w:p w14:paraId="50509F92" w14:textId="129E2A95" w:rsidR="00BE4F9A" w:rsidRDefault="00BE4F9A" w:rsidP="00BE4F9A">
      <w:pPr>
        <w:pStyle w:val="Normal-pool"/>
        <w:tabs>
          <w:tab w:val="left" w:pos="624"/>
        </w:tabs>
        <w:spacing w:after="120"/>
        <w:ind w:left="1247"/>
        <w:rPr>
          <w:rFonts w:asciiTheme="majorBidi" w:hAnsiTheme="majorBidi" w:cstheme="majorBidi"/>
        </w:rPr>
      </w:pPr>
      <w:r w:rsidRPr="00BE4F9A">
        <w:rPr>
          <w:rFonts w:asciiTheme="majorBidi" w:hAnsiTheme="majorBidi" w:cstheme="majorBidi"/>
        </w:rPr>
        <w:t xml:space="preserve">Development of thresholds for tailings from mining other than primary </w:t>
      </w:r>
      <w:r w:rsidR="005225B4">
        <w:rPr>
          <w:rFonts w:asciiTheme="majorBidi" w:hAnsiTheme="majorBidi" w:cstheme="majorBidi"/>
        </w:rPr>
        <w:t xml:space="preserve">mercury </w:t>
      </w:r>
      <w:r w:rsidRPr="00BE4F9A">
        <w:rPr>
          <w:rFonts w:asciiTheme="majorBidi" w:hAnsiTheme="majorBidi" w:cstheme="majorBidi"/>
        </w:rPr>
        <w:t>mining is an active discussion by the Article 11 waste expert group, with recommendations anticipated for consideration at the next Conference of the Parties.</w:t>
      </w:r>
    </w:p>
    <w:p w14:paraId="7D80E024" w14:textId="0D78097B" w:rsidR="003649A5" w:rsidRDefault="00BE4F9A" w:rsidP="00A96FBF">
      <w:pPr>
        <w:pStyle w:val="Normal-pool"/>
        <w:tabs>
          <w:tab w:val="left" w:pos="624"/>
        </w:tabs>
        <w:spacing w:after="120"/>
        <w:ind w:left="1247"/>
        <w:rPr>
          <w:rFonts w:asciiTheme="majorBidi" w:hAnsiTheme="majorBidi"/>
        </w:rPr>
      </w:pPr>
      <w:r w:rsidRPr="002217C7">
        <w:rPr>
          <w:rFonts w:asciiTheme="majorBidi" w:hAnsiTheme="majorBidi"/>
        </w:rPr>
        <w:t xml:space="preserve">The expert group could not reach </w:t>
      </w:r>
      <w:r w:rsidR="00AF369A">
        <w:rPr>
          <w:rFonts w:asciiTheme="majorBidi" w:hAnsiTheme="majorBidi"/>
        </w:rPr>
        <w:t xml:space="preserve">an </w:t>
      </w:r>
      <w:r w:rsidRPr="002217C7">
        <w:rPr>
          <w:rFonts w:asciiTheme="majorBidi" w:hAnsiTheme="majorBidi"/>
        </w:rPr>
        <w:t xml:space="preserve">agreement on whether wastes </w:t>
      </w:r>
      <w:r w:rsidR="00A84A86" w:rsidRPr="00A84A86">
        <w:rPr>
          <w:rFonts w:asciiTheme="majorBidi" w:hAnsiTheme="majorBidi" w:cstheme="majorBidi"/>
        </w:rPr>
        <w:t>which are not mercury wastes as defined</w:t>
      </w:r>
      <w:r w:rsidR="00A84A86">
        <w:rPr>
          <w:rFonts w:asciiTheme="majorBidi" w:hAnsiTheme="majorBidi" w:cstheme="majorBidi"/>
        </w:rPr>
        <w:t xml:space="preserve"> </w:t>
      </w:r>
      <w:r w:rsidRPr="002217C7">
        <w:rPr>
          <w:rFonts w:asciiTheme="majorBidi" w:hAnsiTheme="majorBidi"/>
        </w:rPr>
        <w:t xml:space="preserve">under Article 11 may </w:t>
      </w:r>
      <w:proofErr w:type="gramStart"/>
      <w:r w:rsidRPr="002217C7">
        <w:rPr>
          <w:rFonts w:asciiTheme="majorBidi" w:hAnsiTheme="majorBidi"/>
        </w:rPr>
        <w:t>be  relevant</w:t>
      </w:r>
      <w:proofErr w:type="gramEnd"/>
      <w:r w:rsidRPr="002217C7">
        <w:rPr>
          <w:rFonts w:asciiTheme="majorBidi" w:hAnsiTheme="majorBidi"/>
        </w:rPr>
        <w:t xml:space="preserve"> point source</w:t>
      </w:r>
      <w:r w:rsidR="00A30DFD">
        <w:rPr>
          <w:rFonts w:asciiTheme="majorBidi" w:hAnsiTheme="majorBidi"/>
        </w:rPr>
        <w:t>s</w:t>
      </w:r>
      <w:r w:rsidRPr="002217C7">
        <w:rPr>
          <w:rFonts w:asciiTheme="majorBidi" w:hAnsiTheme="majorBidi"/>
        </w:rPr>
        <w:t xml:space="preserve"> under Article 9</w:t>
      </w:r>
      <w:r w:rsidR="00AF369A">
        <w:rPr>
          <w:rFonts w:asciiTheme="majorBidi" w:hAnsiTheme="majorBidi"/>
        </w:rPr>
        <w:t>. T</w:t>
      </w:r>
      <w:r w:rsidRPr="002217C7">
        <w:rPr>
          <w:rFonts w:asciiTheme="majorBidi" w:hAnsiTheme="majorBidi"/>
        </w:rPr>
        <w:t xml:space="preserve">hus </w:t>
      </w:r>
      <w:r w:rsidR="00AF369A">
        <w:rPr>
          <w:rFonts w:asciiTheme="majorBidi" w:hAnsiTheme="majorBidi"/>
        </w:rPr>
        <w:t>Table 1 of Annex XX</w:t>
      </w:r>
      <w:r w:rsidRPr="002217C7">
        <w:rPr>
          <w:rFonts w:asciiTheme="majorBidi" w:hAnsiTheme="majorBidi"/>
        </w:rPr>
        <w:t xml:space="preserve"> </w:t>
      </w:r>
      <w:r w:rsidR="000233D0">
        <w:rPr>
          <w:rFonts w:asciiTheme="majorBidi" w:hAnsiTheme="majorBidi"/>
        </w:rPr>
        <w:t xml:space="preserve">presents </w:t>
      </w:r>
      <w:r w:rsidRPr="002217C7">
        <w:rPr>
          <w:rFonts w:asciiTheme="majorBidi" w:hAnsiTheme="majorBidi"/>
        </w:rPr>
        <w:t>two possible considerations by Parties in identifying relevant point sources of release</w:t>
      </w:r>
      <w:r w:rsidR="00AF369A">
        <w:rPr>
          <w:rFonts w:asciiTheme="majorBidi" w:hAnsiTheme="majorBidi"/>
        </w:rPr>
        <w:t>.</w:t>
      </w:r>
    </w:p>
    <w:p w14:paraId="217BF5A4" w14:textId="77777777" w:rsidR="000233D0" w:rsidRDefault="000233D0" w:rsidP="00A96FBF">
      <w:pPr>
        <w:pStyle w:val="Normal-pool"/>
        <w:tabs>
          <w:tab w:val="left" w:pos="624"/>
        </w:tabs>
        <w:spacing w:after="120"/>
        <w:ind w:left="1247"/>
        <w:rPr>
          <w:rFonts w:asciiTheme="majorBidi" w:hAnsiTheme="majorBidi" w:cstheme="majorBidi"/>
          <w:b/>
        </w:rPr>
      </w:pPr>
    </w:p>
    <w:p w14:paraId="59DF11FB" w14:textId="79FB3C6B" w:rsidR="0026014C" w:rsidRPr="002217C7" w:rsidRDefault="003649A5" w:rsidP="0026014C">
      <w:pPr>
        <w:pStyle w:val="CH2"/>
        <w:rPr>
          <w:lang w:eastAsia="zh-CN"/>
        </w:rPr>
      </w:pPr>
      <w:r w:rsidRPr="002217C7">
        <w:rPr>
          <w:lang w:eastAsia="zh-CN"/>
        </w:rPr>
        <w:tab/>
      </w:r>
      <w:r w:rsidRPr="002217C7">
        <w:rPr>
          <w:lang w:eastAsia="zh-CN"/>
        </w:rPr>
        <w:tab/>
      </w:r>
      <w:r w:rsidR="0026014C" w:rsidRPr="002217C7">
        <w:rPr>
          <w:lang w:eastAsia="zh-CN"/>
        </w:rPr>
        <w:t xml:space="preserve">Draft inventory guidance </w:t>
      </w:r>
    </w:p>
    <w:p w14:paraId="0F803A22" w14:textId="255A2F61" w:rsidR="0026014C" w:rsidRDefault="000952B6" w:rsidP="000952B6">
      <w:pPr>
        <w:pStyle w:val="Normal-pool"/>
        <w:tabs>
          <w:tab w:val="clear" w:pos="1247"/>
          <w:tab w:val="clear" w:pos="1814"/>
          <w:tab w:val="clear" w:pos="2381"/>
          <w:tab w:val="clear" w:pos="2948"/>
          <w:tab w:val="clear" w:pos="3515"/>
          <w:tab w:val="clear" w:pos="4082"/>
          <w:tab w:val="left" w:pos="624"/>
        </w:tabs>
        <w:spacing w:after="120"/>
        <w:ind w:left="1247"/>
        <w:rPr>
          <w:rFonts w:asciiTheme="majorBidi" w:hAnsiTheme="majorBidi" w:cstheme="majorBidi"/>
        </w:rPr>
      </w:pPr>
      <w:r>
        <w:rPr>
          <w:rFonts w:asciiTheme="majorBidi" w:hAnsiTheme="majorBidi" w:cstheme="majorBidi"/>
        </w:rPr>
        <w:t xml:space="preserve">The draft guidance </w:t>
      </w:r>
      <w:r w:rsidR="002217C7">
        <w:rPr>
          <w:rFonts w:asciiTheme="majorBidi" w:hAnsiTheme="majorBidi" w:cstheme="majorBidi"/>
        </w:rPr>
        <w:t>on</w:t>
      </w:r>
      <w:r>
        <w:rPr>
          <w:rFonts w:asciiTheme="majorBidi" w:hAnsiTheme="majorBidi" w:cstheme="majorBidi"/>
        </w:rPr>
        <w:t xml:space="preserve"> </w:t>
      </w:r>
      <w:r w:rsidRPr="00402061">
        <w:rPr>
          <w:rFonts w:asciiTheme="majorBidi" w:hAnsiTheme="majorBidi" w:cstheme="majorBidi"/>
        </w:rPr>
        <w:t>the methodology for preparing inventories of releases</w:t>
      </w:r>
      <w:r>
        <w:rPr>
          <w:rFonts w:asciiTheme="majorBidi" w:hAnsiTheme="majorBidi" w:cstheme="majorBidi"/>
        </w:rPr>
        <w:t xml:space="preserve">, which includes a list of </w:t>
      </w:r>
      <w:r w:rsidRPr="00402061">
        <w:rPr>
          <w:rFonts w:asciiTheme="majorBidi" w:hAnsiTheme="majorBidi" w:cstheme="majorBidi"/>
        </w:rPr>
        <w:t>potentially relevant point source categories</w:t>
      </w:r>
      <w:r>
        <w:rPr>
          <w:rFonts w:asciiTheme="majorBidi" w:hAnsiTheme="majorBidi" w:cstheme="majorBidi"/>
        </w:rPr>
        <w:t>, is set out as Annex XX.</w:t>
      </w:r>
    </w:p>
    <w:p w14:paraId="0FD85D81" w14:textId="77777777" w:rsidR="00965A05" w:rsidRDefault="00965A05" w:rsidP="000952B6">
      <w:pPr>
        <w:pStyle w:val="Normal-pool"/>
        <w:tabs>
          <w:tab w:val="clear" w:pos="1247"/>
          <w:tab w:val="clear" w:pos="1814"/>
          <w:tab w:val="clear" w:pos="2381"/>
          <w:tab w:val="clear" w:pos="2948"/>
          <w:tab w:val="clear" w:pos="3515"/>
          <w:tab w:val="clear" w:pos="4082"/>
          <w:tab w:val="left" w:pos="624"/>
        </w:tabs>
        <w:spacing w:after="120"/>
        <w:ind w:left="1247"/>
        <w:rPr>
          <w:rFonts w:asciiTheme="majorBidi" w:hAnsiTheme="majorBidi" w:cstheme="majorBidi"/>
        </w:rPr>
      </w:pPr>
    </w:p>
    <w:p w14:paraId="5DC1A166" w14:textId="60D82695" w:rsidR="0026014C" w:rsidRPr="0026014C" w:rsidRDefault="0026014C" w:rsidP="0026014C">
      <w:pPr>
        <w:pStyle w:val="CH2"/>
        <w:rPr>
          <w:lang w:eastAsia="zh-CN"/>
        </w:rPr>
      </w:pPr>
      <w:r>
        <w:rPr>
          <w:lang w:eastAsia="zh-CN"/>
        </w:rPr>
        <w:tab/>
      </w:r>
      <w:r>
        <w:rPr>
          <w:lang w:eastAsia="zh-CN"/>
        </w:rPr>
        <w:tab/>
        <w:t>D</w:t>
      </w:r>
      <w:r w:rsidRPr="0026014C">
        <w:rPr>
          <w:lang w:eastAsia="zh-CN"/>
        </w:rPr>
        <w:t xml:space="preserve">raft road map for the development of </w:t>
      </w:r>
      <w:r>
        <w:rPr>
          <w:lang w:eastAsia="zh-CN"/>
        </w:rPr>
        <w:t xml:space="preserve">BAT/BEP </w:t>
      </w:r>
      <w:r w:rsidRPr="0026014C">
        <w:rPr>
          <w:lang w:eastAsia="zh-CN"/>
        </w:rPr>
        <w:t>guidance</w:t>
      </w:r>
    </w:p>
    <w:p w14:paraId="65D6195B" w14:textId="45EEBE21" w:rsidR="000952B6" w:rsidRDefault="000952B6" w:rsidP="000952B6">
      <w:pPr>
        <w:pStyle w:val="Normal-pool"/>
        <w:tabs>
          <w:tab w:val="clear" w:pos="1247"/>
          <w:tab w:val="clear" w:pos="1814"/>
          <w:tab w:val="clear" w:pos="2381"/>
          <w:tab w:val="clear" w:pos="2948"/>
          <w:tab w:val="clear" w:pos="3515"/>
          <w:tab w:val="clear" w:pos="4082"/>
          <w:tab w:val="left" w:pos="624"/>
        </w:tabs>
        <w:spacing w:after="120"/>
        <w:ind w:left="1247"/>
        <w:rPr>
          <w:rFonts w:asciiTheme="majorBidi" w:hAnsiTheme="majorBidi" w:cstheme="majorBidi"/>
        </w:rPr>
      </w:pPr>
      <w:r>
        <w:rPr>
          <w:rFonts w:asciiTheme="majorBidi" w:hAnsiTheme="majorBidi" w:cstheme="majorBidi"/>
        </w:rPr>
        <w:t xml:space="preserve">The draft </w:t>
      </w:r>
      <w:r w:rsidRPr="00402061">
        <w:rPr>
          <w:rFonts w:asciiTheme="majorBidi" w:hAnsiTheme="majorBidi" w:cstheme="majorBidi"/>
        </w:rPr>
        <w:t xml:space="preserve">road map for the development of guidance on </w:t>
      </w:r>
      <w:r w:rsidR="0026014C">
        <w:rPr>
          <w:rFonts w:asciiTheme="majorBidi" w:hAnsiTheme="majorBidi" w:cstheme="majorBidi"/>
        </w:rPr>
        <w:t>BAT/BEP</w:t>
      </w:r>
      <w:r>
        <w:rPr>
          <w:rFonts w:asciiTheme="majorBidi" w:hAnsiTheme="majorBidi" w:cstheme="majorBidi"/>
        </w:rPr>
        <w:t xml:space="preserve"> is set out as Annex YY.</w:t>
      </w:r>
    </w:p>
    <w:p w14:paraId="71B26511" w14:textId="43FD4FF6" w:rsidR="00D6266D" w:rsidRDefault="00D6266D" w:rsidP="00D6266D">
      <w:pPr>
        <w:pStyle w:val="Normal-pool"/>
        <w:tabs>
          <w:tab w:val="clear" w:pos="1247"/>
          <w:tab w:val="clear" w:pos="1814"/>
          <w:tab w:val="clear" w:pos="2381"/>
          <w:tab w:val="clear" w:pos="2948"/>
          <w:tab w:val="clear" w:pos="3515"/>
          <w:tab w:val="clear" w:pos="4082"/>
          <w:tab w:val="left" w:pos="624"/>
        </w:tabs>
        <w:spacing w:after="120"/>
        <w:ind w:left="1247"/>
        <w:rPr>
          <w:b/>
          <w:sz w:val="28"/>
          <w:szCs w:val="28"/>
        </w:rPr>
      </w:pPr>
      <w:r>
        <w:br w:type="page"/>
      </w:r>
    </w:p>
    <w:p w14:paraId="6410184C" w14:textId="36BFA890" w:rsidR="000952B6" w:rsidRDefault="000952B6" w:rsidP="00B968D7">
      <w:pPr>
        <w:pStyle w:val="BBTitle"/>
      </w:pPr>
      <w:r>
        <w:lastRenderedPageBreak/>
        <w:t>Annex XX</w:t>
      </w:r>
    </w:p>
    <w:p w14:paraId="5058EEE7" w14:textId="63342F86" w:rsidR="00B968D7" w:rsidRDefault="00AD54FD" w:rsidP="00B968D7">
      <w:pPr>
        <w:pStyle w:val="BBTitle"/>
      </w:pPr>
      <w:r>
        <w:t xml:space="preserve">Draft </w:t>
      </w:r>
      <w:r w:rsidR="00B968D7" w:rsidRPr="008D0805">
        <w:t xml:space="preserve">Guidance on the methodology for preparing inventories of </w:t>
      </w:r>
      <w:r w:rsidR="00BA2708">
        <w:t>releases</w:t>
      </w:r>
      <w:r w:rsidR="00BA2708" w:rsidRPr="008D0805">
        <w:t xml:space="preserve"> </w:t>
      </w:r>
      <w:r w:rsidR="00B968D7" w:rsidRPr="008D0805">
        <w:t xml:space="preserve">pursuant to Article </w:t>
      </w:r>
      <w:r w:rsidR="00BA2708">
        <w:t>9</w:t>
      </w:r>
      <w:r w:rsidR="00BA2708" w:rsidRPr="008D0805">
        <w:t xml:space="preserve"> </w:t>
      </w:r>
      <w:r w:rsidR="00B968D7" w:rsidRPr="008D0805">
        <w:t>of the Minamata Convention on Mercury</w:t>
      </w:r>
      <w:r w:rsidR="0035212B">
        <w:t xml:space="preserve"> </w:t>
      </w:r>
    </w:p>
    <w:p w14:paraId="7ED1EF41" w14:textId="77777777" w:rsidR="00B968D7" w:rsidRPr="007312E5" w:rsidRDefault="00B968D7" w:rsidP="00B968D7">
      <w:pPr>
        <w:pStyle w:val="CH2"/>
        <w:rPr>
          <w:lang w:eastAsia="zh-CN"/>
        </w:rPr>
      </w:pPr>
      <w:r>
        <w:rPr>
          <w:lang w:eastAsia="zh-CN"/>
        </w:rPr>
        <w:tab/>
      </w:r>
      <w:r>
        <w:rPr>
          <w:lang w:eastAsia="zh-CN"/>
        </w:rPr>
        <w:tab/>
      </w:r>
      <w:r w:rsidRPr="007312E5">
        <w:rPr>
          <w:lang w:eastAsia="zh-CN"/>
        </w:rPr>
        <w:t>Background</w:t>
      </w:r>
    </w:p>
    <w:p w14:paraId="3C4FDB2B" w14:textId="7BF44B96" w:rsidR="00F0274D" w:rsidRDefault="00A30E1B" w:rsidP="00F0274D">
      <w:pPr>
        <w:pStyle w:val="NormalNonumber"/>
      </w:pPr>
      <w:r w:rsidRPr="00A30E1B">
        <w:t xml:space="preserve">The present document provides guidance on </w:t>
      </w:r>
      <w:r w:rsidRPr="00AD54FD">
        <w:rPr>
          <w:lang w:eastAsia="zh-CN"/>
        </w:rPr>
        <w:t xml:space="preserve">the methodology for preparing inventories of </w:t>
      </w:r>
      <w:r w:rsidR="00F37BCD">
        <w:rPr>
          <w:lang w:eastAsia="zh-CN"/>
        </w:rPr>
        <w:t xml:space="preserve">mercury </w:t>
      </w:r>
      <w:r w:rsidRPr="00AD54FD">
        <w:rPr>
          <w:lang w:eastAsia="zh-CN"/>
        </w:rPr>
        <w:t>releases</w:t>
      </w:r>
      <w:r w:rsidR="00F37BCD">
        <w:rPr>
          <w:lang w:eastAsia="zh-CN"/>
        </w:rPr>
        <w:t xml:space="preserve"> to land and water</w:t>
      </w:r>
      <w:r w:rsidRPr="00AD54FD">
        <w:rPr>
          <w:lang w:eastAsia="zh-CN"/>
        </w:rPr>
        <w:t>.</w:t>
      </w:r>
      <w:r>
        <w:rPr>
          <w:lang w:eastAsia="zh-CN"/>
        </w:rPr>
        <w:t xml:space="preserve"> This guidance </w:t>
      </w:r>
      <w:r w:rsidRPr="004C2C17">
        <w:t xml:space="preserve">is intended to provide general advice to </w:t>
      </w:r>
      <w:r w:rsidR="00F0274D">
        <w:t>P</w:t>
      </w:r>
      <w:r w:rsidRPr="004C2C17">
        <w:t xml:space="preserve">arties in non-prescriptive language, </w:t>
      </w:r>
      <w:proofErr w:type="gramStart"/>
      <w:r w:rsidRPr="004C2C17">
        <w:t xml:space="preserve">taking into </w:t>
      </w:r>
      <w:r>
        <w:t>account</w:t>
      </w:r>
      <w:proofErr w:type="gramEnd"/>
      <w:r w:rsidRPr="004C2C17">
        <w:t xml:space="preserve"> the variety of national considerations, including socioeconomic circumstances </w:t>
      </w:r>
      <w:r w:rsidR="00F0274D">
        <w:t>of Parties</w:t>
      </w:r>
      <w:r w:rsidRPr="004C2C17">
        <w:t>.</w:t>
      </w:r>
    </w:p>
    <w:p w14:paraId="56D47A90" w14:textId="33CFB929" w:rsidR="00B968D7" w:rsidRPr="00AD54FD" w:rsidRDefault="00B968D7" w:rsidP="00B968D7">
      <w:pPr>
        <w:pStyle w:val="NormalNonumber"/>
        <w:rPr>
          <w:lang w:eastAsia="zh-CN"/>
        </w:rPr>
      </w:pPr>
      <w:r w:rsidRPr="00AD54FD">
        <w:rPr>
          <w:lang w:eastAsia="zh-CN"/>
        </w:rPr>
        <w:t xml:space="preserve">Article </w:t>
      </w:r>
      <w:r w:rsidR="00BA2708" w:rsidRPr="00AD54FD">
        <w:rPr>
          <w:lang w:eastAsia="zh-CN"/>
        </w:rPr>
        <w:t xml:space="preserve">9 </w:t>
      </w:r>
      <w:r w:rsidRPr="00AD54FD">
        <w:rPr>
          <w:lang w:eastAsia="zh-CN"/>
        </w:rPr>
        <w:t xml:space="preserve">of the Minamata Convention on Mercury </w:t>
      </w:r>
      <w:r w:rsidR="003E1649">
        <w:rPr>
          <w:lang w:eastAsia="zh-CN"/>
        </w:rPr>
        <w:t>covers</w:t>
      </w:r>
      <w:r w:rsidRPr="00AD54FD">
        <w:rPr>
          <w:lang w:eastAsia="zh-CN"/>
        </w:rPr>
        <w:t xml:space="preserve"> </w:t>
      </w:r>
      <w:r w:rsidR="00BA2708" w:rsidRPr="00AD54FD">
        <w:rPr>
          <w:lang w:eastAsia="zh-CN"/>
        </w:rPr>
        <w:t xml:space="preserve">releases of mercury and mercury compounds to land and water from </w:t>
      </w:r>
      <w:r w:rsidR="003E1649">
        <w:rPr>
          <w:lang w:eastAsia="zh-CN"/>
        </w:rPr>
        <w:t xml:space="preserve">“relevant </w:t>
      </w:r>
      <w:r w:rsidR="00BA2708" w:rsidRPr="00AD54FD">
        <w:rPr>
          <w:lang w:eastAsia="zh-CN"/>
        </w:rPr>
        <w:t>sources</w:t>
      </w:r>
      <w:r w:rsidR="003E1649">
        <w:rPr>
          <w:lang w:eastAsia="zh-CN"/>
        </w:rPr>
        <w:t xml:space="preserve">”. </w:t>
      </w:r>
      <w:r w:rsidR="00BA2708" w:rsidRPr="00AD54FD">
        <w:rPr>
          <w:lang w:eastAsia="zh-CN"/>
        </w:rPr>
        <w:t xml:space="preserve"> </w:t>
      </w:r>
      <w:r w:rsidR="003E1649">
        <w:rPr>
          <w:lang w:eastAsia="zh-CN"/>
        </w:rPr>
        <w:t xml:space="preserve">Paragraph 6 of Article 9 requires </w:t>
      </w:r>
      <w:r w:rsidRPr="00AD54FD">
        <w:rPr>
          <w:lang w:eastAsia="zh-CN"/>
        </w:rPr>
        <w:t xml:space="preserve">that “[e]ach Party shall establish, as soon as practicable and no later than five years after the date of entry into force of the Convention for it, and maintain thereafter, an inventory of </w:t>
      </w:r>
      <w:r w:rsidR="00BA2708" w:rsidRPr="00AD54FD">
        <w:rPr>
          <w:lang w:eastAsia="zh-CN"/>
        </w:rPr>
        <w:t xml:space="preserve">releases </w:t>
      </w:r>
      <w:r w:rsidRPr="00AD54FD">
        <w:rPr>
          <w:lang w:eastAsia="zh-CN"/>
        </w:rPr>
        <w:t xml:space="preserve">from relevant sources”. </w:t>
      </w:r>
    </w:p>
    <w:p w14:paraId="306EBA29" w14:textId="6604A3D0" w:rsidR="009661C3" w:rsidRPr="00AD54FD" w:rsidRDefault="00FA5B04" w:rsidP="00B968D7">
      <w:pPr>
        <w:pStyle w:val="NormalNonumber"/>
        <w:rPr>
          <w:lang w:eastAsia="zh-CN"/>
        </w:rPr>
      </w:pPr>
      <w:r w:rsidRPr="00AD54FD">
        <w:rPr>
          <w:lang w:eastAsia="zh-CN"/>
        </w:rPr>
        <w:t xml:space="preserve">A </w:t>
      </w:r>
      <w:r w:rsidR="00B968D7" w:rsidRPr="00AD54FD">
        <w:rPr>
          <w:lang w:eastAsia="zh-CN"/>
        </w:rPr>
        <w:t>“</w:t>
      </w:r>
      <w:r w:rsidRPr="00AD54FD">
        <w:rPr>
          <w:lang w:eastAsia="zh-CN"/>
        </w:rPr>
        <w:t>r</w:t>
      </w:r>
      <w:r w:rsidR="00B968D7" w:rsidRPr="00AD54FD">
        <w:rPr>
          <w:lang w:eastAsia="zh-CN"/>
        </w:rPr>
        <w:t>elevant source” means a</w:t>
      </w:r>
      <w:r w:rsidR="009661C3" w:rsidRPr="00AD54FD">
        <w:rPr>
          <w:lang w:eastAsia="zh-CN"/>
        </w:rPr>
        <w:t>ny significant</w:t>
      </w:r>
      <w:r w:rsidR="00B968D7" w:rsidRPr="00AD54FD">
        <w:rPr>
          <w:lang w:eastAsia="zh-CN"/>
        </w:rPr>
        <w:t xml:space="preserve"> </w:t>
      </w:r>
      <w:r w:rsidR="009661C3" w:rsidRPr="00AD54FD">
        <w:rPr>
          <w:lang w:eastAsia="zh-CN"/>
        </w:rPr>
        <w:t xml:space="preserve">anthropogenic </w:t>
      </w:r>
      <w:r w:rsidR="00B968D7" w:rsidRPr="00AD54FD">
        <w:rPr>
          <w:lang w:eastAsia="zh-CN"/>
        </w:rPr>
        <w:t xml:space="preserve">point source </w:t>
      </w:r>
      <w:r w:rsidR="009661C3" w:rsidRPr="00AD54FD">
        <w:rPr>
          <w:lang w:eastAsia="zh-CN"/>
        </w:rPr>
        <w:t>of release as identified by a Party that is not addressed in other provisions of the Convention</w:t>
      </w:r>
      <w:r w:rsidR="00B968D7" w:rsidRPr="00AD54FD">
        <w:rPr>
          <w:lang w:eastAsia="zh-CN"/>
        </w:rPr>
        <w:t>.</w:t>
      </w:r>
      <w:r w:rsidR="009661C3" w:rsidRPr="00AD54FD">
        <w:rPr>
          <w:lang w:eastAsia="zh-CN"/>
        </w:rPr>
        <w:t xml:space="preserve"> Paragraph 3 of Article </w:t>
      </w:r>
      <w:r w:rsidR="00BF607A">
        <w:rPr>
          <w:lang w:eastAsia="zh-CN"/>
        </w:rPr>
        <w:t>9</w:t>
      </w:r>
      <w:r w:rsidR="009661C3" w:rsidRPr="00AD54FD">
        <w:rPr>
          <w:lang w:eastAsia="zh-CN"/>
        </w:rPr>
        <w:t xml:space="preserve"> provides that each Party shall, no later than three year</w:t>
      </w:r>
      <w:r w:rsidR="00FF4D62">
        <w:rPr>
          <w:lang w:eastAsia="zh-CN"/>
        </w:rPr>
        <w:t>s</w:t>
      </w:r>
      <w:r w:rsidR="009661C3" w:rsidRPr="00AD54FD">
        <w:rPr>
          <w:lang w:eastAsia="zh-CN"/>
        </w:rPr>
        <w:t xml:space="preserve"> after the date of entry into force of the Convention for it and on a regular </w:t>
      </w:r>
      <w:proofErr w:type="gramStart"/>
      <w:r w:rsidR="009661C3" w:rsidRPr="00AD54FD">
        <w:rPr>
          <w:lang w:eastAsia="zh-CN"/>
        </w:rPr>
        <w:t>basis</w:t>
      </w:r>
      <w:proofErr w:type="gramEnd"/>
      <w:r w:rsidR="009661C3" w:rsidRPr="00AD54FD">
        <w:rPr>
          <w:lang w:eastAsia="zh-CN"/>
        </w:rPr>
        <w:t xml:space="preserve"> thereafter, identify the relevant point source categories.</w:t>
      </w:r>
      <w:r w:rsidR="000308B4">
        <w:rPr>
          <w:lang w:eastAsia="zh-CN"/>
        </w:rPr>
        <w:t xml:space="preserve"> The table in the appendix </w:t>
      </w:r>
      <w:r w:rsidR="000308B4" w:rsidRPr="000308B4">
        <w:rPr>
          <w:lang w:eastAsia="zh-CN"/>
        </w:rPr>
        <w:t xml:space="preserve">lists potentially relevant categories of point sources </w:t>
      </w:r>
      <w:r w:rsidR="00F37BCD">
        <w:rPr>
          <w:lang w:eastAsia="zh-CN"/>
        </w:rPr>
        <w:t xml:space="preserve">of mercury release </w:t>
      </w:r>
      <w:r w:rsidR="000308B4" w:rsidRPr="000308B4">
        <w:rPr>
          <w:lang w:eastAsia="zh-CN"/>
        </w:rPr>
        <w:t>to assist Parties in identifying relevant point source categories</w:t>
      </w:r>
      <w:r w:rsidR="00DC47D7">
        <w:rPr>
          <w:lang w:eastAsia="zh-CN"/>
        </w:rPr>
        <w:t xml:space="preserve"> within their territories</w:t>
      </w:r>
      <w:r w:rsidR="000308B4">
        <w:rPr>
          <w:lang w:eastAsia="zh-CN"/>
        </w:rPr>
        <w:t xml:space="preserve">.  </w:t>
      </w:r>
      <w:r w:rsidR="00B968D7" w:rsidRPr="00AD54FD">
        <w:rPr>
          <w:lang w:eastAsia="zh-CN"/>
        </w:rPr>
        <w:t xml:space="preserve"> </w:t>
      </w:r>
    </w:p>
    <w:p w14:paraId="4C3259A6" w14:textId="25D593CB" w:rsidR="00B968D7" w:rsidRPr="00AD54FD" w:rsidRDefault="00B968D7" w:rsidP="00B968D7">
      <w:pPr>
        <w:pStyle w:val="NormalNonumber"/>
        <w:rPr>
          <w:lang w:eastAsia="zh-CN"/>
        </w:rPr>
      </w:pPr>
      <w:r w:rsidRPr="00AD54FD">
        <w:rPr>
          <w:lang w:eastAsia="zh-CN"/>
        </w:rPr>
        <w:t xml:space="preserve">Paragraph </w:t>
      </w:r>
      <w:r w:rsidR="009A3DA3" w:rsidRPr="00AD54FD">
        <w:rPr>
          <w:lang w:eastAsia="zh-CN"/>
        </w:rPr>
        <w:t>7</w:t>
      </w:r>
      <w:r w:rsidRPr="00AD54FD">
        <w:rPr>
          <w:lang w:eastAsia="zh-CN"/>
        </w:rPr>
        <w:t xml:space="preserve"> of Article </w:t>
      </w:r>
      <w:r w:rsidR="009A3DA3" w:rsidRPr="00AD54FD">
        <w:rPr>
          <w:lang w:eastAsia="zh-CN"/>
        </w:rPr>
        <w:t>9</w:t>
      </w:r>
      <w:r w:rsidRPr="00AD54FD">
        <w:rPr>
          <w:lang w:eastAsia="zh-CN"/>
        </w:rPr>
        <w:t xml:space="preserve"> </w:t>
      </w:r>
      <w:r w:rsidR="009A3DA3" w:rsidRPr="00AD54FD">
        <w:rPr>
          <w:lang w:eastAsia="zh-CN"/>
        </w:rPr>
        <w:t xml:space="preserve">provides </w:t>
      </w:r>
      <w:r w:rsidRPr="00AD54FD">
        <w:rPr>
          <w:lang w:eastAsia="zh-CN"/>
        </w:rPr>
        <w:t xml:space="preserve">that the Conference of the Parties shall, as soon as practicable, adopt guidance on the methodology for preparing inventories of </w:t>
      </w:r>
      <w:r w:rsidR="009A3DA3" w:rsidRPr="00AD54FD">
        <w:rPr>
          <w:lang w:eastAsia="zh-CN"/>
        </w:rPr>
        <w:t>releases</w:t>
      </w:r>
      <w:r w:rsidR="008607FF">
        <w:rPr>
          <w:lang w:eastAsia="zh-CN"/>
        </w:rPr>
        <w:t xml:space="preserve"> and for </w:t>
      </w:r>
      <w:r w:rsidR="0024574C">
        <w:rPr>
          <w:lang w:eastAsia="zh-CN"/>
        </w:rPr>
        <w:t>best available techniques and best environmental practices</w:t>
      </w:r>
      <w:r w:rsidR="00E02310">
        <w:rPr>
          <w:lang w:eastAsia="zh-CN"/>
        </w:rPr>
        <w:t xml:space="preserve"> (BAT/BEP)</w:t>
      </w:r>
      <w:r w:rsidR="008607FF">
        <w:rPr>
          <w:lang w:eastAsia="zh-CN"/>
        </w:rPr>
        <w:t xml:space="preserve"> that may be applicable to Article 9 releases</w:t>
      </w:r>
      <w:r w:rsidRPr="00AD54FD">
        <w:rPr>
          <w:lang w:eastAsia="zh-CN"/>
        </w:rPr>
        <w:t>.</w:t>
      </w:r>
    </w:p>
    <w:p w14:paraId="42A60554" w14:textId="2A22DB6E" w:rsidR="00B968D7" w:rsidRPr="00AD54FD" w:rsidRDefault="00B968D7" w:rsidP="00B968D7">
      <w:pPr>
        <w:pStyle w:val="NormalNonumber"/>
        <w:rPr>
          <w:lang w:eastAsia="zh-CN"/>
        </w:rPr>
      </w:pPr>
      <w:r w:rsidRPr="00AD54FD">
        <w:rPr>
          <w:lang w:eastAsia="zh-CN"/>
        </w:rPr>
        <w:t xml:space="preserve">Many countries, as part of their preparation for </w:t>
      </w:r>
      <w:r w:rsidR="009A3DA3" w:rsidRPr="00AD54FD">
        <w:rPr>
          <w:lang w:eastAsia="zh-CN"/>
        </w:rPr>
        <w:t>becoming a Party to</w:t>
      </w:r>
      <w:r w:rsidRPr="00AD54FD">
        <w:rPr>
          <w:lang w:eastAsia="zh-CN"/>
        </w:rPr>
        <w:t xml:space="preserve"> the Convention</w:t>
      </w:r>
      <w:r w:rsidR="009A3DA3" w:rsidRPr="00AD54FD">
        <w:rPr>
          <w:lang w:eastAsia="zh-CN"/>
        </w:rPr>
        <w:t xml:space="preserve"> and for its early implementation</w:t>
      </w:r>
      <w:r w:rsidRPr="00AD54FD">
        <w:rPr>
          <w:lang w:eastAsia="zh-CN"/>
        </w:rPr>
        <w:t xml:space="preserve">, </w:t>
      </w:r>
      <w:r w:rsidR="00FF4D62">
        <w:rPr>
          <w:lang w:eastAsia="zh-CN"/>
        </w:rPr>
        <w:t xml:space="preserve">may </w:t>
      </w:r>
      <w:r w:rsidR="00F37BCD">
        <w:rPr>
          <w:lang w:eastAsia="zh-CN"/>
        </w:rPr>
        <w:t xml:space="preserve">have </w:t>
      </w:r>
      <w:r w:rsidR="009A3DA3" w:rsidRPr="00AD54FD">
        <w:rPr>
          <w:lang w:eastAsia="zh-CN"/>
        </w:rPr>
        <w:t>develop</w:t>
      </w:r>
      <w:r w:rsidR="00F37BCD">
        <w:rPr>
          <w:lang w:eastAsia="zh-CN"/>
        </w:rPr>
        <w:t>ed</w:t>
      </w:r>
      <w:r w:rsidR="009A3DA3" w:rsidRPr="00AD54FD">
        <w:rPr>
          <w:lang w:eastAsia="zh-CN"/>
        </w:rPr>
        <w:t xml:space="preserve"> a national mercury profile, including identification of significant sources of emissions and releases, as well as </w:t>
      </w:r>
      <w:r w:rsidR="00F37BCD">
        <w:rPr>
          <w:lang w:eastAsia="zh-CN"/>
        </w:rPr>
        <w:t xml:space="preserve">national </w:t>
      </w:r>
      <w:r w:rsidR="009A3DA3" w:rsidRPr="00AD54FD">
        <w:rPr>
          <w:lang w:eastAsia="zh-CN"/>
        </w:rPr>
        <w:t>inventories of mercury and mercury compounds</w:t>
      </w:r>
      <w:r w:rsidRPr="00AD54FD">
        <w:rPr>
          <w:lang w:eastAsia="zh-CN"/>
        </w:rPr>
        <w:t xml:space="preserve">. Parties may also prepare inventories under other articles of the Convention, such as </w:t>
      </w:r>
      <w:r w:rsidR="00735AC7" w:rsidRPr="00AD54FD">
        <w:rPr>
          <w:lang w:eastAsia="zh-CN"/>
        </w:rPr>
        <w:t>A</w:t>
      </w:r>
      <w:r w:rsidRPr="00AD54FD">
        <w:rPr>
          <w:lang w:eastAsia="zh-CN"/>
        </w:rPr>
        <w:t xml:space="preserve">rticle </w:t>
      </w:r>
      <w:r w:rsidR="00735AC7" w:rsidRPr="00AD54FD">
        <w:rPr>
          <w:lang w:eastAsia="zh-CN"/>
        </w:rPr>
        <w:t>8</w:t>
      </w:r>
      <w:r w:rsidRPr="00AD54FD">
        <w:rPr>
          <w:lang w:eastAsia="zh-CN"/>
        </w:rPr>
        <w:t xml:space="preserve"> (a mandatory inventory of </w:t>
      </w:r>
      <w:r w:rsidR="00735AC7" w:rsidRPr="00AD54FD">
        <w:rPr>
          <w:lang w:eastAsia="zh-CN"/>
        </w:rPr>
        <w:t>emissions</w:t>
      </w:r>
      <w:r w:rsidRPr="00AD54FD">
        <w:rPr>
          <w:lang w:eastAsia="zh-CN"/>
        </w:rPr>
        <w:t>)</w:t>
      </w:r>
      <w:r w:rsidR="00DA19A7" w:rsidRPr="00AD54FD">
        <w:rPr>
          <w:lang w:eastAsia="zh-CN"/>
        </w:rPr>
        <w:t>, Article 18 (pollutant releases and transfer registers, PRTR)</w:t>
      </w:r>
      <w:r w:rsidRPr="00AD54FD">
        <w:rPr>
          <w:lang w:eastAsia="zh-CN"/>
        </w:rPr>
        <w:t xml:space="preserve"> and </w:t>
      </w:r>
      <w:r w:rsidR="00DA19A7" w:rsidRPr="00AD54FD">
        <w:rPr>
          <w:lang w:eastAsia="zh-CN"/>
        </w:rPr>
        <w:t xml:space="preserve">Article </w:t>
      </w:r>
      <w:r w:rsidRPr="00AD54FD">
        <w:rPr>
          <w:lang w:eastAsia="zh-CN"/>
        </w:rPr>
        <w:t>19</w:t>
      </w:r>
      <w:r w:rsidR="00DA19A7" w:rsidRPr="00AD54FD">
        <w:rPr>
          <w:lang w:eastAsia="zh-CN"/>
        </w:rPr>
        <w:t xml:space="preserve"> (inventories of use, consumption, </w:t>
      </w:r>
      <w:proofErr w:type="gramStart"/>
      <w:r w:rsidR="00DA19A7" w:rsidRPr="00AD54FD">
        <w:rPr>
          <w:lang w:eastAsia="zh-CN"/>
        </w:rPr>
        <w:t>emissions</w:t>
      </w:r>
      <w:proofErr w:type="gramEnd"/>
      <w:r w:rsidR="00DA19A7" w:rsidRPr="00AD54FD">
        <w:rPr>
          <w:lang w:eastAsia="zh-CN"/>
        </w:rPr>
        <w:t xml:space="preserve"> and releases)</w:t>
      </w:r>
      <w:r w:rsidRPr="00AD54FD">
        <w:rPr>
          <w:lang w:eastAsia="zh-CN"/>
        </w:rPr>
        <w:t xml:space="preserve">. These may involve processes distinct from those used for the inventory required under Article </w:t>
      </w:r>
      <w:r w:rsidR="00735AC7" w:rsidRPr="00AD54FD">
        <w:rPr>
          <w:lang w:eastAsia="zh-CN"/>
        </w:rPr>
        <w:t>9</w:t>
      </w:r>
      <w:r w:rsidRPr="00AD54FD">
        <w:rPr>
          <w:lang w:eastAsia="zh-CN"/>
        </w:rPr>
        <w:t xml:space="preserve">, but a </w:t>
      </w:r>
      <w:r w:rsidR="000F50D4">
        <w:rPr>
          <w:lang w:eastAsia="zh-CN"/>
        </w:rPr>
        <w:t>P</w:t>
      </w:r>
      <w:r w:rsidRPr="00AD54FD">
        <w:rPr>
          <w:lang w:eastAsia="zh-CN"/>
        </w:rPr>
        <w:t xml:space="preserve">arty may choose to use the same methodology or </w:t>
      </w:r>
      <w:r w:rsidR="00085AB1">
        <w:rPr>
          <w:lang w:eastAsia="zh-CN"/>
        </w:rPr>
        <w:t>similar</w:t>
      </w:r>
      <w:r w:rsidRPr="00AD54FD">
        <w:rPr>
          <w:lang w:eastAsia="zh-CN"/>
        </w:rPr>
        <w:t xml:space="preserve"> methodologies for all inventories</w:t>
      </w:r>
      <w:r w:rsidR="00DA19A7" w:rsidRPr="00AD54FD">
        <w:rPr>
          <w:lang w:eastAsia="zh-CN"/>
        </w:rPr>
        <w:t xml:space="preserve"> to enhance consistency and synergies</w:t>
      </w:r>
      <w:r w:rsidRPr="00AD54FD">
        <w:rPr>
          <w:lang w:eastAsia="zh-CN"/>
        </w:rPr>
        <w:t>.</w:t>
      </w:r>
    </w:p>
    <w:p w14:paraId="7627410D" w14:textId="03FD2F7A" w:rsidR="00B968D7" w:rsidRPr="00AD54FD" w:rsidRDefault="00B968D7" w:rsidP="00B968D7">
      <w:pPr>
        <w:pStyle w:val="NormalNonumber"/>
        <w:rPr>
          <w:lang w:eastAsia="zh-CN"/>
        </w:rPr>
      </w:pPr>
      <w:r w:rsidRPr="00AD54FD">
        <w:rPr>
          <w:lang w:eastAsia="zh-CN"/>
        </w:rPr>
        <w:t xml:space="preserve">A robust inventory will support </w:t>
      </w:r>
      <w:r w:rsidR="000F50D4">
        <w:rPr>
          <w:lang w:eastAsia="zh-CN"/>
        </w:rPr>
        <w:t>P</w:t>
      </w:r>
      <w:r w:rsidRPr="00AD54FD">
        <w:rPr>
          <w:lang w:eastAsia="zh-CN"/>
        </w:rPr>
        <w:t xml:space="preserve">arties in their domestic implementation of the Convention, </w:t>
      </w:r>
      <w:r w:rsidR="003E1ACE" w:rsidRPr="00AD54FD">
        <w:rPr>
          <w:lang w:eastAsia="zh-CN"/>
        </w:rPr>
        <w:t xml:space="preserve">such as the development of a national plan </w:t>
      </w:r>
      <w:r w:rsidR="00386875" w:rsidRPr="00AD54FD">
        <w:rPr>
          <w:lang w:eastAsia="zh-CN"/>
        </w:rPr>
        <w:t xml:space="preserve">setting out targets, goals and outcomes, establishment of limit values, use of </w:t>
      </w:r>
      <w:r w:rsidR="00E02310">
        <w:rPr>
          <w:lang w:eastAsia="zh-CN"/>
        </w:rPr>
        <w:t>BAT/BEP</w:t>
      </w:r>
      <w:r w:rsidR="00386875" w:rsidRPr="00AD54FD">
        <w:rPr>
          <w:lang w:eastAsia="zh-CN"/>
        </w:rPr>
        <w:t>, and multi-pollutant control strategies. It will also</w:t>
      </w:r>
      <w:r w:rsidRPr="00AD54FD">
        <w:rPr>
          <w:lang w:eastAsia="zh-CN"/>
        </w:rPr>
        <w:t xml:space="preserve"> enable them to demonstrate the extent to which implementation is achieving the objective of the Convention</w:t>
      </w:r>
      <w:r w:rsidR="00386875" w:rsidRPr="00AD54FD">
        <w:rPr>
          <w:lang w:eastAsia="zh-CN"/>
        </w:rPr>
        <w:t>, and to report on the effectiveness of the implementation measures pursuant to Article 21 (reporting)</w:t>
      </w:r>
      <w:r w:rsidRPr="00AD54FD">
        <w:rPr>
          <w:lang w:eastAsia="zh-CN"/>
        </w:rPr>
        <w:t xml:space="preserve">. It will </w:t>
      </w:r>
      <w:r w:rsidR="00386875" w:rsidRPr="00AD54FD">
        <w:rPr>
          <w:lang w:eastAsia="zh-CN"/>
        </w:rPr>
        <w:t xml:space="preserve">furthermore </w:t>
      </w:r>
      <w:r w:rsidRPr="00AD54FD">
        <w:rPr>
          <w:lang w:eastAsia="zh-CN"/>
        </w:rPr>
        <w:t>contribute to Article 22 (</w:t>
      </w:r>
      <w:r w:rsidR="00085AB1">
        <w:rPr>
          <w:lang w:eastAsia="zh-CN"/>
        </w:rPr>
        <w:t>e</w:t>
      </w:r>
      <w:r w:rsidRPr="00AD54FD">
        <w:rPr>
          <w:lang w:eastAsia="zh-CN"/>
        </w:rPr>
        <w:t>ffectiveness evaluation)</w:t>
      </w:r>
      <w:r w:rsidR="00386875" w:rsidRPr="00AD54FD">
        <w:rPr>
          <w:lang w:eastAsia="zh-CN"/>
        </w:rPr>
        <w:t xml:space="preserve"> by providing comparable data on releases of mercury</w:t>
      </w:r>
      <w:r w:rsidRPr="00AD54FD">
        <w:rPr>
          <w:lang w:eastAsia="zh-CN"/>
        </w:rPr>
        <w:t>.</w:t>
      </w:r>
      <w:r w:rsidR="00386875" w:rsidRPr="00AD54FD">
        <w:rPr>
          <w:lang w:eastAsia="zh-CN"/>
        </w:rPr>
        <w:t xml:space="preserve"> The benefit of a robust inventory is not limited to the implementation of the Minamata Convention but </w:t>
      </w:r>
      <w:r w:rsidR="00457092">
        <w:rPr>
          <w:lang w:eastAsia="zh-CN"/>
        </w:rPr>
        <w:t xml:space="preserve">can </w:t>
      </w:r>
      <w:r w:rsidR="00386875" w:rsidRPr="00AD54FD">
        <w:rPr>
          <w:lang w:eastAsia="zh-CN"/>
        </w:rPr>
        <w:t xml:space="preserve">extend to the Sustainable Development Goals and other global, </w:t>
      </w:r>
      <w:proofErr w:type="gramStart"/>
      <w:r w:rsidR="00386875" w:rsidRPr="00AD54FD">
        <w:rPr>
          <w:lang w:eastAsia="zh-CN"/>
        </w:rPr>
        <w:t>regional</w:t>
      </w:r>
      <w:proofErr w:type="gramEnd"/>
      <w:r w:rsidR="00386875" w:rsidRPr="00AD54FD">
        <w:rPr>
          <w:lang w:eastAsia="zh-CN"/>
        </w:rPr>
        <w:t xml:space="preserve"> and national policies.</w:t>
      </w:r>
    </w:p>
    <w:p w14:paraId="5AF7923F" w14:textId="23131D7C" w:rsidR="00B968D7" w:rsidRDefault="00B968D7" w:rsidP="00B968D7">
      <w:pPr>
        <w:pStyle w:val="NormalNonumber"/>
        <w:rPr>
          <w:lang w:eastAsia="zh-CN"/>
        </w:rPr>
      </w:pPr>
      <w:r w:rsidRPr="00AD54FD">
        <w:rPr>
          <w:lang w:eastAsia="zh-CN"/>
        </w:rPr>
        <w:t xml:space="preserve">For the purposes of completeness, </w:t>
      </w:r>
      <w:r w:rsidR="00EE3614">
        <w:rPr>
          <w:lang w:eastAsia="zh-CN"/>
        </w:rPr>
        <w:t xml:space="preserve">to the extent possible, </w:t>
      </w:r>
      <w:r w:rsidR="00735AC7" w:rsidRPr="00AD54FD">
        <w:rPr>
          <w:lang w:eastAsia="zh-CN"/>
        </w:rPr>
        <w:t>P</w:t>
      </w:r>
      <w:r w:rsidRPr="00AD54FD">
        <w:rPr>
          <w:lang w:eastAsia="zh-CN"/>
        </w:rPr>
        <w:t xml:space="preserve">arties </w:t>
      </w:r>
      <w:r w:rsidR="00DC50E4">
        <w:rPr>
          <w:lang w:eastAsia="zh-CN"/>
        </w:rPr>
        <w:t>could</w:t>
      </w:r>
      <w:r w:rsidR="00DC50E4" w:rsidRPr="00AD54FD">
        <w:rPr>
          <w:lang w:eastAsia="zh-CN"/>
        </w:rPr>
        <w:t xml:space="preserve"> </w:t>
      </w:r>
      <w:r w:rsidRPr="00AD54FD">
        <w:rPr>
          <w:lang w:eastAsia="zh-CN"/>
        </w:rPr>
        <w:t xml:space="preserve">include </w:t>
      </w:r>
      <w:r w:rsidR="00735AC7" w:rsidRPr="00AD54FD">
        <w:rPr>
          <w:lang w:eastAsia="zh-CN"/>
        </w:rPr>
        <w:t xml:space="preserve">in </w:t>
      </w:r>
      <w:r w:rsidRPr="00AD54FD">
        <w:rPr>
          <w:lang w:eastAsia="zh-CN"/>
        </w:rPr>
        <w:t>their inventor</w:t>
      </w:r>
      <w:r w:rsidR="0069209C">
        <w:rPr>
          <w:lang w:eastAsia="zh-CN"/>
        </w:rPr>
        <w:t>y</w:t>
      </w:r>
      <w:r w:rsidRPr="00AD54FD">
        <w:rPr>
          <w:lang w:eastAsia="zh-CN"/>
        </w:rPr>
        <w:t xml:space="preserve"> information about </w:t>
      </w:r>
      <w:r w:rsidR="00735AC7" w:rsidRPr="00AD54FD">
        <w:rPr>
          <w:lang w:eastAsia="zh-CN"/>
        </w:rPr>
        <w:t xml:space="preserve">releases </w:t>
      </w:r>
      <w:r w:rsidRPr="00AD54FD">
        <w:rPr>
          <w:lang w:eastAsia="zh-CN"/>
        </w:rPr>
        <w:t xml:space="preserve">from </w:t>
      </w:r>
      <w:r w:rsidR="00EE3614">
        <w:rPr>
          <w:lang w:eastAsia="zh-CN"/>
        </w:rPr>
        <w:t xml:space="preserve">all point sources </w:t>
      </w:r>
      <w:r w:rsidRPr="00AD54FD">
        <w:rPr>
          <w:lang w:eastAsia="zh-CN"/>
        </w:rPr>
        <w:t xml:space="preserve">within the categories </w:t>
      </w:r>
      <w:r w:rsidR="00735AC7" w:rsidRPr="00AD54FD">
        <w:rPr>
          <w:lang w:eastAsia="zh-CN"/>
        </w:rPr>
        <w:t>identified pursuant to paragraph 3 of Article 9</w:t>
      </w:r>
      <w:r w:rsidRPr="00AD54FD">
        <w:rPr>
          <w:lang w:eastAsia="zh-CN"/>
        </w:rPr>
        <w:t xml:space="preserve">. This could be particularly useful to </w:t>
      </w:r>
      <w:r w:rsidR="000F50D4">
        <w:rPr>
          <w:lang w:eastAsia="zh-CN"/>
        </w:rPr>
        <w:t>P</w:t>
      </w:r>
      <w:r w:rsidRPr="00AD54FD">
        <w:rPr>
          <w:lang w:eastAsia="zh-CN"/>
        </w:rPr>
        <w:t xml:space="preserve">arties to </w:t>
      </w:r>
      <w:r w:rsidR="00EE3614">
        <w:rPr>
          <w:lang w:eastAsia="zh-CN"/>
        </w:rPr>
        <w:t xml:space="preserve">identify </w:t>
      </w:r>
      <w:r w:rsidR="00735AC7" w:rsidRPr="00AD54FD">
        <w:rPr>
          <w:lang w:eastAsia="zh-CN"/>
        </w:rPr>
        <w:t xml:space="preserve">which specific point sources </w:t>
      </w:r>
      <w:r w:rsidR="00EE3614">
        <w:rPr>
          <w:lang w:eastAsia="zh-CN"/>
        </w:rPr>
        <w:t xml:space="preserve">would be significant in their territory and be </w:t>
      </w:r>
      <w:r w:rsidR="00735AC7" w:rsidRPr="00AD54FD">
        <w:rPr>
          <w:lang w:eastAsia="zh-CN"/>
        </w:rPr>
        <w:t>address</w:t>
      </w:r>
      <w:r w:rsidR="00EE3614">
        <w:rPr>
          <w:lang w:eastAsia="zh-CN"/>
        </w:rPr>
        <w:t>ed</w:t>
      </w:r>
      <w:r w:rsidR="00735AC7" w:rsidRPr="00AD54FD">
        <w:rPr>
          <w:lang w:eastAsia="zh-CN"/>
        </w:rPr>
        <w:t xml:space="preserve"> as</w:t>
      </w:r>
      <w:r w:rsidRPr="00AD54FD">
        <w:rPr>
          <w:lang w:eastAsia="zh-CN"/>
        </w:rPr>
        <w:t xml:space="preserve"> relevant sources</w:t>
      </w:r>
      <w:r w:rsidR="00735AC7" w:rsidRPr="00AD54FD">
        <w:rPr>
          <w:lang w:eastAsia="zh-CN"/>
        </w:rPr>
        <w:t xml:space="preserve"> to control releases</w:t>
      </w:r>
      <w:r w:rsidRPr="00AD54FD">
        <w:rPr>
          <w:lang w:eastAsia="zh-CN"/>
        </w:rPr>
        <w:t>.</w:t>
      </w:r>
    </w:p>
    <w:p w14:paraId="52FA45CF" w14:textId="77777777" w:rsidR="00EE3614" w:rsidRPr="00A96FBF" w:rsidRDefault="00EE3614" w:rsidP="00A96FBF">
      <w:pPr>
        <w:pStyle w:val="NormalNonumber"/>
        <w:ind w:left="0"/>
        <w:rPr>
          <w:lang w:val="en-US"/>
        </w:rPr>
      </w:pPr>
    </w:p>
    <w:p w14:paraId="22F3DD76" w14:textId="75C76696" w:rsidR="00FF7FB1" w:rsidRPr="00AD54FD" w:rsidRDefault="00FF7FB1" w:rsidP="00FF7FB1">
      <w:pPr>
        <w:pStyle w:val="CH2"/>
      </w:pPr>
      <w:r w:rsidRPr="00AD54FD">
        <w:tab/>
      </w:r>
      <w:r w:rsidRPr="00AD54FD">
        <w:tab/>
        <w:t>Use of existing inventory</w:t>
      </w:r>
    </w:p>
    <w:p w14:paraId="28571EE0" w14:textId="31AD4D54" w:rsidR="00FF7FB1" w:rsidRPr="00AD54FD" w:rsidRDefault="00490994" w:rsidP="00FF7FB1">
      <w:pPr>
        <w:pStyle w:val="NormalNonumber"/>
        <w:rPr>
          <w:noProof/>
          <w:lang w:eastAsia="zh-CN"/>
        </w:rPr>
      </w:pPr>
      <w:r w:rsidRPr="00AD54FD">
        <w:rPr>
          <w:noProof/>
          <w:lang w:eastAsia="zh-CN"/>
        </w:rPr>
        <w:t xml:space="preserve">Paragraph 2 of Article 18 provides that each Party shall use existing mechanisms or give consideration to the development of mechanisms, such as PRTR where applicable, for the </w:t>
      </w:r>
      <w:r w:rsidRPr="00AD54FD">
        <w:rPr>
          <w:noProof/>
          <w:lang w:eastAsia="zh-CN"/>
        </w:rPr>
        <w:lastRenderedPageBreak/>
        <w:t>collection and dissemination of information on estimates of its annual quantities of mercury and mercury compounds that are emitted, released or disposed of through human activities.</w:t>
      </w:r>
      <w:r w:rsidR="000F50D4">
        <w:rPr>
          <w:rStyle w:val="FootnoteReference"/>
          <w:noProof/>
          <w:lang w:eastAsia="zh-CN"/>
        </w:rPr>
        <w:footnoteReference w:id="3"/>
      </w:r>
      <w:r w:rsidR="000F50D4">
        <w:rPr>
          <w:noProof/>
          <w:lang w:eastAsia="zh-CN"/>
        </w:rPr>
        <w:t xml:space="preserve"> </w:t>
      </w:r>
      <w:r w:rsidR="00E41B82">
        <w:rPr>
          <w:noProof/>
          <w:lang w:eastAsia="zh-CN"/>
        </w:rPr>
        <w:t xml:space="preserve">Currently, almost half the Parties to the Convention </w:t>
      </w:r>
      <w:r w:rsidR="0004584F">
        <w:rPr>
          <w:noProof/>
          <w:lang w:eastAsia="zh-CN"/>
        </w:rPr>
        <w:t xml:space="preserve">have </w:t>
      </w:r>
      <w:r w:rsidR="00E41B82">
        <w:rPr>
          <w:noProof/>
          <w:lang w:eastAsia="zh-CN"/>
        </w:rPr>
        <w:t xml:space="preserve">existing </w:t>
      </w:r>
      <w:r w:rsidR="0004584F">
        <w:rPr>
          <w:noProof/>
          <w:lang w:eastAsia="zh-CN"/>
        </w:rPr>
        <w:t xml:space="preserve">PRTRs </w:t>
      </w:r>
      <w:r w:rsidR="00E41B82">
        <w:rPr>
          <w:noProof/>
          <w:lang w:eastAsia="zh-CN"/>
        </w:rPr>
        <w:t xml:space="preserve">or </w:t>
      </w:r>
      <w:r w:rsidR="0004584F">
        <w:rPr>
          <w:noProof/>
          <w:lang w:eastAsia="zh-CN"/>
        </w:rPr>
        <w:t>are developing</w:t>
      </w:r>
      <w:r w:rsidR="00E41B82">
        <w:rPr>
          <w:noProof/>
          <w:lang w:eastAsia="zh-CN"/>
        </w:rPr>
        <w:t xml:space="preserve"> new PRTR systems or have expressed interested in doing so.</w:t>
      </w:r>
      <w:r w:rsidR="00487BA8">
        <w:rPr>
          <w:rStyle w:val="FootnoteReference"/>
          <w:noProof/>
          <w:lang w:eastAsia="zh-CN"/>
        </w:rPr>
        <w:footnoteReference w:id="4"/>
      </w:r>
      <w:r w:rsidR="00E41B82">
        <w:rPr>
          <w:noProof/>
          <w:lang w:eastAsia="zh-CN"/>
        </w:rPr>
        <w:t xml:space="preserve"> </w:t>
      </w:r>
      <w:r w:rsidR="00A246A6">
        <w:rPr>
          <w:noProof/>
          <w:lang w:eastAsia="zh-CN"/>
        </w:rPr>
        <w:t>Where a PRTR program does not exist, an alternative approach is to use the UNEP Mercury Inventory Toolkit</w:t>
      </w:r>
      <w:r w:rsidR="008A0C7D" w:rsidRPr="00AD54FD">
        <w:rPr>
          <w:noProof/>
          <w:lang w:eastAsia="zh-CN"/>
        </w:rPr>
        <w:t xml:space="preserve">. </w:t>
      </w:r>
      <w:r w:rsidR="00FF7FB1" w:rsidRPr="00AD54FD">
        <w:rPr>
          <w:noProof/>
          <w:lang w:eastAsia="zh-CN"/>
        </w:rPr>
        <w:t>Where a Party has established a PRTR, data about point source</w:t>
      </w:r>
      <w:r w:rsidR="00D45928">
        <w:rPr>
          <w:noProof/>
          <w:lang w:eastAsia="zh-CN"/>
        </w:rPr>
        <w:t>s</w:t>
      </w:r>
      <w:r w:rsidR="00FF7FB1" w:rsidRPr="00AD54FD">
        <w:rPr>
          <w:noProof/>
          <w:lang w:eastAsia="zh-CN"/>
        </w:rPr>
        <w:t xml:space="preserve"> of mercury releases – including from sources identified as relevant by the Party –</w:t>
      </w:r>
      <w:r w:rsidR="008C6425">
        <w:rPr>
          <w:noProof/>
          <w:lang w:eastAsia="zh-CN"/>
        </w:rPr>
        <w:t xml:space="preserve"> </w:t>
      </w:r>
      <w:r w:rsidR="00FF7FB1" w:rsidRPr="00AD54FD">
        <w:rPr>
          <w:noProof/>
          <w:lang w:eastAsia="zh-CN"/>
        </w:rPr>
        <w:t xml:space="preserve">are likely to be included. The search </w:t>
      </w:r>
      <w:r w:rsidR="004500B2" w:rsidRPr="00AD54FD">
        <w:rPr>
          <w:noProof/>
          <w:lang w:eastAsia="zh-CN"/>
        </w:rPr>
        <w:t xml:space="preserve">function of the PRTR </w:t>
      </w:r>
      <w:r w:rsidR="00FF7FB1" w:rsidRPr="00AD54FD">
        <w:rPr>
          <w:noProof/>
          <w:lang w:eastAsia="zh-CN"/>
        </w:rPr>
        <w:t>should make it possible to identify and easily obtain data about point source mercury releases.</w:t>
      </w:r>
    </w:p>
    <w:p w14:paraId="66B264E9" w14:textId="6F45E413" w:rsidR="00B968D7" w:rsidRPr="00AD54FD" w:rsidRDefault="00B968D7" w:rsidP="00B968D7">
      <w:pPr>
        <w:pStyle w:val="CH2"/>
      </w:pPr>
      <w:r w:rsidRPr="00AD54FD">
        <w:tab/>
      </w:r>
      <w:r w:rsidRPr="00AD54FD">
        <w:tab/>
        <w:t xml:space="preserve">Steps to establish </w:t>
      </w:r>
      <w:r w:rsidR="00386875" w:rsidRPr="00AD54FD">
        <w:t>a releases</w:t>
      </w:r>
      <w:r w:rsidRPr="00AD54FD">
        <w:t xml:space="preserve"> inventory </w:t>
      </w:r>
    </w:p>
    <w:p w14:paraId="64D6194E" w14:textId="509236D4" w:rsidR="00B968D7" w:rsidRPr="00AD54FD" w:rsidRDefault="009919A0" w:rsidP="00B968D7">
      <w:pPr>
        <w:pStyle w:val="NormalNonumber"/>
        <w:rPr>
          <w:lang w:eastAsia="zh-CN"/>
        </w:rPr>
      </w:pPr>
      <w:r w:rsidRPr="00AD54FD">
        <w:rPr>
          <w:lang w:eastAsia="zh-CN"/>
        </w:rPr>
        <w:t xml:space="preserve">In case a Party has not established </w:t>
      </w:r>
      <w:r w:rsidR="008C6425">
        <w:rPr>
          <w:lang w:eastAsia="zh-CN"/>
        </w:rPr>
        <w:t xml:space="preserve">a </w:t>
      </w:r>
      <w:r w:rsidRPr="00AD54FD">
        <w:rPr>
          <w:lang w:eastAsia="zh-CN"/>
        </w:rPr>
        <w:t xml:space="preserve">PRTR, or decides to establish a releases inventory separate from </w:t>
      </w:r>
      <w:r w:rsidR="003533AA" w:rsidRPr="00AD54FD">
        <w:rPr>
          <w:lang w:eastAsia="zh-CN"/>
        </w:rPr>
        <w:t xml:space="preserve">or complementing </w:t>
      </w:r>
      <w:r w:rsidR="001B12EA">
        <w:rPr>
          <w:lang w:eastAsia="zh-CN"/>
        </w:rPr>
        <w:t xml:space="preserve">an existing </w:t>
      </w:r>
      <w:r w:rsidRPr="00AD54FD">
        <w:rPr>
          <w:lang w:eastAsia="zh-CN"/>
        </w:rPr>
        <w:t>PRTR, t</w:t>
      </w:r>
      <w:r w:rsidR="00B968D7" w:rsidRPr="00AD54FD">
        <w:rPr>
          <w:lang w:eastAsia="zh-CN"/>
        </w:rPr>
        <w:t xml:space="preserve">he basic methodology to establish </w:t>
      </w:r>
      <w:r w:rsidR="00735AC7" w:rsidRPr="00AD54FD">
        <w:rPr>
          <w:lang w:eastAsia="zh-CN"/>
        </w:rPr>
        <w:t>a releases</w:t>
      </w:r>
      <w:r w:rsidR="00B968D7" w:rsidRPr="00AD54FD">
        <w:rPr>
          <w:lang w:eastAsia="zh-CN"/>
        </w:rPr>
        <w:t xml:space="preserve"> inventory typically involves many or </w:t>
      </w:r>
      <w:proofErr w:type="gramStart"/>
      <w:r w:rsidR="00B968D7" w:rsidRPr="00AD54FD">
        <w:rPr>
          <w:lang w:eastAsia="zh-CN"/>
        </w:rPr>
        <w:t>all of</w:t>
      </w:r>
      <w:proofErr w:type="gramEnd"/>
      <w:r w:rsidR="00B968D7" w:rsidRPr="00AD54FD">
        <w:rPr>
          <w:lang w:eastAsia="zh-CN"/>
        </w:rPr>
        <w:t xml:space="preserve"> the following steps:</w:t>
      </w:r>
    </w:p>
    <w:p w14:paraId="0495BD4D" w14:textId="7906D0BF"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t xml:space="preserve">Plan the approach for development of the </w:t>
      </w:r>
      <w:r w:rsidR="00735AC7" w:rsidRPr="00AD54FD">
        <w:rPr>
          <w:lang w:eastAsia="zh-CN"/>
        </w:rPr>
        <w:t xml:space="preserve">releases </w:t>
      </w:r>
      <w:r w:rsidRPr="00AD54FD">
        <w:rPr>
          <w:lang w:eastAsia="zh-CN"/>
        </w:rPr>
        <w:t>inventory, within available resources, and consider how to collect, handle and review data, including any quality control and quality assurance processes</w:t>
      </w:r>
    </w:p>
    <w:p w14:paraId="7F8BDF07" w14:textId="158331C4"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t xml:space="preserve">Collect existing </w:t>
      </w:r>
      <w:r w:rsidR="00735AC7" w:rsidRPr="00AD54FD">
        <w:rPr>
          <w:lang w:eastAsia="zh-CN"/>
        </w:rPr>
        <w:t xml:space="preserve">releases </w:t>
      </w:r>
      <w:r w:rsidRPr="00AD54FD">
        <w:rPr>
          <w:lang w:eastAsia="zh-CN"/>
        </w:rPr>
        <w:t>data as a useful starting point</w:t>
      </w:r>
    </w:p>
    <w:p w14:paraId="33F80841" w14:textId="77777777"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t>Identify relevant sources within each source category</w:t>
      </w:r>
    </w:p>
    <w:p w14:paraId="4D617111" w14:textId="6518E1C6"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t xml:space="preserve">Establish facility-based </w:t>
      </w:r>
      <w:r w:rsidR="00394A79" w:rsidRPr="00AD54FD">
        <w:rPr>
          <w:lang w:eastAsia="zh-CN"/>
        </w:rPr>
        <w:t xml:space="preserve">releases </w:t>
      </w:r>
      <w:r w:rsidRPr="00AD54FD">
        <w:rPr>
          <w:lang w:eastAsia="zh-CN"/>
        </w:rPr>
        <w:t xml:space="preserve">reporting requirements </w:t>
      </w:r>
    </w:p>
    <w:p w14:paraId="2E3B6FA5" w14:textId="68999B04"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t xml:space="preserve">Collect the </w:t>
      </w:r>
      <w:r w:rsidR="00394A79" w:rsidRPr="00AD54FD">
        <w:rPr>
          <w:lang w:eastAsia="zh-CN"/>
        </w:rPr>
        <w:t xml:space="preserve">releases </w:t>
      </w:r>
      <w:r w:rsidRPr="00AD54FD">
        <w:rPr>
          <w:lang w:eastAsia="zh-CN"/>
        </w:rPr>
        <w:t>reports from facilities on a periodic basis (e.g.</w:t>
      </w:r>
      <w:r w:rsidR="008C6425">
        <w:rPr>
          <w:lang w:eastAsia="zh-CN"/>
        </w:rPr>
        <w:t>,</w:t>
      </w:r>
      <w:r w:rsidRPr="00AD54FD">
        <w:rPr>
          <w:lang w:eastAsia="zh-CN"/>
        </w:rPr>
        <w:t xml:space="preserve"> annually)</w:t>
      </w:r>
    </w:p>
    <w:p w14:paraId="3936D7F2" w14:textId="6C05376D"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t xml:space="preserve">Develop a database to store the reported </w:t>
      </w:r>
      <w:r w:rsidR="00394A79" w:rsidRPr="00AD54FD">
        <w:rPr>
          <w:lang w:eastAsia="zh-CN"/>
        </w:rPr>
        <w:t xml:space="preserve">releases </w:t>
      </w:r>
      <w:r w:rsidRPr="00AD54FD">
        <w:rPr>
          <w:lang w:eastAsia="zh-CN"/>
        </w:rPr>
        <w:t xml:space="preserve">data </w:t>
      </w:r>
    </w:p>
    <w:p w14:paraId="0BB605B3" w14:textId="78CDDA0C" w:rsidR="00CC5192" w:rsidRDefault="00CC5192"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Pr>
          <w:lang w:eastAsia="zh-CN"/>
        </w:rPr>
        <w:t>Complete rele</w:t>
      </w:r>
      <w:r w:rsidR="004711FF">
        <w:rPr>
          <w:lang w:eastAsia="zh-CN"/>
        </w:rPr>
        <w:t>vant quality control and quality assurance processes</w:t>
      </w:r>
    </w:p>
    <w:p w14:paraId="080731F0" w14:textId="77777777"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lastRenderedPageBreak/>
        <w:t>Facilitate analysis of the results</w:t>
      </w:r>
    </w:p>
    <w:p w14:paraId="1713818E" w14:textId="77777777" w:rsidR="00B968D7" w:rsidRPr="00AD54FD" w:rsidRDefault="00B968D7" w:rsidP="00B968D7">
      <w:pPr>
        <w:pStyle w:val="NormalNonumber"/>
        <w:numPr>
          <w:ilvl w:val="0"/>
          <w:numId w:val="1"/>
        </w:numPr>
        <w:tabs>
          <w:tab w:val="clear" w:pos="1247"/>
          <w:tab w:val="clear" w:pos="1814"/>
          <w:tab w:val="clear" w:pos="2381"/>
          <w:tab w:val="clear" w:pos="2948"/>
          <w:tab w:val="clear" w:pos="3515"/>
          <w:tab w:val="clear" w:pos="4082"/>
          <w:tab w:val="left" w:pos="624"/>
        </w:tabs>
        <w:ind w:left="1871" w:hanging="624"/>
        <w:rPr>
          <w:lang w:eastAsia="zh-CN"/>
        </w:rPr>
      </w:pPr>
      <w:r w:rsidRPr="00AD54FD">
        <w:rPr>
          <w:lang w:eastAsia="zh-CN"/>
        </w:rPr>
        <w:t>Make the data publicly accessible and searchable.</w:t>
      </w:r>
    </w:p>
    <w:p w14:paraId="625DF55B" w14:textId="5B1A2278" w:rsidR="00B968D7" w:rsidRPr="00AD54FD" w:rsidRDefault="00B968D7" w:rsidP="00B968D7">
      <w:pPr>
        <w:pStyle w:val="NormalNonumber"/>
        <w:rPr>
          <w:lang w:eastAsia="zh-CN"/>
        </w:rPr>
      </w:pPr>
      <w:r w:rsidRPr="00AD54FD">
        <w:rPr>
          <w:lang w:eastAsia="zh-CN"/>
        </w:rPr>
        <w:t xml:space="preserve">Once it has been established, arrangements must be made to maintain and update the inventory, in line with </w:t>
      </w:r>
      <w:r w:rsidR="00394A79" w:rsidRPr="00AD54FD">
        <w:rPr>
          <w:lang w:eastAsia="zh-CN"/>
        </w:rPr>
        <w:t>P</w:t>
      </w:r>
      <w:r w:rsidRPr="00AD54FD">
        <w:rPr>
          <w:lang w:eastAsia="zh-CN"/>
        </w:rPr>
        <w:t xml:space="preserve">aragraph </w:t>
      </w:r>
      <w:r w:rsidR="00394A79" w:rsidRPr="00AD54FD">
        <w:rPr>
          <w:lang w:eastAsia="zh-CN"/>
        </w:rPr>
        <w:t>6</w:t>
      </w:r>
      <w:r w:rsidRPr="00AD54FD">
        <w:rPr>
          <w:lang w:eastAsia="zh-CN"/>
        </w:rPr>
        <w:t xml:space="preserve"> of Article </w:t>
      </w:r>
      <w:r w:rsidR="00394A79" w:rsidRPr="00AD54FD">
        <w:rPr>
          <w:lang w:eastAsia="zh-CN"/>
        </w:rPr>
        <w:t>9</w:t>
      </w:r>
      <w:r w:rsidRPr="00AD54FD">
        <w:rPr>
          <w:lang w:eastAsia="zh-CN"/>
        </w:rPr>
        <w:t xml:space="preserve">. </w:t>
      </w:r>
    </w:p>
    <w:p w14:paraId="499A9CEB" w14:textId="73978BD0" w:rsidR="00B968D7" w:rsidRPr="00AD54FD" w:rsidRDefault="00B968D7" w:rsidP="00B968D7">
      <w:pPr>
        <w:pStyle w:val="NormalNonumber"/>
        <w:rPr>
          <w:lang w:eastAsia="zh-CN"/>
        </w:rPr>
      </w:pPr>
      <w:r w:rsidRPr="00AD54FD">
        <w:rPr>
          <w:lang w:eastAsia="zh-CN"/>
        </w:rPr>
        <w:t xml:space="preserve">The following sections provide guidance for </w:t>
      </w:r>
      <w:r w:rsidR="000F50D4">
        <w:rPr>
          <w:lang w:eastAsia="zh-CN"/>
        </w:rPr>
        <w:t>P</w:t>
      </w:r>
      <w:r w:rsidRPr="00AD54FD">
        <w:rPr>
          <w:lang w:eastAsia="zh-CN"/>
        </w:rPr>
        <w:t>arties on some of these steps.</w:t>
      </w:r>
    </w:p>
    <w:p w14:paraId="4B82BCAF" w14:textId="77777777" w:rsidR="00B968D7" w:rsidRPr="00AD54FD" w:rsidRDefault="00B968D7" w:rsidP="00B968D7">
      <w:pPr>
        <w:pStyle w:val="CH2"/>
        <w:rPr>
          <w:lang w:eastAsia="zh-CN"/>
        </w:rPr>
      </w:pPr>
      <w:r w:rsidRPr="00AD54FD">
        <w:rPr>
          <w:lang w:eastAsia="zh-CN"/>
        </w:rPr>
        <w:tab/>
      </w:r>
      <w:r w:rsidRPr="00AD54FD">
        <w:rPr>
          <w:lang w:eastAsia="zh-CN"/>
        </w:rPr>
        <w:tab/>
        <w:t xml:space="preserve">Initial steps: identifying the </w:t>
      </w:r>
      <w:r w:rsidR="00394A79" w:rsidRPr="00AD54FD">
        <w:rPr>
          <w:lang w:eastAsia="zh-CN"/>
        </w:rPr>
        <w:t xml:space="preserve">relevant point source categories and </w:t>
      </w:r>
      <w:r w:rsidRPr="00AD54FD">
        <w:rPr>
          <w:lang w:eastAsia="zh-CN"/>
        </w:rPr>
        <w:t>facilities</w:t>
      </w:r>
    </w:p>
    <w:p w14:paraId="718D7331" w14:textId="2341FC05" w:rsidR="00394A79" w:rsidRPr="00AD54FD" w:rsidRDefault="00B968D7" w:rsidP="00B968D7">
      <w:pPr>
        <w:pStyle w:val="NormalNonumber"/>
      </w:pPr>
      <w:r w:rsidRPr="00AD54FD">
        <w:t xml:space="preserve">In preparing to implement the Minamata Convention, a </w:t>
      </w:r>
      <w:r w:rsidR="00394A79" w:rsidRPr="00AD54FD">
        <w:t>P</w:t>
      </w:r>
      <w:r w:rsidRPr="00AD54FD">
        <w:t xml:space="preserve">arty will develop a plan on how to develop the inventory, including how to collect, review and validate data. An initial step for the </w:t>
      </w:r>
      <w:r w:rsidR="000F50D4">
        <w:t>P</w:t>
      </w:r>
      <w:r w:rsidRPr="00AD54FD">
        <w:t xml:space="preserve">arty may then be to identify the sources of mercury </w:t>
      </w:r>
      <w:r w:rsidR="00394A79" w:rsidRPr="00AD54FD">
        <w:t xml:space="preserve">releases </w:t>
      </w:r>
      <w:r w:rsidRPr="00AD54FD">
        <w:t xml:space="preserve">present within its territory, </w:t>
      </w:r>
      <w:proofErr w:type="gramStart"/>
      <w:r w:rsidRPr="00AD54FD">
        <w:t>and also</w:t>
      </w:r>
      <w:proofErr w:type="gramEnd"/>
      <w:r w:rsidRPr="00AD54FD">
        <w:t xml:space="preserve"> to identify and collect any existing inventories. </w:t>
      </w:r>
    </w:p>
    <w:p w14:paraId="5A891509" w14:textId="12C0CBBC" w:rsidR="00394A79" w:rsidRPr="00AD54FD" w:rsidRDefault="00394A79" w:rsidP="00B968D7">
      <w:pPr>
        <w:pStyle w:val="NormalNonumber"/>
        <w:rPr>
          <w:lang w:val="en-US"/>
        </w:rPr>
      </w:pPr>
      <w:r w:rsidRPr="00AD54FD">
        <w:t xml:space="preserve">In doing so, a Party ought to identify the relevant point source categories pursuant to Paragraph 3 of Article 9. </w:t>
      </w:r>
      <w:r w:rsidR="005A59E6" w:rsidRPr="00AD54FD">
        <w:t xml:space="preserve">A relevant source is defined as any significant anthropogenic point source of release as identified by a Party that is not addressed in other provisions of the Convention. </w:t>
      </w:r>
      <w:r w:rsidR="000308B4">
        <w:rPr>
          <w:lang w:eastAsia="zh-CN"/>
        </w:rPr>
        <w:t xml:space="preserve">The table in the appendix </w:t>
      </w:r>
      <w:r w:rsidR="000308B4" w:rsidRPr="000308B4">
        <w:rPr>
          <w:lang w:eastAsia="zh-CN"/>
        </w:rPr>
        <w:t>lists potentially relevant categories of point sources to assist Parties in identifying relevant point source categories</w:t>
      </w:r>
      <w:r w:rsidR="000308B4">
        <w:rPr>
          <w:lang w:eastAsia="zh-CN"/>
        </w:rPr>
        <w:t xml:space="preserve">. </w:t>
      </w:r>
      <w:r w:rsidR="005A59E6" w:rsidRPr="00AD54FD">
        <w:t>Parties are to determine which anthropogenic point sources of release</w:t>
      </w:r>
      <w:r w:rsidR="008C6425">
        <w:t>s</w:t>
      </w:r>
      <w:r w:rsidR="005A59E6" w:rsidRPr="00AD54FD">
        <w:t xml:space="preserve"> to land or water within their territory are significant. In doing so, they may </w:t>
      </w:r>
      <w:proofErr w:type="gramStart"/>
      <w:r w:rsidR="005A59E6" w:rsidRPr="00AD54FD">
        <w:t>take into account</w:t>
      </w:r>
      <w:proofErr w:type="gramEnd"/>
      <w:r w:rsidR="00EC1CB5">
        <w:t xml:space="preserve"> </w:t>
      </w:r>
      <w:r w:rsidR="005A59E6" w:rsidRPr="00AD54FD">
        <w:t>the quantity of the releases, their location, the environmental conditions</w:t>
      </w:r>
      <w:r w:rsidR="001B12EA">
        <w:t>,</w:t>
      </w:r>
      <w:r w:rsidR="005A59E6" w:rsidRPr="00AD54FD">
        <w:t xml:space="preserve"> exposure pathways and other factors of national concern</w:t>
      </w:r>
      <w:r w:rsidR="000D54C0">
        <w:t>.</w:t>
      </w:r>
    </w:p>
    <w:p w14:paraId="57F8EC62" w14:textId="1827DC1A" w:rsidR="00B968D7" w:rsidRPr="00AD54FD" w:rsidRDefault="00394A79" w:rsidP="00B968D7">
      <w:pPr>
        <w:pStyle w:val="NormalNonumber"/>
      </w:pPr>
      <w:r w:rsidRPr="00AD54FD">
        <w:t>After identifying relevant point source categories</w:t>
      </w:r>
      <w:r w:rsidR="00B968D7" w:rsidRPr="00AD54FD">
        <w:t xml:space="preserve">, </w:t>
      </w:r>
      <w:r w:rsidRPr="00AD54FD">
        <w:t>a Party</w:t>
      </w:r>
      <w:r w:rsidR="00B968D7" w:rsidRPr="00AD54FD">
        <w:t xml:space="preserve"> will need to identify the facilities within each of the point source categories present at the national level: once again, existing inventories may already have much of this information. This would be followed by the development of a quantitative inventory by collecting information from </w:t>
      </w:r>
      <w:r w:rsidR="00457092">
        <w:t>facilities</w:t>
      </w:r>
      <w:r w:rsidR="00B968D7" w:rsidRPr="00AD54FD">
        <w:t xml:space="preserve"> considered to be a relevant source within the source category.</w:t>
      </w:r>
    </w:p>
    <w:p w14:paraId="03915DF2" w14:textId="5F9B1DA0" w:rsidR="00B968D7" w:rsidRPr="00AD54FD" w:rsidRDefault="00B968D7" w:rsidP="00B968D7">
      <w:pPr>
        <w:pStyle w:val="CH2"/>
        <w:rPr>
          <w:lang w:eastAsia="zh-CN"/>
        </w:rPr>
      </w:pPr>
      <w:r w:rsidRPr="00AD54FD">
        <w:rPr>
          <w:lang w:eastAsia="zh-CN"/>
        </w:rPr>
        <w:tab/>
      </w:r>
      <w:r w:rsidRPr="00AD54FD">
        <w:rPr>
          <w:lang w:eastAsia="zh-CN"/>
        </w:rPr>
        <w:tab/>
        <w:t xml:space="preserve">Collection of </w:t>
      </w:r>
      <w:r w:rsidR="009E2599" w:rsidRPr="00AD54FD">
        <w:rPr>
          <w:lang w:eastAsia="zh-CN"/>
        </w:rPr>
        <w:t xml:space="preserve">releases </w:t>
      </w:r>
      <w:r w:rsidRPr="00AD54FD">
        <w:rPr>
          <w:lang w:eastAsia="zh-CN"/>
        </w:rPr>
        <w:t>information from individual facilities</w:t>
      </w:r>
    </w:p>
    <w:p w14:paraId="7ACDC76E" w14:textId="1DD1B187" w:rsidR="00B968D7" w:rsidRPr="00AD54FD" w:rsidRDefault="00AE0A9E" w:rsidP="00B968D7">
      <w:pPr>
        <w:pStyle w:val="NormalNonumber"/>
      </w:pPr>
      <w:r w:rsidRPr="00AD54FD">
        <w:t xml:space="preserve">A </w:t>
      </w:r>
      <w:r w:rsidR="00B968D7" w:rsidRPr="00AD54FD">
        <w:t>Part</w:t>
      </w:r>
      <w:r w:rsidRPr="00AD54FD">
        <w:t>y</w:t>
      </w:r>
      <w:r w:rsidR="00B968D7" w:rsidRPr="00AD54FD">
        <w:t xml:space="preserve"> will need to collect recorded or estimated data about the point source </w:t>
      </w:r>
      <w:r w:rsidRPr="00AD54FD">
        <w:t xml:space="preserve">releases </w:t>
      </w:r>
      <w:r w:rsidR="00B968D7" w:rsidRPr="00AD54FD">
        <w:t xml:space="preserve">from individual facilities covered by Article </w:t>
      </w:r>
      <w:r w:rsidRPr="00AD54FD">
        <w:t xml:space="preserve">9 </w:t>
      </w:r>
      <w:r w:rsidR="00B968D7" w:rsidRPr="00AD54FD">
        <w:t xml:space="preserve">over a defined </w:t>
      </w:r>
      <w:proofErr w:type="gramStart"/>
      <w:r w:rsidR="00B968D7" w:rsidRPr="00AD54FD">
        <w:t>time period</w:t>
      </w:r>
      <w:proofErr w:type="gramEnd"/>
      <w:r w:rsidR="00B968D7" w:rsidRPr="00AD54FD">
        <w:t xml:space="preserve">. </w:t>
      </w:r>
      <w:r w:rsidR="003533AA" w:rsidRPr="00AD54FD">
        <w:t>This may be done under PRTR legislation, using licen</w:t>
      </w:r>
      <w:r w:rsidR="002B0666">
        <w:t>s</w:t>
      </w:r>
      <w:r w:rsidR="003533AA" w:rsidRPr="00AD54FD">
        <w:t xml:space="preserve">ing conditions associated with the relevant source category, or </w:t>
      </w:r>
      <w:r w:rsidR="00CD71EA" w:rsidRPr="00AD54FD">
        <w:t>statistical</w:t>
      </w:r>
      <w:r w:rsidR="003533AA" w:rsidRPr="00AD54FD">
        <w:t xml:space="preserve"> surveys</w:t>
      </w:r>
      <w:r w:rsidR="00CD71EA" w:rsidRPr="00AD54FD">
        <w:t>.</w:t>
      </w:r>
      <w:r w:rsidR="003533AA" w:rsidRPr="00AD54FD">
        <w:t xml:space="preserve"> </w:t>
      </w:r>
      <w:r w:rsidR="00B968D7" w:rsidRPr="00AD54FD">
        <w:t xml:space="preserve">Typically, inventories are based on a calendar year, so </w:t>
      </w:r>
      <w:r w:rsidRPr="00AD54FD">
        <w:t xml:space="preserve">releases </w:t>
      </w:r>
      <w:r w:rsidR="00B968D7" w:rsidRPr="00AD54FD">
        <w:t xml:space="preserve">are calculated on an annual basis. </w:t>
      </w:r>
      <w:r w:rsidR="00CD71EA" w:rsidRPr="00AD54FD">
        <w:t xml:space="preserve">Developing countries may start with a broader time interval. </w:t>
      </w:r>
      <w:r w:rsidR="00B968D7" w:rsidRPr="00AD54FD">
        <w:t xml:space="preserve">The inventory under Article </w:t>
      </w:r>
      <w:r w:rsidRPr="00AD54FD">
        <w:t xml:space="preserve">9 </w:t>
      </w:r>
      <w:r w:rsidR="00B968D7" w:rsidRPr="00AD54FD">
        <w:t xml:space="preserve">is required within five years of the entry into force of the Convention for that </w:t>
      </w:r>
      <w:r w:rsidR="000F50D4">
        <w:t>P</w:t>
      </w:r>
      <w:r w:rsidR="00B968D7" w:rsidRPr="00AD54FD">
        <w:t>arty</w:t>
      </w:r>
      <w:r w:rsidRPr="00AD54FD">
        <w:t>. T</w:t>
      </w:r>
      <w:r w:rsidR="00B968D7" w:rsidRPr="00AD54FD">
        <w:t xml:space="preserve">he collection of data earlier than this date, however, would contribute to robust estimates. </w:t>
      </w:r>
    </w:p>
    <w:p w14:paraId="78995152" w14:textId="1C6A505E" w:rsidR="003E49BD" w:rsidRDefault="00B968D7" w:rsidP="00BF41CE">
      <w:pPr>
        <w:pStyle w:val="NormalNonumber"/>
      </w:pPr>
      <w:r w:rsidRPr="00AD54FD">
        <w:t xml:space="preserve">The inventory should ideally be based on the direct measurement of point source </w:t>
      </w:r>
      <w:r w:rsidR="00AE0A9E" w:rsidRPr="00AD54FD">
        <w:t>releases</w:t>
      </w:r>
      <w:r w:rsidR="00965A05">
        <w:rPr>
          <w:rStyle w:val="FootnoteReference"/>
        </w:rPr>
        <w:footnoteReference w:id="5"/>
      </w:r>
      <w:r w:rsidR="00922446" w:rsidRPr="00AD54FD">
        <w:t xml:space="preserve">, where it is possible to measure representative </w:t>
      </w:r>
      <w:r w:rsidR="001B12EA">
        <w:t>release</w:t>
      </w:r>
      <w:r w:rsidR="001B12EA" w:rsidRPr="00AD54FD">
        <w:t xml:space="preserve"> </w:t>
      </w:r>
      <w:r w:rsidR="00922446" w:rsidRPr="00AD54FD">
        <w:t xml:space="preserve">levels </w:t>
      </w:r>
      <w:proofErr w:type="gramStart"/>
      <w:r w:rsidR="00922446" w:rsidRPr="00AD54FD">
        <w:t>and also</w:t>
      </w:r>
      <w:proofErr w:type="gramEnd"/>
      <w:r w:rsidR="00922446" w:rsidRPr="00AD54FD">
        <w:t xml:space="preserve"> where supporting information is available on the frequency and duration of mercury releases</w:t>
      </w:r>
      <w:r w:rsidRPr="00AD54FD">
        <w:t>.</w:t>
      </w:r>
      <w:r w:rsidR="003E49BD">
        <w:t xml:space="preserve"> </w:t>
      </w:r>
      <w:r w:rsidRPr="00AD54FD">
        <w:t xml:space="preserve"> This will produce the most robust estimates. </w:t>
      </w:r>
      <w:r w:rsidR="00F0274D">
        <w:t>In such case</w:t>
      </w:r>
      <w:r w:rsidR="00FD3683">
        <w:t>s</w:t>
      </w:r>
      <w:r w:rsidR="00F0274D">
        <w:t>, s</w:t>
      </w:r>
      <w:r w:rsidR="003E49BD">
        <w:t xml:space="preserve">amples should be taken at conditions representative of normal facility operations. If the releases are highly </w:t>
      </w:r>
      <w:r w:rsidR="00EC1CB5">
        <w:t>variable</w:t>
      </w:r>
      <w:r w:rsidR="003E49BD">
        <w:t xml:space="preserve">, or releases are from a batch process, longer sample duration should be used or more samples collected. </w:t>
      </w:r>
    </w:p>
    <w:p w14:paraId="4368C1D8" w14:textId="12707C2E" w:rsidR="00B968D7" w:rsidRPr="00AD54FD" w:rsidRDefault="005A59E6" w:rsidP="00BF41CE">
      <w:pPr>
        <w:pStyle w:val="NormalNonumber"/>
      </w:pPr>
      <w:r w:rsidRPr="00AD54FD">
        <w:t>In practice</w:t>
      </w:r>
      <w:r w:rsidR="00457092">
        <w:t>,</w:t>
      </w:r>
      <w:r w:rsidRPr="00AD54FD">
        <w:t xml:space="preserve"> it may not always be possible to </w:t>
      </w:r>
      <w:r w:rsidR="00B266BB">
        <w:t>obtain</w:t>
      </w:r>
      <w:r w:rsidRPr="00AD54FD">
        <w:t xml:space="preserve"> measured data from facilities. In that case</w:t>
      </w:r>
      <w:r w:rsidR="001B12EA">
        <w:t xml:space="preserve">, </w:t>
      </w:r>
      <w:r w:rsidR="00457092">
        <w:t>methodologies</w:t>
      </w:r>
      <w:r w:rsidRPr="00AD54FD">
        <w:t xml:space="preserve"> exist for engineering estimates or mass balance calculations</w:t>
      </w:r>
      <w:r w:rsidR="00457092">
        <w:t>,</w:t>
      </w:r>
      <w:r w:rsidRPr="00AD54FD">
        <w:t xml:space="preserve"> and estimating releases </w:t>
      </w:r>
      <w:proofErr w:type="gramStart"/>
      <w:r w:rsidRPr="00AD54FD">
        <w:t>through the use of</w:t>
      </w:r>
      <w:proofErr w:type="gramEnd"/>
      <w:r w:rsidRPr="00AD54FD">
        <w:t xml:space="preserve"> release factors</w:t>
      </w:r>
      <w:r w:rsidR="00B266BB">
        <w:t>, as in the UNEP Inventory Toolkit.</w:t>
      </w:r>
    </w:p>
    <w:p w14:paraId="24E1511D" w14:textId="133D00D9" w:rsidR="00B968D7" w:rsidRPr="00AD54FD" w:rsidRDefault="00AE0A9E" w:rsidP="00B968D7">
      <w:pPr>
        <w:pStyle w:val="NormalNonumber"/>
      </w:pPr>
      <w:r w:rsidRPr="00AD54FD">
        <w:t>A release</w:t>
      </w:r>
      <w:r w:rsidR="00B968D7" w:rsidRPr="00AD54FD">
        <w:t xml:space="preserve"> factor is a representative value relating the quantity of mercury </w:t>
      </w:r>
      <w:r w:rsidRPr="00AD54FD">
        <w:t xml:space="preserve">released </w:t>
      </w:r>
      <w:r w:rsidR="00B968D7" w:rsidRPr="00AD54FD">
        <w:t>to the activity level associated with the source (for example, the throughput of raw material). Other indirect measuring techniques, such as engineering estimates or mass balance calculations can also be used in the absence of direct measurement.</w:t>
      </w:r>
    </w:p>
    <w:p w14:paraId="3845B106" w14:textId="10945872" w:rsidR="00B968D7" w:rsidRPr="00AD54FD" w:rsidRDefault="00B968D7" w:rsidP="00B968D7">
      <w:pPr>
        <w:pStyle w:val="NormalNonumber"/>
      </w:pPr>
      <w:r w:rsidRPr="00AD54FD">
        <w:lastRenderedPageBreak/>
        <w:t xml:space="preserve">A Party could choose also to use a combination of approaches. Estimates using </w:t>
      </w:r>
      <w:r w:rsidR="00AE0A9E" w:rsidRPr="00AD54FD">
        <w:t xml:space="preserve">release </w:t>
      </w:r>
      <w:r w:rsidRPr="00AD54FD">
        <w:t>factors may provide a better estimate of emissions for a category of sources rather than for</w:t>
      </w:r>
      <w:r w:rsidRPr="00AD54FD">
        <w:rPr>
          <w:noProof/>
          <w:lang w:eastAsia="zh-CN"/>
        </w:rPr>
        <w:t xml:space="preserve"> any individual sources. It may be particularly useful for example to use aggregated </w:t>
      </w:r>
      <w:r w:rsidR="00AE0A9E" w:rsidRPr="00AD54FD">
        <w:rPr>
          <w:noProof/>
          <w:lang w:eastAsia="zh-CN"/>
        </w:rPr>
        <w:t xml:space="preserve">releases </w:t>
      </w:r>
      <w:r w:rsidRPr="00AD54FD">
        <w:rPr>
          <w:noProof/>
          <w:lang w:eastAsia="zh-CN"/>
        </w:rPr>
        <w:t xml:space="preserve">for sources which are too numerous or costly to monitor individually, or where individual reporting would be too burdensome. The methodology may differ from one source category to another, and could even be different for different types of </w:t>
      </w:r>
      <w:r w:rsidR="00B477D9" w:rsidRPr="00AD54FD">
        <w:rPr>
          <w:noProof/>
          <w:lang w:eastAsia="zh-CN"/>
        </w:rPr>
        <w:t>facilit</w:t>
      </w:r>
      <w:r w:rsidR="00B477D9">
        <w:rPr>
          <w:noProof/>
          <w:lang w:eastAsia="zh-CN"/>
        </w:rPr>
        <w:t>ies</w:t>
      </w:r>
      <w:r w:rsidR="00B477D9" w:rsidRPr="00AD54FD">
        <w:rPr>
          <w:noProof/>
          <w:lang w:eastAsia="zh-CN"/>
        </w:rPr>
        <w:t xml:space="preserve"> </w:t>
      </w:r>
      <w:r w:rsidRPr="00AD54FD">
        <w:rPr>
          <w:noProof/>
          <w:lang w:eastAsia="zh-CN"/>
        </w:rPr>
        <w:t xml:space="preserve">within a source category. </w:t>
      </w:r>
    </w:p>
    <w:p w14:paraId="64A512DC" w14:textId="45AE1F73" w:rsidR="00B968D7" w:rsidRPr="00AD54FD" w:rsidRDefault="00B968D7" w:rsidP="00B968D7">
      <w:pPr>
        <w:pStyle w:val="NormalNonumber"/>
      </w:pPr>
      <w:r w:rsidRPr="00AD54FD">
        <w:rPr>
          <w:noProof/>
          <w:lang w:eastAsia="zh-CN"/>
        </w:rPr>
        <w:t>There are advantages in progressively adopting new and more accurate methods, for example, replacing data based on estimation techiniques with actual mon</w:t>
      </w:r>
      <w:r w:rsidR="00642DCA" w:rsidRPr="00AD54FD">
        <w:rPr>
          <w:noProof/>
          <w:lang w:eastAsia="zh-CN"/>
        </w:rPr>
        <w:t>i</w:t>
      </w:r>
      <w:r w:rsidRPr="00AD54FD">
        <w:rPr>
          <w:noProof/>
          <w:lang w:eastAsia="zh-CN"/>
        </w:rPr>
        <w:t xml:space="preserve">tored data as they become available, or replacing generic </w:t>
      </w:r>
      <w:r w:rsidR="00642DCA" w:rsidRPr="00AD54FD">
        <w:rPr>
          <w:noProof/>
          <w:lang w:eastAsia="zh-CN"/>
        </w:rPr>
        <w:t xml:space="preserve">release </w:t>
      </w:r>
      <w:r w:rsidRPr="00AD54FD">
        <w:rPr>
          <w:noProof/>
          <w:lang w:eastAsia="zh-CN"/>
        </w:rPr>
        <w:t xml:space="preserve">factors with factors which </w:t>
      </w:r>
      <w:r w:rsidRPr="00AD54FD">
        <w:t xml:space="preserve">are more representative of the circumstances in </w:t>
      </w:r>
      <w:r w:rsidR="00642DCA" w:rsidRPr="00AD54FD">
        <w:t>the</w:t>
      </w:r>
      <w:r w:rsidRPr="00AD54FD">
        <w:t xml:space="preserve"> </w:t>
      </w:r>
      <w:r w:rsidR="00642DCA" w:rsidRPr="00AD54FD">
        <w:t>P</w:t>
      </w:r>
      <w:r w:rsidRPr="00AD54FD">
        <w:t xml:space="preserve">arty’s territory or at a specific source. At the same time, however, maintaining comparability between data obtained over time, so that trends in controlling </w:t>
      </w:r>
      <w:r w:rsidR="00642DCA" w:rsidRPr="00AD54FD">
        <w:t xml:space="preserve">releases </w:t>
      </w:r>
      <w:r w:rsidRPr="00AD54FD">
        <w:t xml:space="preserve">are clear, is also necessary for the purposes of tracking progress in reducing </w:t>
      </w:r>
      <w:r w:rsidR="00642DCA" w:rsidRPr="00AD54FD">
        <w:t>releases</w:t>
      </w:r>
      <w:r w:rsidRPr="00AD54FD">
        <w:t xml:space="preserve">. </w:t>
      </w:r>
    </w:p>
    <w:p w14:paraId="2BD18067" w14:textId="4DAA2F83" w:rsidR="00B968D7" w:rsidRPr="00AD54FD" w:rsidRDefault="00642DCA" w:rsidP="00B968D7">
      <w:pPr>
        <w:pStyle w:val="NormalNonumber"/>
      </w:pPr>
      <w:r w:rsidRPr="00AD54FD">
        <w:t xml:space="preserve">A </w:t>
      </w:r>
      <w:r w:rsidR="00B968D7" w:rsidRPr="00AD54FD">
        <w:t>Part</w:t>
      </w:r>
      <w:r w:rsidRPr="00AD54FD">
        <w:t>y</w:t>
      </w:r>
      <w:r w:rsidR="00B968D7" w:rsidRPr="00AD54FD">
        <w:t xml:space="preserve"> may wish to establish policies and procedures about how methodological changes are introduced and how frequently this is done, and have arrangements in place where possible to help identify which changes over time are the result of real changes in </w:t>
      </w:r>
      <w:r w:rsidRPr="00AD54FD">
        <w:t xml:space="preserve">releases </w:t>
      </w:r>
      <w:r w:rsidR="00B968D7" w:rsidRPr="00AD54FD">
        <w:t xml:space="preserve">and those which reflect improvements in estimating techniques. </w:t>
      </w:r>
    </w:p>
    <w:p w14:paraId="1F37BA46" w14:textId="2611BD12" w:rsidR="00B968D7" w:rsidRPr="00FD3683" w:rsidRDefault="00B968D7" w:rsidP="00B968D7">
      <w:pPr>
        <w:pStyle w:val="NormalNonumber"/>
      </w:pPr>
      <w:r w:rsidRPr="00AD54FD">
        <w:t xml:space="preserve">Where no national approaches are in place, </w:t>
      </w:r>
      <w:r w:rsidR="00642DCA" w:rsidRPr="00AD54FD">
        <w:t xml:space="preserve">a Party </w:t>
      </w:r>
      <w:r w:rsidRPr="00AD54FD">
        <w:t>may find it useful to adopt the methodologies set out in international guidance, such as the UNEP Toolkit</w:t>
      </w:r>
      <w:r w:rsidRPr="00AD54FD">
        <w:rPr>
          <w:vertAlign w:val="superscript"/>
        </w:rPr>
        <w:footnoteReference w:id="6"/>
      </w:r>
      <w:r w:rsidRPr="00AD54FD">
        <w:t>.</w:t>
      </w:r>
      <w:r w:rsidRPr="00AD54FD">
        <w:rPr>
          <w:vertAlign w:val="superscript"/>
        </w:rPr>
        <w:t xml:space="preserve"> </w:t>
      </w:r>
      <w:r w:rsidR="00E712CB">
        <w:t>When a Party lack</w:t>
      </w:r>
      <w:r w:rsidR="00B477D9">
        <w:t>s</w:t>
      </w:r>
      <w:r w:rsidR="00E712CB">
        <w:t xml:space="preserve"> national release factors, internationally accepted values are suggested to be used</w:t>
      </w:r>
      <w:r w:rsidR="00AF31CA" w:rsidRPr="00FD3683">
        <w:t>.</w:t>
      </w:r>
    </w:p>
    <w:p w14:paraId="37F1D484" w14:textId="6EB75DAE" w:rsidR="00B968D7" w:rsidRPr="00AD54FD" w:rsidRDefault="00B968D7" w:rsidP="00B968D7">
      <w:pPr>
        <w:pStyle w:val="NormalNonumber"/>
      </w:pPr>
      <w:r w:rsidRPr="00AD54FD">
        <w:t>In practice, the decision on the methodology to be used should be based on a combination of factors and may change over time, reflecting what is practical and affordable and what is most suitable in the light of national circumstances. At a minimum, however, there should be transparency about the methodology being used, so that the information in the inventory can be correctly inte</w:t>
      </w:r>
      <w:r w:rsidR="00642DCA" w:rsidRPr="00AD54FD">
        <w:t>r</w:t>
      </w:r>
      <w:r w:rsidRPr="00AD54FD">
        <w:t>preted.</w:t>
      </w:r>
    </w:p>
    <w:p w14:paraId="53729190" w14:textId="2C552685" w:rsidR="00B968D7" w:rsidRPr="00AD54FD" w:rsidRDefault="00B968D7" w:rsidP="00B968D7">
      <w:pPr>
        <w:pStyle w:val="NormalNonumber"/>
      </w:pPr>
      <w:r w:rsidRPr="00AD54FD">
        <w:t xml:space="preserve">Where the information can practicably be obtained, it is useful to record details of the speciation of the </w:t>
      </w:r>
      <w:r w:rsidR="00642DCA" w:rsidRPr="00AD54FD">
        <w:t xml:space="preserve">releases </w:t>
      </w:r>
      <w:r w:rsidRPr="00AD54FD">
        <w:t xml:space="preserve">– that is, whether </w:t>
      </w:r>
      <w:r w:rsidR="00642DCA" w:rsidRPr="00AD54FD">
        <w:t xml:space="preserve">the released substance is elemental </w:t>
      </w:r>
      <w:r w:rsidRPr="00AD54FD">
        <w:t>mercury</w:t>
      </w:r>
      <w:r w:rsidR="004636D7" w:rsidRPr="00AD54FD">
        <w:t>, an inorganic mercury compound or an organic mercury compound</w:t>
      </w:r>
      <w:r w:rsidRPr="00AD54FD">
        <w:t xml:space="preserve">. This information may be useful in </w:t>
      </w:r>
      <w:r w:rsidR="004636D7" w:rsidRPr="00AD54FD">
        <w:t>predicting the</w:t>
      </w:r>
      <w:r w:rsidRPr="00AD54FD">
        <w:t xml:space="preserve"> fate of mercury </w:t>
      </w:r>
      <w:r w:rsidR="004636D7" w:rsidRPr="00AD54FD">
        <w:t>and mercury compounds in the aqueous and terrestrial environment and their risk to human health and the environment</w:t>
      </w:r>
      <w:r w:rsidR="00987221">
        <w:t>, as well as identifying effective control strategies and technologies</w:t>
      </w:r>
      <w:r w:rsidRPr="00AD54FD">
        <w:t>.</w:t>
      </w:r>
    </w:p>
    <w:p w14:paraId="641B7546" w14:textId="118F2319" w:rsidR="00221C39" w:rsidRPr="00AD54FD" w:rsidRDefault="00221C39" w:rsidP="00B968D7">
      <w:pPr>
        <w:pStyle w:val="NormalNonumber"/>
      </w:pPr>
      <w:r w:rsidRPr="00AD54FD">
        <w:t xml:space="preserve">Where the information can practicably be obtained, it is also useful to record details of other pollutants released together with mercury (that together acts as a "finger-print" of the specific release source). This information may be useful in tracking and </w:t>
      </w:r>
      <w:r w:rsidR="00756DBF">
        <w:t>identifying</w:t>
      </w:r>
      <w:r w:rsidRPr="00AD54FD">
        <w:t xml:space="preserve"> sources of mercury observed / monitored in the aqueous and terrestrial environment</w:t>
      </w:r>
      <w:r w:rsidR="00457092">
        <w:t>,</w:t>
      </w:r>
      <w:r w:rsidRPr="00AD54FD">
        <w:t xml:space="preserve"> and direct abatement measures to the right release sources.</w:t>
      </w:r>
    </w:p>
    <w:p w14:paraId="6D471155" w14:textId="11A0E79D" w:rsidR="00B968D7" w:rsidRPr="00AD54FD" w:rsidRDefault="00B968D7" w:rsidP="00B968D7">
      <w:pPr>
        <w:pStyle w:val="NormalNonumber"/>
      </w:pPr>
      <w:r w:rsidRPr="00AD54FD">
        <w:t xml:space="preserve">Once the national methodologies have been established, </w:t>
      </w:r>
      <w:r w:rsidR="000F50D4">
        <w:t>P</w:t>
      </w:r>
      <w:r w:rsidRPr="00AD54FD">
        <w:t xml:space="preserve">arties </w:t>
      </w:r>
      <w:r w:rsidRPr="00AD54FD">
        <w:rPr>
          <w:noProof/>
          <w:lang w:eastAsia="zh-CN"/>
        </w:rPr>
        <w:t>should provide specific guidance to facilities on the estimation methods to be used, quality control and quality assurance considerations, and the format for data submission</w:t>
      </w:r>
      <w:r w:rsidR="00457092">
        <w:rPr>
          <w:noProof/>
          <w:lang w:eastAsia="zh-CN"/>
        </w:rPr>
        <w:t xml:space="preserve">. </w:t>
      </w:r>
      <w:r w:rsidR="00922446" w:rsidRPr="00AD54FD">
        <w:rPr>
          <w:noProof/>
          <w:lang w:eastAsia="zh-CN"/>
        </w:rPr>
        <w:t xml:space="preserve"> National authorities </w:t>
      </w:r>
      <w:r w:rsidR="00B266BB">
        <w:rPr>
          <w:noProof/>
          <w:lang w:eastAsia="zh-CN"/>
        </w:rPr>
        <w:t>should</w:t>
      </w:r>
      <w:r w:rsidR="00922446" w:rsidRPr="00AD54FD">
        <w:rPr>
          <w:noProof/>
          <w:lang w:eastAsia="zh-CN"/>
        </w:rPr>
        <w:t xml:space="preserve"> also apply quality control/validation techniques to the data to ensure that it is robust and reliable.</w:t>
      </w:r>
      <w:r w:rsidR="00BA0991">
        <w:rPr>
          <w:noProof/>
          <w:lang w:eastAsia="zh-CN"/>
        </w:rPr>
        <w:t xml:space="preserve"> Where </w:t>
      </w:r>
      <w:r w:rsidR="00B477D9">
        <w:rPr>
          <w:noProof/>
          <w:lang w:eastAsia="zh-CN"/>
        </w:rPr>
        <w:t>a</w:t>
      </w:r>
      <w:r w:rsidR="00BA0991">
        <w:rPr>
          <w:noProof/>
          <w:lang w:eastAsia="zh-CN"/>
        </w:rPr>
        <w:t xml:space="preserve"> PRTR system exists, t</w:t>
      </w:r>
      <w:r w:rsidR="00922446" w:rsidRPr="00AD54FD">
        <w:rPr>
          <w:noProof/>
          <w:lang w:eastAsia="zh-CN"/>
        </w:rPr>
        <w:t xml:space="preserve">his is </w:t>
      </w:r>
      <w:r w:rsidR="00BA0991">
        <w:rPr>
          <w:noProof/>
          <w:lang w:eastAsia="zh-CN"/>
        </w:rPr>
        <w:t>usually</w:t>
      </w:r>
      <w:r w:rsidR="00922446" w:rsidRPr="00AD54FD">
        <w:rPr>
          <w:noProof/>
          <w:lang w:eastAsia="zh-CN"/>
        </w:rPr>
        <w:t xml:space="preserve"> </w:t>
      </w:r>
      <w:r w:rsidR="00B266BB">
        <w:rPr>
          <w:noProof/>
          <w:lang w:eastAsia="zh-CN"/>
        </w:rPr>
        <w:t xml:space="preserve">a </w:t>
      </w:r>
      <w:r w:rsidR="00922446" w:rsidRPr="00AD54FD">
        <w:rPr>
          <w:noProof/>
          <w:lang w:eastAsia="zh-CN"/>
        </w:rPr>
        <w:t xml:space="preserve"> part of </w:t>
      </w:r>
      <w:r w:rsidR="00BA0991">
        <w:rPr>
          <w:noProof/>
          <w:lang w:eastAsia="zh-CN"/>
        </w:rPr>
        <w:t>its</w:t>
      </w:r>
      <w:r w:rsidR="00922446" w:rsidRPr="00AD54FD">
        <w:rPr>
          <w:noProof/>
          <w:lang w:eastAsia="zh-CN"/>
        </w:rPr>
        <w:t xml:space="preserve"> reporting. </w:t>
      </w:r>
    </w:p>
    <w:p w14:paraId="5A70E9C8" w14:textId="4BA05F31" w:rsidR="00B968D7" w:rsidRPr="00AD54FD" w:rsidRDefault="00B968D7" w:rsidP="00B968D7">
      <w:pPr>
        <w:pStyle w:val="CH2"/>
        <w:rPr>
          <w:lang w:eastAsia="zh-CN"/>
        </w:rPr>
      </w:pPr>
      <w:r w:rsidRPr="00AD54FD">
        <w:rPr>
          <w:lang w:eastAsia="zh-CN"/>
        </w:rPr>
        <w:tab/>
      </w:r>
      <w:r w:rsidRPr="00AD54FD">
        <w:rPr>
          <w:lang w:eastAsia="zh-CN"/>
        </w:rPr>
        <w:tab/>
        <w:t xml:space="preserve">Development of </w:t>
      </w:r>
      <w:r w:rsidR="004636D7" w:rsidRPr="00AD54FD">
        <w:rPr>
          <w:lang w:eastAsia="zh-CN"/>
        </w:rPr>
        <w:t xml:space="preserve">a </w:t>
      </w:r>
      <w:r w:rsidR="00993BFC" w:rsidRPr="00AD54FD">
        <w:rPr>
          <w:lang w:eastAsia="zh-CN"/>
        </w:rPr>
        <w:t>reporting and data management system</w:t>
      </w:r>
    </w:p>
    <w:p w14:paraId="38C579E5" w14:textId="64601B10" w:rsidR="00B968D7" w:rsidRPr="00AD54FD" w:rsidRDefault="00B968D7" w:rsidP="00B968D7">
      <w:pPr>
        <w:pStyle w:val="NormalNonumber"/>
        <w:rPr>
          <w:noProof/>
          <w:lang w:eastAsia="zh-CN"/>
        </w:rPr>
      </w:pPr>
      <w:r w:rsidRPr="00AD54FD">
        <w:rPr>
          <w:noProof/>
          <w:lang w:eastAsia="zh-CN"/>
        </w:rPr>
        <w:t xml:space="preserve">To facilitate reporting, a </w:t>
      </w:r>
      <w:r w:rsidR="004636D7" w:rsidRPr="00AD54FD">
        <w:rPr>
          <w:noProof/>
          <w:lang w:eastAsia="zh-CN"/>
        </w:rPr>
        <w:t>P</w:t>
      </w:r>
      <w:r w:rsidRPr="00AD54FD">
        <w:rPr>
          <w:noProof/>
          <w:lang w:eastAsia="zh-CN"/>
        </w:rPr>
        <w:t xml:space="preserve">arty could set up a dedicated </w:t>
      </w:r>
      <w:r w:rsidR="004636D7" w:rsidRPr="00AD54FD">
        <w:rPr>
          <w:noProof/>
          <w:lang w:eastAsia="zh-CN"/>
        </w:rPr>
        <w:t xml:space="preserve">releases </w:t>
      </w:r>
      <w:r w:rsidRPr="00AD54FD">
        <w:rPr>
          <w:noProof/>
          <w:lang w:eastAsia="zh-CN"/>
        </w:rPr>
        <w:t xml:space="preserve">inventory website to disseminate information, thus enabling industries to download the </w:t>
      </w:r>
      <w:r w:rsidRPr="00AD54FD">
        <w:t>relevant</w:t>
      </w:r>
      <w:r w:rsidRPr="00AD54FD">
        <w:rPr>
          <w:noProof/>
          <w:lang w:eastAsia="zh-CN"/>
        </w:rPr>
        <w:t xml:space="preserve"> guidance materials, including reporting templates. Industries should be encouraged to submit their reports in an electronic format, to allow for easier data </w:t>
      </w:r>
      <w:r w:rsidR="004636D7" w:rsidRPr="00AD54FD">
        <w:rPr>
          <w:noProof/>
          <w:lang w:eastAsia="zh-CN"/>
        </w:rPr>
        <w:t xml:space="preserve">handling </w:t>
      </w:r>
      <w:r w:rsidRPr="00AD54FD">
        <w:rPr>
          <w:noProof/>
          <w:lang w:eastAsia="zh-CN"/>
        </w:rPr>
        <w:t xml:space="preserve">and analysis. </w:t>
      </w:r>
      <w:r w:rsidR="004636D7" w:rsidRPr="00AD54FD">
        <w:rPr>
          <w:noProof/>
          <w:lang w:eastAsia="zh-CN"/>
        </w:rPr>
        <w:t xml:space="preserve">A </w:t>
      </w:r>
      <w:r w:rsidRPr="00AD54FD">
        <w:rPr>
          <w:noProof/>
          <w:lang w:eastAsia="zh-CN"/>
        </w:rPr>
        <w:t>Part</w:t>
      </w:r>
      <w:r w:rsidR="004636D7" w:rsidRPr="00AD54FD">
        <w:rPr>
          <w:noProof/>
          <w:lang w:eastAsia="zh-CN"/>
        </w:rPr>
        <w:t>y</w:t>
      </w:r>
      <w:r w:rsidRPr="00AD54FD">
        <w:rPr>
          <w:noProof/>
          <w:lang w:eastAsia="zh-CN"/>
        </w:rPr>
        <w:t xml:space="preserve"> should require facilities to meet fixed reporting requirements and timelines.</w:t>
      </w:r>
    </w:p>
    <w:p w14:paraId="0AE210AC" w14:textId="0E0EBE27" w:rsidR="00B968D7" w:rsidRPr="00AD54FD" w:rsidRDefault="004636D7" w:rsidP="00B968D7">
      <w:pPr>
        <w:pStyle w:val="NormalNonumber"/>
        <w:rPr>
          <w:noProof/>
          <w:lang w:eastAsia="zh-CN"/>
        </w:rPr>
      </w:pPr>
      <w:r w:rsidRPr="00AD54FD">
        <w:rPr>
          <w:noProof/>
          <w:lang w:eastAsia="zh-CN"/>
        </w:rPr>
        <w:t xml:space="preserve">A </w:t>
      </w:r>
      <w:r w:rsidR="00B968D7" w:rsidRPr="00AD54FD">
        <w:rPr>
          <w:noProof/>
          <w:lang w:eastAsia="zh-CN"/>
        </w:rPr>
        <w:t>Part</w:t>
      </w:r>
      <w:r w:rsidRPr="00AD54FD">
        <w:rPr>
          <w:noProof/>
          <w:lang w:eastAsia="zh-CN"/>
        </w:rPr>
        <w:t>y</w:t>
      </w:r>
      <w:r w:rsidR="00B968D7" w:rsidRPr="00AD54FD">
        <w:rPr>
          <w:noProof/>
          <w:lang w:eastAsia="zh-CN"/>
        </w:rPr>
        <w:t xml:space="preserve"> should create internal databases to store facility </w:t>
      </w:r>
      <w:r w:rsidR="00B968D7" w:rsidRPr="00AD54FD">
        <w:t>information</w:t>
      </w:r>
      <w:r w:rsidR="00B968D7" w:rsidRPr="00AD54FD">
        <w:rPr>
          <w:noProof/>
          <w:lang w:eastAsia="zh-CN"/>
        </w:rPr>
        <w:t xml:space="preserve"> (such as the facility’s name, location, corporate ownership and other details) and the reported </w:t>
      </w:r>
      <w:r w:rsidRPr="00AD54FD">
        <w:rPr>
          <w:noProof/>
          <w:lang w:eastAsia="zh-CN"/>
        </w:rPr>
        <w:t xml:space="preserve">releases </w:t>
      </w:r>
      <w:r w:rsidR="00B968D7" w:rsidRPr="00AD54FD">
        <w:rPr>
          <w:noProof/>
          <w:lang w:eastAsia="zh-CN"/>
        </w:rPr>
        <w:t xml:space="preserve">data. This database should be searchable, easy to </w:t>
      </w:r>
      <w:r w:rsidRPr="00AD54FD">
        <w:rPr>
          <w:noProof/>
          <w:lang w:eastAsia="zh-CN"/>
        </w:rPr>
        <w:t xml:space="preserve">use </w:t>
      </w:r>
      <w:r w:rsidR="00B968D7" w:rsidRPr="00AD54FD">
        <w:rPr>
          <w:noProof/>
          <w:lang w:eastAsia="zh-CN"/>
        </w:rPr>
        <w:t xml:space="preserve">and conducive to further data analysis. </w:t>
      </w:r>
    </w:p>
    <w:p w14:paraId="1DA65F18" w14:textId="77777777" w:rsidR="00B968D7" w:rsidRPr="00AD54FD" w:rsidRDefault="00B968D7" w:rsidP="00B968D7">
      <w:pPr>
        <w:pStyle w:val="CH2"/>
        <w:rPr>
          <w:lang w:eastAsia="zh-CN"/>
        </w:rPr>
      </w:pPr>
      <w:r w:rsidRPr="00AD54FD">
        <w:rPr>
          <w:lang w:eastAsia="zh-CN"/>
        </w:rPr>
        <w:lastRenderedPageBreak/>
        <w:tab/>
      </w:r>
      <w:r w:rsidRPr="00AD54FD">
        <w:rPr>
          <w:lang w:eastAsia="zh-CN"/>
        </w:rPr>
        <w:tab/>
        <w:t>Making the data publicly accessible and searchable</w:t>
      </w:r>
    </w:p>
    <w:p w14:paraId="129ACF92" w14:textId="38A570C9" w:rsidR="00B968D7" w:rsidRPr="00AD54FD" w:rsidRDefault="00B968D7" w:rsidP="00B968D7">
      <w:pPr>
        <w:pStyle w:val="NormalNonumber"/>
        <w:rPr>
          <w:noProof/>
          <w:lang w:eastAsia="zh-CN"/>
        </w:rPr>
      </w:pPr>
      <w:r w:rsidRPr="00AD54FD">
        <w:rPr>
          <w:noProof/>
          <w:lang w:eastAsia="zh-CN"/>
        </w:rPr>
        <w:t xml:space="preserve">Individual facility </w:t>
      </w:r>
      <w:r w:rsidR="004636D7" w:rsidRPr="00AD54FD">
        <w:rPr>
          <w:noProof/>
          <w:lang w:eastAsia="zh-CN"/>
        </w:rPr>
        <w:t xml:space="preserve">releases </w:t>
      </w:r>
      <w:r w:rsidRPr="00AD54FD">
        <w:rPr>
          <w:noProof/>
          <w:lang w:eastAsia="zh-CN"/>
        </w:rPr>
        <w:t xml:space="preserve">data and </w:t>
      </w:r>
      <w:r w:rsidR="004636D7" w:rsidRPr="00AD54FD">
        <w:rPr>
          <w:noProof/>
          <w:lang w:eastAsia="zh-CN"/>
        </w:rPr>
        <w:t xml:space="preserve">releases </w:t>
      </w:r>
      <w:r w:rsidRPr="00AD54FD">
        <w:rPr>
          <w:noProof/>
          <w:lang w:eastAsia="zh-CN"/>
        </w:rPr>
        <w:t>summary reports containing non-confidential information</w:t>
      </w:r>
      <w:r w:rsidR="00270808" w:rsidRPr="00AD54FD">
        <w:rPr>
          <w:noProof/>
          <w:lang w:eastAsia="zh-CN"/>
        </w:rPr>
        <w:t>,</w:t>
      </w:r>
      <w:r w:rsidRPr="00AD54FD">
        <w:rPr>
          <w:noProof/>
          <w:lang w:eastAsia="zh-CN"/>
        </w:rPr>
        <w:t xml:space="preserve"> </w:t>
      </w:r>
      <w:r w:rsidR="00270808" w:rsidRPr="00AD54FD">
        <w:rPr>
          <w:noProof/>
          <w:lang w:eastAsia="zh-CN"/>
        </w:rPr>
        <w:t xml:space="preserve">as well as the methodologies or monitoring methods used, </w:t>
      </w:r>
      <w:r w:rsidRPr="00AD54FD">
        <w:rPr>
          <w:noProof/>
          <w:lang w:eastAsia="zh-CN"/>
        </w:rPr>
        <w:t xml:space="preserve">should be made available to the public, consistent with the </w:t>
      </w:r>
      <w:r w:rsidR="004636D7" w:rsidRPr="00AD54FD">
        <w:rPr>
          <w:noProof/>
          <w:lang w:eastAsia="zh-CN"/>
        </w:rPr>
        <w:t>P</w:t>
      </w:r>
      <w:r w:rsidRPr="00AD54FD">
        <w:rPr>
          <w:noProof/>
          <w:lang w:eastAsia="zh-CN"/>
        </w:rPr>
        <w:t>art</w:t>
      </w:r>
      <w:r w:rsidR="004636D7" w:rsidRPr="00AD54FD">
        <w:rPr>
          <w:noProof/>
          <w:lang w:eastAsia="zh-CN"/>
        </w:rPr>
        <w:t>y</w:t>
      </w:r>
      <w:r w:rsidRPr="00AD54FD">
        <w:rPr>
          <w:noProof/>
          <w:lang w:eastAsia="zh-CN"/>
        </w:rPr>
        <w:t>’</w:t>
      </w:r>
      <w:r w:rsidR="004636D7" w:rsidRPr="00AD54FD">
        <w:rPr>
          <w:noProof/>
          <w:lang w:eastAsia="zh-CN"/>
        </w:rPr>
        <w:t>s</w:t>
      </w:r>
      <w:r w:rsidRPr="00AD54FD">
        <w:rPr>
          <w:noProof/>
          <w:lang w:eastAsia="zh-CN"/>
        </w:rPr>
        <w:t xml:space="preserve"> obligation under Article 18 (Public information, awareness and education). If a Party has set up a website to assist industries in reporting their </w:t>
      </w:r>
      <w:r w:rsidR="004636D7" w:rsidRPr="00AD54FD">
        <w:rPr>
          <w:noProof/>
          <w:lang w:eastAsia="zh-CN"/>
        </w:rPr>
        <w:t>releases</w:t>
      </w:r>
      <w:r w:rsidRPr="00AD54FD">
        <w:rPr>
          <w:noProof/>
          <w:lang w:eastAsia="zh-CN"/>
        </w:rPr>
        <w:t xml:space="preserve">, the same website could be used to disseminate the </w:t>
      </w:r>
      <w:r w:rsidR="004636D7" w:rsidRPr="00AD54FD">
        <w:rPr>
          <w:noProof/>
          <w:lang w:eastAsia="zh-CN"/>
        </w:rPr>
        <w:t xml:space="preserve">releases </w:t>
      </w:r>
      <w:r w:rsidRPr="00AD54FD">
        <w:rPr>
          <w:noProof/>
          <w:lang w:eastAsia="zh-CN"/>
        </w:rPr>
        <w:t xml:space="preserve">data, subject to suitable security arrangements to protect the data. The website should allow users to conduct customized data searches, such as for an individual facility, industrial sector, geographical region, or a specific reporting year. </w:t>
      </w:r>
    </w:p>
    <w:p w14:paraId="6A78C970" w14:textId="77777777" w:rsidR="00B968D7" w:rsidRPr="00AD54FD" w:rsidRDefault="00B968D7" w:rsidP="00B968D7">
      <w:pPr>
        <w:pStyle w:val="CH2"/>
        <w:rPr>
          <w:lang w:eastAsia="zh-CN"/>
        </w:rPr>
      </w:pPr>
      <w:r w:rsidRPr="00AD54FD">
        <w:rPr>
          <w:lang w:eastAsia="zh-CN"/>
        </w:rPr>
        <w:tab/>
      </w:r>
      <w:r w:rsidRPr="00AD54FD">
        <w:rPr>
          <w:lang w:eastAsia="zh-CN"/>
        </w:rPr>
        <w:tab/>
        <w:t>UNEP Inventory Toolkit</w:t>
      </w:r>
    </w:p>
    <w:p w14:paraId="36D4ACB3" w14:textId="3B423B77" w:rsidR="00B968D7" w:rsidRPr="00AD54FD" w:rsidRDefault="00B968D7" w:rsidP="00B968D7">
      <w:pPr>
        <w:pStyle w:val="NormalNonumber"/>
        <w:rPr>
          <w:noProof/>
          <w:lang w:eastAsia="zh-CN"/>
        </w:rPr>
      </w:pPr>
      <w:r w:rsidRPr="00AD54FD">
        <w:rPr>
          <w:noProof/>
          <w:lang w:eastAsia="zh-CN"/>
        </w:rPr>
        <w:t xml:space="preserve">UNEP has developed a set of tools, consistent with the above methodology, for use in establishing inventories. This UNEP toolkit </w:t>
      </w:r>
      <w:r w:rsidR="008A6EF9">
        <w:rPr>
          <w:noProof/>
          <w:lang w:eastAsia="zh-CN"/>
        </w:rPr>
        <w:t>is</w:t>
      </w:r>
      <w:r w:rsidRPr="00AD54FD">
        <w:rPr>
          <w:noProof/>
          <w:lang w:eastAsia="zh-CN"/>
        </w:rPr>
        <w:t xml:space="preserve"> a good starting point for </w:t>
      </w:r>
      <w:r w:rsidR="000F50D4">
        <w:rPr>
          <w:noProof/>
          <w:lang w:eastAsia="zh-CN"/>
        </w:rPr>
        <w:t>P</w:t>
      </w:r>
      <w:r w:rsidRPr="00AD54FD">
        <w:rPr>
          <w:noProof/>
          <w:lang w:eastAsia="zh-CN"/>
        </w:rPr>
        <w:t xml:space="preserve">arties developing their own </w:t>
      </w:r>
      <w:r w:rsidR="004636D7" w:rsidRPr="00AD54FD">
        <w:rPr>
          <w:noProof/>
          <w:lang w:eastAsia="zh-CN"/>
        </w:rPr>
        <w:t xml:space="preserve">release </w:t>
      </w:r>
      <w:r w:rsidRPr="00AD54FD">
        <w:rPr>
          <w:noProof/>
          <w:lang w:eastAsia="zh-CN"/>
        </w:rPr>
        <w:t xml:space="preserve">inventories. The toolkit potentially covers all sources </w:t>
      </w:r>
      <w:r w:rsidRPr="00AD54FD">
        <w:t>of</w:t>
      </w:r>
      <w:r w:rsidRPr="00AD54FD">
        <w:rPr>
          <w:noProof/>
          <w:lang w:eastAsia="zh-CN"/>
        </w:rPr>
        <w:t xml:space="preserve"> mercury emissions and releases to all environmental media, </w:t>
      </w:r>
      <w:r w:rsidR="00E712CB">
        <w:rPr>
          <w:noProof/>
          <w:lang w:eastAsia="zh-CN"/>
        </w:rPr>
        <w:t xml:space="preserve">and therefore is not intended only for Article 9 inventories. However, </w:t>
      </w:r>
      <w:r w:rsidRPr="00AD54FD">
        <w:rPr>
          <w:noProof/>
          <w:lang w:eastAsia="zh-CN"/>
        </w:rPr>
        <w:t xml:space="preserve">it can also be used to establish more limited inventories covering the point source </w:t>
      </w:r>
      <w:r w:rsidR="004636D7" w:rsidRPr="00AD54FD">
        <w:rPr>
          <w:noProof/>
          <w:lang w:eastAsia="zh-CN"/>
        </w:rPr>
        <w:t xml:space="preserve">release </w:t>
      </w:r>
      <w:r w:rsidRPr="00AD54FD">
        <w:rPr>
          <w:noProof/>
          <w:lang w:eastAsia="zh-CN"/>
        </w:rPr>
        <w:t xml:space="preserve">to </w:t>
      </w:r>
      <w:r w:rsidR="004636D7" w:rsidRPr="00AD54FD">
        <w:rPr>
          <w:noProof/>
          <w:lang w:eastAsia="zh-CN"/>
        </w:rPr>
        <w:t>land and water</w:t>
      </w:r>
      <w:r w:rsidRPr="00AD54FD">
        <w:rPr>
          <w:noProof/>
          <w:lang w:eastAsia="zh-CN"/>
        </w:rPr>
        <w:t xml:space="preserve"> from relevant sources</w:t>
      </w:r>
      <w:r w:rsidR="004636D7" w:rsidRPr="00AD54FD">
        <w:rPr>
          <w:noProof/>
          <w:lang w:eastAsia="zh-CN"/>
        </w:rPr>
        <w:t xml:space="preserve"> </w:t>
      </w:r>
      <w:r w:rsidR="00E712CB">
        <w:rPr>
          <w:noProof/>
          <w:lang w:eastAsia="zh-CN"/>
        </w:rPr>
        <w:t xml:space="preserve">under Article 9 as </w:t>
      </w:r>
      <w:r w:rsidR="004636D7" w:rsidRPr="00AD54FD">
        <w:rPr>
          <w:noProof/>
          <w:lang w:eastAsia="zh-CN"/>
        </w:rPr>
        <w:t>identiified by the Party</w:t>
      </w:r>
      <w:r w:rsidRPr="00AD54FD">
        <w:rPr>
          <w:noProof/>
          <w:lang w:eastAsia="zh-CN"/>
        </w:rPr>
        <w:t xml:space="preserve">. Over time, </w:t>
      </w:r>
      <w:r w:rsidR="00EF1D91" w:rsidRPr="00AD54FD">
        <w:rPr>
          <w:noProof/>
          <w:lang w:eastAsia="zh-CN"/>
        </w:rPr>
        <w:t>a Party</w:t>
      </w:r>
      <w:r w:rsidRPr="00AD54FD">
        <w:rPr>
          <w:noProof/>
          <w:lang w:eastAsia="zh-CN"/>
        </w:rPr>
        <w:t xml:space="preserve"> should strive to improve and develop their </w:t>
      </w:r>
      <w:r w:rsidR="00EF1D91" w:rsidRPr="00AD54FD">
        <w:rPr>
          <w:noProof/>
          <w:lang w:eastAsia="zh-CN"/>
        </w:rPr>
        <w:t xml:space="preserve">releases </w:t>
      </w:r>
      <w:r w:rsidRPr="00AD54FD">
        <w:rPr>
          <w:noProof/>
          <w:lang w:eastAsia="zh-CN"/>
        </w:rPr>
        <w:t>inventories, and the guidance outlined above provides a basis for such an undertaking.</w:t>
      </w:r>
    </w:p>
    <w:p w14:paraId="17F20ECB" w14:textId="77777777" w:rsidR="00B968D7" w:rsidRPr="00AD54FD" w:rsidRDefault="00B968D7" w:rsidP="00B968D7">
      <w:pPr>
        <w:pStyle w:val="NormalNonumber"/>
      </w:pPr>
      <w:r w:rsidRPr="00AD54FD">
        <w:rPr>
          <w:noProof/>
          <w:lang w:eastAsia="zh-CN"/>
        </w:rPr>
        <w:t xml:space="preserve">The toolkit is available at </w:t>
      </w:r>
      <w:r w:rsidRPr="00AD54FD">
        <w:t>two levels: inventory level 1 and inventory level 2.</w:t>
      </w:r>
    </w:p>
    <w:p w14:paraId="3C2E4B54" w14:textId="77777777" w:rsidR="00B968D7" w:rsidRPr="00AD54FD" w:rsidRDefault="00B968D7" w:rsidP="00B968D7">
      <w:pPr>
        <w:pStyle w:val="NormalNonumber"/>
      </w:pPr>
      <w:r w:rsidRPr="00AD54FD">
        <w:t xml:space="preserve">Inventory level 1 uses factors derived from experience for input and releases to calculate mercury inputs and releases to all environmental </w:t>
      </w:r>
      <w:proofErr w:type="gramStart"/>
      <w:r w:rsidRPr="00AD54FD">
        <w:t>media, and</w:t>
      </w:r>
      <w:proofErr w:type="gramEnd"/>
      <w:r w:rsidRPr="00AD54FD">
        <w:t xml:space="preserve"> presents results as estimates.</w:t>
      </w:r>
    </w:p>
    <w:p w14:paraId="570C973A" w14:textId="75E39D04" w:rsidR="00B968D7" w:rsidRPr="00AD54FD" w:rsidRDefault="00B968D7" w:rsidP="00B968D7">
      <w:pPr>
        <w:pStyle w:val="NormalNonumber"/>
      </w:pPr>
      <w:r w:rsidRPr="00AD54FD">
        <w:t xml:space="preserve">Inventory level 2 aims to lead countries through the process of enhancing and refining their initial inventories. It provides guidance on the different techniques and stages of developing the </w:t>
      </w:r>
      <w:proofErr w:type="gramStart"/>
      <w:r w:rsidRPr="00AD54FD">
        <w:t>inventory, and</w:t>
      </w:r>
      <w:proofErr w:type="gramEnd"/>
      <w:r w:rsidRPr="00AD54FD">
        <w:t xml:space="preserve"> includes illustrative examples and extensive information on mercury release sources. It provides a simple methodology, together with an accompanying database to ensure consistency in the development of national inventories. </w:t>
      </w:r>
      <w:r w:rsidR="00FD3683" w:rsidRPr="00FD3683">
        <w:t xml:space="preserve">Inventory level 2 encourages the use of country-specific calculation factors, and using such factors, the emission and release estimates developed on Inventory level 2 can be refined to </w:t>
      </w:r>
      <w:r w:rsidR="00245749">
        <w:t xml:space="preserve">a </w:t>
      </w:r>
      <w:r w:rsidR="00FD3683" w:rsidRPr="00FD3683">
        <w:t>high</w:t>
      </w:r>
      <w:r w:rsidR="009740CB">
        <w:t>er</w:t>
      </w:r>
      <w:r w:rsidR="00FD3683" w:rsidRPr="00FD3683">
        <w:t xml:space="preserve"> </w:t>
      </w:r>
      <w:r w:rsidR="00011F5D">
        <w:t>level of</w:t>
      </w:r>
      <w:r w:rsidR="00FD3683" w:rsidRPr="00FD3683">
        <w:t xml:space="preserve"> precision, provided the needed data are available in the country</w:t>
      </w:r>
      <w:r w:rsidR="00153C52">
        <w:t>.</w:t>
      </w:r>
    </w:p>
    <w:p w14:paraId="19127160" w14:textId="05CE3B3E" w:rsidR="00B968D7" w:rsidRPr="00AD54FD" w:rsidRDefault="00B968D7" w:rsidP="00B968D7">
      <w:pPr>
        <w:pStyle w:val="NormalNonumber"/>
      </w:pPr>
      <w:r w:rsidRPr="00AD54FD">
        <w:t xml:space="preserve">The methodology for level 2 aims for the identification and quantification (where possible) of all sources of emissions and releases of mercury at the national level. The first step is the establishment of a screening matrix, with an identification of the main source categories present. A </w:t>
      </w:r>
      <w:r w:rsidR="000F50D4">
        <w:t>P</w:t>
      </w:r>
      <w:r w:rsidRPr="00AD54FD">
        <w:t xml:space="preserve">arty could choose to limit the sources to those </w:t>
      </w:r>
      <w:r w:rsidR="00EF1D91" w:rsidRPr="00AD54FD">
        <w:t xml:space="preserve">relevant </w:t>
      </w:r>
      <w:r w:rsidRPr="00AD54FD">
        <w:t xml:space="preserve">source categories </w:t>
      </w:r>
      <w:r w:rsidR="00EF1D91" w:rsidRPr="00AD54FD">
        <w:t>identified by the Party</w:t>
      </w:r>
      <w:r w:rsidRPr="00AD54FD">
        <w:t xml:space="preserve">. The second step is the classification of the main source categories into subcategories, to identify individual activities that potentially release mercury. This produces a qualitative identification of source types. The third step involves the development of a quantitative inventory. For a detailed quantitative inventory, activity volume data and process-specific information are gathered and may then be used to calculate estimated mercury releases from the identified sources. The toolkit contains procedures and equations for the calculation of all emissions and releases. </w:t>
      </w:r>
      <w:r w:rsidR="008607FF">
        <w:t xml:space="preserve"> Whenever reported releases are based on calculations or other estimation methods, confirmatory testing of releases from facilities identified by the inventory </w:t>
      </w:r>
      <w:r w:rsidR="00B9351F">
        <w:t>should be conducted, with the goal of creating a census of facilities in the different point-source categories, and measured releases of mercury from each</w:t>
      </w:r>
      <w:r w:rsidR="00011F5D">
        <w:t xml:space="preserve"> facility</w:t>
      </w:r>
      <w:r w:rsidR="00B9351F">
        <w:t xml:space="preserve">. </w:t>
      </w:r>
    </w:p>
    <w:p w14:paraId="73943987" w14:textId="71122267" w:rsidR="00B968D7" w:rsidRDefault="00B968D7" w:rsidP="00B968D7">
      <w:pPr>
        <w:pStyle w:val="NormalNonumber"/>
        <w:rPr>
          <w:noProof/>
          <w:lang w:eastAsia="zh-CN"/>
        </w:rPr>
      </w:pPr>
      <w:r w:rsidRPr="00AD54FD">
        <w:t xml:space="preserve">As a final stage, the results of the inventory are compiled. The toolkit recommends the use of a standardized presentation format, which ensures that all known sources are considered (whether they are quantified or not). This allows any data gaps to be </w:t>
      </w:r>
      <w:proofErr w:type="gramStart"/>
      <w:r w:rsidRPr="00AD54FD">
        <w:t>revealed, and</w:t>
      </w:r>
      <w:proofErr w:type="gramEnd"/>
      <w:r w:rsidRPr="00AD54FD">
        <w:t xml:space="preserve"> assists in ensuring that inventories are comparable and transparent. It also provides an opportunity to review, over time, changes in the national emissions and releases of mercury from all sources. This quantitative review conducted under level 2 would</w:t>
      </w:r>
      <w:r w:rsidRPr="00AD54FD">
        <w:rPr>
          <w:noProof/>
          <w:lang w:eastAsia="zh-CN"/>
        </w:rPr>
        <w:t xml:space="preserve"> contribute to reporting requirements under paragraph </w:t>
      </w:r>
      <w:r w:rsidR="00EF1D91" w:rsidRPr="00AD54FD">
        <w:rPr>
          <w:noProof/>
          <w:lang w:eastAsia="zh-CN"/>
        </w:rPr>
        <w:t xml:space="preserve">8 </w:t>
      </w:r>
      <w:r w:rsidRPr="00AD54FD">
        <w:rPr>
          <w:noProof/>
          <w:lang w:eastAsia="zh-CN"/>
        </w:rPr>
        <w:t xml:space="preserve">of Article </w:t>
      </w:r>
      <w:r w:rsidR="00EF1D91" w:rsidRPr="00AD54FD">
        <w:rPr>
          <w:noProof/>
          <w:lang w:eastAsia="zh-CN"/>
        </w:rPr>
        <w:t>9</w:t>
      </w:r>
      <w:r w:rsidRPr="00AD54FD">
        <w:rPr>
          <w:noProof/>
          <w:lang w:eastAsia="zh-CN"/>
        </w:rPr>
        <w:t>.</w:t>
      </w:r>
      <w:r w:rsidRPr="007312E5">
        <w:rPr>
          <w:noProof/>
          <w:lang w:eastAsia="zh-CN"/>
        </w:rPr>
        <w:t xml:space="preserve"> </w:t>
      </w:r>
    </w:p>
    <w:p w14:paraId="5FBEB311" w14:textId="31E87183" w:rsidR="00BF41CE" w:rsidRDefault="00BF41CE">
      <w:pPr>
        <w:rPr>
          <w:rFonts w:ascii="Times New Roman" w:eastAsia="Times New Roman" w:hAnsi="Times New Roman" w:cs="Times New Roman"/>
          <w:noProof/>
          <w:sz w:val="20"/>
          <w:szCs w:val="20"/>
        </w:rPr>
      </w:pPr>
      <w:r>
        <w:rPr>
          <w:noProof/>
        </w:rPr>
        <w:br w:type="page"/>
      </w:r>
    </w:p>
    <w:p w14:paraId="326A6E5D" w14:textId="72EE984F" w:rsidR="00BF41CE" w:rsidRPr="00BF41CE" w:rsidRDefault="00BF41CE" w:rsidP="00BF41CE">
      <w:pPr>
        <w:tabs>
          <w:tab w:val="left" w:pos="624"/>
        </w:tabs>
        <w:adjustRightInd w:val="0"/>
        <w:snapToGrid w:val="0"/>
        <w:spacing w:after="120"/>
        <w:rPr>
          <w:rFonts w:asciiTheme="majorBidi" w:hAnsiTheme="majorBidi" w:cstheme="majorBidi"/>
          <w:b/>
          <w:bCs/>
          <w:sz w:val="20"/>
          <w:szCs w:val="20"/>
        </w:rPr>
      </w:pPr>
      <w:r w:rsidRPr="00BF41CE">
        <w:rPr>
          <w:rFonts w:asciiTheme="majorBidi" w:hAnsiTheme="majorBidi" w:cstheme="majorBidi"/>
          <w:b/>
          <w:bCs/>
          <w:sz w:val="20"/>
          <w:szCs w:val="20"/>
        </w:rPr>
        <w:lastRenderedPageBreak/>
        <w:t xml:space="preserve">Appendix 1: </w:t>
      </w:r>
      <w:bookmarkStart w:id="1" w:name="_Hlk67313919"/>
      <w:r w:rsidRPr="00BF41CE">
        <w:rPr>
          <w:rFonts w:asciiTheme="majorBidi" w:hAnsiTheme="majorBidi" w:cstheme="majorBidi"/>
          <w:b/>
          <w:bCs/>
          <w:sz w:val="20"/>
          <w:szCs w:val="20"/>
        </w:rPr>
        <w:t>List of potentially relevant point source categories</w:t>
      </w:r>
      <w:bookmarkEnd w:id="1"/>
    </w:p>
    <w:p w14:paraId="28317229" w14:textId="77777777" w:rsidR="00BF41CE" w:rsidRDefault="00BF41CE" w:rsidP="0033455B">
      <w:pPr>
        <w:tabs>
          <w:tab w:val="left" w:pos="624"/>
        </w:tabs>
        <w:adjustRightInd w:val="0"/>
        <w:snapToGrid w:val="0"/>
        <w:spacing w:after="120" w:line="240" w:lineRule="auto"/>
        <w:rPr>
          <w:rFonts w:asciiTheme="majorBidi" w:hAnsiTheme="majorBidi" w:cstheme="majorBidi"/>
          <w:sz w:val="20"/>
          <w:szCs w:val="20"/>
        </w:rPr>
      </w:pPr>
    </w:p>
    <w:p w14:paraId="32521BFE" w14:textId="44D5DDA3" w:rsidR="00BF41CE" w:rsidRDefault="00E712CB" w:rsidP="0033455B">
      <w:pPr>
        <w:tabs>
          <w:tab w:val="left" w:pos="624"/>
        </w:tabs>
        <w:adjustRightInd w:val="0"/>
        <w:snapToGrid w:val="0"/>
        <w:spacing w:after="120" w:line="240" w:lineRule="auto"/>
        <w:rPr>
          <w:rFonts w:asciiTheme="majorBidi" w:hAnsiTheme="majorBidi" w:cstheme="majorBidi"/>
          <w:sz w:val="20"/>
          <w:szCs w:val="20"/>
        </w:rPr>
      </w:pPr>
      <w:r>
        <w:rPr>
          <w:rFonts w:asciiTheme="majorBidi" w:hAnsiTheme="majorBidi" w:cstheme="majorBidi"/>
          <w:sz w:val="20"/>
          <w:szCs w:val="20"/>
        </w:rPr>
        <w:t>Table 1</w:t>
      </w:r>
      <w:r w:rsidR="00BF41CE" w:rsidRPr="00BF41CE">
        <w:rPr>
          <w:rFonts w:asciiTheme="majorBidi" w:hAnsiTheme="majorBidi" w:cstheme="majorBidi"/>
          <w:sz w:val="20"/>
          <w:szCs w:val="20"/>
        </w:rPr>
        <w:t xml:space="preserve"> lists potentially relevant categories of point sources to assist Parties in identifying relevant point source categories pursuant to Paragraph 3 of Article 9. The table indicates information sources where releases of mercury </w:t>
      </w:r>
      <w:r w:rsidR="002E1480">
        <w:rPr>
          <w:rFonts w:asciiTheme="majorBidi" w:hAnsiTheme="majorBidi" w:cstheme="majorBidi"/>
          <w:sz w:val="20"/>
          <w:szCs w:val="20"/>
        </w:rPr>
        <w:t xml:space="preserve">to land and water </w:t>
      </w:r>
      <w:r w:rsidR="00BF41CE" w:rsidRPr="00BF41CE">
        <w:rPr>
          <w:rFonts w:asciiTheme="majorBidi" w:hAnsiTheme="majorBidi" w:cstheme="majorBidi"/>
          <w:sz w:val="20"/>
          <w:szCs w:val="20"/>
        </w:rPr>
        <w:t>from the listed source categories have been documented. Since Parties are to determine whether a source of releases to land or water within their territory is “significant” or not, some of the sources below may not be considered significant in all cases (e.g.</w:t>
      </w:r>
      <w:r w:rsidR="000C27D8">
        <w:rPr>
          <w:rFonts w:asciiTheme="majorBidi" w:hAnsiTheme="majorBidi" w:cstheme="majorBidi"/>
          <w:sz w:val="20"/>
          <w:szCs w:val="20"/>
        </w:rPr>
        <w:t>,</w:t>
      </w:r>
      <w:r w:rsidR="00BF41CE" w:rsidRPr="00BF41CE">
        <w:rPr>
          <w:rFonts w:asciiTheme="majorBidi" w:hAnsiTheme="majorBidi" w:cstheme="majorBidi"/>
          <w:sz w:val="20"/>
          <w:szCs w:val="20"/>
        </w:rPr>
        <w:t xml:space="preserve"> the releases may be low in terms of quantity). </w:t>
      </w:r>
    </w:p>
    <w:p w14:paraId="2489F652" w14:textId="7C997EDE" w:rsidR="002E7796" w:rsidRPr="00BF41CE" w:rsidRDefault="00C2691E" w:rsidP="00DB1612">
      <w:pPr>
        <w:tabs>
          <w:tab w:val="left" w:pos="624"/>
        </w:tabs>
        <w:adjustRightInd w:val="0"/>
        <w:snapToGrid w:val="0"/>
        <w:spacing w:after="120" w:line="240" w:lineRule="auto"/>
        <w:rPr>
          <w:rFonts w:asciiTheme="majorBidi" w:hAnsiTheme="majorBidi" w:cstheme="majorBidi"/>
          <w:sz w:val="20"/>
          <w:szCs w:val="20"/>
        </w:rPr>
      </w:pPr>
      <w:r>
        <w:rPr>
          <w:rFonts w:asciiTheme="majorBidi" w:hAnsiTheme="majorBidi" w:cstheme="majorBidi"/>
          <w:sz w:val="20"/>
          <w:szCs w:val="20"/>
        </w:rPr>
        <w:t>The Conference of the Parties in its Decision MC-3/4 requested the group of experts to</w:t>
      </w:r>
      <w:r w:rsidRPr="00C2691E">
        <w:rPr>
          <w:rFonts w:asciiTheme="majorBidi" w:hAnsiTheme="majorBidi" w:cstheme="majorBidi"/>
          <w:sz w:val="20"/>
          <w:szCs w:val="20"/>
        </w:rPr>
        <w:t xml:space="preserve"> provide information on significant point sources of releases covered by provisions of the Convention</w:t>
      </w:r>
      <w:r>
        <w:rPr>
          <w:rFonts w:asciiTheme="majorBidi" w:hAnsiTheme="majorBidi" w:cstheme="majorBidi"/>
          <w:sz w:val="20"/>
          <w:szCs w:val="20"/>
        </w:rPr>
        <w:t xml:space="preserve"> other than Article 9, </w:t>
      </w:r>
      <w:r w:rsidRPr="00C2691E">
        <w:rPr>
          <w:rFonts w:asciiTheme="majorBidi" w:hAnsiTheme="majorBidi" w:cstheme="majorBidi"/>
          <w:sz w:val="20"/>
          <w:szCs w:val="20"/>
        </w:rPr>
        <w:t xml:space="preserve">with a view to helping Parties that wish to widen the scope of the inventory </w:t>
      </w:r>
      <w:r>
        <w:rPr>
          <w:rFonts w:asciiTheme="majorBidi" w:hAnsiTheme="majorBidi" w:cstheme="majorBidi"/>
          <w:sz w:val="20"/>
          <w:szCs w:val="20"/>
        </w:rPr>
        <w:t>to additional point sources, s</w:t>
      </w:r>
      <w:r w:rsidRPr="00C2691E">
        <w:rPr>
          <w:rFonts w:asciiTheme="majorBidi" w:hAnsiTheme="majorBidi" w:cstheme="majorBidi"/>
          <w:sz w:val="20"/>
          <w:szCs w:val="20"/>
        </w:rPr>
        <w:t xml:space="preserve">ubject to the completion of </w:t>
      </w:r>
      <w:r>
        <w:rPr>
          <w:rFonts w:asciiTheme="majorBidi" w:hAnsiTheme="majorBidi" w:cstheme="majorBidi"/>
          <w:sz w:val="20"/>
          <w:szCs w:val="20"/>
        </w:rPr>
        <w:t>other</w:t>
      </w:r>
      <w:r w:rsidRPr="00C2691E">
        <w:rPr>
          <w:rFonts w:asciiTheme="majorBidi" w:hAnsiTheme="majorBidi" w:cstheme="majorBidi"/>
          <w:sz w:val="20"/>
          <w:szCs w:val="20"/>
        </w:rPr>
        <w:t xml:space="preserve"> work</w:t>
      </w:r>
      <w:r>
        <w:rPr>
          <w:rFonts w:asciiTheme="majorBidi" w:hAnsiTheme="majorBidi" w:cstheme="majorBidi"/>
          <w:sz w:val="20"/>
          <w:szCs w:val="20"/>
        </w:rPr>
        <w:t>.</w:t>
      </w:r>
      <w:r w:rsidR="00DB1612">
        <w:rPr>
          <w:rFonts w:asciiTheme="majorBidi" w:hAnsiTheme="majorBidi" w:cstheme="majorBidi"/>
          <w:sz w:val="20"/>
          <w:szCs w:val="20"/>
        </w:rPr>
        <w:t xml:space="preserve"> Table 2 lists such point sources that were considered by the group of experts when developing Table 1. It should be noted that Table 2 is only indicative and has not undergone an extensive review.</w:t>
      </w:r>
    </w:p>
    <w:p w14:paraId="518ACFC7" w14:textId="77777777" w:rsidR="00BF41CE" w:rsidRPr="00BF41CE" w:rsidRDefault="00BF41CE" w:rsidP="0033455B">
      <w:pPr>
        <w:tabs>
          <w:tab w:val="left" w:pos="624"/>
        </w:tabs>
        <w:adjustRightInd w:val="0"/>
        <w:snapToGrid w:val="0"/>
        <w:spacing w:after="120" w:line="240" w:lineRule="auto"/>
        <w:rPr>
          <w:rFonts w:asciiTheme="majorBidi" w:hAnsiTheme="majorBidi" w:cstheme="majorBidi"/>
          <w:i/>
          <w:iCs/>
          <w:sz w:val="20"/>
          <w:szCs w:val="20"/>
        </w:rPr>
      </w:pPr>
    </w:p>
    <w:p w14:paraId="5551F1B7" w14:textId="2523D6ED" w:rsidR="00BF41CE" w:rsidRPr="00BF41CE" w:rsidRDefault="00BF41CE" w:rsidP="00BF41CE">
      <w:pPr>
        <w:spacing w:before="120" w:after="120"/>
        <w:ind w:left="1247"/>
        <w:rPr>
          <w:rFonts w:asciiTheme="majorBidi" w:hAnsiTheme="majorBidi" w:cstheme="majorBidi"/>
          <w:b/>
          <w:bCs/>
          <w:sz w:val="20"/>
          <w:szCs w:val="20"/>
        </w:rPr>
      </w:pPr>
      <w:r w:rsidRPr="00BF41CE">
        <w:rPr>
          <w:rFonts w:asciiTheme="majorBidi" w:hAnsiTheme="majorBidi" w:cstheme="majorBidi"/>
          <w:b/>
          <w:bCs/>
          <w:sz w:val="20"/>
          <w:szCs w:val="20"/>
        </w:rPr>
        <w:t>Table</w:t>
      </w:r>
      <w:r w:rsidR="00E712CB">
        <w:rPr>
          <w:rFonts w:asciiTheme="majorBidi" w:hAnsiTheme="majorBidi" w:cstheme="majorBidi"/>
          <w:b/>
          <w:bCs/>
          <w:sz w:val="20"/>
          <w:szCs w:val="20"/>
        </w:rPr>
        <w:t xml:space="preserve"> 1</w:t>
      </w:r>
      <w:r>
        <w:rPr>
          <w:rFonts w:asciiTheme="majorBidi" w:hAnsiTheme="majorBidi" w:cstheme="majorBidi"/>
          <w:b/>
          <w:bCs/>
          <w:sz w:val="20"/>
          <w:szCs w:val="20"/>
        </w:rPr>
        <w:t>: L</w:t>
      </w:r>
      <w:r w:rsidRPr="00BF41CE">
        <w:rPr>
          <w:rFonts w:asciiTheme="majorBidi" w:hAnsiTheme="majorBidi" w:cstheme="majorBidi"/>
          <w:b/>
          <w:bCs/>
          <w:sz w:val="20"/>
          <w:szCs w:val="20"/>
        </w:rPr>
        <w:t>ist of potentially relevant point source categories</w:t>
      </w:r>
    </w:p>
    <w:tbl>
      <w:tblPr>
        <w:tblStyle w:val="TableGrid"/>
        <w:tblW w:w="8307" w:type="dxa"/>
        <w:jc w:val="right"/>
        <w:tblLayout w:type="fixed"/>
        <w:tblLook w:val="04A0" w:firstRow="1" w:lastRow="0" w:firstColumn="1" w:lastColumn="0" w:noHBand="0" w:noVBand="1"/>
      </w:tblPr>
      <w:tblGrid>
        <w:gridCol w:w="704"/>
        <w:gridCol w:w="1985"/>
        <w:gridCol w:w="2409"/>
        <w:gridCol w:w="3209"/>
      </w:tblGrid>
      <w:tr w:rsidR="00BF41CE" w:rsidRPr="00D5142C" w14:paraId="4A02CAF7" w14:textId="77777777" w:rsidTr="001D2EAD">
        <w:trPr>
          <w:trHeight w:val="57"/>
          <w:tblHeader/>
          <w:jc w:val="right"/>
        </w:trPr>
        <w:tc>
          <w:tcPr>
            <w:tcW w:w="2689"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43B2CCF3" w14:textId="77777777" w:rsidR="00BF41CE" w:rsidRPr="00D5142C" w:rsidRDefault="00BF41CE" w:rsidP="001D2EAD">
            <w:pPr>
              <w:rPr>
                <w:sz w:val="18"/>
                <w:szCs w:val="18"/>
              </w:rPr>
            </w:pPr>
            <w:bookmarkStart w:id="2" w:name="_Hlk12268170"/>
            <w:r w:rsidRPr="00D5142C">
              <w:rPr>
                <w:sz w:val="18"/>
                <w:szCs w:val="18"/>
              </w:rPr>
              <w:t>Source category in the mercury inventory toolkit</w:t>
            </w:r>
          </w:p>
        </w:tc>
        <w:tc>
          <w:tcPr>
            <w:tcW w:w="2409"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D6D6D74" w14:textId="77777777" w:rsidR="00BF41CE" w:rsidRPr="00D5142C" w:rsidRDefault="00BF41CE" w:rsidP="001D2EAD">
            <w:pPr>
              <w:rPr>
                <w:sz w:val="18"/>
                <w:szCs w:val="18"/>
              </w:rPr>
            </w:pPr>
            <w:r w:rsidRPr="00D5142C">
              <w:rPr>
                <w:sz w:val="18"/>
                <w:szCs w:val="18"/>
              </w:rPr>
              <w:t xml:space="preserve">Release </w:t>
            </w:r>
            <w:r>
              <w:rPr>
                <w:sz w:val="18"/>
                <w:szCs w:val="18"/>
              </w:rPr>
              <w:t>sources</w:t>
            </w:r>
          </w:p>
        </w:tc>
        <w:tc>
          <w:tcPr>
            <w:tcW w:w="3209"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A0CD98D" w14:textId="77777777" w:rsidR="00BF41CE" w:rsidRPr="00D5142C" w:rsidRDefault="00BF41CE" w:rsidP="001D2EAD">
            <w:pPr>
              <w:rPr>
                <w:sz w:val="18"/>
                <w:szCs w:val="18"/>
              </w:rPr>
            </w:pPr>
            <w:proofErr w:type="spellStart"/>
            <w:r>
              <w:rPr>
                <w:sz w:val="18"/>
                <w:szCs w:val="18"/>
                <w:lang w:val="fr-CH"/>
              </w:rPr>
              <w:t>Documented</w:t>
            </w:r>
            <w:proofErr w:type="spellEnd"/>
            <w:r>
              <w:rPr>
                <w:sz w:val="18"/>
                <w:szCs w:val="18"/>
                <w:lang w:val="fr-CH"/>
              </w:rPr>
              <w:t xml:space="preserve"> releases</w:t>
            </w:r>
          </w:p>
        </w:tc>
      </w:tr>
      <w:bookmarkEnd w:id="2"/>
      <w:tr w:rsidR="00BF41CE" w:rsidRPr="00D5142C" w14:paraId="46E198DF"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14:paraId="68315047" w14:textId="77777777" w:rsidR="00BF41CE" w:rsidRPr="00D5142C" w:rsidRDefault="00BF41CE" w:rsidP="001D2EAD">
            <w:pPr>
              <w:rPr>
                <w:sz w:val="18"/>
                <w:szCs w:val="18"/>
              </w:rPr>
            </w:pPr>
            <w:r w:rsidRPr="00D5142C">
              <w:rPr>
                <w:sz w:val="18"/>
                <w:szCs w:val="18"/>
              </w:rPr>
              <w:t>Source category: Extraction and use of fuels/energy sources</w:t>
            </w:r>
          </w:p>
        </w:tc>
      </w:tr>
      <w:tr w:rsidR="0057726A" w:rsidRPr="00D5142C" w14:paraId="02CCE805"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57B27E20" w14:textId="77777777" w:rsidR="00BF41CE" w:rsidRPr="00D5142C" w:rsidRDefault="00BF41CE" w:rsidP="001D2EAD">
            <w:pPr>
              <w:rPr>
                <w:sz w:val="18"/>
                <w:szCs w:val="18"/>
              </w:rPr>
            </w:pPr>
            <w:r w:rsidRPr="00D5142C">
              <w:rPr>
                <w:sz w:val="18"/>
                <w:szCs w:val="18"/>
              </w:rPr>
              <w:t>5.1.1</w:t>
            </w:r>
          </w:p>
        </w:tc>
        <w:tc>
          <w:tcPr>
            <w:tcW w:w="1985" w:type="dxa"/>
            <w:tcBorders>
              <w:top w:val="single" w:sz="4" w:space="0" w:color="auto"/>
              <w:left w:val="single" w:sz="4" w:space="0" w:color="auto"/>
              <w:bottom w:val="single" w:sz="4" w:space="0" w:color="auto"/>
              <w:right w:val="single" w:sz="4" w:space="0" w:color="auto"/>
            </w:tcBorders>
            <w:hideMark/>
          </w:tcPr>
          <w:p w14:paraId="759D66AA" w14:textId="77777777" w:rsidR="00BF41CE" w:rsidRPr="00D5142C" w:rsidRDefault="00BF41CE" w:rsidP="001D2EAD">
            <w:pPr>
              <w:rPr>
                <w:sz w:val="18"/>
                <w:szCs w:val="18"/>
              </w:rPr>
            </w:pPr>
            <w:r w:rsidRPr="00D5142C">
              <w:rPr>
                <w:sz w:val="18"/>
                <w:szCs w:val="18"/>
              </w:rPr>
              <w:t>Coal combustion in power plants</w:t>
            </w:r>
          </w:p>
        </w:tc>
        <w:tc>
          <w:tcPr>
            <w:tcW w:w="2409" w:type="dxa"/>
            <w:tcBorders>
              <w:top w:val="single" w:sz="4" w:space="0" w:color="auto"/>
              <w:left w:val="single" w:sz="4" w:space="0" w:color="auto"/>
              <w:bottom w:val="single" w:sz="4" w:space="0" w:color="auto"/>
              <w:right w:val="single" w:sz="4" w:space="0" w:color="auto"/>
            </w:tcBorders>
            <w:hideMark/>
          </w:tcPr>
          <w:p w14:paraId="32788E2E" w14:textId="122C7EC7" w:rsidR="00BF41CE" w:rsidRPr="00D5142C" w:rsidRDefault="002A195F" w:rsidP="001D2EAD">
            <w:pPr>
              <w:rPr>
                <w:sz w:val="18"/>
                <w:szCs w:val="18"/>
              </w:rPr>
            </w:pPr>
            <w:r w:rsidRPr="002A195F">
              <w:rPr>
                <w:sz w:val="18"/>
                <w:szCs w:val="18"/>
              </w:rPr>
              <w:t>Wastewaters and non-wastewater releases not addressed under another article of the Convention</w:t>
            </w:r>
            <w:r w:rsidRPr="002A195F" w:rsidDel="002A195F">
              <w:rPr>
                <w:sz w:val="18"/>
                <w:szCs w:val="18"/>
              </w:rPr>
              <w:t xml:space="preserve"> </w:t>
            </w:r>
            <w:r w:rsidR="00BF41CE">
              <w:rPr>
                <w:sz w:val="18"/>
                <w:szCs w:val="18"/>
              </w:rPr>
              <w:t>from</w:t>
            </w:r>
            <w:r w:rsidR="00BF41CE" w:rsidRPr="00D5142C">
              <w:rPr>
                <w:sz w:val="18"/>
                <w:szCs w:val="18"/>
              </w:rPr>
              <w:t xml:space="preserve"> coal </w:t>
            </w:r>
            <w:r w:rsidR="00BF41CE">
              <w:rPr>
                <w:sz w:val="18"/>
                <w:szCs w:val="18"/>
              </w:rPr>
              <w:t xml:space="preserve">storage, coal </w:t>
            </w:r>
            <w:r w:rsidR="00BF41CE" w:rsidRPr="00D5142C">
              <w:rPr>
                <w:sz w:val="18"/>
                <w:szCs w:val="18"/>
              </w:rPr>
              <w:t>washing</w:t>
            </w:r>
            <w:r w:rsidR="00BF41CE">
              <w:rPr>
                <w:sz w:val="18"/>
                <w:szCs w:val="18"/>
              </w:rPr>
              <w:t xml:space="preserve"> and air pollution control systems</w:t>
            </w:r>
            <w:r w:rsidR="00EB3C01">
              <w:rPr>
                <w:sz w:val="18"/>
                <w:szCs w:val="18"/>
              </w:rPr>
              <w:t>.</w:t>
            </w:r>
          </w:p>
        </w:tc>
        <w:tc>
          <w:tcPr>
            <w:tcW w:w="3209" w:type="dxa"/>
            <w:tcBorders>
              <w:top w:val="single" w:sz="4" w:space="0" w:color="auto"/>
              <w:left w:val="single" w:sz="4" w:space="0" w:color="auto"/>
              <w:bottom w:val="single" w:sz="4" w:space="0" w:color="auto"/>
              <w:right w:val="single" w:sz="4" w:space="0" w:color="auto"/>
            </w:tcBorders>
            <w:hideMark/>
          </w:tcPr>
          <w:p w14:paraId="55F34F74" w14:textId="77777777" w:rsidR="00BF41CE" w:rsidRDefault="00BF41CE" w:rsidP="001D2EAD">
            <w:pPr>
              <w:rPr>
                <w:sz w:val="18"/>
                <w:szCs w:val="18"/>
              </w:rPr>
            </w:pPr>
            <w:r>
              <w:rPr>
                <w:sz w:val="18"/>
                <w:szCs w:val="18"/>
              </w:rPr>
              <w:t>Global Mercury Assessment 2018,</w:t>
            </w:r>
          </w:p>
          <w:p w14:paraId="723BFFB0" w14:textId="77777777" w:rsidR="00BF41CE" w:rsidRPr="00D5142C" w:rsidRDefault="00BF41CE" w:rsidP="001D2EAD">
            <w:pPr>
              <w:rPr>
                <w:sz w:val="18"/>
                <w:szCs w:val="18"/>
              </w:rPr>
            </w:pPr>
            <w:r>
              <w:rPr>
                <w:sz w:val="18"/>
                <w:szCs w:val="18"/>
              </w:rPr>
              <w:t>UNEP Inventory Toolkit Reference Report</w:t>
            </w:r>
          </w:p>
        </w:tc>
      </w:tr>
      <w:tr w:rsidR="0057726A" w:rsidRPr="00D5142C" w14:paraId="38FBA620"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09EDBCA5" w14:textId="77777777" w:rsidR="00BF41CE" w:rsidRPr="00D5142C" w:rsidRDefault="00BF41CE" w:rsidP="001D2EAD">
            <w:pPr>
              <w:rPr>
                <w:sz w:val="18"/>
                <w:szCs w:val="18"/>
              </w:rPr>
            </w:pPr>
            <w:r w:rsidRPr="00D5142C">
              <w:rPr>
                <w:sz w:val="18"/>
                <w:szCs w:val="18"/>
              </w:rPr>
              <w:t>5.1.2.1</w:t>
            </w:r>
          </w:p>
        </w:tc>
        <w:tc>
          <w:tcPr>
            <w:tcW w:w="1985" w:type="dxa"/>
            <w:tcBorders>
              <w:top w:val="single" w:sz="4" w:space="0" w:color="auto"/>
              <w:left w:val="single" w:sz="4" w:space="0" w:color="auto"/>
              <w:bottom w:val="single" w:sz="4" w:space="0" w:color="auto"/>
              <w:right w:val="single" w:sz="4" w:space="0" w:color="auto"/>
            </w:tcBorders>
            <w:hideMark/>
          </w:tcPr>
          <w:p w14:paraId="006ABB99" w14:textId="77777777" w:rsidR="00BF41CE" w:rsidRPr="00D5142C" w:rsidRDefault="00BF41CE" w:rsidP="001D2EAD">
            <w:pPr>
              <w:rPr>
                <w:sz w:val="18"/>
                <w:szCs w:val="18"/>
              </w:rPr>
            </w:pPr>
            <w:r w:rsidRPr="00D5142C">
              <w:rPr>
                <w:sz w:val="18"/>
                <w:szCs w:val="18"/>
              </w:rPr>
              <w:t>Coal combustion in coal</w:t>
            </w:r>
            <w:r w:rsidRPr="00D5142C">
              <w:rPr>
                <w:sz w:val="18"/>
                <w:szCs w:val="18"/>
              </w:rPr>
              <w:noBreakHyphen/>
              <w:t>fired industrial boilers</w:t>
            </w:r>
          </w:p>
        </w:tc>
        <w:tc>
          <w:tcPr>
            <w:tcW w:w="2409" w:type="dxa"/>
            <w:tcBorders>
              <w:top w:val="single" w:sz="4" w:space="0" w:color="auto"/>
              <w:left w:val="single" w:sz="4" w:space="0" w:color="auto"/>
              <w:bottom w:val="single" w:sz="4" w:space="0" w:color="auto"/>
              <w:right w:val="single" w:sz="4" w:space="0" w:color="auto"/>
            </w:tcBorders>
            <w:hideMark/>
          </w:tcPr>
          <w:p w14:paraId="19AB82CA" w14:textId="500862D9" w:rsidR="00BF41CE" w:rsidRPr="00D5142C" w:rsidRDefault="002A195F" w:rsidP="001D2EAD">
            <w:pPr>
              <w:rPr>
                <w:sz w:val="18"/>
                <w:szCs w:val="18"/>
              </w:rPr>
            </w:pPr>
            <w:r>
              <w:rPr>
                <w:sz w:val="18"/>
                <w:szCs w:val="18"/>
              </w:rPr>
              <w:t>Wastewaters and non-wastewater releases not addressed under another article of the Convention</w:t>
            </w:r>
            <w:r w:rsidR="00DB1612">
              <w:rPr>
                <w:sz w:val="18"/>
                <w:szCs w:val="18"/>
              </w:rPr>
              <w:t xml:space="preserve"> </w:t>
            </w:r>
            <w:r w:rsidR="00BF41CE">
              <w:rPr>
                <w:sz w:val="18"/>
                <w:szCs w:val="18"/>
              </w:rPr>
              <w:t>from</w:t>
            </w:r>
            <w:r w:rsidR="00BF41CE" w:rsidRPr="00D5142C">
              <w:rPr>
                <w:sz w:val="18"/>
                <w:szCs w:val="18"/>
              </w:rPr>
              <w:t xml:space="preserve"> coal </w:t>
            </w:r>
            <w:r w:rsidR="00BF41CE">
              <w:rPr>
                <w:sz w:val="18"/>
                <w:szCs w:val="18"/>
              </w:rPr>
              <w:t xml:space="preserve">storage, coal </w:t>
            </w:r>
            <w:r w:rsidR="00BF41CE" w:rsidRPr="00D5142C">
              <w:rPr>
                <w:sz w:val="18"/>
                <w:szCs w:val="18"/>
              </w:rPr>
              <w:t>washing</w:t>
            </w:r>
            <w:r w:rsidR="00BF41CE">
              <w:rPr>
                <w:sz w:val="18"/>
                <w:szCs w:val="18"/>
              </w:rPr>
              <w:t xml:space="preserve"> and air pollution control systems.</w:t>
            </w:r>
            <w:r w:rsidR="00BF41CE">
              <w:t xml:space="preserve"> </w:t>
            </w:r>
          </w:p>
        </w:tc>
        <w:tc>
          <w:tcPr>
            <w:tcW w:w="3209" w:type="dxa"/>
            <w:tcBorders>
              <w:top w:val="single" w:sz="4" w:space="0" w:color="auto"/>
              <w:left w:val="single" w:sz="4" w:space="0" w:color="auto"/>
              <w:bottom w:val="single" w:sz="4" w:space="0" w:color="auto"/>
              <w:right w:val="single" w:sz="4" w:space="0" w:color="auto"/>
            </w:tcBorders>
            <w:hideMark/>
          </w:tcPr>
          <w:p w14:paraId="63C53C07" w14:textId="77777777" w:rsidR="00BF41CE" w:rsidRDefault="00BF41CE" w:rsidP="001D2EAD">
            <w:pPr>
              <w:rPr>
                <w:sz w:val="18"/>
                <w:szCs w:val="18"/>
              </w:rPr>
            </w:pPr>
            <w:r>
              <w:rPr>
                <w:sz w:val="18"/>
                <w:szCs w:val="18"/>
              </w:rPr>
              <w:t>Global Mercury Assessment 2018,</w:t>
            </w:r>
          </w:p>
          <w:p w14:paraId="209CC343" w14:textId="77777777" w:rsidR="00BF41CE" w:rsidRPr="00D5142C" w:rsidRDefault="00BF41CE" w:rsidP="001D2EAD">
            <w:pPr>
              <w:rPr>
                <w:sz w:val="18"/>
                <w:szCs w:val="18"/>
              </w:rPr>
            </w:pPr>
            <w:r>
              <w:rPr>
                <w:sz w:val="18"/>
                <w:szCs w:val="18"/>
              </w:rPr>
              <w:t>UNEP Inventory Toolkit Reference Report</w:t>
            </w:r>
          </w:p>
        </w:tc>
      </w:tr>
      <w:tr w:rsidR="0057726A" w:rsidRPr="00D5142C" w14:paraId="6AE575D3"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2920E9BA" w14:textId="77777777" w:rsidR="00BF41CE" w:rsidRPr="00D5142C" w:rsidRDefault="00BF41CE" w:rsidP="001D2EAD">
            <w:pPr>
              <w:rPr>
                <w:sz w:val="18"/>
                <w:szCs w:val="18"/>
              </w:rPr>
            </w:pPr>
            <w:r w:rsidRPr="00D5142C">
              <w:rPr>
                <w:sz w:val="18"/>
                <w:szCs w:val="18"/>
              </w:rPr>
              <w:t>5.1.2.2</w:t>
            </w:r>
          </w:p>
        </w:tc>
        <w:tc>
          <w:tcPr>
            <w:tcW w:w="1985" w:type="dxa"/>
            <w:tcBorders>
              <w:top w:val="single" w:sz="4" w:space="0" w:color="auto"/>
              <w:left w:val="single" w:sz="4" w:space="0" w:color="auto"/>
              <w:bottom w:val="single" w:sz="4" w:space="0" w:color="auto"/>
              <w:right w:val="single" w:sz="4" w:space="0" w:color="auto"/>
            </w:tcBorders>
            <w:hideMark/>
          </w:tcPr>
          <w:p w14:paraId="6EB33EB6" w14:textId="77777777" w:rsidR="00BF41CE" w:rsidRPr="00D5142C" w:rsidRDefault="00BF41CE" w:rsidP="001D2EAD">
            <w:pPr>
              <w:rPr>
                <w:sz w:val="18"/>
                <w:szCs w:val="18"/>
              </w:rPr>
            </w:pPr>
            <w:r w:rsidRPr="00D5142C">
              <w:rPr>
                <w:sz w:val="18"/>
                <w:szCs w:val="18"/>
              </w:rPr>
              <w:t>Other coal use</w:t>
            </w:r>
          </w:p>
        </w:tc>
        <w:tc>
          <w:tcPr>
            <w:tcW w:w="2409" w:type="dxa"/>
            <w:tcBorders>
              <w:top w:val="single" w:sz="4" w:space="0" w:color="auto"/>
              <w:left w:val="single" w:sz="4" w:space="0" w:color="auto"/>
              <w:bottom w:val="single" w:sz="4" w:space="0" w:color="auto"/>
              <w:right w:val="single" w:sz="4" w:space="0" w:color="auto"/>
            </w:tcBorders>
            <w:hideMark/>
          </w:tcPr>
          <w:p w14:paraId="6D79CA85" w14:textId="6CC4EE67" w:rsidR="00BF41CE" w:rsidRPr="00D5142C" w:rsidRDefault="002A195F" w:rsidP="001D2EAD">
            <w:pPr>
              <w:rPr>
                <w:sz w:val="18"/>
                <w:szCs w:val="18"/>
              </w:rPr>
            </w:pPr>
            <w:r>
              <w:rPr>
                <w:sz w:val="18"/>
                <w:szCs w:val="18"/>
              </w:rPr>
              <w:t>Wastewaters and non-wastewater releases not addressed under another article of the Convention</w:t>
            </w:r>
            <w:r w:rsidR="00DB1612">
              <w:rPr>
                <w:sz w:val="18"/>
                <w:szCs w:val="18"/>
              </w:rPr>
              <w:t xml:space="preserve"> </w:t>
            </w:r>
            <w:r w:rsidR="00BF41CE">
              <w:rPr>
                <w:sz w:val="18"/>
                <w:szCs w:val="18"/>
              </w:rPr>
              <w:t>from</w:t>
            </w:r>
            <w:r w:rsidR="00BF41CE" w:rsidRPr="00D5142C">
              <w:rPr>
                <w:sz w:val="18"/>
                <w:szCs w:val="18"/>
              </w:rPr>
              <w:t xml:space="preserve"> coal </w:t>
            </w:r>
            <w:r w:rsidR="00BF41CE">
              <w:rPr>
                <w:sz w:val="18"/>
                <w:szCs w:val="18"/>
              </w:rPr>
              <w:t xml:space="preserve">storage, coal </w:t>
            </w:r>
            <w:r w:rsidR="00BF41CE" w:rsidRPr="00D5142C">
              <w:rPr>
                <w:sz w:val="18"/>
                <w:szCs w:val="18"/>
              </w:rPr>
              <w:t>washing</w:t>
            </w:r>
            <w:r w:rsidR="00BF41CE">
              <w:rPr>
                <w:sz w:val="18"/>
                <w:szCs w:val="18"/>
              </w:rPr>
              <w:t xml:space="preserve"> and air pollution control systems.</w:t>
            </w:r>
            <w:r w:rsidR="00BF41CE">
              <w:t xml:space="preserve"> </w:t>
            </w:r>
          </w:p>
        </w:tc>
        <w:tc>
          <w:tcPr>
            <w:tcW w:w="3209" w:type="dxa"/>
            <w:tcBorders>
              <w:top w:val="single" w:sz="4" w:space="0" w:color="auto"/>
              <w:left w:val="single" w:sz="4" w:space="0" w:color="auto"/>
              <w:bottom w:val="single" w:sz="4" w:space="0" w:color="auto"/>
              <w:right w:val="single" w:sz="4" w:space="0" w:color="auto"/>
            </w:tcBorders>
            <w:hideMark/>
          </w:tcPr>
          <w:p w14:paraId="745B3AA3" w14:textId="77777777" w:rsidR="00BF41CE" w:rsidRPr="00D5142C" w:rsidRDefault="00BF41CE" w:rsidP="001D2EAD">
            <w:pPr>
              <w:rPr>
                <w:sz w:val="18"/>
                <w:szCs w:val="18"/>
              </w:rPr>
            </w:pPr>
            <w:r>
              <w:rPr>
                <w:sz w:val="18"/>
                <w:szCs w:val="18"/>
              </w:rPr>
              <w:t>UNEP Inventory Toolkit Reference Report</w:t>
            </w:r>
          </w:p>
        </w:tc>
      </w:tr>
      <w:tr w:rsidR="0057726A" w:rsidRPr="00463479" w14:paraId="68319C80"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tcPr>
          <w:p w14:paraId="7FE60E2B" w14:textId="77777777" w:rsidR="00BF41CE" w:rsidRPr="00D5142C" w:rsidRDefault="00BF41CE" w:rsidP="001D2EAD">
            <w:pPr>
              <w:rPr>
                <w:sz w:val="18"/>
                <w:szCs w:val="18"/>
              </w:rPr>
            </w:pPr>
          </w:p>
        </w:tc>
        <w:tc>
          <w:tcPr>
            <w:tcW w:w="1985" w:type="dxa"/>
            <w:tcBorders>
              <w:top w:val="single" w:sz="4" w:space="0" w:color="auto"/>
              <w:left w:val="single" w:sz="4" w:space="0" w:color="auto"/>
              <w:bottom w:val="single" w:sz="4" w:space="0" w:color="auto"/>
              <w:right w:val="single" w:sz="4" w:space="0" w:color="auto"/>
            </w:tcBorders>
          </w:tcPr>
          <w:p w14:paraId="37BA84D4" w14:textId="379AD7B4" w:rsidR="00BF41CE" w:rsidRPr="00D5142C" w:rsidRDefault="00BF41CE" w:rsidP="001D2EAD">
            <w:pPr>
              <w:rPr>
                <w:sz w:val="18"/>
                <w:szCs w:val="18"/>
              </w:rPr>
            </w:pPr>
            <w:r>
              <w:rPr>
                <w:sz w:val="18"/>
                <w:szCs w:val="18"/>
              </w:rPr>
              <w:t>Coal mining</w:t>
            </w:r>
          </w:p>
        </w:tc>
        <w:tc>
          <w:tcPr>
            <w:tcW w:w="2409" w:type="dxa"/>
            <w:tcBorders>
              <w:top w:val="single" w:sz="4" w:space="0" w:color="auto"/>
              <w:left w:val="single" w:sz="4" w:space="0" w:color="auto"/>
              <w:bottom w:val="single" w:sz="4" w:space="0" w:color="auto"/>
              <w:right w:val="single" w:sz="4" w:space="0" w:color="auto"/>
            </w:tcBorders>
          </w:tcPr>
          <w:p w14:paraId="09868093" w14:textId="59FAE1DF" w:rsidR="00BF41CE" w:rsidRDefault="002A195F" w:rsidP="001D2EAD">
            <w:pPr>
              <w:rPr>
                <w:sz w:val="18"/>
                <w:szCs w:val="18"/>
              </w:rPr>
            </w:pPr>
            <w:r>
              <w:rPr>
                <w:sz w:val="18"/>
                <w:szCs w:val="18"/>
              </w:rPr>
              <w:t>Wastewaters and non-wastewater releases not addressed under another article of the Convention</w:t>
            </w:r>
            <w:r w:rsidR="00DB1612">
              <w:rPr>
                <w:sz w:val="18"/>
                <w:szCs w:val="18"/>
              </w:rPr>
              <w:t xml:space="preserve"> </w:t>
            </w:r>
            <w:r w:rsidR="00BF41CE" w:rsidRPr="00A9658F">
              <w:rPr>
                <w:sz w:val="18"/>
                <w:szCs w:val="18"/>
              </w:rPr>
              <w:t>from wet processing methods, such as coal flotation and coal washing.</w:t>
            </w:r>
          </w:p>
        </w:tc>
        <w:tc>
          <w:tcPr>
            <w:tcW w:w="3209" w:type="dxa"/>
            <w:tcBorders>
              <w:top w:val="single" w:sz="4" w:space="0" w:color="auto"/>
              <w:left w:val="single" w:sz="4" w:space="0" w:color="auto"/>
              <w:bottom w:val="single" w:sz="4" w:space="0" w:color="auto"/>
              <w:right w:val="single" w:sz="4" w:space="0" w:color="auto"/>
            </w:tcBorders>
          </w:tcPr>
          <w:p w14:paraId="07FF4CCA" w14:textId="77777777" w:rsidR="00BF41CE" w:rsidRPr="00463479" w:rsidRDefault="00BF41CE" w:rsidP="001D2EAD">
            <w:pPr>
              <w:rPr>
                <w:sz w:val="18"/>
                <w:szCs w:val="18"/>
                <w:lang w:val="fr-CH"/>
              </w:rPr>
            </w:pPr>
            <w:r w:rsidRPr="00463479">
              <w:rPr>
                <w:sz w:val="18"/>
                <w:szCs w:val="18"/>
                <w:lang w:val="fr-CH"/>
              </w:rPr>
              <w:t>EU</w:t>
            </w:r>
            <w:r>
              <w:rPr>
                <w:sz w:val="18"/>
                <w:szCs w:val="18"/>
                <w:lang w:val="fr-CH"/>
              </w:rPr>
              <w:t xml:space="preserve"> and US PRTR</w:t>
            </w:r>
          </w:p>
        </w:tc>
      </w:tr>
      <w:tr w:rsidR="0057726A" w:rsidRPr="00D5142C" w14:paraId="55E54C41"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524DC067" w14:textId="77777777" w:rsidR="00BF41CE" w:rsidRPr="00D5142C" w:rsidRDefault="00BF41CE" w:rsidP="001D2EAD">
            <w:pPr>
              <w:rPr>
                <w:sz w:val="18"/>
                <w:szCs w:val="18"/>
              </w:rPr>
            </w:pPr>
            <w:r w:rsidRPr="002834A7">
              <w:rPr>
                <w:sz w:val="18"/>
                <w:szCs w:val="18"/>
              </w:rPr>
              <w:t>5.1.3</w:t>
            </w:r>
          </w:p>
        </w:tc>
        <w:tc>
          <w:tcPr>
            <w:tcW w:w="1985" w:type="dxa"/>
            <w:tcBorders>
              <w:top w:val="single" w:sz="4" w:space="0" w:color="auto"/>
              <w:left w:val="single" w:sz="4" w:space="0" w:color="auto"/>
              <w:bottom w:val="single" w:sz="4" w:space="0" w:color="auto"/>
              <w:right w:val="single" w:sz="4" w:space="0" w:color="auto"/>
            </w:tcBorders>
            <w:hideMark/>
          </w:tcPr>
          <w:p w14:paraId="0BDB0A76" w14:textId="7B2F009D" w:rsidR="00BF41CE" w:rsidRPr="00D5142C" w:rsidRDefault="00BF41CE" w:rsidP="001D2EAD">
            <w:pPr>
              <w:rPr>
                <w:sz w:val="18"/>
                <w:szCs w:val="18"/>
              </w:rPr>
            </w:pPr>
            <w:r>
              <w:rPr>
                <w:sz w:val="18"/>
                <w:szCs w:val="18"/>
              </w:rPr>
              <w:t>Petroleum</w:t>
            </w:r>
            <w:r w:rsidRPr="00D5142C">
              <w:rPr>
                <w:sz w:val="18"/>
                <w:szCs w:val="18"/>
              </w:rPr>
              <w:t>– extraction, refining and use</w:t>
            </w:r>
          </w:p>
        </w:tc>
        <w:tc>
          <w:tcPr>
            <w:tcW w:w="2409" w:type="dxa"/>
            <w:tcBorders>
              <w:top w:val="single" w:sz="4" w:space="0" w:color="auto"/>
              <w:left w:val="single" w:sz="4" w:space="0" w:color="auto"/>
              <w:bottom w:val="single" w:sz="4" w:space="0" w:color="auto"/>
              <w:right w:val="single" w:sz="4" w:space="0" w:color="auto"/>
            </w:tcBorders>
            <w:hideMark/>
          </w:tcPr>
          <w:p w14:paraId="6D2CF894" w14:textId="08B81CFA" w:rsidR="00BF41CE" w:rsidRPr="00D5142C" w:rsidRDefault="002A195F" w:rsidP="001D2EAD">
            <w:pPr>
              <w:rPr>
                <w:sz w:val="18"/>
                <w:szCs w:val="18"/>
              </w:rPr>
            </w:pPr>
            <w:r>
              <w:rPr>
                <w:sz w:val="18"/>
                <w:szCs w:val="18"/>
              </w:rPr>
              <w:t>Wastewaters and non-wastewater releases not addressed under another article of the Convention</w:t>
            </w:r>
            <w:r w:rsidR="00DB1612">
              <w:rPr>
                <w:sz w:val="18"/>
                <w:szCs w:val="18"/>
              </w:rPr>
              <w:t xml:space="preserve"> from </w:t>
            </w:r>
            <w:r w:rsidR="00BF41CE" w:rsidRPr="00D5142C">
              <w:rPr>
                <w:sz w:val="18"/>
                <w:szCs w:val="18"/>
              </w:rPr>
              <w:t>oil extraction</w:t>
            </w:r>
            <w:r w:rsidR="00CC2E0A">
              <w:rPr>
                <w:sz w:val="18"/>
                <w:szCs w:val="18"/>
              </w:rPr>
              <w:t>,</w:t>
            </w:r>
            <w:r w:rsidR="00BF41CE" w:rsidRPr="00D5142C">
              <w:rPr>
                <w:sz w:val="18"/>
                <w:szCs w:val="18"/>
              </w:rPr>
              <w:t xml:space="preserve"> oil refining</w:t>
            </w:r>
            <w:r w:rsidR="00CC2E0A">
              <w:rPr>
                <w:sz w:val="18"/>
                <w:szCs w:val="18"/>
              </w:rPr>
              <w:t xml:space="preserve"> and air pollution control systems</w:t>
            </w:r>
            <w:r w:rsidR="00DB1612">
              <w:rPr>
                <w:sz w:val="18"/>
                <w:szCs w:val="18"/>
              </w:rPr>
              <w:t>.</w:t>
            </w:r>
            <w:r w:rsidR="00BF41CE" w:rsidRPr="00807EAA">
              <w:rPr>
                <w:sz w:val="18"/>
                <w:szCs w:val="18"/>
                <w:highlight w:val="yellow"/>
              </w:rPr>
              <w:t xml:space="preserve"> </w:t>
            </w:r>
          </w:p>
        </w:tc>
        <w:tc>
          <w:tcPr>
            <w:tcW w:w="3209" w:type="dxa"/>
            <w:tcBorders>
              <w:top w:val="single" w:sz="4" w:space="0" w:color="auto"/>
              <w:left w:val="single" w:sz="4" w:space="0" w:color="auto"/>
              <w:bottom w:val="single" w:sz="4" w:space="0" w:color="auto"/>
              <w:right w:val="single" w:sz="4" w:space="0" w:color="auto"/>
            </w:tcBorders>
            <w:hideMark/>
          </w:tcPr>
          <w:p w14:paraId="714929F1" w14:textId="77777777" w:rsidR="00BF41CE" w:rsidRDefault="00BF41CE" w:rsidP="001D2EAD">
            <w:pPr>
              <w:rPr>
                <w:sz w:val="18"/>
                <w:szCs w:val="18"/>
              </w:rPr>
            </w:pPr>
            <w:r>
              <w:rPr>
                <w:sz w:val="18"/>
                <w:szCs w:val="18"/>
              </w:rPr>
              <w:t>Global Mercury Assessment 2018,</w:t>
            </w:r>
          </w:p>
          <w:p w14:paraId="1EDAFD36" w14:textId="77777777" w:rsidR="00BF41CE" w:rsidRDefault="00BF41CE" w:rsidP="001D2EAD">
            <w:r>
              <w:rPr>
                <w:sz w:val="18"/>
                <w:szCs w:val="18"/>
              </w:rPr>
              <w:t>UNEP Inventory Toolkit Reference Report</w:t>
            </w:r>
            <w:r>
              <w:t xml:space="preserve"> </w:t>
            </w:r>
          </w:p>
          <w:p w14:paraId="5230C16E" w14:textId="77777777" w:rsidR="00BF41CE" w:rsidRDefault="00736ADD" w:rsidP="001D2EAD">
            <w:pPr>
              <w:rPr>
                <w:sz w:val="18"/>
                <w:szCs w:val="18"/>
              </w:rPr>
            </w:pPr>
            <w:hyperlink r:id="rId15" w:history="1">
              <w:r w:rsidR="00BF41CE" w:rsidRPr="00BF41CE">
                <w:rPr>
                  <w:rStyle w:val="Hyperlink"/>
                  <w:sz w:val="18"/>
                  <w:szCs w:val="18"/>
                  <w:lang w:val="en-GB"/>
                </w:rPr>
                <w:t>https://cese.utulsa.edu/wp-content/uploads/2017/06/IPEC-2014-Removal-of-mercury-from-water-in-petroleum-industry.pdf</w:t>
              </w:r>
            </w:hyperlink>
            <w:r w:rsidR="00BF41CE" w:rsidRPr="00E4360C">
              <w:rPr>
                <w:sz w:val="18"/>
                <w:szCs w:val="18"/>
              </w:rPr>
              <w:t>;</w:t>
            </w:r>
          </w:p>
          <w:p w14:paraId="3379775F" w14:textId="77777777" w:rsidR="00BF41CE" w:rsidRPr="00D5142C" w:rsidRDefault="00BF41CE" w:rsidP="001D2EAD">
            <w:pPr>
              <w:rPr>
                <w:sz w:val="18"/>
                <w:szCs w:val="18"/>
              </w:rPr>
            </w:pPr>
            <w:r>
              <w:rPr>
                <w:sz w:val="18"/>
                <w:szCs w:val="18"/>
              </w:rPr>
              <w:t>EU and US PRTR</w:t>
            </w:r>
          </w:p>
        </w:tc>
      </w:tr>
      <w:tr w:rsidR="0057726A" w:rsidRPr="00D5142C" w14:paraId="2B900F88"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58AB4429" w14:textId="77777777" w:rsidR="00BF41CE" w:rsidRPr="00D5142C" w:rsidRDefault="00BF41CE" w:rsidP="001D2EAD">
            <w:pPr>
              <w:rPr>
                <w:sz w:val="18"/>
                <w:szCs w:val="18"/>
              </w:rPr>
            </w:pPr>
            <w:r w:rsidRPr="00D5142C">
              <w:rPr>
                <w:sz w:val="18"/>
                <w:szCs w:val="18"/>
              </w:rPr>
              <w:t>5.1.4</w:t>
            </w:r>
          </w:p>
        </w:tc>
        <w:tc>
          <w:tcPr>
            <w:tcW w:w="1985" w:type="dxa"/>
            <w:tcBorders>
              <w:top w:val="single" w:sz="4" w:space="0" w:color="auto"/>
              <w:left w:val="single" w:sz="4" w:space="0" w:color="auto"/>
              <w:bottom w:val="single" w:sz="4" w:space="0" w:color="auto"/>
              <w:right w:val="single" w:sz="4" w:space="0" w:color="auto"/>
            </w:tcBorders>
            <w:hideMark/>
          </w:tcPr>
          <w:p w14:paraId="3D62BDF9" w14:textId="77777777" w:rsidR="00BF41CE" w:rsidRPr="00D5142C" w:rsidRDefault="00BF41CE" w:rsidP="001D2EAD">
            <w:pPr>
              <w:rPr>
                <w:sz w:val="18"/>
                <w:szCs w:val="18"/>
              </w:rPr>
            </w:pPr>
            <w:r w:rsidRPr="00D5142C">
              <w:rPr>
                <w:sz w:val="18"/>
                <w:szCs w:val="18"/>
              </w:rPr>
              <w:t>Natural gas – extraction, refining and use</w:t>
            </w:r>
          </w:p>
        </w:tc>
        <w:tc>
          <w:tcPr>
            <w:tcW w:w="2409" w:type="dxa"/>
            <w:tcBorders>
              <w:top w:val="single" w:sz="4" w:space="0" w:color="auto"/>
              <w:left w:val="single" w:sz="4" w:space="0" w:color="auto"/>
              <w:bottom w:val="single" w:sz="4" w:space="0" w:color="auto"/>
              <w:right w:val="single" w:sz="4" w:space="0" w:color="auto"/>
            </w:tcBorders>
            <w:hideMark/>
          </w:tcPr>
          <w:p w14:paraId="101ED493" w14:textId="1A3C6B0E" w:rsidR="00BF41CE" w:rsidRPr="00D5142C" w:rsidRDefault="002A195F" w:rsidP="001D2EAD">
            <w:pPr>
              <w:rPr>
                <w:sz w:val="18"/>
                <w:szCs w:val="18"/>
              </w:rPr>
            </w:pPr>
            <w:r>
              <w:rPr>
                <w:sz w:val="18"/>
                <w:szCs w:val="18"/>
              </w:rPr>
              <w:t>Wastewaters and non-wastewater releases not addressed under another article of the Convention</w:t>
            </w:r>
            <w:r w:rsidR="00DB1612">
              <w:rPr>
                <w:sz w:val="18"/>
                <w:szCs w:val="18"/>
              </w:rPr>
              <w:t xml:space="preserve"> from natural gas</w:t>
            </w:r>
            <w:r w:rsidR="00DB1612" w:rsidRPr="00D5142C">
              <w:rPr>
                <w:sz w:val="18"/>
                <w:szCs w:val="18"/>
              </w:rPr>
              <w:t xml:space="preserve"> extraction</w:t>
            </w:r>
            <w:r w:rsidR="00DB1612">
              <w:rPr>
                <w:sz w:val="18"/>
                <w:szCs w:val="18"/>
              </w:rPr>
              <w:t xml:space="preserve"> and</w:t>
            </w:r>
            <w:r w:rsidR="00DB1612" w:rsidRPr="00D5142C">
              <w:rPr>
                <w:sz w:val="18"/>
                <w:szCs w:val="18"/>
              </w:rPr>
              <w:t xml:space="preserve"> refining</w:t>
            </w:r>
            <w:r w:rsidR="00DB1612">
              <w:rPr>
                <w:sz w:val="18"/>
                <w:szCs w:val="18"/>
              </w:rPr>
              <w:t>.</w:t>
            </w:r>
          </w:p>
        </w:tc>
        <w:tc>
          <w:tcPr>
            <w:tcW w:w="3209" w:type="dxa"/>
            <w:tcBorders>
              <w:top w:val="single" w:sz="4" w:space="0" w:color="auto"/>
              <w:left w:val="single" w:sz="4" w:space="0" w:color="auto"/>
              <w:bottom w:val="single" w:sz="4" w:space="0" w:color="auto"/>
              <w:right w:val="single" w:sz="4" w:space="0" w:color="auto"/>
            </w:tcBorders>
            <w:hideMark/>
          </w:tcPr>
          <w:p w14:paraId="09CDBA16" w14:textId="77777777" w:rsidR="00BF41CE" w:rsidRDefault="00BF41CE" w:rsidP="001D2EAD">
            <w:pPr>
              <w:rPr>
                <w:sz w:val="18"/>
                <w:szCs w:val="18"/>
              </w:rPr>
            </w:pPr>
            <w:r>
              <w:rPr>
                <w:sz w:val="18"/>
                <w:szCs w:val="18"/>
              </w:rPr>
              <w:t>UNEP Inventory Toolkit Reference Report</w:t>
            </w:r>
          </w:p>
          <w:p w14:paraId="346897B0" w14:textId="77777777" w:rsidR="00BF41CE" w:rsidRPr="00D5142C" w:rsidRDefault="00BF41CE" w:rsidP="001D2EAD">
            <w:pPr>
              <w:rPr>
                <w:sz w:val="18"/>
                <w:szCs w:val="18"/>
              </w:rPr>
            </w:pPr>
            <w:r>
              <w:rPr>
                <w:sz w:val="18"/>
                <w:szCs w:val="18"/>
              </w:rPr>
              <w:t>EU and US PRTR</w:t>
            </w:r>
          </w:p>
        </w:tc>
      </w:tr>
      <w:tr w:rsidR="0057726A" w:rsidRPr="00D5142C" w14:paraId="5D925F07"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357D34DE" w14:textId="77777777" w:rsidR="00BF41CE" w:rsidRPr="00D5142C" w:rsidRDefault="00BF41CE" w:rsidP="001D2EAD">
            <w:pPr>
              <w:rPr>
                <w:sz w:val="18"/>
                <w:szCs w:val="18"/>
              </w:rPr>
            </w:pPr>
            <w:r w:rsidRPr="00D5142C">
              <w:rPr>
                <w:sz w:val="18"/>
                <w:szCs w:val="18"/>
              </w:rPr>
              <w:lastRenderedPageBreak/>
              <w:t>5.1.6</w:t>
            </w:r>
          </w:p>
        </w:tc>
        <w:tc>
          <w:tcPr>
            <w:tcW w:w="1985" w:type="dxa"/>
            <w:tcBorders>
              <w:top w:val="single" w:sz="4" w:space="0" w:color="auto"/>
              <w:left w:val="single" w:sz="4" w:space="0" w:color="auto"/>
              <w:bottom w:val="single" w:sz="4" w:space="0" w:color="auto"/>
              <w:right w:val="single" w:sz="4" w:space="0" w:color="auto"/>
            </w:tcBorders>
            <w:hideMark/>
          </w:tcPr>
          <w:p w14:paraId="1F62021D" w14:textId="77777777" w:rsidR="00BF41CE" w:rsidRPr="00D5142C" w:rsidRDefault="00BF41CE" w:rsidP="001D2EAD">
            <w:pPr>
              <w:rPr>
                <w:sz w:val="18"/>
                <w:szCs w:val="18"/>
              </w:rPr>
            </w:pPr>
            <w:r w:rsidRPr="00D5142C">
              <w:rPr>
                <w:sz w:val="18"/>
                <w:szCs w:val="18"/>
              </w:rPr>
              <w:t>Biomass-fired power and heat production</w:t>
            </w:r>
          </w:p>
        </w:tc>
        <w:tc>
          <w:tcPr>
            <w:tcW w:w="2409" w:type="dxa"/>
            <w:tcBorders>
              <w:top w:val="single" w:sz="4" w:space="0" w:color="auto"/>
              <w:left w:val="single" w:sz="4" w:space="0" w:color="auto"/>
              <w:bottom w:val="single" w:sz="4" w:space="0" w:color="auto"/>
              <w:right w:val="single" w:sz="4" w:space="0" w:color="auto"/>
            </w:tcBorders>
            <w:hideMark/>
          </w:tcPr>
          <w:p w14:paraId="0DF7E7BB" w14:textId="1AE3AF76" w:rsidR="00BF41CE" w:rsidRPr="00D5142C" w:rsidRDefault="002A195F" w:rsidP="001D2EAD">
            <w:pPr>
              <w:rPr>
                <w:sz w:val="18"/>
                <w:szCs w:val="18"/>
              </w:rPr>
            </w:pPr>
            <w:r>
              <w:rPr>
                <w:sz w:val="18"/>
                <w:szCs w:val="18"/>
              </w:rPr>
              <w:t>Wastewaters and non-wastewater releases not addressed under another article of the Convention</w:t>
            </w:r>
            <w:r w:rsidR="00965429">
              <w:rPr>
                <w:sz w:val="18"/>
                <w:szCs w:val="18"/>
              </w:rPr>
              <w:t xml:space="preserve"> </w:t>
            </w:r>
            <w:r w:rsidR="00BF41CE">
              <w:rPr>
                <w:sz w:val="18"/>
                <w:szCs w:val="18"/>
              </w:rPr>
              <w:t>from air pollution control systems.</w:t>
            </w:r>
          </w:p>
        </w:tc>
        <w:tc>
          <w:tcPr>
            <w:tcW w:w="3209" w:type="dxa"/>
            <w:tcBorders>
              <w:top w:val="single" w:sz="4" w:space="0" w:color="auto"/>
              <w:left w:val="single" w:sz="4" w:space="0" w:color="auto"/>
              <w:bottom w:val="single" w:sz="4" w:space="0" w:color="auto"/>
              <w:right w:val="single" w:sz="4" w:space="0" w:color="auto"/>
            </w:tcBorders>
            <w:hideMark/>
          </w:tcPr>
          <w:p w14:paraId="7A81B890" w14:textId="77777777" w:rsidR="00BF41CE" w:rsidRPr="00D5142C" w:rsidRDefault="00BF41CE" w:rsidP="001D2EAD">
            <w:pPr>
              <w:rPr>
                <w:sz w:val="18"/>
                <w:szCs w:val="18"/>
              </w:rPr>
            </w:pPr>
            <w:r>
              <w:rPr>
                <w:sz w:val="18"/>
                <w:szCs w:val="18"/>
              </w:rPr>
              <w:t>UNEP Inventory Toolkit Reference Report</w:t>
            </w:r>
          </w:p>
        </w:tc>
      </w:tr>
      <w:tr w:rsidR="00BF41CE" w:rsidRPr="00D5142C" w14:paraId="68E5A010"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53546CFA" w14:textId="77777777" w:rsidR="00BF41CE" w:rsidRPr="00D5142C" w:rsidRDefault="00BF41CE" w:rsidP="001D2EAD">
            <w:pPr>
              <w:rPr>
                <w:sz w:val="18"/>
                <w:szCs w:val="18"/>
              </w:rPr>
            </w:pPr>
            <w:r w:rsidRPr="00D5142C">
              <w:rPr>
                <w:sz w:val="18"/>
                <w:szCs w:val="18"/>
              </w:rPr>
              <w:t>Source category: Primary (virgin) metal production</w:t>
            </w:r>
          </w:p>
        </w:tc>
      </w:tr>
      <w:tr w:rsidR="0057726A" w:rsidRPr="00D5142C" w14:paraId="2098E6A6"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4C3A7F92" w14:textId="77777777" w:rsidR="00BF41CE" w:rsidRPr="00D5142C" w:rsidRDefault="00BF41CE" w:rsidP="001D2EAD">
            <w:pPr>
              <w:rPr>
                <w:sz w:val="18"/>
                <w:szCs w:val="18"/>
              </w:rPr>
            </w:pPr>
            <w:r w:rsidRPr="00D5142C">
              <w:rPr>
                <w:sz w:val="18"/>
                <w:szCs w:val="18"/>
              </w:rPr>
              <w:t>5.2.1</w:t>
            </w:r>
          </w:p>
        </w:tc>
        <w:tc>
          <w:tcPr>
            <w:tcW w:w="1985" w:type="dxa"/>
            <w:tcBorders>
              <w:top w:val="single" w:sz="4" w:space="0" w:color="auto"/>
              <w:left w:val="single" w:sz="4" w:space="0" w:color="auto"/>
              <w:bottom w:val="single" w:sz="4" w:space="0" w:color="auto"/>
              <w:right w:val="single" w:sz="4" w:space="0" w:color="auto"/>
            </w:tcBorders>
            <w:hideMark/>
          </w:tcPr>
          <w:p w14:paraId="7B3CE43E" w14:textId="644A5208" w:rsidR="00BF41CE" w:rsidRPr="00D5142C" w:rsidRDefault="00BF41CE" w:rsidP="001D2EAD">
            <w:pPr>
              <w:rPr>
                <w:sz w:val="18"/>
                <w:szCs w:val="18"/>
              </w:rPr>
            </w:pPr>
            <w:r w:rsidRPr="00D5142C">
              <w:rPr>
                <w:sz w:val="18"/>
                <w:szCs w:val="18"/>
              </w:rPr>
              <w:t>Mercury (</w:t>
            </w:r>
            <w:proofErr w:type="gramStart"/>
            <w:r w:rsidRPr="00D5142C">
              <w:rPr>
                <w:sz w:val="18"/>
                <w:szCs w:val="18"/>
              </w:rPr>
              <w:t xml:space="preserve">primary) </w:t>
            </w:r>
            <w:r>
              <w:rPr>
                <w:sz w:val="18"/>
                <w:szCs w:val="18"/>
              </w:rPr>
              <w:t xml:space="preserve"> mining</w:t>
            </w:r>
            <w:proofErr w:type="gramEnd"/>
            <w:r>
              <w:rPr>
                <w:sz w:val="18"/>
                <w:szCs w:val="18"/>
              </w:rPr>
              <w:t xml:space="preserve"> and mineral </w:t>
            </w:r>
            <w:r w:rsidRPr="00D5142C">
              <w:rPr>
                <w:sz w:val="18"/>
                <w:szCs w:val="18"/>
              </w:rPr>
              <w:t xml:space="preserve"> processing</w:t>
            </w:r>
          </w:p>
        </w:tc>
        <w:tc>
          <w:tcPr>
            <w:tcW w:w="2409" w:type="dxa"/>
            <w:tcBorders>
              <w:top w:val="single" w:sz="4" w:space="0" w:color="auto"/>
              <w:left w:val="single" w:sz="4" w:space="0" w:color="auto"/>
              <w:bottom w:val="single" w:sz="4" w:space="0" w:color="auto"/>
              <w:right w:val="single" w:sz="4" w:space="0" w:color="auto"/>
            </w:tcBorders>
            <w:hideMark/>
          </w:tcPr>
          <w:p w14:paraId="6A0D276A" w14:textId="2BCEFE43" w:rsidR="00BF41CE" w:rsidRPr="00D5142C" w:rsidRDefault="002A195F" w:rsidP="001D2EAD">
            <w:pPr>
              <w:rPr>
                <w:sz w:val="18"/>
                <w:szCs w:val="18"/>
              </w:rPr>
            </w:pPr>
            <w:r>
              <w:rPr>
                <w:sz w:val="18"/>
                <w:szCs w:val="18"/>
              </w:rPr>
              <w:t>Wastewaters and non-wastewater releases not addressed under another article of the Convention</w:t>
            </w:r>
            <w:r w:rsidR="00965429">
              <w:rPr>
                <w:sz w:val="18"/>
                <w:szCs w:val="18"/>
              </w:rPr>
              <w:t xml:space="preserve"> </w:t>
            </w:r>
            <w:r w:rsidR="00BF41CE">
              <w:rPr>
                <w:sz w:val="18"/>
                <w:szCs w:val="18"/>
              </w:rPr>
              <w:t>from mining and processing.</w:t>
            </w:r>
          </w:p>
        </w:tc>
        <w:tc>
          <w:tcPr>
            <w:tcW w:w="3209" w:type="dxa"/>
            <w:tcBorders>
              <w:top w:val="single" w:sz="4" w:space="0" w:color="auto"/>
              <w:left w:val="single" w:sz="4" w:space="0" w:color="auto"/>
              <w:bottom w:val="single" w:sz="4" w:space="0" w:color="auto"/>
              <w:right w:val="single" w:sz="4" w:space="0" w:color="auto"/>
            </w:tcBorders>
            <w:hideMark/>
          </w:tcPr>
          <w:p w14:paraId="15AE0851" w14:textId="77777777" w:rsidR="00BF41CE" w:rsidRDefault="00BF41CE" w:rsidP="001D2EAD">
            <w:pPr>
              <w:rPr>
                <w:sz w:val="18"/>
                <w:szCs w:val="18"/>
              </w:rPr>
            </w:pPr>
            <w:r>
              <w:rPr>
                <w:sz w:val="18"/>
                <w:szCs w:val="18"/>
              </w:rPr>
              <w:t>Global Mercury Assessment 2018,</w:t>
            </w:r>
          </w:p>
          <w:p w14:paraId="5081DA1A" w14:textId="77777777" w:rsidR="00BF41CE" w:rsidRPr="00D5142C" w:rsidRDefault="00BF41CE" w:rsidP="001D2EAD">
            <w:pPr>
              <w:rPr>
                <w:sz w:val="18"/>
                <w:szCs w:val="18"/>
              </w:rPr>
            </w:pPr>
            <w:r>
              <w:rPr>
                <w:sz w:val="18"/>
                <w:szCs w:val="18"/>
              </w:rPr>
              <w:t>UNEP Inventory Toolkit Reference Report</w:t>
            </w:r>
          </w:p>
        </w:tc>
      </w:tr>
      <w:tr w:rsidR="0057726A" w:rsidRPr="00D5142C" w14:paraId="20A7E92F"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tcPr>
          <w:p w14:paraId="24D5218F" w14:textId="77777777" w:rsidR="00BF41CE" w:rsidRPr="00D5142C" w:rsidRDefault="00BF41CE" w:rsidP="001D2EAD">
            <w:pPr>
              <w:rPr>
                <w:sz w:val="18"/>
                <w:szCs w:val="18"/>
              </w:rPr>
            </w:pPr>
          </w:p>
        </w:tc>
        <w:tc>
          <w:tcPr>
            <w:tcW w:w="1985" w:type="dxa"/>
            <w:tcBorders>
              <w:top w:val="single" w:sz="4" w:space="0" w:color="auto"/>
              <w:left w:val="single" w:sz="4" w:space="0" w:color="auto"/>
              <w:bottom w:val="single" w:sz="4" w:space="0" w:color="auto"/>
              <w:right w:val="single" w:sz="4" w:space="0" w:color="auto"/>
            </w:tcBorders>
          </w:tcPr>
          <w:p w14:paraId="1F7527B8" w14:textId="3EFD1340" w:rsidR="00BF41CE" w:rsidRPr="00D5142C" w:rsidRDefault="00261E57" w:rsidP="001D2EAD">
            <w:pPr>
              <w:rPr>
                <w:sz w:val="18"/>
                <w:szCs w:val="18"/>
              </w:rPr>
            </w:pPr>
            <w:r>
              <w:rPr>
                <w:sz w:val="18"/>
                <w:szCs w:val="18"/>
              </w:rPr>
              <w:t xml:space="preserve">Mining, mineral processing, </w:t>
            </w:r>
            <w:proofErr w:type="gramStart"/>
            <w:r>
              <w:rPr>
                <w:sz w:val="18"/>
                <w:szCs w:val="18"/>
              </w:rPr>
              <w:t>smelting</w:t>
            </w:r>
            <w:proofErr w:type="gramEnd"/>
            <w:r>
              <w:rPr>
                <w:sz w:val="18"/>
                <w:szCs w:val="18"/>
              </w:rPr>
              <w:t xml:space="preserve"> and roasting </w:t>
            </w:r>
            <w:r w:rsidR="00965429" w:rsidRPr="00965429">
              <w:rPr>
                <w:sz w:val="18"/>
                <w:szCs w:val="18"/>
              </w:rPr>
              <w:t>of non-ferrous metals other than mercury</w:t>
            </w:r>
          </w:p>
        </w:tc>
        <w:tc>
          <w:tcPr>
            <w:tcW w:w="2409" w:type="dxa"/>
            <w:tcBorders>
              <w:top w:val="single" w:sz="4" w:space="0" w:color="auto"/>
              <w:left w:val="single" w:sz="4" w:space="0" w:color="auto"/>
              <w:bottom w:val="single" w:sz="4" w:space="0" w:color="auto"/>
              <w:right w:val="single" w:sz="4" w:space="0" w:color="auto"/>
            </w:tcBorders>
          </w:tcPr>
          <w:p w14:paraId="6C817D3B" w14:textId="0DD85FF6" w:rsidR="00BF41CE" w:rsidRPr="00807EAA" w:rsidRDefault="002A195F" w:rsidP="001D2EAD">
            <w:pPr>
              <w:rPr>
                <w:sz w:val="18"/>
              </w:rPr>
            </w:pPr>
            <w:r>
              <w:rPr>
                <w:sz w:val="18"/>
                <w:szCs w:val="18"/>
              </w:rPr>
              <w:t>Wastewaters and non-wastewater releases not addressed under another article of the Convention</w:t>
            </w:r>
            <w:r w:rsidR="00965429" w:rsidRPr="008A1A82">
              <w:rPr>
                <w:sz w:val="18"/>
                <w:szCs w:val="18"/>
              </w:rPr>
              <w:t xml:space="preserve"> from </w:t>
            </w:r>
            <w:r w:rsidR="009A3EE8">
              <w:rPr>
                <w:sz w:val="18"/>
                <w:szCs w:val="18"/>
              </w:rPr>
              <w:t>collected mine drainage,</w:t>
            </w:r>
            <w:r w:rsidR="00DC50E4">
              <w:rPr>
                <w:sz w:val="18"/>
                <w:szCs w:val="18"/>
              </w:rPr>
              <w:t xml:space="preserve"> </w:t>
            </w:r>
            <w:r w:rsidR="00B65E99">
              <w:rPr>
                <w:sz w:val="18"/>
                <w:szCs w:val="18"/>
              </w:rPr>
              <w:t xml:space="preserve">mineral processing, </w:t>
            </w:r>
            <w:r w:rsidR="00965429" w:rsidRPr="008A1A82">
              <w:rPr>
                <w:sz w:val="18"/>
                <w:szCs w:val="18"/>
              </w:rPr>
              <w:t>air pollution control systems</w:t>
            </w:r>
            <w:r w:rsidR="00E07DB3">
              <w:rPr>
                <w:sz w:val="18"/>
                <w:szCs w:val="18"/>
              </w:rPr>
              <w:t>,</w:t>
            </w:r>
            <w:r w:rsidR="00965429">
              <w:rPr>
                <w:sz w:val="18"/>
                <w:szCs w:val="18"/>
              </w:rPr>
              <w:t xml:space="preserve"> associated </w:t>
            </w:r>
            <w:proofErr w:type="gramStart"/>
            <w:r w:rsidR="00B65E99">
              <w:rPr>
                <w:sz w:val="18"/>
                <w:szCs w:val="18"/>
              </w:rPr>
              <w:t>smelting</w:t>
            </w:r>
            <w:proofErr w:type="gramEnd"/>
            <w:r w:rsidR="00B65E99">
              <w:rPr>
                <w:sz w:val="18"/>
                <w:szCs w:val="18"/>
              </w:rPr>
              <w:t xml:space="preserve"> and roasting</w:t>
            </w:r>
            <w:r w:rsidR="00965429">
              <w:rPr>
                <w:sz w:val="18"/>
                <w:szCs w:val="18"/>
              </w:rPr>
              <w:t xml:space="preserve"> and </w:t>
            </w:r>
            <w:r w:rsidR="00965429" w:rsidRPr="00A24299">
              <w:rPr>
                <w:sz w:val="18"/>
                <w:szCs w:val="18"/>
              </w:rPr>
              <w:t>process residues</w:t>
            </w:r>
            <w:r w:rsidR="00965429">
              <w:rPr>
                <w:sz w:val="18"/>
                <w:szCs w:val="18"/>
              </w:rPr>
              <w:t>.</w:t>
            </w:r>
          </w:p>
        </w:tc>
        <w:tc>
          <w:tcPr>
            <w:tcW w:w="3209" w:type="dxa"/>
            <w:tcBorders>
              <w:top w:val="single" w:sz="4" w:space="0" w:color="auto"/>
              <w:left w:val="single" w:sz="4" w:space="0" w:color="auto"/>
              <w:bottom w:val="single" w:sz="4" w:space="0" w:color="auto"/>
              <w:right w:val="single" w:sz="4" w:space="0" w:color="auto"/>
            </w:tcBorders>
          </w:tcPr>
          <w:p w14:paraId="3EAE33E6" w14:textId="77777777" w:rsidR="00BF41CE" w:rsidRDefault="00BF41CE" w:rsidP="001D2EAD">
            <w:pPr>
              <w:rPr>
                <w:sz w:val="18"/>
                <w:szCs w:val="18"/>
              </w:rPr>
            </w:pPr>
            <w:r>
              <w:rPr>
                <w:sz w:val="18"/>
                <w:szCs w:val="18"/>
              </w:rPr>
              <w:t>Global Mercury Assessment 2018 (Al, Cu, Pb, Zn, Au).</w:t>
            </w:r>
          </w:p>
          <w:p w14:paraId="3C09D4F3" w14:textId="77777777" w:rsidR="00BF41CE" w:rsidRDefault="00BF41CE" w:rsidP="001D2EAD">
            <w:pPr>
              <w:rPr>
                <w:sz w:val="18"/>
                <w:szCs w:val="18"/>
              </w:rPr>
            </w:pPr>
            <w:r>
              <w:rPr>
                <w:sz w:val="18"/>
                <w:szCs w:val="18"/>
              </w:rPr>
              <w:t xml:space="preserve">UNEP Inventory Toolkit Reference Report </w:t>
            </w:r>
          </w:p>
          <w:p w14:paraId="603B3250" w14:textId="69DB19D8" w:rsidR="00BF41CE" w:rsidRDefault="00BF41CE" w:rsidP="001D2EAD">
            <w:pPr>
              <w:rPr>
                <w:sz w:val="18"/>
                <w:szCs w:val="18"/>
              </w:rPr>
            </w:pPr>
            <w:r>
              <w:rPr>
                <w:sz w:val="18"/>
                <w:szCs w:val="18"/>
              </w:rPr>
              <w:t xml:space="preserve">Canadian, EU, </w:t>
            </w:r>
            <w:r w:rsidR="00965429">
              <w:rPr>
                <w:sz w:val="18"/>
                <w:szCs w:val="18"/>
              </w:rPr>
              <w:t xml:space="preserve">Norwegian, </w:t>
            </w:r>
            <w:r>
              <w:rPr>
                <w:sz w:val="18"/>
                <w:szCs w:val="18"/>
              </w:rPr>
              <w:t xml:space="preserve">US and Australian PRTR. </w:t>
            </w:r>
          </w:p>
          <w:p w14:paraId="5A05FE34" w14:textId="77777777" w:rsidR="00BF41CE" w:rsidRDefault="00BF41CE" w:rsidP="001D2EAD">
            <w:pPr>
              <w:rPr>
                <w:sz w:val="18"/>
                <w:szCs w:val="18"/>
              </w:rPr>
            </w:pPr>
          </w:p>
          <w:p w14:paraId="32F5F43F" w14:textId="77777777" w:rsidR="00BF41CE" w:rsidRPr="00D5142C" w:rsidRDefault="00BF41CE" w:rsidP="001D2EAD">
            <w:pPr>
              <w:rPr>
                <w:sz w:val="18"/>
                <w:szCs w:val="18"/>
              </w:rPr>
            </w:pPr>
          </w:p>
        </w:tc>
      </w:tr>
      <w:tr w:rsidR="0057726A" w:rsidRPr="00D5142C" w14:paraId="6BF91938"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tcPr>
          <w:p w14:paraId="1E1A8414" w14:textId="77777777" w:rsidR="00BF41CE" w:rsidRPr="00D5142C" w:rsidRDefault="00BF41CE" w:rsidP="001D2EAD">
            <w:pPr>
              <w:rPr>
                <w:sz w:val="18"/>
                <w:szCs w:val="18"/>
              </w:rPr>
            </w:pPr>
          </w:p>
        </w:tc>
        <w:tc>
          <w:tcPr>
            <w:tcW w:w="1985" w:type="dxa"/>
            <w:tcBorders>
              <w:top w:val="single" w:sz="4" w:space="0" w:color="auto"/>
              <w:left w:val="single" w:sz="4" w:space="0" w:color="auto"/>
              <w:bottom w:val="single" w:sz="4" w:space="0" w:color="auto"/>
              <w:right w:val="single" w:sz="4" w:space="0" w:color="auto"/>
            </w:tcBorders>
          </w:tcPr>
          <w:p w14:paraId="7A49C2C3" w14:textId="77777777" w:rsidR="00BF41CE" w:rsidRPr="00D5142C" w:rsidRDefault="00BF41CE" w:rsidP="001D2EAD">
            <w:pPr>
              <w:rPr>
                <w:sz w:val="18"/>
                <w:szCs w:val="18"/>
              </w:rPr>
            </w:pPr>
            <w:r>
              <w:rPr>
                <w:sz w:val="18"/>
                <w:szCs w:val="18"/>
              </w:rPr>
              <w:t>P</w:t>
            </w:r>
            <w:r w:rsidRPr="008A1A82">
              <w:rPr>
                <w:sz w:val="18"/>
                <w:szCs w:val="18"/>
              </w:rPr>
              <w:t xml:space="preserve">rimary ferrous-metal production </w:t>
            </w:r>
          </w:p>
        </w:tc>
        <w:tc>
          <w:tcPr>
            <w:tcW w:w="2409" w:type="dxa"/>
            <w:tcBorders>
              <w:top w:val="single" w:sz="4" w:space="0" w:color="auto"/>
              <w:left w:val="single" w:sz="4" w:space="0" w:color="auto"/>
              <w:bottom w:val="single" w:sz="4" w:space="0" w:color="auto"/>
              <w:right w:val="single" w:sz="4" w:space="0" w:color="auto"/>
            </w:tcBorders>
          </w:tcPr>
          <w:p w14:paraId="7AC1A853" w14:textId="54C52073" w:rsidR="00BF41CE" w:rsidRPr="00D5142C" w:rsidRDefault="002A195F" w:rsidP="001D2EAD">
            <w:pPr>
              <w:rPr>
                <w:sz w:val="18"/>
                <w:szCs w:val="18"/>
              </w:rPr>
            </w:pPr>
            <w:r>
              <w:rPr>
                <w:sz w:val="18"/>
                <w:szCs w:val="18"/>
              </w:rPr>
              <w:t>Wastewaters and non-wastewater releases not addressed under another article of the Convention</w:t>
            </w:r>
            <w:r w:rsidR="00BF41CE" w:rsidRPr="008A1A82">
              <w:rPr>
                <w:sz w:val="18"/>
                <w:szCs w:val="18"/>
              </w:rPr>
              <w:t xml:space="preserve"> from air pollution control systems</w:t>
            </w:r>
            <w:r w:rsidR="00BF41CE">
              <w:rPr>
                <w:sz w:val="18"/>
                <w:szCs w:val="18"/>
              </w:rPr>
              <w:t xml:space="preserve"> associated with c</w:t>
            </w:r>
            <w:r w:rsidR="00BF41CE" w:rsidRPr="008A1A82">
              <w:rPr>
                <w:sz w:val="18"/>
                <w:szCs w:val="18"/>
              </w:rPr>
              <w:t xml:space="preserve">oke </w:t>
            </w:r>
            <w:r w:rsidR="00BF41CE">
              <w:rPr>
                <w:sz w:val="18"/>
                <w:szCs w:val="18"/>
              </w:rPr>
              <w:t xml:space="preserve">production, </w:t>
            </w:r>
            <w:r w:rsidR="00BF41CE" w:rsidRPr="008A1A82">
              <w:rPr>
                <w:sz w:val="18"/>
                <w:szCs w:val="18"/>
              </w:rPr>
              <w:t>coal tar processing</w:t>
            </w:r>
            <w:r w:rsidR="00BF41CE">
              <w:rPr>
                <w:sz w:val="18"/>
                <w:szCs w:val="18"/>
              </w:rPr>
              <w:t>, pig iron production</w:t>
            </w:r>
            <w:r w:rsidR="00965429">
              <w:rPr>
                <w:sz w:val="18"/>
                <w:szCs w:val="18"/>
              </w:rPr>
              <w:t xml:space="preserve"> and </w:t>
            </w:r>
            <w:r w:rsidR="00BF41CE" w:rsidRPr="00A24299">
              <w:rPr>
                <w:sz w:val="18"/>
                <w:szCs w:val="18"/>
              </w:rPr>
              <w:t>process residues</w:t>
            </w:r>
            <w:r w:rsidR="00965429">
              <w:rPr>
                <w:sz w:val="18"/>
                <w:szCs w:val="18"/>
              </w:rPr>
              <w:t>.</w:t>
            </w:r>
          </w:p>
        </w:tc>
        <w:tc>
          <w:tcPr>
            <w:tcW w:w="3209" w:type="dxa"/>
            <w:tcBorders>
              <w:top w:val="single" w:sz="4" w:space="0" w:color="auto"/>
              <w:left w:val="single" w:sz="4" w:space="0" w:color="auto"/>
              <w:bottom w:val="single" w:sz="4" w:space="0" w:color="auto"/>
              <w:right w:val="single" w:sz="4" w:space="0" w:color="auto"/>
            </w:tcBorders>
          </w:tcPr>
          <w:p w14:paraId="72637129" w14:textId="77777777" w:rsidR="00BF41CE" w:rsidRPr="00D5142C" w:rsidRDefault="00BF41CE" w:rsidP="001D2EAD">
            <w:pPr>
              <w:rPr>
                <w:sz w:val="18"/>
                <w:szCs w:val="18"/>
              </w:rPr>
            </w:pPr>
            <w:r>
              <w:rPr>
                <w:sz w:val="18"/>
                <w:szCs w:val="18"/>
              </w:rPr>
              <w:t>Norwegian and Australian PRTR</w:t>
            </w:r>
          </w:p>
        </w:tc>
      </w:tr>
      <w:tr w:rsidR="00BF41CE" w:rsidRPr="00D5142C" w14:paraId="70D1E3BF"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4E4965C4" w14:textId="77777777" w:rsidR="00BF41CE" w:rsidRPr="00D5142C" w:rsidRDefault="00BF41CE" w:rsidP="001D2EAD">
            <w:pPr>
              <w:rPr>
                <w:sz w:val="18"/>
                <w:szCs w:val="18"/>
              </w:rPr>
            </w:pPr>
            <w:bookmarkStart w:id="3" w:name="_Hlk50710971"/>
            <w:r w:rsidRPr="00D5142C">
              <w:rPr>
                <w:sz w:val="18"/>
                <w:szCs w:val="18"/>
              </w:rPr>
              <w:t>Source category: Production of other minerals and materials with mercury impurities</w:t>
            </w:r>
          </w:p>
        </w:tc>
      </w:tr>
      <w:bookmarkEnd w:id="3"/>
      <w:tr w:rsidR="0057726A" w:rsidRPr="00D5142C" w14:paraId="1A898D95"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3F1B0488" w14:textId="77777777" w:rsidR="00BF41CE" w:rsidRPr="00D5142C" w:rsidRDefault="00BF41CE" w:rsidP="001D2EAD">
            <w:pPr>
              <w:rPr>
                <w:sz w:val="18"/>
                <w:szCs w:val="18"/>
              </w:rPr>
            </w:pPr>
            <w:r w:rsidRPr="00D5142C">
              <w:rPr>
                <w:sz w:val="18"/>
                <w:szCs w:val="18"/>
              </w:rPr>
              <w:t>5.3.1</w:t>
            </w:r>
          </w:p>
        </w:tc>
        <w:tc>
          <w:tcPr>
            <w:tcW w:w="1985" w:type="dxa"/>
            <w:tcBorders>
              <w:top w:val="single" w:sz="4" w:space="0" w:color="auto"/>
              <w:left w:val="single" w:sz="4" w:space="0" w:color="auto"/>
              <w:bottom w:val="single" w:sz="4" w:space="0" w:color="auto"/>
              <w:right w:val="single" w:sz="4" w:space="0" w:color="auto"/>
            </w:tcBorders>
            <w:hideMark/>
          </w:tcPr>
          <w:p w14:paraId="0A89AFD9" w14:textId="77777777" w:rsidR="00BF41CE" w:rsidRPr="00D5142C" w:rsidRDefault="00BF41CE" w:rsidP="001D2EAD">
            <w:pPr>
              <w:rPr>
                <w:sz w:val="18"/>
                <w:szCs w:val="18"/>
              </w:rPr>
            </w:pPr>
            <w:r w:rsidRPr="00D5142C">
              <w:rPr>
                <w:sz w:val="18"/>
                <w:szCs w:val="18"/>
              </w:rPr>
              <w:t>Cement clinker production</w:t>
            </w:r>
          </w:p>
        </w:tc>
        <w:tc>
          <w:tcPr>
            <w:tcW w:w="2409" w:type="dxa"/>
            <w:tcBorders>
              <w:top w:val="single" w:sz="4" w:space="0" w:color="auto"/>
              <w:left w:val="single" w:sz="4" w:space="0" w:color="auto"/>
              <w:bottom w:val="single" w:sz="4" w:space="0" w:color="auto"/>
              <w:right w:val="single" w:sz="4" w:space="0" w:color="auto"/>
            </w:tcBorders>
            <w:hideMark/>
          </w:tcPr>
          <w:p w14:paraId="5F2BD486" w14:textId="77E9D779" w:rsidR="00BF41CE" w:rsidRPr="00D5142C" w:rsidRDefault="002A195F" w:rsidP="001D2EAD">
            <w:pPr>
              <w:rPr>
                <w:sz w:val="18"/>
                <w:szCs w:val="18"/>
              </w:rPr>
            </w:pPr>
            <w:r>
              <w:rPr>
                <w:sz w:val="18"/>
                <w:szCs w:val="18"/>
              </w:rPr>
              <w:t>Wastewaters and non-wastewater releases not addressed under another article of the Convention</w:t>
            </w:r>
            <w:r w:rsidR="00B65E99" w:rsidRPr="008A1A82">
              <w:rPr>
                <w:sz w:val="18"/>
                <w:szCs w:val="18"/>
              </w:rPr>
              <w:t xml:space="preserve"> </w:t>
            </w:r>
            <w:r w:rsidR="00BF41CE" w:rsidRPr="006066C9">
              <w:rPr>
                <w:sz w:val="18"/>
                <w:szCs w:val="18"/>
              </w:rPr>
              <w:t xml:space="preserve">from </w:t>
            </w:r>
            <w:r w:rsidR="00BF41CE">
              <w:rPr>
                <w:sz w:val="18"/>
                <w:szCs w:val="18"/>
              </w:rPr>
              <w:t xml:space="preserve">air pollution control </w:t>
            </w:r>
            <w:proofErr w:type="spellStart"/>
            <w:proofErr w:type="gramStart"/>
            <w:r w:rsidR="00BF41CE">
              <w:rPr>
                <w:sz w:val="18"/>
                <w:szCs w:val="18"/>
              </w:rPr>
              <w:t>system</w:t>
            </w:r>
            <w:r w:rsidR="00C043C9">
              <w:rPr>
                <w:sz w:val="18"/>
                <w:szCs w:val="18"/>
              </w:rPr>
              <w:t>s</w:t>
            </w:r>
            <w:r w:rsidR="00BF41CE">
              <w:rPr>
                <w:sz w:val="18"/>
                <w:szCs w:val="18"/>
              </w:rPr>
              <w:t>.</w:t>
            </w:r>
            <w:r w:rsidR="00BF41CE" w:rsidRPr="0059515B">
              <w:rPr>
                <w:sz w:val="18"/>
                <w:szCs w:val="18"/>
              </w:rPr>
              <w:t>Possible</w:t>
            </w:r>
            <w:proofErr w:type="spellEnd"/>
            <w:proofErr w:type="gramEnd"/>
            <w:r w:rsidR="00BF41CE" w:rsidRPr="0059515B">
              <w:rPr>
                <w:sz w:val="18"/>
                <w:szCs w:val="18"/>
              </w:rPr>
              <w:t xml:space="preserve"> releases to land from disposal of process residues such as cement kiln dust.</w:t>
            </w:r>
          </w:p>
        </w:tc>
        <w:tc>
          <w:tcPr>
            <w:tcW w:w="3209" w:type="dxa"/>
            <w:tcBorders>
              <w:top w:val="single" w:sz="4" w:space="0" w:color="auto"/>
              <w:left w:val="single" w:sz="4" w:space="0" w:color="auto"/>
              <w:bottom w:val="single" w:sz="4" w:space="0" w:color="auto"/>
              <w:right w:val="single" w:sz="4" w:space="0" w:color="auto"/>
            </w:tcBorders>
            <w:hideMark/>
          </w:tcPr>
          <w:p w14:paraId="2F84F777" w14:textId="77777777" w:rsidR="00BF41CE" w:rsidRDefault="00BF41CE" w:rsidP="001D2EAD">
            <w:pPr>
              <w:rPr>
                <w:sz w:val="18"/>
                <w:szCs w:val="18"/>
              </w:rPr>
            </w:pPr>
            <w:r>
              <w:rPr>
                <w:sz w:val="18"/>
                <w:szCs w:val="18"/>
              </w:rPr>
              <w:t xml:space="preserve">UNEP Inventory Toolkit Reference Report </w:t>
            </w:r>
          </w:p>
          <w:p w14:paraId="1B166175" w14:textId="77777777" w:rsidR="00BF41CE" w:rsidRDefault="00BF41CE" w:rsidP="001D2EAD">
            <w:pPr>
              <w:rPr>
                <w:sz w:val="18"/>
                <w:szCs w:val="18"/>
              </w:rPr>
            </w:pPr>
            <w:r>
              <w:rPr>
                <w:sz w:val="18"/>
                <w:szCs w:val="18"/>
              </w:rPr>
              <w:t>Norwegian and EU PRTR</w:t>
            </w:r>
          </w:p>
          <w:p w14:paraId="1F3549E2" w14:textId="77777777" w:rsidR="00BF41CE" w:rsidRDefault="00736ADD" w:rsidP="001D2EAD">
            <w:pPr>
              <w:rPr>
                <w:sz w:val="18"/>
                <w:szCs w:val="18"/>
              </w:rPr>
            </w:pPr>
            <w:hyperlink r:id="rId16" w:history="1">
              <w:r w:rsidR="00BF41CE" w:rsidRPr="00BF41CE">
                <w:rPr>
                  <w:rStyle w:val="Hyperlink"/>
                  <w:sz w:val="18"/>
                  <w:szCs w:val="18"/>
                  <w:lang w:val="en-US"/>
                </w:rPr>
                <w:t>https://www.govinfo.gov/content/pkg/FR-2010-09-09/pdf/2010-21102.pdf</w:t>
              </w:r>
            </w:hyperlink>
            <w:r w:rsidR="00BF41CE">
              <w:rPr>
                <w:sz w:val="18"/>
                <w:szCs w:val="18"/>
              </w:rPr>
              <w:t xml:space="preserve"> USEPA air emission rule for cement plants anticipating wet scrubbers for mercury control</w:t>
            </w:r>
            <w:r w:rsidR="00B65E99">
              <w:rPr>
                <w:sz w:val="18"/>
                <w:szCs w:val="18"/>
              </w:rPr>
              <w:t>.</w:t>
            </w:r>
          </w:p>
          <w:p w14:paraId="7FC6314A" w14:textId="22E37FC8" w:rsidR="00B65E99" w:rsidRDefault="00736ADD" w:rsidP="001D2EAD">
            <w:pPr>
              <w:rPr>
                <w:sz w:val="18"/>
                <w:szCs w:val="18"/>
              </w:rPr>
            </w:pPr>
            <w:hyperlink r:id="rId17" w:history="1">
              <w:r w:rsidR="00B65E99" w:rsidRPr="00B65E99">
                <w:rPr>
                  <w:rStyle w:val="Hyperlink"/>
                  <w:sz w:val="18"/>
                  <w:szCs w:val="18"/>
                  <w:lang w:val="en-GB"/>
                </w:rPr>
                <w:t>2021 Hg mass balance study on cement production</w:t>
              </w:r>
            </w:hyperlink>
          </w:p>
          <w:p w14:paraId="44A57515" w14:textId="2B1AC18C" w:rsidR="00B65E99" w:rsidRPr="00D5142C" w:rsidRDefault="00736ADD" w:rsidP="001D2EAD">
            <w:pPr>
              <w:rPr>
                <w:sz w:val="18"/>
                <w:szCs w:val="18"/>
              </w:rPr>
            </w:pPr>
            <w:hyperlink r:id="rId18" w:history="1">
              <w:r w:rsidR="00B65E99" w:rsidRPr="00B65E99">
                <w:rPr>
                  <w:rStyle w:val="Hyperlink"/>
                  <w:sz w:val="18"/>
                  <w:szCs w:val="18"/>
                  <w:lang w:val="en-GB"/>
                </w:rPr>
                <w:t>Mercury release from fly ashes and hydrated fly ash cement pastes</w:t>
              </w:r>
            </w:hyperlink>
          </w:p>
        </w:tc>
      </w:tr>
      <w:tr w:rsidR="0057726A" w:rsidRPr="00D5142C" w14:paraId="3077C0BA"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2A0956A3" w14:textId="77777777" w:rsidR="00BF41CE" w:rsidRPr="00D5142C" w:rsidRDefault="00BF41CE" w:rsidP="001D2EAD">
            <w:pPr>
              <w:rPr>
                <w:sz w:val="18"/>
                <w:szCs w:val="18"/>
              </w:rPr>
            </w:pPr>
            <w:r w:rsidRPr="00D5142C">
              <w:rPr>
                <w:sz w:val="18"/>
                <w:szCs w:val="18"/>
              </w:rPr>
              <w:t>5.3.2</w:t>
            </w:r>
          </w:p>
        </w:tc>
        <w:tc>
          <w:tcPr>
            <w:tcW w:w="1985" w:type="dxa"/>
            <w:tcBorders>
              <w:top w:val="single" w:sz="4" w:space="0" w:color="auto"/>
              <w:left w:val="single" w:sz="4" w:space="0" w:color="auto"/>
              <w:bottom w:val="single" w:sz="4" w:space="0" w:color="auto"/>
              <w:right w:val="single" w:sz="4" w:space="0" w:color="auto"/>
            </w:tcBorders>
            <w:hideMark/>
          </w:tcPr>
          <w:p w14:paraId="434D65F5" w14:textId="77777777" w:rsidR="00BF41CE" w:rsidRPr="00D5142C" w:rsidRDefault="00BF41CE" w:rsidP="001D2EAD">
            <w:pPr>
              <w:rPr>
                <w:sz w:val="18"/>
                <w:szCs w:val="18"/>
              </w:rPr>
            </w:pPr>
            <w:r w:rsidRPr="00D5142C">
              <w:rPr>
                <w:sz w:val="18"/>
                <w:szCs w:val="18"/>
              </w:rPr>
              <w:t>Pulp and paper production</w:t>
            </w:r>
          </w:p>
        </w:tc>
        <w:tc>
          <w:tcPr>
            <w:tcW w:w="2409" w:type="dxa"/>
            <w:tcBorders>
              <w:top w:val="single" w:sz="4" w:space="0" w:color="auto"/>
              <w:left w:val="single" w:sz="4" w:space="0" w:color="auto"/>
              <w:bottom w:val="single" w:sz="4" w:space="0" w:color="auto"/>
              <w:right w:val="single" w:sz="4" w:space="0" w:color="auto"/>
            </w:tcBorders>
            <w:hideMark/>
          </w:tcPr>
          <w:p w14:paraId="0B4D516E" w14:textId="6FFFB19A" w:rsidR="00BF41CE" w:rsidRPr="00D5142C" w:rsidRDefault="002A195F" w:rsidP="001D2EAD">
            <w:pPr>
              <w:rPr>
                <w:sz w:val="18"/>
                <w:szCs w:val="18"/>
              </w:rPr>
            </w:pPr>
            <w:r>
              <w:rPr>
                <w:sz w:val="18"/>
                <w:szCs w:val="18"/>
              </w:rPr>
              <w:t>Wastewaters and non-wastewater releases not addressed under another article of the Convention</w:t>
            </w:r>
            <w:r w:rsidR="00B65E99" w:rsidRPr="008A1A82">
              <w:rPr>
                <w:sz w:val="18"/>
                <w:szCs w:val="18"/>
              </w:rPr>
              <w:t xml:space="preserve"> </w:t>
            </w:r>
            <w:r w:rsidR="00BF41CE" w:rsidRPr="006066C9">
              <w:rPr>
                <w:sz w:val="18"/>
                <w:szCs w:val="18"/>
              </w:rPr>
              <w:t xml:space="preserve">from </w:t>
            </w:r>
            <w:r w:rsidR="00BF41CE">
              <w:rPr>
                <w:sz w:val="18"/>
                <w:szCs w:val="18"/>
              </w:rPr>
              <w:t>air pollution control system</w:t>
            </w:r>
            <w:r w:rsidR="00C043C9">
              <w:rPr>
                <w:sz w:val="18"/>
                <w:szCs w:val="18"/>
              </w:rPr>
              <w:t>s</w:t>
            </w:r>
            <w:r w:rsidR="00D80507">
              <w:rPr>
                <w:sz w:val="18"/>
                <w:szCs w:val="18"/>
              </w:rPr>
              <w:t xml:space="preserve"> and from </w:t>
            </w:r>
            <w:r w:rsidR="00BF41CE" w:rsidRPr="0059515B">
              <w:rPr>
                <w:sz w:val="18"/>
                <w:szCs w:val="18"/>
              </w:rPr>
              <w:t>process residues.</w:t>
            </w:r>
          </w:p>
        </w:tc>
        <w:tc>
          <w:tcPr>
            <w:tcW w:w="3209" w:type="dxa"/>
            <w:tcBorders>
              <w:top w:val="single" w:sz="4" w:space="0" w:color="auto"/>
              <w:left w:val="single" w:sz="4" w:space="0" w:color="auto"/>
              <w:bottom w:val="single" w:sz="4" w:space="0" w:color="auto"/>
              <w:right w:val="single" w:sz="4" w:space="0" w:color="auto"/>
            </w:tcBorders>
          </w:tcPr>
          <w:p w14:paraId="3039B23E" w14:textId="77777777" w:rsidR="00BF41CE" w:rsidRPr="00D5142C" w:rsidRDefault="00BF41CE" w:rsidP="001D2EAD">
            <w:pPr>
              <w:rPr>
                <w:sz w:val="18"/>
                <w:szCs w:val="18"/>
              </w:rPr>
            </w:pPr>
            <w:r>
              <w:rPr>
                <w:sz w:val="18"/>
                <w:szCs w:val="18"/>
              </w:rPr>
              <w:t>Canadian, EU and US PRTR</w:t>
            </w:r>
          </w:p>
        </w:tc>
      </w:tr>
      <w:tr w:rsidR="0057726A" w:rsidRPr="00D5142C" w14:paraId="763C21AC"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tcPr>
          <w:p w14:paraId="1414332A" w14:textId="77777777" w:rsidR="00BF41CE" w:rsidRPr="00D5142C" w:rsidRDefault="00BF41CE" w:rsidP="001D2EAD">
            <w:pPr>
              <w:rPr>
                <w:sz w:val="18"/>
                <w:szCs w:val="18"/>
              </w:rPr>
            </w:pPr>
            <w:r w:rsidRPr="00D5142C">
              <w:rPr>
                <w:sz w:val="18"/>
                <w:szCs w:val="18"/>
              </w:rPr>
              <w:t>5.3.4</w:t>
            </w:r>
          </w:p>
        </w:tc>
        <w:tc>
          <w:tcPr>
            <w:tcW w:w="1985" w:type="dxa"/>
            <w:tcBorders>
              <w:top w:val="single" w:sz="4" w:space="0" w:color="auto"/>
              <w:left w:val="single" w:sz="4" w:space="0" w:color="auto"/>
              <w:bottom w:val="single" w:sz="4" w:space="0" w:color="auto"/>
              <w:right w:val="single" w:sz="4" w:space="0" w:color="auto"/>
            </w:tcBorders>
          </w:tcPr>
          <w:p w14:paraId="65FB892E" w14:textId="0E51CE3E" w:rsidR="00BF41CE" w:rsidRPr="00D5142C" w:rsidRDefault="00BF41CE" w:rsidP="001D2EAD">
            <w:pPr>
              <w:rPr>
                <w:sz w:val="18"/>
                <w:szCs w:val="18"/>
              </w:rPr>
            </w:pPr>
            <w:r>
              <w:rPr>
                <w:sz w:val="18"/>
                <w:szCs w:val="18"/>
              </w:rPr>
              <w:t>Production of o</w:t>
            </w:r>
            <w:r w:rsidRPr="00D5142C">
              <w:rPr>
                <w:sz w:val="18"/>
                <w:szCs w:val="18"/>
              </w:rPr>
              <w:t xml:space="preserve">ther </w:t>
            </w:r>
            <w:r w:rsidR="002E14D9">
              <w:rPr>
                <w:sz w:val="18"/>
                <w:szCs w:val="18"/>
              </w:rPr>
              <w:t xml:space="preserve">chemicals, </w:t>
            </w:r>
            <w:proofErr w:type="gramStart"/>
            <w:r w:rsidRPr="00D5142C">
              <w:rPr>
                <w:sz w:val="18"/>
                <w:szCs w:val="18"/>
              </w:rPr>
              <w:t>minerals</w:t>
            </w:r>
            <w:proofErr w:type="gramEnd"/>
            <w:r w:rsidRPr="00D5142C">
              <w:rPr>
                <w:sz w:val="18"/>
                <w:szCs w:val="18"/>
              </w:rPr>
              <w:t xml:space="preserve"> and materials</w:t>
            </w:r>
            <w:r>
              <w:rPr>
                <w:sz w:val="18"/>
                <w:szCs w:val="18"/>
              </w:rPr>
              <w:t xml:space="preserve"> </w:t>
            </w:r>
          </w:p>
        </w:tc>
        <w:tc>
          <w:tcPr>
            <w:tcW w:w="2409" w:type="dxa"/>
            <w:tcBorders>
              <w:top w:val="single" w:sz="4" w:space="0" w:color="auto"/>
              <w:left w:val="single" w:sz="4" w:space="0" w:color="auto"/>
              <w:bottom w:val="single" w:sz="4" w:space="0" w:color="auto"/>
              <w:right w:val="single" w:sz="4" w:space="0" w:color="auto"/>
            </w:tcBorders>
          </w:tcPr>
          <w:p w14:paraId="7DCA8904" w14:textId="3F4D6352" w:rsidR="00BF41CE" w:rsidRPr="006066C9" w:rsidRDefault="002A195F" w:rsidP="001D2EAD">
            <w:pPr>
              <w:rPr>
                <w:sz w:val="18"/>
                <w:szCs w:val="18"/>
              </w:rPr>
            </w:pPr>
            <w:r>
              <w:rPr>
                <w:sz w:val="18"/>
                <w:szCs w:val="18"/>
              </w:rPr>
              <w:t>Wastewaters and non-wastewater releases not addressed under another article of the Convention</w:t>
            </w:r>
            <w:r w:rsidR="00B65E99" w:rsidRPr="008A1A82">
              <w:rPr>
                <w:sz w:val="18"/>
                <w:szCs w:val="18"/>
              </w:rPr>
              <w:t xml:space="preserve"> </w:t>
            </w:r>
            <w:r w:rsidR="00BF41CE" w:rsidRPr="00D5142C">
              <w:rPr>
                <w:sz w:val="18"/>
                <w:szCs w:val="18"/>
              </w:rPr>
              <w:t>from fertilizer production</w:t>
            </w:r>
            <w:r w:rsidR="002E14D9">
              <w:rPr>
                <w:sz w:val="18"/>
                <w:szCs w:val="18"/>
              </w:rPr>
              <w:t xml:space="preserve">, dyes, </w:t>
            </w:r>
            <w:proofErr w:type="gramStart"/>
            <w:r w:rsidR="002E14D9">
              <w:rPr>
                <w:sz w:val="18"/>
                <w:szCs w:val="18"/>
              </w:rPr>
              <w:t>pigments</w:t>
            </w:r>
            <w:proofErr w:type="gramEnd"/>
            <w:r w:rsidR="002E14D9">
              <w:rPr>
                <w:sz w:val="18"/>
                <w:szCs w:val="18"/>
              </w:rPr>
              <w:t xml:space="preserve"> and other chemicals</w:t>
            </w:r>
            <w:r w:rsidR="000A272E">
              <w:rPr>
                <w:sz w:val="18"/>
                <w:szCs w:val="18"/>
              </w:rPr>
              <w:t>.</w:t>
            </w:r>
            <w:r w:rsidR="002E14D9">
              <w:rPr>
                <w:sz w:val="18"/>
                <w:szCs w:val="18"/>
              </w:rPr>
              <w:t xml:space="preserve"> </w:t>
            </w:r>
          </w:p>
        </w:tc>
        <w:tc>
          <w:tcPr>
            <w:tcW w:w="3209" w:type="dxa"/>
            <w:tcBorders>
              <w:top w:val="single" w:sz="4" w:space="0" w:color="auto"/>
              <w:left w:val="single" w:sz="4" w:space="0" w:color="auto"/>
              <w:bottom w:val="single" w:sz="4" w:space="0" w:color="auto"/>
              <w:right w:val="single" w:sz="4" w:space="0" w:color="auto"/>
            </w:tcBorders>
          </w:tcPr>
          <w:p w14:paraId="5DF76074" w14:textId="455483FA" w:rsidR="00BF41CE" w:rsidRPr="00D5142C" w:rsidRDefault="000A272E" w:rsidP="001D2EAD">
            <w:pPr>
              <w:rPr>
                <w:sz w:val="18"/>
                <w:szCs w:val="18"/>
              </w:rPr>
            </w:pPr>
            <w:r w:rsidRPr="000A272E">
              <w:rPr>
                <w:sz w:val="18"/>
                <w:szCs w:val="18"/>
              </w:rPr>
              <w:t>Norway submission</w:t>
            </w:r>
          </w:p>
        </w:tc>
      </w:tr>
      <w:tr w:rsidR="00BF41CE" w:rsidRPr="00D5142C" w14:paraId="2A15A156"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14:paraId="368BBE70" w14:textId="77777777" w:rsidR="00BF41CE" w:rsidRPr="00D5142C" w:rsidRDefault="00BF41CE" w:rsidP="001D2EAD">
            <w:pPr>
              <w:rPr>
                <w:sz w:val="18"/>
                <w:szCs w:val="18"/>
              </w:rPr>
            </w:pPr>
            <w:bookmarkStart w:id="4" w:name="_Hlk50710996"/>
            <w:r w:rsidRPr="00D5142C">
              <w:rPr>
                <w:sz w:val="18"/>
                <w:szCs w:val="18"/>
              </w:rPr>
              <w:t>Source category: Intentional use of mercury in industrial processes</w:t>
            </w:r>
          </w:p>
        </w:tc>
      </w:tr>
      <w:bookmarkEnd w:id="4"/>
      <w:tr w:rsidR="0057726A" w:rsidRPr="00D5142C" w14:paraId="566218F4"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1ADB2122" w14:textId="77777777" w:rsidR="00BF41CE" w:rsidRPr="00D5142C" w:rsidRDefault="00BF41CE" w:rsidP="001D2EAD">
            <w:pPr>
              <w:rPr>
                <w:sz w:val="18"/>
                <w:szCs w:val="18"/>
              </w:rPr>
            </w:pPr>
            <w:r w:rsidRPr="00D5142C">
              <w:rPr>
                <w:sz w:val="18"/>
                <w:szCs w:val="18"/>
              </w:rPr>
              <w:t>5.4.1</w:t>
            </w:r>
          </w:p>
        </w:tc>
        <w:tc>
          <w:tcPr>
            <w:tcW w:w="1985" w:type="dxa"/>
            <w:tcBorders>
              <w:top w:val="single" w:sz="4" w:space="0" w:color="auto"/>
              <w:left w:val="single" w:sz="4" w:space="0" w:color="auto"/>
              <w:bottom w:val="single" w:sz="4" w:space="0" w:color="auto"/>
              <w:right w:val="single" w:sz="4" w:space="0" w:color="auto"/>
            </w:tcBorders>
            <w:hideMark/>
          </w:tcPr>
          <w:p w14:paraId="6392D45D" w14:textId="77777777" w:rsidR="00BF41CE" w:rsidRPr="00D5142C" w:rsidRDefault="00BF41CE" w:rsidP="001D2EAD">
            <w:pPr>
              <w:rPr>
                <w:sz w:val="18"/>
                <w:szCs w:val="18"/>
              </w:rPr>
            </w:pPr>
            <w:r w:rsidRPr="00D5142C">
              <w:rPr>
                <w:sz w:val="18"/>
                <w:szCs w:val="18"/>
              </w:rPr>
              <w:t xml:space="preserve">Chlor-alkali production </w:t>
            </w:r>
            <w:r w:rsidR="00CA2DF6">
              <w:rPr>
                <w:sz w:val="18"/>
                <w:szCs w:val="18"/>
              </w:rPr>
              <w:t>using mercury cell technology</w:t>
            </w:r>
          </w:p>
        </w:tc>
        <w:tc>
          <w:tcPr>
            <w:tcW w:w="2409" w:type="dxa"/>
            <w:tcBorders>
              <w:top w:val="single" w:sz="4" w:space="0" w:color="auto"/>
              <w:left w:val="single" w:sz="4" w:space="0" w:color="auto"/>
              <w:bottom w:val="single" w:sz="4" w:space="0" w:color="auto"/>
              <w:right w:val="single" w:sz="4" w:space="0" w:color="auto"/>
            </w:tcBorders>
            <w:hideMark/>
          </w:tcPr>
          <w:p w14:paraId="12E9EAC6" w14:textId="2EF41912" w:rsidR="00BF41CE" w:rsidRDefault="002A195F" w:rsidP="001D2EAD">
            <w:pPr>
              <w:rPr>
                <w:sz w:val="18"/>
                <w:szCs w:val="18"/>
              </w:rPr>
            </w:pPr>
            <w:r>
              <w:rPr>
                <w:sz w:val="18"/>
                <w:szCs w:val="18"/>
              </w:rPr>
              <w:t>Wastewaters and non-wastewater releases not addressed under another article of the Convention</w:t>
            </w:r>
            <w:r w:rsidR="00B65E99" w:rsidRPr="008A1A82">
              <w:rPr>
                <w:sz w:val="18"/>
                <w:szCs w:val="18"/>
              </w:rPr>
              <w:t xml:space="preserve"> </w:t>
            </w:r>
            <w:r w:rsidR="00B65E99">
              <w:rPr>
                <w:sz w:val="18"/>
                <w:szCs w:val="18"/>
              </w:rPr>
              <w:t xml:space="preserve">from </w:t>
            </w:r>
            <w:r w:rsidR="00CA2DF6">
              <w:rPr>
                <w:sz w:val="18"/>
                <w:szCs w:val="18"/>
              </w:rPr>
              <w:t xml:space="preserve">the </w:t>
            </w:r>
            <w:r w:rsidR="00B65E99">
              <w:rPr>
                <w:sz w:val="18"/>
                <w:szCs w:val="18"/>
              </w:rPr>
              <w:t xml:space="preserve">production process and </w:t>
            </w:r>
            <w:r w:rsidR="00E77DE3">
              <w:rPr>
                <w:sz w:val="18"/>
                <w:szCs w:val="18"/>
              </w:rPr>
              <w:t xml:space="preserve">from contaminated </w:t>
            </w:r>
            <w:proofErr w:type="spellStart"/>
            <w:proofErr w:type="gramStart"/>
            <w:r w:rsidR="00E77DE3">
              <w:rPr>
                <w:sz w:val="18"/>
                <w:szCs w:val="18"/>
              </w:rPr>
              <w:t>plants</w:t>
            </w:r>
            <w:r w:rsidR="00BF41CE" w:rsidRPr="00D5142C">
              <w:rPr>
                <w:sz w:val="18"/>
                <w:szCs w:val="18"/>
              </w:rPr>
              <w:t>.</w:t>
            </w:r>
            <w:r w:rsidR="00CA2DF6">
              <w:rPr>
                <w:sz w:val="18"/>
                <w:szCs w:val="18"/>
              </w:rPr>
              <w:t>a</w:t>
            </w:r>
            <w:proofErr w:type="spellEnd"/>
            <w:proofErr w:type="gramEnd"/>
            <w:r w:rsidR="00CA2DF6">
              <w:rPr>
                <w:sz w:val="18"/>
                <w:szCs w:val="18"/>
              </w:rPr>
              <w:t xml:space="preserve"> </w:t>
            </w:r>
            <w:r w:rsidR="00BF41CE">
              <w:rPr>
                <w:sz w:val="18"/>
                <w:szCs w:val="18"/>
              </w:rPr>
              <w:t>.</w:t>
            </w:r>
          </w:p>
          <w:p w14:paraId="32E0727D" w14:textId="77777777" w:rsidR="00BF41CE" w:rsidRPr="00D5142C" w:rsidRDefault="00BF41CE" w:rsidP="001D2EAD">
            <w:pPr>
              <w:rPr>
                <w:sz w:val="18"/>
                <w:szCs w:val="18"/>
              </w:rPr>
            </w:pPr>
          </w:p>
        </w:tc>
        <w:tc>
          <w:tcPr>
            <w:tcW w:w="3209" w:type="dxa"/>
            <w:tcBorders>
              <w:top w:val="single" w:sz="4" w:space="0" w:color="auto"/>
              <w:left w:val="single" w:sz="4" w:space="0" w:color="auto"/>
              <w:bottom w:val="single" w:sz="4" w:space="0" w:color="auto"/>
              <w:right w:val="single" w:sz="4" w:space="0" w:color="auto"/>
            </w:tcBorders>
            <w:hideMark/>
          </w:tcPr>
          <w:p w14:paraId="679506F7" w14:textId="77777777" w:rsidR="00BF41CE" w:rsidRDefault="00BF41CE" w:rsidP="001D2EAD">
            <w:pPr>
              <w:rPr>
                <w:sz w:val="18"/>
                <w:szCs w:val="18"/>
              </w:rPr>
            </w:pPr>
            <w:r>
              <w:rPr>
                <w:sz w:val="18"/>
                <w:szCs w:val="18"/>
              </w:rPr>
              <w:t>Global Mercury Assessment 2018</w:t>
            </w:r>
          </w:p>
          <w:p w14:paraId="5B391E9A" w14:textId="77777777" w:rsidR="00BF41CE" w:rsidRDefault="00BF41CE" w:rsidP="001D2EAD">
            <w:pPr>
              <w:rPr>
                <w:sz w:val="18"/>
                <w:szCs w:val="18"/>
              </w:rPr>
            </w:pPr>
            <w:r>
              <w:rPr>
                <w:sz w:val="18"/>
                <w:szCs w:val="18"/>
              </w:rPr>
              <w:t xml:space="preserve">UNEP Inventory Toolkit Reference Report </w:t>
            </w:r>
          </w:p>
          <w:p w14:paraId="3957D0DD" w14:textId="77777777" w:rsidR="00BF41CE" w:rsidRDefault="00BF41CE" w:rsidP="001D2EAD">
            <w:pPr>
              <w:rPr>
                <w:sz w:val="18"/>
                <w:szCs w:val="18"/>
              </w:rPr>
            </w:pPr>
            <w:r>
              <w:rPr>
                <w:sz w:val="18"/>
                <w:szCs w:val="18"/>
              </w:rPr>
              <w:t>Norwegian PRTR</w:t>
            </w:r>
          </w:p>
          <w:p w14:paraId="02C14E34" w14:textId="77777777" w:rsidR="00BF41CE" w:rsidRDefault="00BF41CE" w:rsidP="001D2EAD">
            <w:pPr>
              <w:rPr>
                <w:sz w:val="18"/>
                <w:szCs w:val="18"/>
              </w:rPr>
            </w:pPr>
            <w:r w:rsidRPr="00B604D3">
              <w:rPr>
                <w:sz w:val="18"/>
                <w:szCs w:val="18"/>
              </w:rPr>
              <w:t>ex-Hg plant in UK (Runcorn)</w:t>
            </w:r>
          </w:p>
          <w:p w14:paraId="2DE02D19" w14:textId="594E2ED3" w:rsidR="000A272E" w:rsidRDefault="00736ADD" w:rsidP="000A272E">
            <w:pPr>
              <w:rPr>
                <w:sz w:val="18"/>
                <w:szCs w:val="18"/>
              </w:rPr>
            </w:pPr>
            <w:hyperlink r:id="rId19" w:history="1">
              <w:proofErr w:type="spellStart"/>
              <w:r w:rsidR="000A272E" w:rsidRPr="000A272E">
                <w:rPr>
                  <w:rStyle w:val="Hyperlink"/>
                  <w:sz w:val="18"/>
                  <w:szCs w:val="18"/>
                  <w:lang w:val="en-GB"/>
                </w:rPr>
                <w:t>EuroChlor</w:t>
              </w:r>
              <w:proofErr w:type="spellEnd"/>
              <w:r w:rsidR="000A272E" w:rsidRPr="000A272E">
                <w:rPr>
                  <w:rStyle w:val="Hyperlink"/>
                  <w:sz w:val="18"/>
                  <w:szCs w:val="18"/>
                  <w:lang w:val="en-GB"/>
                </w:rPr>
                <w:t xml:space="preserve"> document</w:t>
              </w:r>
            </w:hyperlink>
          </w:p>
          <w:p w14:paraId="78F47CBB" w14:textId="5657D633" w:rsidR="000A272E" w:rsidRPr="00D5142C" w:rsidRDefault="000A272E" w:rsidP="001D2EAD">
            <w:pPr>
              <w:rPr>
                <w:sz w:val="18"/>
                <w:szCs w:val="18"/>
              </w:rPr>
            </w:pPr>
          </w:p>
        </w:tc>
      </w:tr>
      <w:tr w:rsidR="00BF41CE" w:rsidRPr="00D5142C" w14:paraId="08321DD5"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4C6CE24A" w14:textId="77777777" w:rsidR="00BF41CE" w:rsidRPr="00D5142C" w:rsidRDefault="00BF41CE" w:rsidP="001D2EAD">
            <w:pPr>
              <w:keepNext/>
              <w:keepLines/>
              <w:rPr>
                <w:sz w:val="18"/>
                <w:szCs w:val="18"/>
              </w:rPr>
            </w:pPr>
            <w:bookmarkStart w:id="5" w:name="_Hlk50711023"/>
            <w:r w:rsidRPr="00D5142C">
              <w:rPr>
                <w:sz w:val="18"/>
                <w:szCs w:val="18"/>
              </w:rPr>
              <w:lastRenderedPageBreak/>
              <w:t>Source category: Manufacturing of consumer products with intentional use of mercury</w:t>
            </w:r>
          </w:p>
        </w:tc>
      </w:tr>
      <w:tr w:rsidR="0057726A" w:rsidRPr="00D5142C" w14:paraId="397764F9"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tcPr>
          <w:p w14:paraId="05AF2BE8" w14:textId="77777777" w:rsidR="00BF41CE" w:rsidRPr="00D5142C" w:rsidRDefault="00BF41CE" w:rsidP="001D2EAD">
            <w:pPr>
              <w:rPr>
                <w:sz w:val="18"/>
                <w:szCs w:val="18"/>
              </w:rPr>
            </w:pPr>
            <w:r>
              <w:rPr>
                <w:sz w:val="18"/>
                <w:szCs w:val="18"/>
              </w:rPr>
              <w:t>5.5.1- 5.5.9</w:t>
            </w:r>
          </w:p>
        </w:tc>
        <w:tc>
          <w:tcPr>
            <w:tcW w:w="1985" w:type="dxa"/>
            <w:tcBorders>
              <w:top w:val="single" w:sz="4" w:space="0" w:color="auto"/>
              <w:left w:val="single" w:sz="4" w:space="0" w:color="auto"/>
              <w:bottom w:val="single" w:sz="4" w:space="0" w:color="auto"/>
              <w:right w:val="single" w:sz="4" w:space="0" w:color="auto"/>
            </w:tcBorders>
          </w:tcPr>
          <w:p w14:paraId="2C340740" w14:textId="77777777" w:rsidR="00BF41CE" w:rsidRPr="006066C9" w:rsidRDefault="00BF41CE" w:rsidP="001D2EAD">
            <w:pPr>
              <w:keepNext/>
              <w:keepLines/>
              <w:rPr>
                <w:sz w:val="18"/>
              </w:rPr>
            </w:pPr>
            <w:r>
              <w:rPr>
                <w:sz w:val="18"/>
              </w:rPr>
              <w:t>M</w:t>
            </w:r>
            <w:r w:rsidRPr="006066C9">
              <w:rPr>
                <w:sz w:val="18"/>
              </w:rPr>
              <w:t>anufactur</w:t>
            </w:r>
            <w:r>
              <w:rPr>
                <w:sz w:val="18"/>
              </w:rPr>
              <w:t>ing</w:t>
            </w:r>
            <w:r w:rsidRPr="006066C9">
              <w:rPr>
                <w:sz w:val="18"/>
              </w:rPr>
              <w:t xml:space="preserve"> of products containing mercury</w:t>
            </w:r>
          </w:p>
        </w:tc>
        <w:tc>
          <w:tcPr>
            <w:tcW w:w="2409" w:type="dxa"/>
            <w:tcBorders>
              <w:top w:val="single" w:sz="4" w:space="0" w:color="auto"/>
              <w:left w:val="single" w:sz="4" w:space="0" w:color="auto"/>
              <w:bottom w:val="single" w:sz="4" w:space="0" w:color="auto"/>
              <w:right w:val="single" w:sz="4" w:space="0" w:color="auto"/>
            </w:tcBorders>
          </w:tcPr>
          <w:p w14:paraId="6306DCEB" w14:textId="7E79BC56" w:rsidR="00BF41CE" w:rsidRPr="00163323" w:rsidRDefault="002A195F" w:rsidP="001D2EAD">
            <w:pPr>
              <w:keepNext/>
              <w:keepLines/>
              <w:rPr>
                <w:strike/>
                <w:sz w:val="18"/>
              </w:rPr>
            </w:pPr>
            <w:r>
              <w:rPr>
                <w:sz w:val="18"/>
                <w:szCs w:val="18"/>
              </w:rPr>
              <w:t>Wastewaters and non-wastewater releases not addressed under another article of the Convention</w:t>
            </w:r>
            <w:r w:rsidR="00E77DE3" w:rsidRPr="008A1A82">
              <w:rPr>
                <w:sz w:val="18"/>
                <w:szCs w:val="18"/>
              </w:rPr>
              <w:t xml:space="preserve"> </w:t>
            </w:r>
            <w:r w:rsidR="00E77DE3">
              <w:rPr>
                <w:sz w:val="18"/>
                <w:szCs w:val="18"/>
              </w:rPr>
              <w:t>from m</w:t>
            </w:r>
            <w:r w:rsidR="00BF41CE" w:rsidRPr="00163323">
              <w:rPr>
                <w:sz w:val="18"/>
                <w:szCs w:val="18"/>
              </w:rPr>
              <w:t>anufacture of product</w:t>
            </w:r>
            <w:r w:rsidR="00BF41CE">
              <w:rPr>
                <w:sz w:val="18"/>
                <w:szCs w:val="18"/>
              </w:rPr>
              <w:t xml:space="preserve"> categorie</w:t>
            </w:r>
            <w:r w:rsidR="00BF41CE" w:rsidRPr="00163323">
              <w:rPr>
                <w:sz w:val="18"/>
                <w:szCs w:val="18"/>
              </w:rPr>
              <w:t>s not listed on Annex A, and product</w:t>
            </w:r>
            <w:r w:rsidR="00BF41CE">
              <w:rPr>
                <w:sz w:val="18"/>
                <w:szCs w:val="18"/>
              </w:rPr>
              <w:t xml:space="preserve"> categorie</w:t>
            </w:r>
            <w:r w:rsidR="00BF41CE" w:rsidRPr="00163323">
              <w:rPr>
                <w:sz w:val="18"/>
                <w:szCs w:val="18"/>
              </w:rPr>
              <w:t xml:space="preserve">s </w:t>
            </w:r>
            <w:r w:rsidR="00BF41CE">
              <w:rPr>
                <w:sz w:val="18"/>
                <w:szCs w:val="18"/>
              </w:rPr>
              <w:t>below the mercury content limit</w:t>
            </w:r>
            <w:r w:rsidR="00495AC8">
              <w:rPr>
                <w:sz w:val="18"/>
                <w:szCs w:val="18"/>
              </w:rPr>
              <w:t>s</w:t>
            </w:r>
            <w:r w:rsidR="00BF41CE">
              <w:rPr>
                <w:sz w:val="18"/>
                <w:szCs w:val="18"/>
              </w:rPr>
              <w:t xml:space="preserve"> in </w:t>
            </w:r>
            <w:r w:rsidR="00BF41CE" w:rsidRPr="00163323">
              <w:rPr>
                <w:sz w:val="18"/>
                <w:szCs w:val="18"/>
              </w:rPr>
              <w:t xml:space="preserve">Annex A.  </w:t>
            </w:r>
          </w:p>
        </w:tc>
        <w:tc>
          <w:tcPr>
            <w:tcW w:w="3209" w:type="dxa"/>
            <w:tcBorders>
              <w:top w:val="single" w:sz="4" w:space="0" w:color="auto"/>
              <w:left w:val="single" w:sz="4" w:space="0" w:color="auto"/>
              <w:bottom w:val="single" w:sz="4" w:space="0" w:color="auto"/>
              <w:right w:val="single" w:sz="4" w:space="0" w:color="auto"/>
            </w:tcBorders>
          </w:tcPr>
          <w:p w14:paraId="195605D4" w14:textId="77777777" w:rsidR="00BF41CE" w:rsidRDefault="00BF41CE" w:rsidP="001D2EAD">
            <w:pPr>
              <w:rPr>
                <w:sz w:val="18"/>
                <w:szCs w:val="18"/>
              </w:rPr>
            </w:pPr>
            <w:r>
              <w:rPr>
                <w:sz w:val="18"/>
                <w:szCs w:val="18"/>
              </w:rPr>
              <w:t>Global Mercury Assessment 2018</w:t>
            </w:r>
          </w:p>
          <w:p w14:paraId="142A636B" w14:textId="77777777" w:rsidR="00BF41CE" w:rsidRDefault="00BF41CE" w:rsidP="001D2EAD">
            <w:pPr>
              <w:rPr>
                <w:sz w:val="18"/>
                <w:szCs w:val="18"/>
              </w:rPr>
            </w:pPr>
            <w:r>
              <w:rPr>
                <w:sz w:val="18"/>
                <w:szCs w:val="18"/>
              </w:rPr>
              <w:t xml:space="preserve">UNEP Inventory Toolkit Reference Report </w:t>
            </w:r>
          </w:p>
          <w:p w14:paraId="3934CBB3" w14:textId="77777777" w:rsidR="00BF41CE" w:rsidRPr="00163323" w:rsidRDefault="00BF41CE" w:rsidP="001D2EAD">
            <w:pPr>
              <w:keepNext/>
              <w:keepLines/>
              <w:rPr>
                <w:sz w:val="18"/>
              </w:rPr>
            </w:pPr>
          </w:p>
        </w:tc>
      </w:tr>
      <w:bookmarkEnd w:id="5"/>
      <w:tr w:rsidR="00BF41CE" w:rsidRPr="00D5142C" w14:paraId="4E8F163D"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34698138" w14:textId="77777777" w:rsidR="00BF41CE" w:rsidRPr="00D5142C" w:rsidRDefault="00BF41CE" w:rsidP="001D2EAD">
            <w:pPr>
              <w:keepNext/>
              <w:keepLines/>
              <w:rPr>
                <w:sz w:val="18"/>
                <w:szCs w:val="18"/>
              </w:rPr>
            </w:pPr>
            <w:r w:rsidRPr="00D5142C">
              <w:rPr>
                <w:sz w:val="18"/>
                <w:szCs w:val="18"/>
              </w:rPr>
              <w:t xml:space="preserve">Source category: Other intentional product/process use </w:t>
            </w:r>
          </w:p>
        </w:tc>
      </w:tr>
      <w:tr w:rsidR="0057726A" w:rsidRPr="00D5142C" w14:paraId="2E655EC9"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6254F448" w14:textId="77777777" w:rsidR="00BF41CE" w:rsidRPr="00D5142C" w:rsidRDefault="00BF41CE" w:rsidP="001D2EAD">
            <w:pPr>
              <w:rPr>
                <w:sz w:val="18"/>
                <w:szCs w:val="18"/>
              </w:rPr>
            </w:pPr>
            <w:r w:rsidRPr="00D5142C">
              <w:rPr>
                <w:sz w:val="18"/>
                <w:szCs w:val="18"/>
              </w:rPr>
              <w:t>5.6.1</w:t>
            </w:r>
          </w:p>
        </w:tc>
        <w:tc>
          <w:tcPr>
            <w:tcW w:w="1985" w:type="dxa"/>
            <w:tcBorders>
              <w:top w:val="single" w:sz="4" w:space="0" w:color="auto"/>
              <w:left w:val="single" w:sz="4" w:space="0" w:color="auto"/>
              <w:bottom w:val="single" w:sz="4" w:space="0" w:color="auto"/>
              <w:right w:val="single" w:sz="4" w:space="0" w:color="auto"/>
            </w:tcBorders>
            <w:hideMark/>
          </w:tcPr>
          <w:p w14:paraId="702C4AFD" w14:textId="77777777" w:rsidR="00BF41CE" w:rsidRPr="00D5142C" w:rsidRDefault="00BF41CE" w:rsidP="001D2EAD">
            <w:pPr>
              <w:rPr>
                <w:sz w:val="18"/>
                <w:szCs w:val="18"/>
              </w:rPr>
            </w:pPr>
            <w:r w:rsidRPr="00D5142C">
              <w:rPr>
                <w:sz w:val="18"/>
                <w:szCs w:val="18"/>
              </w:rPr>
              <w:t xml:space="preserve">Dental clinics </w:t>
            </w:r>
          </w:p>
        </w:tc>
        <w:tc>
          <w:tcPr>
            <w:tcW w:w="2409" w:type="dxa"/>
            <w:tcBorders>
              <w:top w:val="single" w:sz="4" w:space="0" w:color="auto"/>
              <w:left w:val="single" w:sz="4" w:space="0" w:color="auto"/>
              <w:bottom w:val="single" w:sz="4" w:space="0" w:color="auto"/>
              <w:right w:val="single" w:sz="4" w:space="0" w:color="auto"/>
            </w:tcBorders>
            <w:hideMark/>
          </w:tcPr>
          <w:p w14:paraId="6E45CE22" w14:textId="77777777" w:rsidR="00BF41CE" w:rsidRPr="00D5142C" w:rsidRDefault="00BF41CE" w:rsidP="001D2EAD">
            <w:pPr>
              <w:rPr>
                <w:sz w:val="18"/>
                <w:szCs w:val="18"/>
              </w:rPr>
            </w:pPr>
            <w:r w:rsidRPr="00D5142C">
              <w:rPr>
                <w:sz w:val="18"/>
                <w:szCs w:val="18"/>
              </w:rPr>
              <w:t xml:space="preserve">Releases to water, such as from new fillings or from the drilling of old fillings in dental clinics. </w:t>
            </w:r>
            <w:r>
              <w:rPr>
                <w:sz w:val="18"/>
                <w:szCs w:val="18"/>
              </w:rPr>
              <w:t xml:space="preserve">Note that </w:t>
            </w:r>
            <w:r w:rsidRPr="00D5142C">
              <w:rPr>
                <w:sz w:val="18"/>
                <w:szCs w:val="18"/>
              </w:rPr>
              <w:t xml:space="preserve">Parties may, but are not required to, address such releases under </w:t>
            </w:r>
            <w:r>
              <w:rPr>
                <w:sz w:val="18"/>
                <w:szCs w:val="18"/>
              </w:rPr>
              <w:t>A</w:t>
            </w:r>
            <w:r w:rsidRPr="00D5142C">
              <w:rPr>
                <w:sz w:val="18"/>
                <w:szCs w:val="18"/>
              </w:rPr>
              <w:t>rticle 4.</w:t>
            </w:r>
          </w:p>
        </w:tc>
        <w:tc>
          <w:tcPr>
            <w:tcW w:w="3209" w:type="dxa"/>
            <w:tcBorders>
              <w:top w:val="single" w:sz="4" w:space="0" w:color="auto"/>
              <w:left w:val="single" w:sz="4" w:space="0" w:color="auto"/>
              <w:bottom w:val="single" w:sz="4" w:space="0" w:color="auto"/>
              <w:right w:val="single" w:sz="4" w:space="0" w:color="auto"/>
            </w:tcBorders>
            <w:hideMark/>
          </w:tcPr>
          <w:p w14:paraId="0701E2DE" w14:textId="77777777" w:rsidR="00BF41CE" w:rsidRDefault="00BF41CE" w:rsidP="001D2EAD">
            <w:pPr>
              <w:rPr>
                <w:sz w:val="18"/>
                <w:szCs w:val="18"/>
              </w:rPr>
            </w:pPr>
            <w:r>
              <w:rPr>
                <w:sz w:val="18"/>
                <w:szCs w:val="18"/>
              </w:rPr>
              <w:t>Global Mercury Assessment 2018</w:t>
            </w:r>
          </w:p>
          <w:p w14:paraId="6E692381" w14:textId="77777777" w:rsidR="00BF41CE" w:rsidRDefault="00BF41CE" w:rsidP="001D2EAD">
            <w:pPr>
              <w:rPr>
                <w:sz w:val="18"/>
                <w:szCs w:val="18"/>
              </w:rPr>
            </w:pPr>
            <w:r>
              <w:rPr>
                <w:sz w:val="18"/>
                <w:szCs w:val="18"/>
              </w:rPr>
              <w:t xml:space="preserve">UNEP Inventory Toolkit Reference Report </w:t>
            </w:r>
          </w:p>
          <w:p w14:paraId="5284094B" w14:textId="77777777" w:rsidR="00BF41CE" w:rsidRPr="00D5142C" w:rsidRDefault="00BF41CE" w:rsidP="001D2EAD">
            <w:pPr>
              <w:keepNext/>
              <w:keepLines/>
              <w:rPr>
                <w:sz w:val="18"/>
                <w:szCs w:val="18"/>
              </w:rPr>
            </w:pPr>
            <w:r w:rsidRPr="003D3986">
              <w:rPr>
                <w:sz w:val="18"/>
                <w:szCs w:val="18"/>
              </w:rPr>
              <w:t>https://www.epa.gov/eg/dental-effluent-guidelines</w:t>
            </w:r>
          </w:p>
        </w:tc>
      </w:tr>
      <w:tr w:rsidR="0057726A" w:rsidRPr="00ED556E" w14:paraId="1F9A3E4E"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01F20503" w14:textId="77777777" w:rsidR="00BF41CE" w:rsidRPr="00D5142C" w:rsidRDefault="00BF41CE" w:rsidP="001D2EAD">
            <w:pPr>
              <w:rPr>
                <w:sz w:val="18"/>
                <w:szCs w:val="18"/>
              </w:rPr>
            </w:pPr>
            <w:r w:rsidRPr="00D5142C">
              <w:rPr>
                <w:sz w:val="18"/>
                <w:szCs w:val="18"/>
              </w:rPr>
              <w:t>5.6.3</w:t>
            </w:r>
          </w:p>
        </w:tc>
        <w:tc>
          <w:tcPr>
            <w:tcW w:w="1985" w:type="dxa"/>
            <w:tcBorders>
              <w:top w:val="single" w:sz="4" w:space="0" w:color="auto"/>
              <w:left w:val="single" w:sz="4" w:space="0" w:color="auto"/>
              <w:bottom w:val="single" w:sz="4" w:space="0" w:color="auto"/>
              <w:right w:val="single" w:sz="4" w:space="0" w:color="auto"/>
            </w:tcBorders>
            <w:hideMark/>
          </w:tcPr>
          <w:p w14:paraId="3CB6FC36" w14:textId="77777777" w:rsidR="00BF41CE" w:rsidRPr="00D5142C" w:rsidRDefault="00BF41CE" w:rsidP="001D2EAD">
            <w:pPr>
              <w:rPr>
                <w:sz w:val="18"/>
                <w:szCs w:val="18"/>
              </w:rPr>
            </w:pPr>
            <w:r w:rsidRPr="00D5142C">
              <w:rPr>
                <w:sz w:val="18"/>
                <w:szCs w:val="18"/>
              </w:rPr>
              <w:t xml:space="preserve">Laboratory </w:t>
            </w:r>
          </w:p>
        </w:tc>
        <w:tc>
          <w:tcPr>
            <w:tcW w:w="2409" w:type="dxa"/>
            <w:tcBorders>
              <w:top w:val="single" w:sz="4" w:space="0" w:color="auto"/>
              <w:left w:val="single" w:sz="4" w:space="0" w:color="auto"/>
              <w:bottom w:val="single" w:sz="4" w:space="0" w:color="auto"/>
              <w:right w:val="single" w:sz="4" w:space="0" w:color="auto"/>
            </w:tcBorders>
            <w:hideMark/>
          </w:tcPr>
          <w:p w14:paraId="52F67F55" w14:textId="5777207A" w:rsidR="00BF41CE" w:rsidRPr="00D5142C" w:rsidRDefault="00BF41CE" w:rsidP="001D2EAD">
            <w:pPr>
              <w:rPr>
                <w:sz w:val="18"/>
                <w:szCs w:val="18"/>
              </w:rPr>
            </w:pPr>
            <w:r w:rsidRPr="00D12583">
              <w:rPr>
                <w:sz w:val="18"/>
                <w:szCs w:val="18"/>
                <w:lang w:val="en-US"/>
              </w:rPr>
              <w:t xml:space="preserve">Reagents containing mercury and mercury compounds </w:t>
            </w:r>
            <w:r w:rsidR="00D76105">
              <w:rPr>
                <w:sz w:val="18"/>
                <w:szCs w:val="18"/>
                <w:lang w:val="en-US"/>
              </w:rPr>
              <w:t xml:space="preserve">discharged in </w:t>
            </w:r>
            <w:proofErr w:type="gramStart"/>
            <w:r w:rsidR="00D76105">
              <w:rPr>
                <w:sz w:val="18"/>
                <w:szCs w:val="18"/>
                <w:lang w:val="en-US"/>
              </w:rPr>
              <w:t xml:space="preserve">wastewaters </w:t>
            </w:r>
            <w:r w:rsidRPr="00D12583">
              <w:rPr>
                <w:sz w:val="18"/>
                <w:szCs w:val="18"/>
                <w:lang w:val="en-US"/>
              </w:rPr>
              <w:t>.</w:t>
            </w:r>
            <w:proofErr w:type="gramEnd"/>
          </w:p>
        </w:tc>
        <w:tc>
          <w:tcPr>
            <w:tcW w:w="3209" w:type="dxa"/>
            <w:tcBorders>
              <w:top w:val="single" w:sz="4" w:space="0" w:color="auto"/>
              <w:left w:val="single" w:sz="4" w:space="0" w:color="auto"/>
              <w:bottom w:val="single" w:sz="4" w:space="0" w:color="auto"/>
              <w:right w:val="single" w:sz="4" w:space="0" w:color="auto"/>
            </w:tcBorders>
            <w:hideMark/>
          </w:tcPr>
          <w:p w14:paraId="557FB6F2" w14:textId="77777777" w:rsidR="00BF41CE" w:rsidRPr="00D12583" w:rsidRDefault="00BF41CE" w:rsidP="001D2EAD">
            <w:pPr>
              <w:rPr>
                <w:sz w:val="18"/>
                <w:szCs w:val="18"/>
                <w:lang w:val="en-US"/>
              </w:rPr>
            </w:pPr>
          </w:p>
        </w:tc>
      </w:tr>
      <w:tr w:rsidR="00BF41CE" w:rsidRPr="00D5142C" w14:paraId="036404B2"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7B54E862" w14:textId="77777777" w:rsidR="00BF41CE" w:rsidRPr="00D5142C" w:rsidRDefault="00BF41CE" w:rsidP="001D2EAD">
            <w:pPr>
              <w:rPr>
                <w:sz w:val="18"/>
                <w:szCs w:val="18"/>
              </w:rPr>
            </w:pPr>
            <w:r w:rsidRPr="00D5142C">
              <w:rPr>
                <w:sz w:val="18"/>
                <w:szCs w:val="18"/>
              </w:rPr>
              <w:t>Source category: Production of recycled metals (secondary metal production)</w:t>
            </w:r>
          </w:p>
        </w:tc>
      </w:tr>
      <w:tr w:rsidR="0057726A" w:rsidRPr="00D5142C" w14:paraId="523D71FE"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2F14D557" w14:textId="77777777" w:rsidR="00BF41CE" w:rsidRPr="00D5142C" w:rsidRDefault="00BF41CE" w:rsidP="001D2EAD">
            <w:pPr>
              <w:rPr>
                <w:sz w:val="18"/>
                <w:szCs w:val="18"/>
              </w:rPr>
            </w:pPr>
            <w:r w:rsidRPr="00D5142C">
              <w:rPr>
                <w:sz w:val="18"/>
                <w:szCs w:val="18"/>
              </w:rPr>
              <w:t>5.7.1</w:t>
            </w:r>
          </w:p>
        </w:tc>
        <w:tc>
          <w:tcPr>
            <w:tcW w:w="1985" w:type="dxa"/>
            <w:tcBorders>
              <w:top w:val="single" w:sz="4" w:space="0" w:color="auto"/>
              <w:left w:val="single" w:sz="4" w:space="0" w:color="auto"/>
              <w:bottom w:val="single" w:sz="4" w:space="0" w:color="auto"/>
              <w:right w:val="single" w:sz="4" w:space="0" w:color="auto"/>
            </w:tcBorders>
            <w:hideMark/>
          </w:tcPr>
          <w:p w14:paraId="4D4938AE" w14:textId="75F3F3A7" w:rsidR="00BF41CE" w:rsidRPr="00D5142C" w:rsidRDefault="00BF41CE" w:rsidP="001D2EAD">
            <w:pPr>
              <w:rPr>
                <w:sz w:val="18"/>
                <w:szCs w:val="18"/>
              </w:rPr>
            </w:pPr>
            <w:r w:rsidRPr="00D5142C">
              <w:rPr>
                <w:sz w:val="18"/>
                <w:szCs w:val="18"/>
              </w:rPr>
              <w:t>Production of recycled mercury (secondary production)</w:t>
            </w:r>
          </w:p>
        </w:tc>
        <w:tc>
          <w:tcPr>
            <w:tcW w:w="2409" w:type="dxa"/>
            <w:tcBorders>
              <w:top w:val="single" w:sz="4" w:space="0" w:color="auto"/>
              <w:left w:val="single" w:sz="4" w:space="0" w:color="auto"/>
              <w:bottom w:val="single" w:sz="4" w:space="0" w:color="auto"/>
              <w:right w:val="single" w:sz="4" w:space="0" w:color="auto"/>
            </w:tcBorders>
            <w:hideMark/>
          </w:tcPr>
          <w:p w14:paraId="0D104F65" w14:textId="50825A82" w:rsidR="00BF41CE" w:rsidRPr="00D5142C" w:rsidRDefault="002A195F" w:rsidP="001D2EAD">
            <w:pPr>
              <w:rPr>
                <w:sz w:val="18"/>
                <w:szCs w:val="18"/>
              </w:rPr>
            </w:pPr>
            <w:r>
              <w:rPr>
                <w:sz w:val="18"/>
                <w:szCs w:val="18"/>
              </w:rPr>
              <w:t>Wastewaters and non-wastewater releases not addressed under another article of the Convention</w:t>
            </w:r>
            <w:r w:rsidR="007E1D39">
              <w:rPr>
                <w:sz w:val="18"/>
                <w:szCs w:val="18"/>
              </w:rPr>
              <w:t xml:space="preserve"> from </w:t>
            </w:r>
            <w:r w:rsidR="00326E3B">
              <w:rPr>
                <w:sz w:val="18"/>
                <w:szCs w:val="18"/>
              </w:rPr>
              <w:t>air pollution control systems</w:t>
            </w:r>
            <w:r w:rsidR="00BF41CE" w:rsidRPr="00D5142C">
              <w:rPr>
                <w:sz w:val="18"/>
                <w:szCs w:val="18"/>
              </w:rPr>
              <w:t>.</w:t>
            </w:r>
          </w:p>
        </w:tc>
        <w:tc>
          <w:tcPr>
            <w:tcW w:w="3209" w:type="dxa"/>
            <w:tcBorders>
              <w:top w:val="single" w:sz="4" w:space="0" w:color="auto"/>
              <w:left w:val="single" w:sz="4" w:space="0" w:color="auto"/>
              <w:bottom w:val="single" w:sz="4" w:space="0" w:color="auto"/>
              <w:right w:val="single" w:sz="4" w:space="0" w:color="auto"/>
            </w:tcBorders>
            <w:hideMark/>
          </w:tcPr>
          <w:p w14:paraId="28A7473C" w14:textId="77777777" w:rsidR="00BF41CE" w:rsidRDefault="00BF41CE" w:rsidP="001D2EAD">
            <w:pPr>
              <w:rPr>
                <w:sz w:val="18"/>
                <w:szCs w:val="18"/>
              </w:rPr>
            </w:pPr>
            <w:r>
              <w:rPr>
                <w:sz w:val="18"/>
                <w:szCs w:val="18"/>
              </w:rPr>
              <w:t xml:space="preserve">UNEP Inventory Toolkit Reference Report </w:t>
            </w:r>
          </w:p>
          <w:p w14:paraId="45C2838C" w14:textId="11A0D155" w:rsidR="007E1D39" w:rsidRPr="00D5142C" w:rsidRDefault="00736ADD" w:rsidP="007E1D39">
            <w:pPr>
              <w:rPr>
                <w:sz w:val="18"/>
                <w:szCs w:val="18"/>
              </w:rPr>
            </w:pPr>
            <w:hyperlink r:id="rId20" w:history="1">
              <w:r w:rsidR="007E1D39" w:rsidRPr="007E1D39">
                <w:rPr>
                  <w:rStyle w:val="Hyperlink"/>
                  <w:sz w:val="18"/>
                  <w:szCs w:val="18"/>
                  <w:lang w:val="en-GB"/>
                </w:rPr>
                <w:t>Mercury-impacted scrap metal: Source and nature of the mercury</w:t>
              </w:r>
            </w:hyperlink>
            <w:r w:rsidR="007E1D39">
              <w:rPr>
                <w:sz w:val="18"/>
                <w:szCs w:val="18"/>
              </w:rPr>
              <w:t xml:space="preserve"> </w:t>
            </w:r>
          </w:p>
        </w:tc>
      </w:tr>
      <w:tr w:rsidR="0057726A" w:rsidRPr="00D5142C" w14:paraId="162209B4"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1A4AF8D7" w14:textId="77777777" w:rsidR="00BF41CE" w:rsidRPr="00D5142C" w:rsidRDefault="00BF41CE" w:rsidP="001D2EAD">
            <w:pPr>
              <w:rPr>
                <w:sz w:val="18"/>
                <w:szCs w:val="18"/>
              </w:rPr>
            </w:pPr>
            <w:r w:rsidRPr="00D5142C">
              <w:rPr>
                <w:sz w:val="18"/>
                <w:szCs w:val="18"/>
              </w:rPr>
              <w:t>5.7.2</w:t>
            </w:r>
          </w:p>
        </w:tc>
        <w:tc>
          <w:tcPr>
            <w:tcW w:w="1985" w:type="dxa"/>
            <w:tcBorders>
              <w:top w:val="single" w:sz="4" w:space="0" w:color="auto"/>
              <w:left w:val="single" w:sz="4" w:space="0" w:color="auto"/>
              <w:bottom w:val="single" w:sz="4" w:space="0" w:color="auto"/>
              <w:right w:val="single" w:sz="4" w:space="0" w:color="auto"/>
            </w:tcBorders>
            <w:hideMark/>
          </w:tcPr>
          <w:p w14:paraId="4939023B" w14:textId="4BDA2555" w:rsidR="00BF41CE" w:rsidRPr="00D5142C" w:rsidRDefault="00BF41CE" w:rsidP="001D2EAD">
            <w:pPr>
              <w:rPr>
                <w:sz w:val="18"/>
                <w:szCs w:val="18"/>
              </w:rPr>
            </w:pPr>
            <w:r w:rsidRPr="00D5142C">
              <w:rPr>
                <w:sz w:val="18"/>
                <w:szCs w:val="18"/>
              </w:rPr>
              <w:t>Production of recycled ferrous metals (iron and steel). (This includes the recycling of scrap vehicles.)</w:t>
            </w:r>
          </w:p>
        </w:tc>
        <w:tc>
          <w:tcPr>
            <w:tcW w:w="2409" w:type="dxa"/>
            <w:tcBorders>
              <w:top w:val="single" w:sz="4" w:space="0" w:color="auto"/>
              <w:left w:val="single" w:sz="4" w:space="0" w:color="auto"/>
              <w:bottom w:val="single" w:sz="4" w:space="0" w:color="auto"/>
              <w:right w:val="single" w:sz="4" w:space="0" w:color="auto"/>
            </w:tcBorders>
            <w:hideMark/>
          </w:tcPr>
          <w:p w14:paraId="2B177F21" w14:textId="5C05DF89" w:rsidR="00BF41CE" w:rsidRPr="00D5142C" w:rsidRDefault="002A195F" w:rsidP="001D2EAD">
            <w:pPr>
              <w:rPr>
                <w:sz w:val="18"/>
                <w:szCs w:val="18"/>
              </w:rPr>
            </w:pPr>
            <w:r>
              <w:rPr>
                <w:sz w:val="18"/>
                <w:szCs w:val="18"/>
              </w:rPr>
              <w:t>Wastewaters and non-wastewater releases not addressed under another article of the Convention</w:t>
            </w:r>
            <w:r w:rsidR="00326E3B">
              <w:rPr>
                <w:sz w:val="18"/>
                <w:szCs w:val="18"/>
              </w:rPr>
              <w:t xml:space="preserve"> from air pollution control systems</w:t>
            </w:r>
            <w:r w:rsidR="00326E3B" w:rsidRPr="00D5142C">
              <w:rPr>
                <w:sz w:val="18"/>
                <w:szCs w:val="18"/>
              </w:rPr>
              <w:t>.</w:t>
            </w:r>
          </w:p>
        </w:tc>
        <w:tc>
          <w:tcPr>
            <w:tcW w:w="3209" w:type="dxa"/>
            <w:tcBorders>
              <w:top w:val="single" w:sz="4" w:space="0" w:color="auto"/>
              <w:left w:val="single" w:sz="4" w:space="0" w:color="auto"/>
              <w:bottom w:val="single" w:sz="4" w:space="0" w:color="auto"/>
              <w:right w:val="single" w:sz="4" w:space="0" w:color="auto"/>
            </w:tcBorders>
          </w:tcPr>
          <w:p w14:paraId="21997B73" w14:textId="77777777" w:rsidR="007E1D39" w:rsidRDefault="00BF41CE" w:rsidP="001D2EAD">
            <w:pPr>
              <w:rPr>
                <w:sz w:val="18"/>
                <w:szCs w:val="18"/>
              </w:rPr>
            </w:pPr>
            <w:r>
              <w:rPr>
                <w:sz w:val="18"/>
                <w:szCs w:val="18"/>
              </w:rPr>
              <w:t>UNEP Inventory Toolkit Reference Report</w:t>
            </w:r>
          </w:p>
          <w:p w14:paraId="3F74EBD5" w14:textId="7F7BFD80" w:rsidR="00BF41CE" w:rsidRDefault="00736ADD" w:rsidP="001D2EAD">
            <w:pPr>
              <w:rPr>
                <w:sz w:val="18"/>
                <w:szCs w:val="18"/>
              </w:rPr>
            </w:pPr>
            <w:hyperlink r:id="rId21" w:history="1">
              <w:r w:rsidR="007E1D39" w:rsidRPr="007E1D39">
                <w:rPr>
                  <w:rStyle w:val="Hyperlink"/>
                  <w:sz w:val="18"/>
                  <w:szCs w:val="18"/>
                  <w:lang w:val="en-GB"/>
                </w:rPr>
                <w:t>Mercury-impacted scrap metal: Source and nature of the mercury</w:t>
              </w:r>
            </w:hyperlink>
            <w:r w:rsidR="00BF41CE">
              <w:rPr>
                <w:sz w:val="18"/>
                <w:szCs w:val="18"/>
              </w:rPr>
              <w:t xml:space="preserve"> </w:t>
            </w:r>
          </w:p>
          <w:p w14:paraId="038811DD" w14:textId="685D6E59" w:rsidR="00BF41CE" w:rsidRPr="00D5142C" w:rsidRDefault="00BF41CE" w:rsidP="001D2EAD">
            <w:pPr>
              <w:rPr>
                <w:sz w:val="18"/>
                <w:szCs w:val="18"/>
              </w:rPr>
            </w:pPr>
            <w:r w:rsidRPr="00B42454">
              <w:rPr>
                <w:sz w:val="18"/>
                <w:szCs w:val="18"/>
              </w:rPr>
              <w:t>State of New Jersey impose</w:t>
            </w:r>
            <w:r w:rsidR="007E1D39">
              <w:rPr>
                <w:sz w:val="18"/>
                <w:szCs w:val="18"/>
              </w:rPr>
              <w:t>s</w:t>
            </w:r>
            <w:r w:rsidRPr="00B42454">
              <w:rPr>
                <w:sz w:val="18"/>
                <w:szCs w:val="18"/>
              </w:rPr>
              <w:t xml:space="preserve"> air pollution control requirements on </w:t>
            </w:r>
            <w:r w:rsidR="007E1D39">
              <w:rPr>
                <w:sz w:val="18"/>
                <w:szCs w:val="18"/>
              </w:rPr>
              <w:t xml:space="preserve">electric arc furnace </w:t>
            </w:r>
            <w:r w:rsidRPr="00B42454">
              <w:rPr>
                <w:sz w:val="18"/>
                <w:szCs w:val="18"/>
              </w:rPr>
              <w:t>facilities</w:t>
            </w:r>
            <w:r w:rsidR="007E1D39">
              <w:rPr>
                <w:sz w:val="18"/>
                <w:szCs w:val="18"/>
              </w:rPr>
              <w:t>.</w:t>
            </w:r>
          </w:p>
        </w:tc>
      </w:tr>
      <w:tr w:rsidR="000271D4" w:rsidRPr="00D5142C" w14:paraId="6F631152" w14:textId="77777777" w:rsidTr="00326E3B">
        <w:trPr>
          <w:trHeight w:val="57"/>
          <w:jc w:val="right"/>
        </w:trPr>
        <w:tc>
          <w:tcPr>
            <w:tcW w:w="704" w:type="dxa"/>
            <w:tcBorders>
              <w:top w:val="single" w:sz="4" w:space="0" w:color="auto"/>
              <w:left w:val="single" w:sz="4" w:space="0" w:color="auto"/>
              <w:bottom w:val="single" w:sz="4" w:space="0" w:color="auto"/>
              <w:right w:val="single" w:sz="4" w:space="0" w:color="auto"/>
            </w:tcBorders>
          </w:tcPr>
          <w:p w14:paraId="3A88914D" w14:textId="4DF63D6E" w:rsidR="000271D4" w:rsidRPr="00D5142C" w:rsidRDefault="000271D4" w:rsidP="000271D4">
            <w:pPr>
              <w:rPr>
                <w:sz w:val="18"/>
                <w:szCs w:val="18"/>
              </w:rPr>
            </w:pPr>
            <w:r>
              <w:rPr>
                <w:sz w:val="18"/>
                <w:szCs w:val="18"/>
              </w:rPr>
              <w:t>5.7.3</w:t>
            </w:r>
          </w:p>
        </w:tc>
        <w:tc>
          <w:tcPr>
            <w:tcW w:w="1985" w:type="dxa"/>
            <w:tcBorders>
              <w:top w:val="single" w:sz="4" w:space="0" w:color="auto"/>
              <w:left w:val="single" w:sz="4" w:space="0" w:color="auto"/>
              <w:bottom w:val="single" w:sz="4" w:space="0" w:color="auto"/>
              <w:right w:val="single" w:sz="4" w:space="0" w:color="auto"/>
            </w:tcBorders>
          </w:tcPr>
          <w:p w14:paraId="243B1D40" w14:textId="3B5B6812" w:rsidR="000271D4" w:rsidRDefault="000271D4" w:rsidP="000271D4">
            <w:pPr>
              <w:rPr>
                <w:sz w:val="18"/>
                <w:szCs w:val="18"/>
              </w:rPr>
            </w:pPr>
            <w:r w:rsidRPr="00ED0E5E">
              <w:rPr>
                <w:sz w:val="18"/>
                <w:szCs w:val="18"/>
              </w:rPr>
              <w:t>Reuse or recycling of used industrial equipment</w:t>
            </w:r>
          </w:p>
        </w:tc>
        <w:tc>
          <w:tcPr>
            <w:tcW w:w="2409" w:type="dxa"/>
            <w:tcBorders>
              <w:top w:val="single" w:sz="4" w:space="0" w:color="auto"/>
              <w:left w:val="single" w:sz="4" w:space="0" w:color="auto"/>
              <w:bottom w:val="single" w:sz="4" w:space="0" w:color="auto"/>
              <w:right w:val="single" w:sz="4" w:space="0" w:color="auto"/>
            </w:tcBorders>
          </w:tcPr>
          <w:p w14:paraId="0ADDF7C5" w14:textId="6E9F193C" w:rsidR="000271D4" w:rsidRPr="00B7123A" w:rsidRDefault="000271D4" w:rsidP="000271D4">
            <w:pPr>
              <w:rPr>
                <w:sz w:val="18"/>
                <w:szCs w:val="18"/>
              </w:rPr>
            </w:pPr>
            <w:r w:rsidRPr="00ED0E5E">
              <w:rPr>
                <w:rFonts w:eastAsia="Yu Mincho"/>
                <w:sz w:val="18"/>
              </w:rPr>
              <w:t>Releases may take place during the dismantling of factories, oil rigs, etc. where mercury-contaminated equipment (e.g., pipelines, tanks, heat exchangers) is recycled</w:t>
            </w:r>
            <w:r w:rsidR="00326E3B">
              <w:rPr>
                <w:rFonts w:eastAsia="Yu Mincho"/>
                <w:sz w:val="18"/>
              </w:rPr>
              <w:t>.</w:t>
            </w:r>
            <w:r w:rsidRPr="00ED0E5E">
              <w:rPr>
                <w:rFonts w:eastAsia="Yu Mincho"/>
                <w:sz w:val="18"/>
              </w:rPr>
              <w:t xml:space="preserve"> </w:t>
            </w:r>
          </w:p>
        </w:tc>
        <w:tc>
          <w:tcPr>
            <w:tcW w:w="3209" w:type="dxa"/>
            <w:tcBorders>
              <w:top w:val="single" w:sz="4" w:space="0" w:color="auto"/>
              <w:left w:val="single" w:sz="4" w:space="0" w:color="auto"/>
              <w:bottom w:val="single" w:sz="4" w:space="0" w:color="auto"/>
              <w:right w:val="single" w:sz="4" w:space="0" w:color="auto"/>
            </w:tcBorders>
          </w:tcPr>
          <w:p w14:paraId="5FB73D7E" w14:textId="36980663" w:rsidR="00326E3B" w:rsidRPr="00326E3B" w:rsidRDefault="00326E3B" w:rsidP="00326E3B">
            <w:pPr>
              <w:rPr>
                <w:rStyle w:val="Hyperlink"/>
                <w:sz w:val="18"/>
                <w:szCs w:val="18"/>
                <w:lang w:val="en-GB"/>
              </w:rPr>
            </w:pPr>
            <w:r>
              <w:rPr>
                <w:sz w:val="18"/>
                <w:szCs w:val="18"/>
              </w:rPr>
              <w:fldChar w:fldCharType="begin"/>
            </w:r>
            <w:r>
              <w:rPr>
                <w:sz w:val="18"/>
                <w:szCs w:val="18"/>
              </w:rPr>
              <w:instrText xml:space="preserve"> HYPERLINK "https://ec.europa.eu/environment/integration/research/newsalert/pdf/ship_recycling_reducing_human_and_environmental_impacts_55si_en.pdf" </w:instrText>
            </w:r>
            <w:r>
              <w:rPr>
                <w:sz w:val="18"/>
                <w:szCs w:val="18"/>
              </w:rPr>
              <w:fldChar w:fldCharType="separate"/>
            </w:r>
            <w:r w:rsidRPr="00326E3B">
              <w:rPr>
                <w:rStyle w:val="Hyperlink"/>
                <w:sz w:val="18"/>
                <w:szCs w:val="18"/>
                <w:lang w:val="en-GB"/>
              </w:rPr>
              <w:t>Ship recycling: reducing human</w:t>
            </w:r>
          </w:p>
          <w:p w14:paraId="0076FA0A" w14:textId="42AD1227" w:rsidR="000271D4" w:rsidRDefault="00326E3B" w:rsidP="00326E3B">
            <w:pPr>
              <w:rPr>
                <w:sz w:val="18"/>
                <w:szCs w:val="18"/>
              </w:rPr>
            </w:pPr>
            <w:r w:rsidRPr="00326E3B">
              <w:rPr>
                <w:rStyle w:val="Hyperlink"/>
                <w:sz w:val="18"/>
                <w:szCs w:val="18"/>
                <w:lang w:val="en-GB"/>
              </w:rPr>
              <w:t>and environmental impacts</w:t>
            </w:r>
            <w:r>
              <w:rPr>
                <w:sz w:val="18"/>
                <w:szCs w:val="18"/>
              </w:rPr>
              <w:fldChar w:fldCharType="end"/>
            </w:r>
          </w:p>
        </w:tc>
      </w:tr>
      <w:tr w:rsidR="00BF41CE" w:rsidRPr="00D5142C" w14:paraId="1640EF05"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32DAFDA2" w14:textId="703835A0" w:rsidR="00BF41CE" w:rsidRPr="00D5142C" w:rsidRDefault="00BF41CE" w:rsidP="001D2EAD">
            <w:pPr>
              <w:rPr>
                <w:sz w:val="18"/>
                <w:szCs w:val="18"/>
              </w:rPr>
            </w:pPr>
            <w:r w:rsidRPr="00D5142C">
              <w:rPr>
                <w:sz w:val="18"/>
                <w:szCs w:val="18"/>
              </w:rPr>
              <w:t xml:space="preserve">Source category: </w:t>
            </w:r>
            <w:r>
              <w:rPr>
                <w:sz w:val="18"/>
                <w:szCs w:val="18"/>
              </w:rPr>
              <w:t>Waste incineration</w:t>
            </w:r>
          </w:p>
        </w:tc>
      </w:tr>
      <w:tr w:rsidR="00792E86" w:rsidRPr="00D5142C" w14:paraId="1C26938C" w14:textId="77777777" w:rsidTr="00CF148F">
        <w:trPr>
          <w:trHeight w:val="57"/>
          <w:jc w:val="right"/>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14:paraId="541E4B03" w14:textId="77777777" w:rsidR="00BF41CE" w:rsidRPr="00D5142C" w:rsidRDefault="00BF41CE" w:rsidP="001D2EAD">
            <w:pPr>
              <w:keepNext/>
              <w:keepLines/>
              <w:rPr>
                <w:sz w:val="18"/>
                <w:szCs w:val="18"/>
              </w:rPr>
            </w:pPr>
            <w:r w:rsidRPr="00D5142C">
              <w:rPr>
                <w:sz w:val="18"/>
                <w:szCs w:val="18"/>
              </w:rPr>
              <w:t>5.8.1</w:t>
            </w:r>
            <w:r>
              <w:rPr>
                <w:sz w:val="18"/>
                <w:szCs w:val="18"/>
              </w:rPr>
              <w:t xml:space="preserve"> -5.8.4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93094C6" w14:textId="77777777" w:rsidR="00BF41CE" w:rsidRPr="00D5142C" w:rsidRDefault="00BF41CE" w:rsidP="001D2EAD">
            <w:pPr>
              <w:keepNext/>
              <w:keepLines/>
              <w:rPr>
                <w:sz w:val="18"/>
                <w:szCs w:val="18"/>
              </w:rPr>
            </w:pPr>
            <w:r>
              <w:rPr>
                <w:sz w:val="18"/>
                <w:szCs w:val="18"/>
              </w:rPr>
              <w:t>Waste incineration</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47C82BDF" w14:textId="3FEECD02" w:rsidR="00BF41CE" w:rsidRPr="00D5142C" w:rsidRDefault="002A195F" w:rsidP="001D2EAD">
            <w:pPr>
              <w:keepNext/>
              <w:keepLines/>
              <w:rPr>
                <w:sz w:val="18"/>
                <w:szCs w:val="18"/>
              </w:rPr>
            </w:pPr>
            <w:r>
              <w:rPr>
                <w:sz w:val="18"/>
                <w:szCs w:val="18"/>
              </w:rPr>
              <w:t>Wastewaters and non-wastewater releases not addressed under another article of the Convention</w:t>
            </w:r>
            <w:r w:rsidR="00BF41CE">
              <w:rPr>
                <w:sz w:val="18"/>
                <w:szCs w:val="18"/>
              </w:rPr>
              <w:t xml:space="preserve"> from</w:t>
            </w:r>
            <w:r w:rsidR="00BF41CE" w:rsidRPr="00D5142C">
              <w:rPr>
                <w:sz w:val="18"/>
                <w:szCs w:val="18"/>
              </w:rPr>
              <w:t xml:space="preserve"> </w:t>
            </w:r>
            <w:r w:rsidR="00BF41CE">
              <w:rPr>
                <w:sz w:val="18"/>
                <w:szCs w:val="18"/>
              </w:rPr>
              <w:t>air pollution control system</w:t>
            </w:r>
            <w:r w:rsidR="00495AC8">
              <w:rPr>
                <w:sz w:val="18"/>
                <w:szCs w:val="18"/>
              </w:rPr>
              <w:t>s</w:t>
            </w:r>
            <w:r w:rsidR="00BF41CE">
              <w:rPr>
                <w:sz w:val="18"/>
                <w:szCs w:val="18"/>
              </w:rPr>
              <w:t xml:space="preserve"> associated with hazardous waste, medical waste, municipal waste/industrial waste, and sewage sludge incinerators. </w:t>
            </w:r>
          </w:p>
        </w:tc>
        <w:tc>
          <w:tcPr>
            <w:tcW w:w="3209" w:type="dxa"/>
            <w:tcBorders>
              <w:top w:val="single" w:sz="4" w:space="0" w:color="auto"/>
              <w:left w:val="single" w:sz="4" w:space="0" w:color="auto"/>
              <w:bottom w:val="single" w:sz="4" w:space="0" w:color="auto"/>
              <w:right w:val="single" w:sz="4" w:space="0" w:color="auto"/>
            </w:tcBorders>
            <w:shd w:val="clear" w:color="auto" w:fill="auto"/>
          </w:tcPr>
          <w:p w14:paraId="6547EFD6" w14:textId="312E76F7" w:rsidR="00BF41CE" w:rsidRDefault="00BF41CE" w:rsidP="001D2EAD">
            <w:pPr>
              <w:rPr>
                <w:sz w:val="18"/>
                <w:szCs w:val="18"/>
              </w:rPr>
            </w:pPr>
            <w:r>
              <w:rPr>
                <w:sz w:val="18"/>
                <w:szCs w:val="18"/>
              </w:rPr>
              <w:t>UNEP Inventory Toolkit Reference Report</w:t>
            </w:r>
            <w:r w:rsidR="00ED0E5E">
              <w:rPr>
                <w:sz w:val="18"/>
                <w:szCs w:val="18"/>
              </w:rPr>
              <w:t xml:space="preserve">, </w:t>
            </w:r>
            <w:r w:rsidR="00ED0E5E" w:rsidRPr="00ED0E5E">
              <w:rPr>
                <w:sz w:val="18"/>
                <w:szCs w:val="18"/>
              </w:rPr>
              <w:t xml:space="preserve">EU BAT Reference documents and BAT conclusions also refer to specific limits on releases of Hg from waste incineration: https://eur-lex.europa.eu/legal-content/EN/TXT/PDF/?uri=CELEX:32019D2010&amp;from=EN </w:t>
            </w:r>
            <w:r>
              <w:rPr>
                <w:sz w:val="18"/>
                <w:szCs w:val="18"/>
              </w:rPr>
              <w:t xml:space="preserve"> </w:t>
            </w:r>
          </w:p>
          <w:p w14:paraId="13C8DF2E" w14:textId="77777777" w:rsidR="00BF41CE" w:rsidRPr="00D5142C" w:rsidRDefault="00BF41CE" w:rsidP="001D2EAD">
            <w:pPr>
              <w:keepNext/>
              <w:keepLines/>
              <w:rPr>
                <w:sz w:val="18"/>
                <w:szCs w:val="18"/>
              </w:rPr>
            </w:pPr>
          </w:p>
        </w:tc>
      </w:tr>
      <w:tr w:rsidR="00BF41CE" w:rsidRPr="00D5142C" w14:paraId="3978A4B7"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0EF71F4E" w14:textId="77777777" w:rsidR="00BF41CE" w:rsidRPr="00D5142C" w:rsidRDefault="00BF41CE" w:rsidP="001D2EAD">
            <w:pPr>
              <w:rPr>
                <w:sz w:val="18"/>
                <w:szCs w:val="18"/>
              </w:rPr>
            </w:pPr>
            <w:r w:rsidRPr="00D5142C">
              <w:rPr>
                <w:sz w:val="18"/>
                <w:szCs w:val="18"/>
              </w:rPr>
              <w:t>Source category: Waste deposition/landfilling and wastewater treatment</w:t>
            </w:r>
          </w:p>
        </w:tc>
      </w:tr>
      <w:tr w:rsidR="0057726A" w:rsidRPr="00D5142C" w14:paraId="43EF4E3C"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tcPr>
          <w:p w14:paraId="6453CEDB" w14:textId="77777777" w:rsidR="00BF41CE" w:rsidRPr="00D5142C" w:rsidRDefault="00BF41CE" w:rsidP="001D2EAD">
            <w:pPr>
              <w:rPr>
                <w:sz w:val="18"/>
                <w:szCs w:val="18"/>
              </w:rPr>
            </w:pPr>
            <w:r>
              <w:rPr>
                <w:sz w:val="18"/>
                <w:szCs w:val="18"/>
              </w:rPr>
              <w:t xml:space="preserve">5.9.1 </w:t>
            </w:r>
          </w:p>
        </w:tc>
        <w:tc>
          <w:tcPr>
            <w:tcW w:w="1985" w:type="dxa"/>
            <w:tcBorders>
              <w:top w:val="single" w:sz="4" w:space="0" w:color="auto"/>
              <w:left w:val="single" w:sz="4" w:space="0" w:color="auto"/>
              <w:bottom w:val="single" w:sz="4" w:space="0" w:color="auto"/>
              <w:right w:val="single" w:sz="4" w:space="0" w:color="auto"/>
            </w:tcBorders>
          </w:tcPr>
          <w:p w14:paraId="7E33813F" w14:textId="77777777" w:rsidR="00BF41CE" w:rsidRPr="00D5142C" w:rsidRDefault="00BF41CE" w:rsidP="001D2EAD">
            <w:pPr>
              <w:rPr>
                <w:sz w:val="18"/>
                <w:szCs w:val="18"/>
              </w:rPr>
            </w:pPr>
            <w:r w:rsidRPr="00CB2FC2">
              <w:rPr>
                <w:sz w:val="18"/>
                <w:szCs w:val="18"/>
              </w:rPr>
              <w:t>Controlled municipal/general waste landfills</w:t>
            </w:r>
          </w:p>
        </w:tc>
        <w:tc>
          <w:tcPr>
            <w:tcW w:w="2409" w:type="dxa"/>
            <w:tcBorders>
              <w:top w:val="single" w:sz="4" w:space="0" w:color="auto"/>
              <w:left w:val="single" w:sz="4" w:space="0" w:color="auto"/>
              <w:bottom w:val="single" w:sz="4" w:space="0" w:color="auto"/>
              <w:right w:val="single" w:sz="4" w:space="0" w:color="auto"/>
            </w:tcBorders>
          </w:tcPr>
          <w:p w14:paraId="18F237FD" w14:textId="77777777" w:rsidR="00BF41CE" w:rsidRPr="00CB2FC2" w:rsidRDefault="00BF41CE" w:rsidP="001D2EAD">
            <w:pPr>
              <w:rPr>
                <w:sz w:val="18"/>
                <w:szCs w:val="18"/>
              </w:rPr>
            </w:pPr>
            <w:r w:rsidRPr="00CB2FC2">
              <w:rPr>
                <w:sz w:val="18"/>
                <w:szCs w:val="18"/>
              </w:rPr>
              <w:t>Releases to water from landfill leachate.</w:t>
            </w:r>
          </w:p>
        </w:tc>
        <w:tc>
          <w:tcPr>
            <w:tcW w:w="3209" w:type="dxa"/>
            <w:tcBorders>
              <w:top w:val="single" w:sz="4" w:space="0" w:color="auto"/>
              <w:left w:val="single" w:sz="4" w:space="0" w:color="auto"/>
              <w:bottom w:val="single" w:sz="4" w:space="0" w:color="auto"/>
              <w:right w:val="single" w:sz="4" w:space="0" w:color="auto"/>
            </w:tcBorders>
          </w:tcPr>
          <w:p w14:paraId="1F5AA02E" w14:textId="77777777" w:rsidR="00BF41CE" w:rsidRDefault="00BF41CE" w:rsidP="001D2EAD">
            <w:pPr>
              <w:rPr>
                <w:sz w:val="18"/>
                <w:szCs w:val="18"/>
              </w:rPr>
            </w:pPr>
            <w:r>
              <w:rPr>
                <w:sz w:val="18"/>
                <w:szCs w:val="18"/>
              </w:rPr>
              <w:t xml:space="preserve">UNEP Inventory Toolkit Reference Report </w:t>
            </w:r>
          </w:p>
          <w:p w14:paraId="72BFD22F" w14:textId="77777777" w:rsidR="00BF41CE" w:rsidRPr="00D5142C" w:rsidRDefault="00BF41CE" w:rsidP="001D2EAD">
            <w:pPr>
              <w:rPr>
                <w:sz w:val="18"/>
                <w:szCs w:val="18"/>
              </w:rPr>
            </w:pPr>
          </w:p>
        </w:tc>
      </w:tr>
      <w:tr w:rsidR="0057726A" w:rsidRPr="00D5142C" w14:paraId="35C3FA27"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4E9922B2" w14:textId="77777777" w:rsidR="00BF41CE" w:rsidRPr="00D5142C" w:rsidRDefault="00BF41CE" w:rsidP="001D2EAD">
            <w:pPr>
              <w:rPr>
                <w:sz w:val="18"/>
                <w:szCs w:val="18"/>
              </w:rPr>
            </w:pPr>
            <w:r w:rsidRPr="00D5142C">
              <w:rPr>
                <w:sz w:val="18"/>
                <w:szCs w:val="18"/>
              </w:rPr>
              <w:t>5.9.5</w:t>
            </w:r>
          </w:p>
        </w:tc>
        <w:tc>
          <w:tcPr>
            <w:tcW w:w="1985" w:type="dxa"/>
            <w:tcBorders>
              <w:top w:val="single" w:sz="4" w:space="0" w:color="auto"/>
              <w:left w:val="single" w:sz="4" w:space="0" w:color="auto"/>
              <w:bottom w:val="single" w:sz="4" w:space="0" w:color="auto"/>
              <w:right w:val="single" w:sz="4" w:space="0" w:color="auto"/>
            </w:tcBorders>
            <w:hideMark/>
          </w:tcPr>
          <w:p w14:paraId="63D4EAC4" w14:textId="473B9407" w:rsidR="00BF41CE" w:rsidRPr="00D5142C" w:rsidRDefault="00BF41CE" w:rsidP="001D2EAD">
            <w:pPr>
              <w:rPr>
                <w:sz w:val="18"/>
                <w:szCs w:val="18"/>
              </w:rPr>
            </w:pPr>
            <w:r w:rsidRPr="00D5142C">
              <w:rPr>
                <w:sz w:val="18"/>
                <w:szCs w:val="18"/>
              </w:rPr>
              <w:t>Wastewater system</w:t>
            </w:r>
            <w:r w:rsidR="00495AC8">
              <w:rPr>
                <w:sz w:val="18"/>
                <w:szCs w:val="18"/>
              </w:rPr>
              <w:t>s</w:t>
            </w:r>
            <w:r w:rsidRPr="00D5142C">
              <w:rPr>
                <w:sz w:val="18"/>
                <w:szCs w:val="18"/>
              </w:rPr>
              <w:t>/treatment</w:t>
            </w:r>
          </w:p>
        </w:tc>
        <w:tc>
          <w:tcPr>
            <w:tcW w:w="2409" w:type="dxa"/>
            <w:tcBorders>
              <w:top w:val="single" w:sz="4" w:space="0" w:color="auto"/>
              <w:left w:val="single" w:sz="4" w:space="0" w:color="auto"/>
              <w:bottom w:val="single" w:sz="4" w:space="0" w:color="auto"/>
              <w:right w:val="single" w:sz="4" w:space="0" w:color="auto"/>
            </w:tcBorders>
            <w:hideMark/>
          </w:tcPr>
          <w:p w14:paraId="7A3F54D0" w14:textId="7A24D59E" w:rsidR="00BF41CE" w:rsidRPr="00D5142C" w:rsidRDefault="00326E3B" w:rsidP="001D2EAD">
            <w:pPr>
              <w:rPr>
                <w:sz w:val="18"/>
                <w:szCs w:val="18"/>
              </w:rPr>
            </w:pPr>
            <w:r>
              <w:rPr>
                <w:sz w:val="18"/>
                <w:szCs w:val="18"/>
              </w:rPr>
              <w:t>Releases/</w:t>
            </w:r>
            <w:r w:rsidR="00495AC8">
              <w:rPr>
                <w:sz w:val="18"/>
                <w:szCs w:val="18"/>
              </w:rPr>
              <w:t>Treated w</w:t>
            </w:r>
            <w:r>
              <w:rPr>
                <w:sz w:val="18"/>
                <w:szCs w:val="18"/>
              </w:rPr>
              <w:t xml:space="preserve">astewater from </w:t>
            </w:r>
            <w:r w:rsidR="00495AC8">
              <w:rPr>
                <w:sz w:val="18"/>
                <w:szCs w:val="18"/>
              </w:rPr>
              <w:t>industrial and municipal waste</w:t>
            </w:r>
            <w:r>
              <w:rPr>
                <w:sz w:val="18"/>
                <w:szCs w:val="18"/>
              </w:rPr>
              <w:t>water treatment process</w:t>
            </w:r>
            <w:r w:rsidR="00495AC8">
              <w:rPr>
                <w:sz w:val="18"/>
                <w:szCs w:val="18"/>
              </w:rPr>
              <w:t>es</w:t>
            </w:r>
            <w:r w:rsidR="00BF41CE" w:rsidRPr="00B42454">
              <w:rPr>
                <w:sz w:val="18"/>
                <w:szCs w:val="18"/>
              </w:rPr>
              <w:t>.</w:t>
            </w:r>
            <w:r w:rsidR="00BF41CE" w:rsidRPr="00CB2FC2">
              <w:rPr>
                <w:sz w:val="18"/>
                <w:szCs w:val="18"/>
              </w:rPr>
              <w:t xml:space="preserve"> </w:t>
            </w:r>
            <w:r w:rsidR="0033455B">
              <w:rPr>
                <w:sz w:val="18"/>
                <w:szCs w:val="18"/>
              </w:rPr>
              <w:t xml:space="preserve">When </w:t>
            </w:r>
            <w:r w:rsidR="00495AC8">
              <w:rPr>
                <w:sz w:val="18"/>
                <w:szCs w:val="18"/>
              </w:rPr>
              <w:t xml:space="preserve">residues/sludges are </w:t>
            </w:r>
            <w:r w:rsidR="00BF41CE" w:rsidRPr="00CB2FC2">
              <w:rPr>
                <w:sz w:val="18"/>
                <w:szCs w:val="18"/>
              </w:rPr>
              <w:t>incinerated</w:t>
            </w:r>
            <w:r w:rsidR="0033455B">
              <w:rPr>
                <w:sz w:val="18"/>
                <w:szCs w:val="18"/>
              </w:rPr>
              <w:t>, release</w:t>
            </w:r>
            <w:r w:rsidR="00495AC8">
              <w:rPr>
                <w:sz w:val="18"/>
                <w:szCs w:val="18"/>
              </w:rPr>
              <w:t>s</w:t>
            </w:r>
            <w:r>
              <w:rPr>
                <w:sz w:val="18"/>
                <w:szCs w:val="18"/>
              </w:rPr>
              <w:t>/wastewater</w:t>
            </w:r>
            <w:r w:rsidR="00BF41CE" w:rsidRPr="00CB2FC2">
              <w:rPr>
                <w:sz w:val="18"/>
                <w:szCs w:val="18"/>
              </w:rPr>
              <w:t xml:space="preserve"> </w:t>
            </w:r>
            <w:r w:rsidR="0033455B">
              <w:rPr>
                <w:sz w:val="18"/>
                <w:szCs w:val="18"/>
              </w:rPr>
              <w:t>from</w:t>
            </w:r>
            <w:r w:rsidR="0033455B" w:rsidRPr="00D5142C">
              <w:rPr>
                <w:sz w:val="18"/>
                <w:szCs w:val="18"/>
              </w:rPr>
              <w:t xml:space="preserve"> </w:t>
            </w:r>
            <w:r w:rsidR="0033455B">
              <w:rPr>
                <w:sz w:val="18"/>
                <w:szCs w:val="18"/>
              </w:rPr>
              <w:t>air pollution control system</w:t>
            </w:r>
            <w:r w:rsidR="00495AC8">
              <w:rPr>
                <w:sz w:val="18"/>
                <w:szCs w:val="18"/>
              </w:rPr>
              <w:t>s</w:t>
            </w:r>
            <w:r w:rsidR="00BF41CE" w:rsidRPr="00CB2FC2">
              <w:rPr>
                <w:sz w:val="18"/>
                <w:szCs w:val="18"/>
              </w:rPr>
              <w:t>.</w:t>
            </w:r>
          </w:p>
        </w:tc>
        <w:tc>
          <w:tcPr>
            <w:tcW w:w="3209" w:type="dxa"/>
            <w:tcBorders>
              <w:top w:val="single" w:sz="4" w:space="0" w:color="auto"/>
              <w:left w:val="single" w:sz="4" w:space="0" w:color="auto"/>
              <w:bottom w:val="single" w:sz="4" w:space="0" w:color="auto"/>
              <w:right w:val="single" w:sz="4" w:space="0" w:color="auto"/>
            </w:tcBorders>
            <w:hideMark/>
          </w:tcPr>
          <w:p w14:paraId="6AA5BA2D" w14:textId="77777777" w:rsidR="00BF41CE" w:rsidRDefault="00BF41CE" w:rsidP="001D2EAD">
            <w:pPr>
              <w:rPr>
                <w:sz w:val="18"/>
                <w:szCs w:val="18"/>
              </w:rPr>
            </w:pPr>
            <w:r>
              <w:rPr>
                <w:sz w:val="18"/>
                <w:szCs w:val="18"/>
              </w:rPr>
              <w:t>Global Mercury Assessment 2018</w:t>
            </w:r>
          </w:p>
          <w:p w14:paraId="72E4520C" w14:textId="77777777" w:rsidR="00BF41CE" w:rsidRDefault="00BF41CE" w:rsidP="001D2EAD">
            <w:pPr>
              <w:rPr>
                <w:sz w:val="18"/>
                <w:szCs w:val="18"/>
              </w:rPr>
            </w:pPr>
            <w:r>
              <w:rPr>
                <w:sz w:val="18"/>
                <w:szCs w:val="18"/>
              </w:rPr>
              <w:t xml:space="preserve">UNEP Inventory Toolkit Reference Report </w:t>
            </w:r>
          </w:p>
          <w:p w14:paraId="3C2C804F" w14:textId="77777777" w:rsidR="00BF41CE" w:rsidRDefault="00BF41CE" w:rsidP="001D2EAD">
            <w:pPr>
              <w:rPr>
                <w:sz w:val="18"/>
                <w:szCs w:val="18"/>
              </w:rPr>
            </w:pPr>
            <w:r>
              <w:rPr>
                <w:sz w:val="18"/>
                <w:szCs w:val="18"/>
              </w:rPr>
              <w:t>European PRTR</w:t>
            </w:r>
          </w:p>
          <w:p w14:paraId="12432A8C" w14:textId="77777777" w:rsidR="00BF41CE" w:rsidRPr="00D5142C" w:rsidRDefault="00BF41CE" w:rsidP="001D2EAD">
            <w:pPr>
              <w:rPr>
                <w:sz w:val="18"/>
                <w:szCs w:val="18"/>
              </w:rPr>
            </w:pPr>
            <w:r>
              <w:rPr>
                <w:sz w:val="18"/>
                <w:szCs w:val="18"/>
              </w:rPr>
              <w:t>Norway submission</w:t>
            </w:r>
          </w:p>
        </w:tc>
      </w:tr>
      <w:tr w:rsidR="00BF41CE" w:rsidRPr="00D5142C" w14:paraId="214DEE14" w14:textId="77777777" w:rsidTr="001D2EAD">
        <w:trPr>
          <w:trHeight w:val="57"/>
          <w:jc w:val="right"/>
        </w:trPr>
        <w:tc>
          <w:tcPr>
            <w:tcW w:w="8307" w:type="dxa"/>
            <w:gridSpan w:val="4"/>
            <w:tcBorders>
              <w:top w:val="single" w:sz="4" w:space="0" w:color="auto"/>
              <w:left w:val="single" w:sz="4" w:space="0" w:color="auto"/>
              <w:bottom w:val="single" w:sz="4" w:space="0" w:color="auto"/>
              <w:right w:val="single" w:sz="4" w:space="0" w:color="auto"/>
            </w:tcBorders>
            <w:shd w:val="clear" w:color="auto" w:fill="EEECE1" w:themeFill="background2"/>
            <w:hideMark/>
          </w:tcPr>
          <w:p w14:paraId="3A6073F9" w14:textId="77777777" w:rsidR="00BF41CE" w:rsidRPr="00D5142C" w:rsidRDefault="00BF41CE" w:rsidP="001D2EAD">
            <w:pPr>
              <w:rPr>
                <w:sz w:val="18"/>
                <w:szCs w:val="18"/>
              </w:rPr>
            </w:pPr>
            <w:r w:rsidRPr="00D5142C">
              <w:rPr>
                <w:sz w:val="18"/>
                <w:szCs w:val="18"/>
              </w:rPr>
              <w:lastRenderedPageBreak/>
              <w:t xml:space="preserve">Source category: Crematoria </w:t>
            </w:r>
          </w:p>
        </w:tc>
      </w:tr>
      <w:tr w:rsidR="0057726A" w:rsidRPr="00D5142C" w14:paraId="007D121B" w14:textId="77777777" w:rsidTr="001D2EAD">
        <w:trPr>
          <w:trHeight w:val="57"/>
          <w:jc w:val="right"/>
        </w:trPr>
        <w:tc>
          <w:tcPr>
            <w:tcW w:w="704" w:type="dxa"/>
            <w:tcBorders>
              <w:top w:val="single" w:sz="4" w:space="0" w:color="auto"/>
              <w:left w:val="single" w:sz="4" w:space="0" w:color="auto"/>
              <w:bottom w:val="single" w:sz="4" w:space="0" w:color="auto"/>
              <w:right w:val="single" w:sz="4" w:space="0" w:color="auto"/>
            </w:tcBorders>
            <w:hideMark/>
          </w:tcPr>
          <w:p w14:paraId="45B327D8" w14:textId="77777777" w:rsidR="00BF41CE" w:rsidRPr="00D5142C" w:rsidRDefault="00BF41CE" w:rsidP="001D2EAD">
            <w:pPr>
              <w:rPr>
                <w:sz w:val="18"/>
                <w:szCs w:val="18"/>
              </w:rPr>
            </w:pPr>
            <w:r w:rsidRPr="00D5142C">
              <w:rPr>
                <w:sz w:val="18"/>
                <w:szCs w:val="18"/>
              </w:rPr>
              <w:t>5.10.1</w:t>
            </w:r>
          </w:p>
        </w:tc>
        <w:tc>
          <w:tcPr>
            <w:tcW w:w="1985" w:type="dxa"/>
            <w:tcBorders>
              <w:top w:val="single" w:sz="4" w:space="0" w:color="auto"/>
              <w:left w:val="single" w:sz="4" w:space="0" w:color="auto"/>
              <w:bottom w:val="single" w:sz="4" w:space="0" w:color="auto"/>
              <w:right w:val="single" w:sz="4" w:space="0" w:color="auto"/>
            </w:tcBorders>
            <w:hideMark/>
          </w:tcPr>
          <w:p w14:paraId="050C5440" w14:textId="36B643EC" w:rsidR="00BF41CE" w:rsidRPr="00D5142C" w:rsidRDefault="00BF41CE" w:rsidP="001D2EAD">
            <w:pPr>
              <w:rPr>
                <w:sz w:val="18"/>
                <w:szCs w:val="18"/>
              </w:rPr>
            </w:pPr>
            <w:r w:rsidRPr="00D5142C">
              <w:rPr>
                <w:sz w:val="18"/>
                <w:szCs w:val="18"/>
              </w:rPr>
              <w:t>Crematoria/cremation</w:t>
            </w:r>
          </w:p>
        </w:tc>
        <w:tc>
          <w:tcPr>
            <w:tcW w:w="2409" w:type="dxa"/>
            <w:tcBorders>
              <w:top w:val="single" w:sz="4" w:space="0" w:color="auto"/>
              <w:left w:val="single" w:sz="4" w:space="0" w:color="auto"/>
              <w:bottom w:val="single" w:sz="4" w:space="0" w:color="auto"/>
              <w:right w:val="single" w:sz="4" w:space="0" w:color="auto"/>
            </w:tcBorders>
            <w:hideMark/>
          </w:tcPr>
          <w:p w14:paraId="4508D95E" w14:textId="69B339E6" w:rsidR="00BF41CE" w:rsidRPr="00D5142C" w:rsidRDefault="002A195F" w:rsidP="001D2EAD">
            <w:pPr>
              <w:rPr>
                <w:sz w:val="18"/>
                <w:szCs w:val="18"/>
              </w:rPr>
            </w:pPr>
            <w:r>
              <w:rPr>
                <w:sz w:val="18"/>
                <w:szCs w:val="18"/>
              </w:rPr>
              <w:t>Wastewaters and non-wastewater releases not addressed under another article of the Convention</w:t>
            </w:r>
            <w:r w:rsidR="00326E3B">
              <w:rPr>
                <w:sz w:val="18"/>
                <w:szCs w:val="18"/>
              </w:rPr>
              <w:t xml:space="preserve"> </w:t>
            </w:r>
            <w:r w:rsidR="00BF41CE">
              <w:rPr>
                <w:sz w:val="18"/>
                <w:szCs w:val="18"/>
              </w:rPr>
              <w:t>from air pollution control system</w:t>
            </w:r>
            <w:r w:rsidR="00C0667A">
              <w:rPr>
                <w:sz w:val="18"/>
                <w:szCs w:val="18"/>
              </w:rPr>
              <w:t>s</w:t>
            </w:r>
            <w:r w:rsidR="00BF41CE">
              <w:rPr>
                <w:sz w:val="18"/>
                <w:szCs w:val="18"/>
              </w:rPr>
              <w:t>.</w:t>
            </w:r>
          </w:p>
        </w:tc>
        <w:tc>
          <w:tcPr>
            <w:tcW w:w="3209" w:type="dxa"/>
            <w:tcBorders>
              <w:top w:val="single" w:sz="4" w:space="0" w:color="auto"/>
              <w:left w:val="single" w:sz="4" w:space="0" w:color="auto"/>
              <w:bottom w:val="single" w:sz="4" w:space="0" w:color="auto"/>
              <w:right w:val="single" w:sz="4" w:space="0" w:color="auto"/>
            </w:tcBorders>
          </w:tcPr>
          <w:p w14:paraId="1432EB64" w14:textId="359DAB51" w:rsidR="00BF41CE" w:rsidRPr="00D01362" w:rsidRDefault="00BF41CE" w:rsidP="000D5FF3">
            <w:pPr>
              <w:rPr>
                <w:i/>
                <w:iCs/>
                <w:sz w:val="18"/>
                <w:szCs w:val="18"/>
              </w:rPr>
            </w:pPr>
            <w:r>
              <w:rPr>
                <w:sz w:val="18"/>
                <w:szCs w:val="18"/>
              </w:rPr>
              <w:t xml:space="preserve">UNEP Inventory Toolkit Reference Report </w:t>
            </w:r>
          </w:p>
        </w:tc>
      </w:tr>
    </w:tbl>
    <w:p w14:paraId="27073351" w14:textId="7CC20E7A" w:rsidR="00326E3B" w:rsidRDefault="00326E3B">
      <w:pPr>
        <w:rPr>
          <w:rFonts w:ascii="Times New Roman" w:eastAsia="Times New Roman" w:hAnsi="Times New Roman" w:cs="Times New Roman"/>
          <w:b/>
          <w:sz w:val="28"/>
          <w:szCs w:val="28"/>
          <w:lang w:eastAsia="en-US"/>
        </w:rPr>
      </w:pPr>
    </w:p>
    <w:p w14:paraId="607929ED" w14:textId="679E27FA" w:rsidR="00326E3B" w:rsidRDefault="00D01362" w:rsidP="00326E3B">
      <w:pPr>
        <w:spacing w:after="120"/>
        <w:ind w:left="1247"/>
        <w:rPr>
          <w:rFonts w:asciiTheme="majorBidi" w:hAnsiTheme="majorBidi" w:cstheme="majorBidi"/>
          <w:b/>
          <w:bCs/>
        </w:rPr>
      </w:pPr>
      <w:r>
        <w:rPr>
          <w:rFonts w:asciiTheme="majorBidi" w:hAnsiTheme="majorBidi" w:cstheme="majorBidi"/>
          <w:b/>
          <w:bCs/>
        </w:rPr>
        <w:t xml:space="preserve">Table 2: Additional point source categories that </w:t>
      </w:r>
      <w:r w:rsidR="00326E3B">
        <w:rPr>
          <w:rFonts w:asciiTheme="majorBidi" w:hAnsiTheme="majorBidi" w:cstheme="majorBidi"/>
          <w:b/>
          <w:bCs/>
        </w:rPr>
        <w:t xml:space="preserve">may be </w:t>
      </w:r>
      <w:r w:rsidR="00326E3B" w:rsidRPr="00D5142C">
        <w:rPr>
          <w:rFonts w:asciiTheme="majorBidi" w:hAnsiTheme="majorBidi" w:cstheme="majorBidi"/>
          <w:b/>
          <w:bCs/>
        </w:rPr>
        <w:t xml:space="preserve">included in the </w:t>
      </w:r>
      <w:r w:rsidR="00326E3B">
        <w:rPr>
          <w:rFonts w:asciiTheme="majorBidi" w:hAnsiTheme="majorBidi" w:cstheme="majorBidi"/>
          <w:b/>
          <w:bCs/>
        </w:rPr>
        <w:t>broadened release inventories</w:t>
      </w:r>
    </w:p>
    <w:tbl>
      <w:tblPr>
        <w:tblStyle w:val="TableGrid"/>
        <w:tblW w:w="8307" w:type="dxa"/>
        <w:jc w:val="right"/>
        <w:tblLook w:val="04A0" w:firstRow="1" w:lastRow="0" w:firstColumn="1" w:lastColumn="0" w:noHBand="0" w:noVBand="1"/>
      </w:tblPr>
      <w:tblGrid>
        <w:gridCol w:w="771"/>
        <w:gridCol w:w="1876"/>
        <w:gridCol w:w="2163"/>
        <w:gridCol w:w="1657"/>
        <w:gridCol w:w="1840"/>
      </w:tblGrid>
      <w:tr w:rsidR="00326E3B" w:rsidRPr="00D5142C" w14:paraId="357A7573" w14:textId="77777777" w:rsidTr="00D01362">
        <w:trPr>
          <w:trHeight w:val="57"/>
          <w:jc w:val="right"/>
        </w:trPr>
        <w:tc>
          <w:tcPr>
            <w:tcW w:w="2647" w:type="dxa"/>
            <w:gridSpan w:val="2"/>
            <w:shd w:val="clear" w:color="auto" w:fill="EEECE1" w:themeFill="background2"/>
          </w:tcPr>
          <w:p w14:paraId="234A5020" w14:textId="77777777" w:rsidR="00326E3B" w:rsidRPr="00D5142C" w:rsidRDefault="00326E3B" w:rsidP="005C5320">
            <w:pPr>
              <w:rPr>
                <w:sz w:val="18"/>
                <w:szCs w:val="18"/>
              </w:rPr>
            </w:pPr>
            <w:r w:rsidRPr="00D5142C">
              <w:rPr>
                <w:sz w:val="18"/>
                <w:szCs w:val="18"/>
              </w:rPr>
              <w:t>Source category in the mercury inventory toolkit</w:t>
            </w:r>
          </w:p>
        </w:tc>
        <w:tc>
          <w:tcPr>
            <w:tcW w:w="2163" w:type="dxa"/>
            <w:shd w:val="clear" w:color="auto" w:fill="EEECE1" w:themeFill="background2"/>
          </w:tcPr>
          <w:p w14:paraId="74F0AC18" w14:textId="77777777" w:rsidR="00326E3B" w:rsidRPr="00D5142C" w:rsidRDefault="00326E3B" w:rsidP="005C5320">
            <w:pPr>
              <w:rPr>
                <w:sz w:val="18"/>
                <w:szCs w:val="18"/>
              </w:rPr>
            </w:pPr>
            <w:r w:rsidRPr="00D5142C">
              <w:rPr>
                <w:sz w:val="18"/>
                <w:szCs w:val="18"/>
              </w:rPr>
              <w:t xml:space="preserve">Release </w:t>
            </w:r>
            <w:r>
              <w:rPr>
                <w:sz w:val="18"/>
                <w:szCs w:val="18"/>
              </w:rPr>
              <w:t>sources</w:t>
            </w:r>
          </w:p>
        </w:tc>
        <w:tc>
          <w:tcPr>
            <w:tcW w:w="1657" w:type="dxa"/>
            <w:shd w:val="clear" w:color="auto" w:fill="EEECE1" w:themeFill="background2"/>
          </w:tcPr>
          <w:p w14:paraId="50071811" w14:textId="35602D68" w:rsidR="00326E3B" w:rsidRPr="00D5142C" w:rsidRDefault="00D01362" w:rsidP="005C5320">
            <w:pPr>
              <w:rPr>
                <w:rFonts w:eastAsia="Yu Mincho"/>
                <w:sz w:val="18"/>
                <w:szCs w:val="18"/>
                <w:lang w:eastAsia="ja-JP"/>
              </w:rPr>
            </w:pPr>
            <w:r>
              <w:rPr>
                <w:rFonts w:eastAsia="Yu Mincho"/>
                <w:sz w:val="18"/>
                <w:szCs w:val="18"/>
                <w:lang w:eastAsia="ja-JP"/>
              </w:rPr>
              <w:t>Documented releases</w:t>
            </w:r>
          </w:p>
        </w:tc>
        <w:tc>
          <w:tcPr>
            <w:tcW w:w="1840" w:type="dxa"/>
            <w:shd w:val="clear" w:color="auto" w:fill="EEECE1" w:themeFill="background2"/>
          </w:tcPr>
          <w:p w14:paraId="3B332E0D" w14:textId="77777777" w:rsidR="00326E3B" w:rsidRPr="00D5142C" w:rsidRDefault="00326E3B" w:rsidP="005C5320">
            <w:pPr>
              <w:rPr>
                <w:sz w:val="18"/>
                <w:szCs w:val="18"/>
              </w:rPr>
            </w:pPr>
            <w:r w:rsidRPr="00D5142C">
              <w:rPr>
                <w:sz w:val="18"/>
                <w:szCs w:val="18"/>
              </w:rPr>
              <w:t>Whether addressed in other articles</w:t>
            </w:r>
          </w:p>
        </w:tc>
      </w:tr>
      <w:tr w:rsidR="00326E3B" w:rsidRPr="00D5142C" w14:paraId="11084C4B" w14:textId="77777777" w:rsidTr="005C5320">
        <w:trPr>
          <w:trHeight w:val="57"/>
          <w:jc w:val="right"/>
        </w:trPr>
        <w:tc>
          <w:tcPr>
            <w:tcW w:w="8307" w:type="dxa"/>
            <w:gridSpan w:val="5"/>
            <w:tcBorders>
              <w:top w:val="single" w:sz="4" w:space="0" w:color="auto"/>
              <w:left w:val="single" w:sz="4" w:space="0" w:color="auto"/>
              <w:bottom w:val="single" w:sz="4" w:space="0" w:color="auto"/>
              <w:right w:val="single" w:sz="4" w:space="0" w:color="auto"/>
            </w:tcBorders>
            <w:shd w:val="clear" w:color="auto" w:fill="EEECE1" w:themeFill="background2"/>
          </w:tcPr>
          <w:p w14:paraId="4D53559D" w14:textId="77777777" w:rsidR="00326E3B" w:rsidRPr="00D5142C" w:rsidRDefault="00326E3B" w:rsidP="005C5320">
            <w:pPr>
              <w:rPr>
                <w:sz w:val="18"/>
                <w:szCs w:val="18"/>
              </w:rPr>
            </w:pPr>
            <w:r w:rsidRPr="00D5142C">
              <w:rPr>
                <w:sz w:val="18"/>
                <w:szCs w:val="18"/>
              </w:rPr>
              <w:t>Source category: Intentional use of mercury in industrial processes</w:t>
            </w:r>
          </w:p>
        </w:tc>
      </w:tr>
      <w:tr w:rsidR="00326E3B" w:rsidRPr="00D01362" w14:paraId="6B70E8BC" w14:textId="77777777" w:rsidTr="00D01362">
        <w:trPr>
          <w:trHeight w:val="57"/>
          <w:jc w:val="right"/>
        </w:trPr>
        <w:tc>
          <w:tcPr>
            <w:tcW w:w="771" w:type="dxa"/>
            <w:tcBorders>
              <w:top w:val="single" w:sz="4" w:space="0" w:color="auto"/>
              <w:left w:val="single" w:sz="4" w:space="0" w:color="auto"/>
              <w:bottom w:val="single" w:sz="4" w:space="0" w:color="auto"/>
              <w:right w:val="single" w:sz="4" w:space="0" w:color="auto"/>
            </w:tcBorders>
            <w:hideMark/>
          </w:tcPr>
          <w:p w14:paraId="0663A514" w14:textId="77777777" w:rsidR="00326E3B" w:rsidRPr="00D01362" w:rsidRDefault="00326E3B" w:rsidP="005C5320">
            <w:pPr>
              <w:rPr>
                <w:sz w:val="18"/>
                <w:szCs w:val="18"/>
              </w:rPr>
            </w:pPr>
            <w:r w:rsidRPr="00D01362">
              <w:rPr>
                <w:sz w:val="18"/>
                <w:szCs w:val="18"/>
              </w:rPr>
              <w:t>5.4.2</w:t>
            </w:r>
          </w:p>
        </w:tc>
        <w:tc>
          <w:tcPr>
            <w:tcW w:w="1876" w:type="dxa"/>
            <w:tcBorders>
              <w:top w:val="single" w:sz="4" w:space="0" w:color="auto"/>
              <w:left w:val="single" w:sz="4" w:space="0" w:color="auto"/>
              <w:bottom w:val="single" w:sz="4" w:space="0" w:color="auto"/>
              <w:right w:val="single" w:sz="4" w:space="0" w:color="auto"/>
            </w:tcBorders>
            <w:hideMark/>
          </w:tcPr>
          <w:p w14:paraId="37C09CD9" w14:textId="77777777" w:rsidR="00326E3B" w:rsidRPr="00D01362" w:rsidRDefault="00326E3B" w:rsidP="005C5320">
            <w:pPr>
              <w:rPr>
                <w:sz w:val="18"/>
              </w:rPr>
            </w:pPr>
            <w:r w:rsidRPr="00D01362">
              <w:rPr>
                <w:sz w:val="18"/>
              </w:rPr>
              <w:t>Vinyl chloride monomer production with mercury catalyst</w:t>
            </w:r>
          </w:p>
        </w:tc>
        <w:tc>
          <w:tcPr>
            <w:tcW w:w="2163" w:type="dxa"/>
            <w:tcBorders>
              <w:top w:val="single" w:sz="4" w:space="0" w:color="auto"/>
              <w:left w:val="single" w:sz="4" w:space="0" w:color="auto"/>
              <w:bottom w:val="single" w:sz="4" w:space="0" w:color="auto"/>
              <w:right w:val="single" w:sz="4" w:space="0" w:color="auto"/>
            </w:tcBorders>
            <w:hideMark/>
          </w:tcPr>
          <w:p w14:paraId="734E0D97" w14:textId="379EC61A" w:rsidR="00326E3B" w:rsidRPr="00D01362" w:rsidRDefault="002A195F" w:rsidP="005C5320">
            <w:pPr>
              <w:rPr>
                <w:sz w:val="18"/>
              </w:rPr>
            </w:pPr>
            <w:r>
              <w:rPr>
                <w:sz w:val="18"/>
              </w:rPr>
              <w:t>Wastewaters and non-wastewater releases not addressed under another article of the Convention</w:t>
            </w:r>
            <w:r w:rsidR="00CA2DF6">
              <w:rPr>
                <w:sz w:val="18"/>
              </w:rPr>
              <w:t xml:space="preserve"> from the production process and air pollution control systems</w:t>
            </w:r>
            <w:r w:rsidR="00326E3B" w:rsidRPr="00D01362">
              <w:rPr>
                <w:sz w:val="18"/>
              </w:rPr>
              <w:t>.</w:t>
            </w:r>
          </w:p>
        </w:tc>
        <w:tc>
          <w:tcPr>
            <w:tcW w:w="1657" w:type="dxa"/>
            <w:tcBorders>
              <w:top w:val="single" w:sz="4" w:space="0" w:color="auto"/>
              <w:left w:val="single" w:sz="4" w:space="0" w:color="auto"/>
              <w:bottom w:val="single" w:sz="4" w:space="0" w:color="auto"/>
              <w:right w:val="single" w:sz="4" w:space="0" w:color="auto"/>
            </w:tcBorders>
            <w:hideMark/>
          </w:tcPr>
          <w:p w14:paraId="0EDE9B78" w14:textId="77777777" w:rsidR="00D01362" w:rsidRDefault="00D01362" w:rsidP="00D01362">
            <w:pPr>
              <w:rPr>
                <w:sz w:val="18"/>
                <w:szCs w:val="18"/>
              </w:rPr>
            </w:pPr>
            <w:r>
              <w:rPr>
                <w:sz w:val="18"/>
                <w:szCs w:val="18"/>
              </w:rPr>
              <w:t xml:space="preserve">UNEP Inventory Toolkit Reference Report </w:t>
            </w:r>
          </w:p>
          <w:p w14:paraId="146C551E" w14:textId="31907B80" w:rsidR="00326E3B" w:rsidRPr="00D01362" w:rsidRDefault="00326E3B" w:rsidP="005C5320">
            <w:pPr>
              <w:rPr>
                <w:sz w:val="18"/>
              </w:rPr>
            </w:pPr>
          </w:p>
        </w:tc>
        <w:tc>
          <w:tcPr>
            <w:tcW w:w="1840" w:type="dxa"/>
            <w:tcBorders>
              <w:top w:val="single" w:sz="4" w:space="0" w:color="auto"/>
              <w:left w:val="single" w:sz="4" w:space="0" w:color="auto"/>
              <w:bottom w:val="single" w:sz="4" w:space="0" w:color="auto"/>
              <w:right w:val="single" w:sz="4" w:space="0" w:color="auto"/>
            </w:tcBorders>
          </w:tcPr>
          <w:p w14:paraId="1B0A0BBC" w14:textId="61229994" w:rsidR="00326E3B" w:rsidRPr="00D01362" w:rsidRDefault="00326E3B" w:rsidP="005C5320">
            <w:pPr>
              <w:rPr>
                <w:sz w:val="18"/>
              </w:rPr>
            </w:pPr>
            <w:r w:rsidRPr="00D01362">
              <w:rPr>
                <w:sz w:val="18"/>
              </w:rPr>
              <w:t>Addressed by article 5</w:t>
            </w:r>
            <w:r w:rsidR="00A02DB7">
              <w:rPr>
                <w:sz w:val="18"/>
              </w:rPr>
              <w:t xml:space="preserve"> </w:t>
            </w:r>
          </w:p>
        </w:tc>
      </w:tr>
      <w:tr w:rsidR="00326E3B" w:rsidRPr="00D01362" w14:paraId="5C20557E" w14:textId="77777777" w:rsidTr="00D01362">
        <w:trPr>
          <w:trHeight w:val="57"/>
          <w:jc w:val="right"/>
        </w:trPr>
        <w:tc>
          <w:tcPr>
            <w:tcW w:w="771" w:type="dxa"/>
            <w:tcBorders>
              <w:top w:val="single" w:sz="4" w:space="0" w:color="auto"/>
              <w:left w:val="single" w:sz="4" w:space="0" w:color="auto"/>
              <w:bottom w:val="single" w:sz="4" w:space="0" w:color="auto"/>
              <w:right w:val="single" w:sz="4" w:space="0" w:color="auto"/>
            </w:tcBorders>
            <w:hideMark/>
          </w:tcPr>
          <w:p w14:paraId="659D7266" w14:textId="77777777" w:rsidR="00326E3B" w:rsidRPr="00D01362" w:rsidRDefault="00326E3B" w:rsidP="005C5320">
            <w:pPr>
              <w:rPr>
                <w:sz w:val="18"/>
                <w:szCs w:val="18"/>
              </w:rPr>
            </w:pPr>
            <w:r w:rsidRPr="00D01362">
              <w:rPr>
                <w:sz w:val="18"/>
                <w:szCs w:val="18"/>
              </w:rPr>
              <w:t>5.4.4</w:t>
            </w:r>
          </w:p>
        </w:tc>
        <w:tc>
          <w:tcPr>
            <w:tcW w:w="1876" w:type="dxa"/>
            <w:tcBorders>
              <w:top w:val="single" w:sz="4" w:space="0" w:color="auto"/>
              <w:left w:val="single" w:sz="4" w:space="0" w:color="auto"/>
              <w:bottom w:val="single" w:sz="4" w:space="0" w:color="auto"/>
              <w:right w:val="single" w:sz="4" w:space="0" w:color="auto"/>
            </w:tcBorders>
            <w:hideMark/>
          </w:tcPr>
          <w:p w14:paraId="643AA7DE" w14:textId="77777777" w:rsidR="00326E3B" w:rsidRPr="00D01362" w:rsidRDefault="00326E3B" w:rsidP="005C5320">
            <w:pPr>
              <w:rPr>
                <w:sz w:val="18"/>
              </w:rPr>
            </w:pPr>
            <w:r w:rsidRPr="00D01362">
              <w:rPr>
                <w:sz w:val="18"/>
              </w:rPr>
              <w:t>Other production of chemicals and polymers with mercury</w:t>
            </w:r>
          </w:p>
        </w:tc>
        <w:tc>
          <w:tcPr>
            <w:tcW w:w="2163" w:type="dxa"/>
            <w:tcBorders>
              <w:top w:val="single" w:sz="4" w:space="0" w:color="auto"/>
              <w:left w:val="single" w:sz="4" w:space="0" w:color="auto"/>
              <w:bottom w:val="single" w:sz="4" w:space="0" w:color="auto"/>
              <w:right w:val="single" w:sz="4" w:space="0" w:color="auto"/>
            </w:tcBorders>
            <w:hideMark/>
          </w:tcPr>
          <w:p w14:paraId="3946D04F" w14:textId="201DB6F3" w:rsidR="00326E3B" w:rsidRPr="00D01362" w:rsidRDefault="002A195F" w:rsidP="005C5320">
            <w:pPr>
              <w:rPr>
                <w:sz w:val="18"/>
              </w:rPr>
            </w:pPr>
            <w:r>
              <w:rPr>
                <w:sz w:val="18"/>
              </w:rPr>
              <w:t>Wastewaters and non-wastewater releases not addressed under another article of the Convention</w:t>
            </w:r>
            <w:r w:rsidR="00D01362">
              <w:rPr>
                <w:sz w:val="18"/>
              </w:rPr>
              <w:t xml:space="preserve"> from</w:t>
            </w:r>
            <w:r w:rsidR="00326E3B" w:rsidRPr="00D01362">
              <w:rPr>
                <w:sz w:val="18"/>
              </w:rPr>
              <w:t xml:space="preserve"> the production of </w:t>
            </w:r>
            <w:r w:rsidR="00326E3B" w:rsidRPr="00D01362">
              <w:rPr>
                <w:sz w:val="18"/>
              </w:rPr>
              <w:br/>
              <w:t>mercury-containing chemicals</w:t>
            </w:r>
            <w:r w:rsidR="009D25B7">
              <w:rPr>
                <w:sz w:val="18"/>
              </w:rPr>
              <w:t>,</w:t>
            </w:r>
            <w:r w:rsidR="00326E3B" w:rsidRPr="00D01362">
              <w:rPr>
                <w:sz w:val="18"/>
              </w:rPr>
              <w:t xml:space="preserve"> from the use of mercury in production processes </w:t>
            </w:r>
            <w:r w:rsidR="009D25B7">
              <w:rPr>
                <w:sz w:val="18"/>
              </w:rPr>
              <w:t>(e.g.</w:t>
            </w:r>
            <w:r w:rsidR="00326E3B" w:rsidRPr="00D01362">
              <w:rPr>
                <w:sz w:val="18"/>
              </w:rPr>
              <w:t xml:space="preserve"> alcoholate production</w:t>
            </w:r>
            <w:r w:rsidR="009D25B7">
              <w:rPr>
                <w:sz w:val="18"/>
              </w:rPr>
              <w:t>)</w:t>
            </w:r>
            <w:r w:rsidR="00326E3B" w:rsidRPr="00D01362">
              <w:rPr>
                <w:sz w:val="18"/>
              </w:rPr>
              <w:t>.</w:t>
            </w:r>
          </w:p>
        </w:tc>
        <w:tc>
          <w:tcPr>
            <w:tcW w:w="1657" w:type="dxa"/>
            <w:tcBorders>
              <w:top w:val="single" w:sz="4" w:space="0" w:color="auto"/>
              <w:left w:val="single" w:sz="4" w:space="0" w:color="auto"/>
              <w:bottom w:val="single" w:sz="4" w:space="0" w:color="auto"/>
              <w:right w:val="single" w:sz="4" w:space="0" w:color="auto"/>
            </w:tcBorders>
            <w:hideMark/>
          </w:tcPr>
          <w:p w14:paraId="2EA4DBDB" w14:textId="77777777" w:rsidR="00D01362" w:rsidRDefault="00D01362" w:rsidP="00D01362">
            <w:pPr>
              <w:rPr>
                <w:sz w:val="18"/>
                <w:szCs w:val="18"/>
              </w:rPr>
            </w:pPr>
            <w:r>
              <w:rPr>
                <w:sz w:val="18"/>
                <w:szCs w:val="18"/>
              </w:rPr>
              <w:t xml:space="preserve">UNEP Inventory Toolkit Reference Report </w:t>
            </w:r>
          </w:p>
          <w:p w14:paraId="6CB22650" w14:textId="0CFF0664" w:rsidR="00326E3B" w:rsidRPr="00D01362" w:rsidRDefault="00326E3B" w:rsidP="005C5320">
            <w:pPr>
              <w:rPr>
                <w:sz w:val="18"/>
              </w:rPr>
            </w:pPr>
          </w:p>
        </w:tc>
        <w:tc>
          <w:tcPr>
            <w:tcW w:w="1840" w:type="dxa"/>
            <w:tcBorders>
              <w:top w:val="single" w:sz="4" w:space="0" w:color="auto"/>
              <w:left w:val="single" w:sz="4" w:space="0" w:color="auto"/>
              <w:bottom w:val="single" w:sz="4" w:space="0" w:color="auto"/>
              <w:right w:val="single" w:sz="4" w:space="0" w:color="auto"/>
            </w:tcBorders>
          </w:tcPr>
          <w:p w14:paraId="0974AD13" w14:textId="77777777" w:rsidR="00326E3B" w:rsidRPr="00D01362" w:rsidRDefault="00326E3B" w:rsidP="005C5320">
            <w:pPr>
              <w:rPr>
                <w:sz w:val="18"/>
              </w:rPr>
            </w:pPr>
            <w:r w:rsidRPr="00D01362">
              <w:rPr>
                <w:sz w:val="18"/>
              </w:rPr>
              <w:t xml:space="preserve">The production of sodium or potassium methylate and ethylate is addressed by article 5. </w:t>
            </w:r>
          </w:p>
        </w:tc>
      </w:tr>
      <w:tr w:rsidR="004D0FBB" w:rsidRPr="00D01362" w14:paraId="22220679" w14:textId="77777777" w:rsidTr="00D01362">
        <w:trPr>
          <w:trHeight w:val="57"/>
          <w:jc w:val="right"/>
        </w:trPr>
        <w:tc>
          <w:tcPr>
            <w:tcW w:w="771" w:type="dxa"/>
            <w:tcBorders>
              <w:top w:val="single" w:sz="4" w:space="0" w:color="auto"/>
              <w:left w:val="single" w:sz="4" w:space="0" w:color="auto"/>
              <w:bottom w:val="single" w:sz="4" w:space="0" w:color="auto"/>
              <w:right w:val="single" w:sz="4" w:space="0" w:color="auto"/>
            </w:tcBorders>
          </w:tcPr>
          <w:p w14:paraId="629BD4D5" w14:textId="77777777" w:rsidR="004D0FBB" w:rsidRPr="00D01362" w:rsidRDefault="004D0FBB" w:rsidP="005C5320">
            <w:pPr>
              <w:rPr>
                <w:sz w:val="18"/>
                <w:szCs w:val="18"/>
              </w:rPr>
            </w:pPr>
          </w:p>
        </w:tc>
        <w:tc>
          <w:tcPr>
            <w:tcW w:w="1876" w:type="dxa"/>
            <w:tcBorders>
              <w:top w:val="single" w:sz="4" w:space="0" w:color="auto"/>
              <w:left w:val="single" w:sz="4" w:space="0" w:color="auto"/>
              <w:bottom w:val="single" w:sz="4" w:space="0" w:color="auto"/>
              <w:right w:val="single" w:sz="4" w:space="0" w:color="auto"/>
            </w:tcBorders>
          </w:tcPr>
          <w:p w14:paraId="0F40E4A5" w14:textId="0E5F05AF" w:rsidR="004D0FBB" w:rsidRPr="00D01362" w:rsidRDefault="004D0FBB" w:rsidP="005C5320">
            <w:pPr>
              <w:rPr>
                <w:sz w:val="18"/>
              </w:rPr>
            </w:pPr>
            <w:r>
              <w:rPr>
                <w:sz w:val="18"/>
                <w:szCs w:val="18"/>
              </w:rPr>
              <w:t xml:space="preserve">Gold plating using the fire </w:t>
            </w:r>
            <w:proofErr w:type="spellStart"/>
            <w:r>
              <w:rPr>
                <w:sz w:val="18"/>
                <w:szCs w:val="18"/>
              </w:rPr>
              <w:t>guilding</w:t>
            </w:r>
            <w:proofErr w:type="spellEnd"/>
            <w:r>
              <w:rPr>
                <w:sz w:val="18"/>
                <w:szCs w:val="18"/>
              </w:rPr>
              <w:t xml:space="preserve"> process</w:t>
            </w:r>
          </w:p>
        </w:tc>
        <w:tc>
          <w:tcPr>
            <w:tcW w:w="2163" w:type="dxa"/>
            <w:tcBorders>
              <w:top w:val="single" w:sz="4" w:space="0" w:color="auto"/>
              <w:left w:val="single" w:sz="4" w:space="0" w:color="auto"/>
              <w:bottom w:val="single" w:sz="4" w:space="0" w:color="auto"/>
              <w:right w:val="single" w:sz="4" w:space="0" w:color="auto"/>
            </w:tcBorders>
          </w:tcPr>
          <w:p w14:paraId="47904BAF" w14:textId="77777777" w:rsidR="004D0FBB" w:rsidRPr="00D01362" w:rsidDel="00DC50E4" w:rsidRDefault="004D0FBB" w:rsidP="005C5320">
            <w:pPr>
              <w:rPr>
                <w:sz w:val="18"/>
              </w:rPr>
            </w:pPr>
          </w:p>
        </w:tc>
        <w:tc>
          <w:tcPr>
            <w:tcW w:w="1657" w:type="dxa"/>
            <w:tcBorders>
              <w:top w:val="single" w:sz="4" w:space="0" w:color="auto"/>
              <w:left w:val="single" w:sz="4" w:space="0" w:color="auto"/>
              <w:bottom w:val="single" w:sz="4" w:space="0" w:color="auto"/>
              <w:right w:val="single" w:sz="4" w:space="0" w:color="auto"/>
            </w:tcBorders>
          </w:tcPr>
          <w:p w14:paraId="05B445D4" w14:textId="6A83E255" w:rsidR="004D0FBB" w:rsidRDefault="004D0FBB" w:rsidP="00D01362">
            <w:pPr>
              <w:rPr>
                <w:sz w:val="18"/>
                <w:szCs w:val="18"/>
              </w:rPr>
            </w:pPr>
            <w:r>
              <w:rPr>
                <w:sz w:val="18"/>
                <w:szCs w:val="18"/>
              </w:rPr>
              <w:t>Sri Lanka and</w:t>
            </w:r>
            <w:hyperlink r:id="rId22" w:history="1">
              <w:r w:rsidRPr="000A272E">
                <w:rPr>
                  <w:rStyle w:val="Hyperlink"/>
                  <w:sz w:val="18"/>
                  <w:szCs w:val="18"/>
                  <w:lang w:val="en-GB"/>
                </w:rPr>
                <w:t xml:space="preserve"> Nepal</w:t>
              </w:r>
            </w:hyperlink>
            <w:r>
              <w:rPr>
                <w:sz w:val="18"/>
                <w:szCs w:val="18"/>
              </w:rPr>
              <w:t xml:space="preserve"> MIAs</w:t>
            </w:r>
          </w:p>
        </w:tc>
        <w:tc>
          <w:tcPr>
            <w:tcW w:w="1840" w:type="dxa"/>
            <w:tcBorders>
              <w:top w:val="single" w:sz="4" w:space="0" w:color="auto"/>
              <w:left w:val="single" w:sz="4" w:space="0" w:color="auto"/>
              <w:bottom w:val="single" w:sz="4" w:space="0" w:color="auto"/>
              <w:right w:val="single" w:sz="4" w:space="0" w:color="auto"/>
            </w:tcBorders>
          </w:tcPr>
          <w:p w14:paraId="6FE793E7" w14:textId="77777777" w:rsidR="004D0FBB" w:rsidRPr="00D01362" w:rsidRDefault="004D0FBB" w:rsidP="005C5320">
            <w:pPr>
              <w:rPr>
                <w:sz w:val="18"/>
              </w:rPr>
            </w:pPr>
          </w:p>
        </w:tc>
      </w:tr>
      <w:tr w:rsidR="004D0FBB" w:rsidRPr="00D01362" w14:paraId="1D822F11" w14:textId="77777777" w:rsidTr="00D01362">
        <w:trPr>
          <w:trHeight w:val="57"/>
          <w:jc w:val="right"/>
        </w:trPr>
        <w:tc>
          <w:tcPr>
            <w:tcW w:w="771" w:type="dxa"/>
            <w:tcBorders>
              <w:top w:val="single" w:sz="4" w:space="0" w:color="auto"/>
              <w:left w:val="single" w:sz="4" w:space="0" w:color="auto"/>
              <w:bottom w:val="single" w:sz="4" w:space="0" w:color="auto"/>
              <w:right w:val="single" w:sz="4" w:space="0" w:color="auto"/>
            </w:tcBorders>
          </w:tcPr>
          <w:p w14:paraId="59F762A9" w14:textId="77777777" w:rsidR="004D0FBB" w:rsidRPr="00D01362" w:rsidRDefault="004D0FBB" w:rsidP="005C5320">
            <w:pPr>
              <w:rPr>
                <w:sz w:val="18"/>
                <w:szCs w:val="18"/>
              </w:rPr>
            </w:pPr>
          </w:p>
        </w:tc>
        <w:tc>
          <w:tcPr>
            <w:tcW w:w="1876" w:type="dxa"/>
            <w:tcBorders>
              <w:top w:val="single" w:sz="4" w:space="0" w:color="auto"/>
              <w:left w:val="single" w:sz="4" w:space="0" w:color="auto"/>
              <w:bottom w:val="single" w:sz="4" w:space="0" w:color="auto"/>
              <w:right w:val="single" w:sz="4" w:space="0" w:color="auto"/>
            </w:tcBorders>
          </w:tcPr>
          <w:p w14:paraId="0290CA16" w14:textId="4B5760ED" w:rsidR="004D0FBB" w:rsidRPr="004D0FBB" w:rsidRDefault="004D0FBB" w:rsidP="005C5320">
            <w:pPr>
              <w:rPr>
                <w:sz w:val="18"/>
              </w:rPr>
            </w:pPr>
            <w:r w:rsidRPr="00992024">
              <w:rPr>
                <w:sz w:val="18"/>
              </w:rPr>
              <w:t>Other processes using mercury or mercury compound catalyst, not listed in Annex B of the Convention</w:t>
            </w:r>
          </w:p>
        </w:tc>
        <w:tc>
          <w:tcPr>
            <w:tcW w:w="2163" w:type="dxa"/>
            <w:tcBorders>
              <w:top w:val="single" w:sz="4" w:space="0" w:color="auto"/>
              <w:left w:val="single" w:sz="4" w:space="0" w:color="auto"/>
              <w:bottom w:val="single" w:sz="4" w:space="0" w:color="auto"/>
              <w:right w:val="single" w:sz="4" w:space="0" w:color="auto"/>
            </w:tcBorders>
          </w:tcPr>
          <w:p w14:paraId="07A5558F" w14:textId="77777777" w:rsidR="004D0FBB" w:rsidRPr="00D01362" w:rsidDel="00DC50E4" w:rsidRDefault="004D0FBB" w:rsidP="005C5320">
            <w:pPr>
              <w:rPr>
                <w:sz w:val="18"/>
              </w:rPr>
            </w:pPr>
          </w:p>
        </w:tc>
        <w:tc>
          <w:tcPr>
            <w:tcW w:w="1657" w:type="dxa"/>
            <w:tcBorders>
              <w:top w:val="single" w:sz="4" w:space="0" w:color="auto"/>
              <w:left w:val="single" w:sz="4" w:space="0" w:color="auto"/>
              <w:bottom w:val="single" w:sz="4" w:space="0" w:color="auto"/>
              <w:right w:val="single" w:sz="4" w:space="0" w:color="auto"/>
            </w:tcBorders>
          </w:tcPr>
          <w:p w14:paraId="6CCFFED4" w14:textId="77777777" w:rsidR="004D0FBB" w:rsidRDefault="004D0FBB" w:rsidP="00D01362">
            <w:pPr>
              <w:rPr>
                <w:sz w:val="18"/>
                <w:szCs w:val="18"/>
              </w:rPr>
            </w:pPr>
          </w:p>
        </w:tc>
        <w:tc>
          <w:tcPr>
            <w:tcW w:w="1840" w:type="dxa"/>
            <w:tcBorders>
              <w:top w:val="single" w:sz="4" w:space="0" w:color="auto"/>
              <w:left w:val="single" w:sz="4" w:space="0" w:color="auto"/>
              <w:bottom w:val="single" w:sz="4" w:space="0" w:color="auto"/>
              <w:right w:val="single" w:sz="4" w:space="0" w:color="auto"/>
            </w:tcBorders>
          </w:tcPr>
          <w:p w14:paraId="026FFE7A" w14:textId="77777777" w:rsidR="004D0FBB" w:rsidRPr="00D01362" w:rsidRDefault="004D0FBB" w:rsidP="005C5320">
            <w:pPr>
              <w:rPr>
                <w:sz w:val="18"/>
              </w:rPr>
            </w:pPr>
          </w:p>
        </w:tc>
      </w:tr>
      <w:tr w:rsidR="00326E3B" w:rsidRPr="00D5142C" w14:paraId="4C2C1237" w14:textId="77777777" w:rsidTr="005C5320">
        <w:trPr>
          <w:trHeight w:val="57"/>
          <w:jc w:val="right"/>
        </w:trPr>
        <w:tc>
          <w:tcPr>
            <w:tcW w:w="8307"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14:paraId="5F7CA753" w14:textId="77777777" w:rsidR="00326E3B" w:rsidRPr="00D5142C" w:rsidRDefault="00326E3B" w:rsidP="005C5320">
            <w:pPr>
              <w:keepNext/>
              <w:keepLines/>
              <w:rPr>
                <w:sz w:val="18"/>
                <w:szCs w:val="18"/>
              </w:rPr>
            </w:pPr>
            <w:r w:rsidRPr="00D5142C">
              <w:rPr>
                <w:sz w:val="18"/>
                <w:szCs w:val="18"/>
              </w:rPr>
              <w:t>Source category: Manufacturing of consumer products with intentional use of mercury</w:t>
            </w:r>
          </w:p>
        </w:tc>
      </w:tr>
      <w:tr w:rsidR="00326E3B" w:rsidRPr="00D01362" w14:paraId="04BF114B" w14:textId="77777777" w:rsidTr="00D01362">
        <w:trPr>
          <w:trHeight w:val="57"/>
          <w:jc w:val="right"/>
        </w:trPr>
        <w:tc>
          <w:tcPr>
            <w:tcW w:w="771" w:type="dxa"/>
            <w:tcBorders>
              <w:top w:val="single" w:sz="4" w:space="0" w:color="auto"/>
              <w:left w:val="single" w:sz="4" w:space="0" w:color="auto"/>
              <w:bottom w:val="single" w:sz="4" w:space="0" w:color="auto"/>
              <w:right w:val="single" w:sz="4" w:space="0" w:color="auto"/>
            </w:tcBorders>
            <w:hideMark/>
          </w:tcPr>
          <w:p w14:paraId="51C39382" w14:textId="77777777" w:rsidR="00326E3B" w:rsidRPr="00D01362" w:rsidRDefault="00326E3B" w:rsidP="005C5320">
            <w:pPr>
              <w:rPr>
                <w:sz w:val="18"/>
                <w:szCs w:val="18"/>
              </w:rPr>
            </w:pPr>
            <w:r w:rsidRPr="00D01362">
              <w:rPr>
                <w:sz w:val="18"/>
                <w:szCs w:val="18"/>
              </w:rPr>
              <w:t>5.5.5</w:t>
            </w:r>
          </w:p>
        </w:tc>
        <w:tc>
          <w:tcPr>
            <w:tcW w:w="1876" w:type="dxa"/>
            <w:tcBorders>
              <w:top w:val="single" w:sz="4" w:space="0" w:color="auto"/>
              <w:left w:val="single" w:sz="4" w:space="0" w:color="auto"/>
              <w:bottom w:val="single" w:sz="4" w:space="0" w:color="auto"/>
              <w:right w:val="single" w:sz="4" w:space="0" w:color="auto"/>
            </w:tcBorders>
            <w:hideMark/>
          </w:tcPr>
          <w:p w14:paraId="56FEBFA9" w14:textId="77777777" w:rsidR="00326E3B" w:rsidRPr="00D01362" w:rsidRDefault="00326E3B" w:rsidP="005C5320">
            <w:pPr>
              <w:rPr>
                <w:sz w:val="18"/>
              </w:rPr>
            </w:pPr>
            <w:r w:rsidRPr="00D01362">
              <w:rPr>
                <w:sz w:val="18"/>
              </w:rPr>
              <w:t>Polyurethane with mercury catalysts</w:t>
            </w:r>
          </w:p>
        </w:tc>
        <w:tc>
          <w:tcPr>
            <w:tcW w:w="2163" w:type="dxa"/>
            <w:tcBorders>
              <w:top w:val="single" w:sz="4" w:space="0" w:color="auto"/>
              <w:left w:val="single" w:sz="4" w:space="0" w:color="auto"/>
              <w:bottom w:val="single" w:sz="4" w:space="0" w:color="auto"/>
              <w:right w:val="single" w:sz="4" w:space="0" w:color="auto"/>
            </w:tcBorders>
            <w:hideMark/>
          </w:tcPr>
          <w:p w14:paraId="060BA3A5" w14:textId="37BEE440" w:rsidR="00326E3B" w:rsidRPr="00D01362" w:rsidRDefault="002A195F" w:rsidP="00D01362">
            <w:pPr>
              <w:rPr>
                <w:sz w:val="18"/>
              </w:rPr>
            </w:pPr>
            <w:r>
              <w:rPr>
                <w:sz w:val="18"/>
              </w:rPr>
              <w:t>Wastewaters and non-wastewater releases not addressed under another article of the Convention</w:t>
            </w:r>
            <w:r w:rsidR="00D01362">
              <w:rPr>
                <w:sz w:val="18"/>
              </w:rPr>
              <w:t xml:space="preserve"> from the production process.</w:t>
            </w:r>
          </w:p>
        </w:tc>
        <w:tc>
          <w:tcPr>
            <w:tcW w:w="1657" w:type="dxa"/>
            <w:tcBorders>
              <w:top w:val="single" w:sz="4" w:space="0" w:color="auto"/>
              <w:left w:val="single" w:sz="4" w:space="0" w:color="auto"/>
              <w:bottom w:val="single" w:sz="4" w:space="0" w:color="auto"/>
              <w:right w:val="single" w:sz="4" w:space="0" w:color="auto"/>
            </w:tcBorders>
          </w:tcPr>
          <w:p w14:paraId="7C930875" w14:textId="77777777" w:rsidR="00D01362" w:rsidRDefault="00D01362" w:rsidP="00D01362">
            <w:pPr>
              <w:rPr>
                <w:sz w:val="18"/>
                <w:szCs w:val="18"/>
              </w:rPr>
            </w:pPr>
            <w:r>
              <w:rPr>
                <w:sz w:val="18"/>
                <w:szCs w:val="18"/>
              </w:rPr>
              <w:t xml:space="preserve">UNEP Inventory Toolkit Reference Report </w:t>
            </w:r>
          </w:p>
          <w:p w14:paraId="07919DFA" w14:textId="05933CE0" w:rsidR="00326E3B" w:rsidRPr="00D01362" w:rsidRDefault="00326E3B" w:rsidP="005C5320">
            <w:pPr>
              <w:rPr>
                <w:sz w:val="18"/>
              </w:rPr>
            </w:pPr>
          </w:p>
        </w:tc>
        <w:tc>
          <w:tcPr>
            <w:tcW w:w="1840" w:type="dxa"/>
            <w:tcBorders>
              <w:top w:val="single" w:sz="4" w:space="0" w:color="auto"/>
              <w:left w:val="single" w:sz="4" w:space="0" w:color="auto"/>
              <w:bottom w:val="single" w:sz="4" w:space="0" w:color="auto"/>
              <w:right w:val="single" w:sz="4" w:space="0" w:color="auto"/>
            </w:tcBorders>
          </w:tcPr>
          <w:p w14:paraId="786639A9" w14:textId="77777777" w:rsidR="00326E3B" w:rsidRPr="00D01362" w:rsidRDefault="00326E3B" w:rsidP="005C5320">
            <w:pPr>
              <w:rPr>
                <w:sz w:val="18"/>
              </w:rPr>
            </w:pPr>
            <w:r w:rsidRPr="00D01362">
              <w:rPr>
                <w:sz w:val="18"/>
              </w:rPr>
              <w:t xml:space="preserve">Manufacturing is addressed by article 5. </w:t>
            </w:r>
          </w:p>
        </w:tc>
      </w:tr>
    </w:tbl>
    <w:p w14:paraId="0D804676" w14:textId="77777777" w:rsidR="00326E3B" w:rsidRDefault="00326E3B" w:rsidP="00326E3B">
      <w:pPr>
        <w:pStyle w:val="Normal-pool"/>
      </w:pPr>
    </w:p>
    <w:p w14:paraId="79A8EC2B" w14:textId="77777777" w:rsidR="0026014C" w:rsidRDefault="0026014C" w:rsidP="0026014C">
      <w:pPr>
        <w:pStyle w:val="BBTitle"/>
        <w:ind w:left="0"/>
      </w:pPr>
    </w:p>
    <w:p w14:paraId="2750C8B9" w14:textId="77777777" w:rsidR="00D01362" w:rsidRDefault="00D01362">
      <w:pPr>
        <w:rPr>
          <w:rFonts w:ascii="Times New Roman" w:eastAsia="Times New Roman" w:hAnsi="Times New Roman" w:cs="Times New Roman"/>
          <w:b/>
          <w:sz w:val="28"/>
          <w:szCs w:val="28"/>
          <w:lang w:eastAsia="en-US"/>
        </w:rPr>
      </w:pPr>
      <w:r>
        <w:br w:type="page"/>
      </w:r>
    </w:p>
    <w:p w14:paraId="2A93FB8D" w14:textId="45BAB8CF" w:rsidR="0026014C" w:rsidRDefault="0026014C" w:rsidP="0026014C">
      <w:pPr>
        <w:pStyle w:val="BBTitle"/>
        <w:ind w:left="0"/>
      </w:pPr>
      <w:r>
        <w:lastRenderedPageBreak/>
        <w:t>Annex YY</w:t>
      </w:r>
    </w:p>
    <w:p w14:paraId="7A8E816C" w14:textId="5A488144" w:rsidR="00E40BFC" w:rsidRPr="00E40BFC" w:rsidRDefault="00E40BFC" w:rsidP="0026014C">
      <w:pPr>
        <w:pStyle w:val="BBTitle"/>
        <w:ind w:left="0"/>
      </w:pPr>
      <w:r w:rsidRPr="00E40BFC">
        <w:t>Draft roadmap for developing BAT/BEP guidance</w:t>
      </w:r>
    </w:p>
    <w:p w14:paraId="4807F61C" w14:textId="70AC7300" w:rsidR="00E40BFC" w:rsidRPr="00E40BFC" w:rsidRDefault="00E40BFC" w:rsidP="00E40BFC">
      <w:pPr>
        <w:pStyle w:val="CH2"/>
      </w:pPr>
      <w:r>
        <w:tab/>
      </w:r>
      <w:r w:rsidRPr="00E40BFC">
        <w:t>Release sources covered by the guidance</w:t>
      </w:r>
    </w:p>
    <w:p w14:paraId="74795CF8" w14:textId="77777777" w:rsidR="00E40BFC" w:rsidRPr="00E40BFC" w:rsidRDefault="00E40BFC" w:rsidP="00E40BFC">
      <w:pPr>
        <w:tabs>
          <w:tab w:val="left" w:pos="624"/>
        </w:tabs>
        <w:adjustRightInd w:val="0"/>
        <w:snapToGrid w:val="0"/>
        <w:spacing w:after="120" w:line="240" w:lineRule="auto"/>
        <w:rPr>
          <w:rFonts w:asciiTheme="majorBidi" w:hAnsiTheme="majorBidi" w:cstheme="majorBidi"/>
          <w:sz w:val="20"/>
          <w:szCs w:val="20"/>
        </w:rPr>
      </w:pPr>
      <w:r w:rsidRPr="00E40BFC">
        <w:rPr>
          <w:rFonts w:asciiTheme="majorBidi" w:hAnsiTheme="majorBidi" w:cstheme="majorBidi"/>
          <w:sz w:val="20"/>
          <w:szCs w:val="20"/>
        </w:rPr>
        <w:t>COP-4 will consider the categories of point sources of releases proposed by the group of technical experts. These point sources are expected to be covered by the BAT/BEP guidance to be developed.</w:t>
      </w:r>
    </w:p>
    <w:p w14:paraId="6EF09D43" w14:textId="77777777" w:rsidR="00E40BFC" w:rsidRPr="00E40BFC" w:rsidRDefault="00E40BFC" w:rsidP="00E40BFC">
      <w:pPr>
        <w:tabs>
          <w:tab w:val="left" w:pos="624"/>
        </w:tabs>
        <w:adjustRightInd w:val="0"/>
        <w:snapToGrid w:val="0"/>
        <w:spacing w:after="120" w:line="240" w:lineRule="auto"/>
        <w:rPr>
          <w:rFonts w:asciiTheme="majorBidi" w:hAnsiTheme="majorBidi" w:cstheme="majorBidi"/>
          <w:sz w:val="20"/>
          <w:szCs w:val="20"/>
        </w:rPr>
      </w:pPr>
      <w:r w:rsidRPr="00E40BFC">
        <w:rPr>
          <w:rFonts w:asciiTheme="majorBidi" w:hAnsiTheme="majorBidi" w:cstheme="majorBidi"/>
          <w:sz w:val="20"/>
          <w:szCs w:val="20"/>
        </w:rPr>
        <w:t xml:space="preserve">Some point source categories may be prioritized for the development of BAT/BEP guidance. Since Article 9 of the Convention requires Parties to identify relevant point source categories no later than three years after the entry into force, and on a regular basis thereafter, information on the point source categories identified by Parties may be compiled for the prioritization of the development of BAT/BEP guidance. The first full national reports under Article 21 to be submitted by 31 December 2021 will include relevant information on the implementation of Article 9. Minamata Initial Assessment reports may also contain relevant information on point source categories for which BAT/BET guidance is most needed. </w:t>
      </w:r>
    </w:p>
    <w:p w14:paraId="1FCE0742" w14:textId="55742C75" w:rsidR="00E40BFC" w:rsidRPr="00E40BFC" w:rsidRDefault="00E40BFC" w:rsidP="00E40BFC">
      <w:pPr>
        <w:pStyle w:val="CH2"/>
      </w:pPr>
      <w:r>
        <w:tab/>
      </w:r>
      <w:r w:rsidRPr="00E40BFC">
        <w:t xml:space="preserve">Technical information on BAT/BEP </w:t>
      </w:r>
    </w:p>
    <w:p w14:paraId="3DF92274" w14:textId="3F8872E5" w:rsidR="00E40BFC" w:rsidRPr="0026014C" w:rsidRDefault="00E40BFC" w:rsidP="0026014C">
      <w:pPr>
        <w:tabs>
          <w:tab w:val="left" w:pos="624"/>
        </w:tabs>
        <w:adjustRightInd w:val="0"/>
        <w:snapToGrid w:val="0"/>
        <w:spacing w:after="120" w:line="240" w:lineRule="auto"/>
        <w:rPr>
          <w:rFonts w:asciiTheme="majorBidi" w:hAnsiTheme="majorBidi" w:cstheme="majorBidi"/>
          <w:sz w:val="20"/>
          <w:szCs w:val="20"/>
        </w:rPr>
      </w:pPr>
      <w:r w:rsidRPr="0026014C">
        <w:rPr>
          <w:rFonts w:asciiTheme="majorBidi" w:hAnsiTheme="majorBidi" w:cstheme="majorBidi"/>
          <w:sz w:val="20"/>
          <w:szCs w:val="20"/>
        </w:rPr>
        <w:t xml:space="preserve">Existing information on specific technologies and practices, </w:t>
      </w:r>
      <w:proofErr w:type="gramStart"/>
      <w:r w:rsidRPr="0026014C">
        <w:rPr>
          <w:rFonts w:asciiTheme="majorBidi" w:hAnsiTheme="majorBidi" w:cstheme="majorBidi"/>
          <w:sz w:val="20"/>
          <w:szCs w:val="20"/>
        </w:rPr>
        <w:t>taking into account</w:t>
      </w:r>
      <w:proofErr w:type="gramEnd"/>
      <w:r w:rsidRPr="0026014C">
        <w:rPr>
          <w:rFonts w:asciiTheme="majorBidi" w:hAnsiTheme="majorBidi" w:cstheme="majorBidi"/>
          <w:sz w:val="20"/>
          <w:szCs w:val="20"/>
        </w:rPr>
        <w:t xml:space="preserve"> </w:t>
      </w:r>
      <w:r w:rsidR="00FE0A33">
        <w:rPr>
          <w:rFonts w:asciiTheme="majorBidi" w:hAnsiTheme="majorBidi" w:cstheme="majorBidi"/>
          <w:sz w:val="20"/>
          <w:szCs w:val="20"/>
        </w:rPr>
        <w:t xml:space="preserve">national circumstances and </w:t>
      </w:r>
      <w:r w:rsidRPr="0026014C">
        <w:rPr>
          <w:rFonts w:asciiTheme="majorBidi" w:hAnsiTheme="majorBidi" w:cstheme="majorBidi"/>
          <w:sz w:val="20"/>
          <w:szCs w:val="20"/>
        </w:rPr>
        <w:t>capacities of developed and developing countries, may be collected for the development of guidance. Information sources include technical documents used in national and regional contexts, such as the BAT reference documents (BREF) and national wastewater treatment standards for relevant sources. Parties may be invited to submit such relevant information. International industry associations, other non-governmental organizations and the UNEP Global Mercury Partnership may also wish to submit relevant information.</w:t>
      </w:r>
    </w:p>
    <w:p w14:paraId="19AB8DD1" w14:textId="328D012B" w:rsidR="00E40BFC" w:rsidRPr="00E40BFC" w:rsidRDefault="00E40BFC" w:rsidP="00E40BFC">
      <w:pPr>
        <w:pStyle w:val="CH2"/>
      </w:pPr>
      <w:r>
        <w:tab/>
      </w:r>
      <w:r w:rsidRPr="00E40BFC">
        <w:t>Structure of the BAT/BEP guidance</w:t>
      </w:r>
    </w:p>
    <w:p w14:paraId="656C3DF3" w14:textId="50ED7ADF" w:rsidR="00E40BFC" w:rsidRDefault="00E40BFC" w:rsidP="0026014C">
      <w:pPr>
        <w:tabs>
          <w:tab w:val="left" w:pos="624"/>
        </w:tabs>
        <w:adjustRightInd w:val="0"/>
        <w:snapToGrid w:val="0"/>
        <w:spacing w:after="120" w:line="240" w:lineRule="auto"/>
        <w:rPr>
          <w:rFonts w:asciiTheme="majorBidi" w:hAnsiTheme="majorBidi" w:cstheme="majorBidi"/>
          <w:sz w:val="20"/>
          <w:szCs w:val="20"/>
        </w:rPr>
      </w:pPr>
      <w:r w:rsidRPr="0026014C">
        <w:rPr>
          <w:rFonts w:asciiTheme="majorBidi" w:hAnsiTheme="majorBidi" w:cstheme="majorBidi"/>
          <w:sz w:val="20"/>
          <w:szCs w:val="20"/>
        </w:rPr>
        <w:t xml:space="preserve">Article 9 Paragraph 7(a) of the Convention provides that the guidance should </w:t>
      </w:r>
      <w:proofErr w:type="gramStart"/>
      <w:r w:rsidRPr="0026014C">
        <w:rPr>
          <w:rFonts w:asciiTheme="majorBidi" w:hAnsiTheme="majorBidi" w:cstheme="majorBidi"/>
          <w:sz w:val="20"/>
          <w:szCs w:val="20"/>
        </w:rPr>
        <w:t>take into account</w:t>
      </w:r>
      <w:proofErr w:type="gramEnd"/>
      <w:r w:rsidRPr="0026014C">
        <w:rPr>
          <w:rFonts w:asciiTheme="majorBidi" w:hAnsiTheme="majorBidi" w:cstheme="majorBidi"/>
          <w:sz w:val="20"/>
          <w:szCs w:val="20"/>
        </w:rPr>
        <w:t xml:space="preserve"> any difference between new and existing sources and the need to minimize cross-media effects. BAT/BEP guidance on mercury emissions pursuant to Article 8 Paragraph 8(a) of the Convention, which sets out a similar requirement, may serve as an example for considering the structure of the guidance on mercury releases.</w:t>
      </w:r>
    </w:p>
    <w:p w14:paraId="418FA23D" w14:textId="0F4AEBF8" w:rsidR="00FE0A33" w:rsidRPr="0026014C" w:rsidRDefault="00FE0A33" w:rsidP="0026014C">
      <w:pPr>
        <w:tabs>
          <w:tab w:val="left" w:pos="624"/>
        </w:tabs>
        <w:adjustRightInd w:val="0"/>
        <w:snapToGrid w:val="0"/>
        <w:spacing w:after="120" w:line="240" w:lineRule="auto"/>
        <w:rPr>
          <w:rFonts w:asciiTheme="majorBidi" w:hAnsiTheme="majorBidi" w:cstheme="majorBidi"/>
          <w:sz w:val="20"/>
          <w:szCs w:val="20"/>
        </w:rPr>
      </w:pPr>
      <w:r>
        <w:rPr>
          <w:rFonts w:asciiTheme="majorBidi" w:hAnsiTheme="majorBidi" w:cstheme="majorBidi"/>
          <w:sz w:val="20"/>
          <w:szCs w:val="20"/>
        </w:rPr>
        <w:t xml:space="preserve">Also, the BAT/BEP Guidance should </w:t>
      </w:r>
      <w:proofErr w:type="gramStart"/>
      <w:r w:rsidRPr="00FE0A33">
        <w:rPr>
          <w:rFonts w:asciiTheme="majorBidi" w:hAnsiTheme="majorBidi" w:cstheme="majorBidi"/>
          <w:sz w:val="20"/>
          <w:szCs w:val="20"/>
        </w:rPr>
        <w:t>tak</w:t>
      </w:r>
      <w:r>
        <w:rPr>
          <w:rFonts w:asciiTheme="majorBidi" w:hAnsiTheme="majorBidi" w:cstheme="majorBidi"/>
          <w:sz w:val="20"/>
          <w:szCs w:val="20"/>
        </w:rPr>
        <w:t xml:space="preserve">e </w:t>
      </w:r>
      <w:r w:rsidRPr="00FE0A33">
        <w:rPr>
          <w:rFonts w:asciiTheme="majorBidi" w:hAnsiTheme="majorBidi" w:cstheme="majorBidi"/>
          <w:sz w:val="20"/>
          <w:szCs w:val="20"/>
        </w:rPr>
        <w:t>into account</w:t>
      </w:r>
      <w:proofErr w:type="gramEnd"/>
      <w:r w:rsidRPr="00FE0A33">
        <w:rPr>
          <w:rFonts w:asciiTheme="majorBidi" w:hAnsiTheme="majorBidi" w:cstheme="majorBidi"/>
          <w:sz w:val="20"/>
          <w:szCs w:val="20"/>
        </w:rPr>
        <w:t xml:space="preserve"> national </w:t>
      </w:r>
      <w:r w:rsidR="006F7A6D">
        <w:rPr>
          <w:rFonts w:asciiTheme="majorBidi" w:hAnsiTheme="majorBidi" w:cstheme="majorBidi"/>
          <w:sz w:val="20"/>
          <w:szCs w:val="20"/>
        </w:rPr>
        <w:t xml:space="preserve">capabilities and circumstances </w:t>
      </w:r>
      <w:r w:rsidRPr="00FE0A33">
        <w:rPr>
          <w:rFonts w:asciiTheme="majorBidi" w:hAnsiTheme="majorBidi" w:cstheme="majorBidi"/>
          <w:sz w:val="20"/>
          <w:szCs w:val="20"/>
        </w:rPr>
        <w:t xml:space="preserve">of </w:t>
      </w:r>
      <w:r w:rsidR="006F7A6D">
        <w:rPr>
          <w:rFonts w:asciiTheme="majorBidi" w:hAnsiTheme="majorBidi" w:cstheme="majorBidi"/>
          <w:sz w:val="20"/>
          <w:szCs w:val="20"/>
        </w:rPr>
        <w:t xml:space="preserve">the </w:t>
      </w:r>
      <w:r w:rsidRPr="00FE0A33">
        <w:rPr>
          <w:rFonts w:asciiTheme="majorBidi" w:hAnsiTheme="majorBidi" w:cstheme="majorBidi"/>
          <w:sz w:val="20"/>
          <w:szCs w:val="20"/>
        </w:rPr>
        <w:t>Parties</w:t>
      </w:r>
      <w:r w:rsidR="006F7A6D">
        <w:rPr>
          <w:rFonts w:asciiTheme="majorBidi" w:hAnsiTheme="majorBidi" w:cstheme="majorBidi"/>
          <w:sz w:val="20"/>
          <w:szCs w:val="20"/>
        </w:rPr>
        <w:t>; in particular circumstances of developing and in transition economies countries.</w:t>
      </w:r>
    </w:p>
    <w:p w14:paraId="049187DF" w14:textId="66728BC3" w:rsidR="00E40BFC" w:rsidRPr="00E40BFC" w:rsidRDefault="00E40BFC" w:rsidP="00E40BFC">
      <w:pPr>
        <w:pStyle w:val="CH2"/>
      </w:pPr>
      <w:r>
        <w:tab/>
      </w:r>
      <w:r w:rsidRPr="00E40BFC">
        <w:t>Involvement of technical experts</w:t>
      </w:r>
    </w:p>
    <w:p w14:paraId="5E161B66" w14:textId="77777777" w:rsidR="00E40BFC" w:rsidRPr="0026014C" w:rsidRDefault="00E40BFC" w:rsidP="0026014C">
      <w:pPr>
        <w:tabs>
          <w:tab w:val="left" w:pos="624"/>
        </w:tabs>
        <w:adjustRightInd w:val="0"/>
        <w:snapToGrid w:val="0"/>
        <w:spacing w:after="120" w:line="240" w:lineRule="auto"/>
        <w:rPr>
          <w:rFonts w:asciiTheme="majorBidi" w:hAnsiTheme="majorBidi" w:cstheme="majorBidi"/>
          <w:sz w:val="20"/>
          <w:szCs w:val="20"/>
        </w:rPr>
      </w:pPr>
      <w:r w:rsidRPr="0026014C">
        <w:rPr>
          <w:rFonts w:asciiTheme="majorBidi" w:hAnsiTheme="majorBidi" w:cstheme="majorBidi"/>
          <w:sz w:val="20"/>
          <w:szCs w:val="20"/>
        </w:rPr>
        <w:t xml:space="preserve">This group of technical experts may serve as a group to collect technical information and draft the guidance.  Parties may wish to change the membership of the group, considering the need for further expertise on wastewater treatment and other abatement technologies and practice. The group may wish to cooperate with experts in BAT/BEP for specific point source categories. </w:t>
      </w:r>
    </w:p>
    <w:p w14:paraId="11260A66" w14:textId="53689A12" w:rsidR="00E40BFC" w:rsidRPr="00E40BFC" w:rsidRDefault="00E40BFC" w:rsidP="00E40BFC">
      <w:pPr>
        <w:pStyle w:val="CH2"/>
      </w:pPr>
      <w:r>
        <w:tab/>
      </w:r>
      <w:r w:rsidRPr="00E40BFC">
        <w:t>Timeline</w:t>
      </w:r>
    </w:p>
    <w:p w14:paraId="7B69A592" w14:textId="77777777" w:rsidR="00E40BFC" w:rsidRPr="0026014C" w:rsidRDefault="00E40BFC" w:rsidP="0026014C">
      <w:pPr>
        <w:tabs>
          <w:tab w:val="left" w:pos="624"/>
        </w:tabs>
        <w:adjustRightInd w:val="0"/>
        <w:snapToGrid w:val="0"/>
        <w:spacing w:after="120" w:line="240" w:lineRule="auto"/>
        <w:rPr>
          <w:rFonts w:asciiTheme="majorBidi" w:hAnsiTheme="majorBidi" w:cstheme="majorBidi"/>
          <w:sz w:val="20"/>
          <w:szCs w:val="20"/>
        </w:rPr>
      </w:pPr>
      <w:r w:rsidRPr="0026014C">
        <w:rPr>
          <w:rFonts w:asciiTheme="majorBidi" w:hAnsiTheme="majorBidi" w:cstheme="majorBidi"/>
          <w:sz w:val="20"/>
          <w:szCs w:val="20"/>
        </w:rPr>
        <w:t>The table below presents a possible timeline.</w:t>
      </w:r>
    </w:p>
    <w:tbl>
      <w:tblPr>
        <w:tblStyle w:val="TableGrid"/>
        <w:tblW w:w="8307" w:type="dxa"/>
        <w:jc w:val="right"/>
        <w:tblLook w:val="04A0" w:firstRow="1" w:lastRow="0" w:firstColumn="1" w:lastColumn="0" w:noHBand="0" w:noVBand="1"/>
      </w:tblPr>
      <w:tblGrid>
        <w:gridCol w:w="6444"/>
        <w:gridCol w:w="1863"/>
      </w:tblGrid>
      <w:tr w:rsidR="00E40BFC" w:rsidRPr="00E40BFC" w14:paraId="03350752" w14:textId="77777777" w:rsidTr="00E40BFC">
        <w:trPr>
          <w:trHeight w:val="57"/>
          <w:jc w:val="right"/>
        </w:trPr>
        <w:tc>
          <w:tcPr>
            <w:tcW w:w="6444" w:type="dxa"/>
          </w:tcPr>
          <w:p w14:paraId="1F01CCEC" w14:textId="578D7A21" w:rsidR="00E40BFC" w:rsidRPr="00E40BFC" w:rsidRDefault="00E40BFC" w:rsidP="00E40BFC">
            <w:pPr>
              <w:spacing w:before="40" w:after="40"/>
            </w:pPr>
            <w:r w:rsidRPr="00E40BFC">
              <w:t>Secretariat to hire consultants to collect technical information on BAT/BEP</w:t>
            </w:r>
            <w:r w:rsidR="00652293">
              <w:t>, within the available resources</w:t>
            </w:r>
            <w:r w:rsidRPr="00E40BFC">
              <w:t>.</w:t>
            </w:r>
          </w:p>
        </w:tc>
        <w:tc>
          <w:tcPr>
            <w:tcW w:w="1863" w:type="dxa"/>
          </w:tcPr>
          <w:p w14:paraId="231F4F61" w14:textId="77777777" w:rsidR="00E40BFC" w:rsidRPr="00E40BFC" w:rsidRDefault="00E40BFC" w:rsidP="00E40BFC">
            <w:pPr>
              <w:spacing w:before="40" w:after="40"/>
            </w:pPr>
            <w:r w:rsidRPr="00E40BFC">
              <w:t>[April] 2022</w:t>
            </w:r>
          </w:p>
        </w:tc>
      </w:tr>
      <w:tr w:rsidR="00E40BFC" w:rsidRPr="00E40BFC" w14:paraId="7838A90C" w14:textId="77777777" w:rsidTr="00E40BFC">
        <w:trPr>
          <w:trHeight w:val="57"/>
          <w:jc w:val="right"/>
        </w:trPr>
        <w:tc>
          <w:tcPr>
            <w:tcW w:w="6444" w:type="dxa"/>
          </w:tcPr>
          <w:p w14:paraId="2466886B" w14:textId="77777777" w:rsidR="00E40BFC" w:rsidRPr="00E40BFC" w:rsidRDefault="00E40BFC" w:rsidP="00E40BFC">
            <w:pPr>
              <w:spacing w:before="40" w:after="40"/>
            </w:pPr>
            <w:r w:rsidRPr="00E40BFC">
              <w:t>Secretariat to invite Parties, through COP bureau members, to confirm or change the membership of the group of experts.</w:t>
            </w:r>
          </w:p>
        </w:tc>
        <w:tc>
          <w:tcPr>
            <w:tcW w:w="1863" w:type="dxa"/>
          </w:tcPr>
          <w:p w14:paraId="0C8C2A1F" w14:textId="77777777" w:rsidR="00E40BFC" w:rsidRPr="00E40BFC" w:rsidRDefault="00E40BFC" w:rsidP="00E40BFC">
            <w:pPr>
              <w:spacing w:before="40" w:after="40"/>
            </w:pPr>
            <w:r w:rsidRPr="00E40BFC">
              <w:t>[April] 2022</w:t>
            </w:r>
          </w:p>
        </w:tc>
      </w:tr>
      <w:tr w:rsidR="00E40BFC" w:rsidRPr="00E40BFC" w14:paraId="43E59FE4" w14:textId="77777777" w:rsidTr="00E40BFC">
        <w:trPr>
          <w:trHeight w:val="57"/>
          <w:jc w:val="right"/>
        </w:trPr>
        <w:tc>
          <w:tcPr>
            <w:tcW w:w="6444" w:type="dxa"/>
          </w:tcPr>
          <w:p w14:paraId="30BA1DA2" w14:textId="77777777" w:rsidR="00E40BFC" w:rsidRPr="00E40BFC" w:rsidRDefault="00E40BFC" w:rsidP="00E40BFC">
            <w:pPr>
              <w:spacing w:before="40" w:after="40"/>
            </w:pPr>
            <w:r w:rsidRPr="00E40BFC">
              <w:t>Secretariat to compile information on relevant point sources based on Article 21 national reports and other submissions.</w:t>
            </w:r>
          </w:p>
        </w:tc>
        <w:tc>
          <w:tcPr>
            <w:tcW w:w="1863" w:type="dxa"/>
          </w:tcPr>
          <w:p w14:paraId="6F0F9575" w14:textId="77777777" w:rsidR="00E40BFC" w:rsidRPr="00E40BFC" w:rsidRDefault="00E40BFC" w:rsidP="00E40BFC">
            <w:pPr>
              <w:spacing w:before="40" w:after="40"/>
            </w:pPr>
            <w:r w:rsidRPr="00E40BFC">
              <w:t>[April] 2022</w:t>
            </w:r>
          </w:p>
        </w:tc>
      </w:tr>
      <w:tr w:rsidR="00E40BFC" w:rsidRPr="00E40BFC" w14:paraId="4260E993" w14:textId="77777777" w:rsidTr="00E40BFC">
        <w:trPr>
          <w:trHeight w:val="57"/>
          <w:jc w:val="right"/>
        </w:trPr>
        <w:tc>
          <w:tcPr>
            <w:tcW w:w="6444" w:type="dxa"/>
          </w:tcPr>
          <w:p w14:paraId="5B33C75E" w14:textId="77777777" w:rsidR="00E40BFC" w:rsidRPr="00E40BFC" w:rsidRDefault="00E40BFC" w:rsidP="00E40BFC">
            <w:pPr>
              <w:spacing w:before="40" w:after="40"/>
            </w:pPr>
            <w:r w:rsidRPr="00E40BFC">
              <w:t>Secretariat to circulate a call to Parties and other stakeholders to submit existing information on national regulations or industry practice on the control of mercury releases from relevant sources.</w:t>
            </w:r>
          </w:p>
        </w:tc>
        <w:tc>
          <w:tcPr>
            <w:tcW w:w="1863" w:type="dxa"/>
          </w:tcPr>
          <w:p w14:paraId="6C743D4F" w14:textId="77777777" w:rsidR="00E40BFC" w:rsidRPr="00E40BFC" w:rsidRDefault="00E40BFC" w:rsidP="00E40BFC">
            <w:pPr>
              <w:spacing w:before="40" w:after="40"/>
            </w:pPr>
            <w:r w:rsidRPr="00E40BFC">
              <w:t>[April] 2022</w:t>
            </w:r>
          </w:p>
        </w:tc>
      </w:tr>
      <w:tr w:rsidR="00652293" w:rsidRPr="00CC4D96" w14:paraId="7EF70226" w14:textId="77777777" w:rsidTr="00E40BFC">
        <w:trPr>
          <w:trHeight w:val="57"/>
          <w:jc w:val="right"/>
        </w:trPr>
        <w:tc>
          <w:tcPr>
            <w:tcW w:w="6444" w:type="dxa"/>
          </w:tcPr>
          <w:p w14:paraId="7CD4D146" w14:textId="00976989" w:rsidR="00652293" w:rsidRPr="00CC4D96" w:rsidRDefault="00652293" w:rsidP="00E40BFC">
            <w:pPr>
              <w:spacing w:before="40" w:after="40"/>
            </w:pPr>
            <w:r w:rsidRPr="00CC4D96">
              <w:t>Group of technical experts to elect co-chairs, identify observers to invite, and agree on the modality of work including online meetings and face-to-face meetings, within the availability of resources.</w:t>
            </w:r>
          </w:p>
        </w:tc>
        <w:tc>
          <w:tcPr>
            <w:tcW w:w="1863" w:type="dxa"/>
          </w:tcPr>
          <w:p w14:paraId="0B6D6637" w14:textId="1DC090FF" w:rsidR="00652293" w:rsidRPr="00CC4D96" w:rsidRDefault="00652293" w:rsidP="00E40BFC">
            <w:pPr>
              <w:spacing w:before="40" w:after="40"/>
            </w:pPr>
            <w:r w:rsidRPr="00CC4D96">
              <w:t>[June] 2022</w:t>
            </w:r>
          </w:p>
        </w:tc>
      </w:tr>
      <w:tr w:rsidR="00E40BFC" w:rsidRPr="00E40BFC" w14:paraId="40D4C094" w14:textId="77777777" w:rsidTr="00E40BFC">
        <w:trPr>
          <w:trHeight w:val="57"/>
          <w:jc w:val="right"/>
        </w:trPr>
        <w:tc>
          <w:tcPr>
            <w:tcW w:w="6444" w:type="dxa"/>
          </w:tcPr>
          <w:p w14:paraId="1AED7935" w14:textId="77777777" w:rsidR="00E40BFC" w:rsidRPr="00E40BFC" w:rsidRDefault="00E40BFC" w:rsidP="00E40BFC">
            <w:pPr>
              <w:spacing w:before="40" w:after="40"/>
            </w:pPr>
            <w:r w:rsidRPr="00E40BFC">
              <w:lastRenderedPageBreak/>
              <w:t>Group of technical experts to review information compiled by the Secretariat, with the support of consultants, including the submissions from Parties and stakeholders.</w:t>
            </w:r>
          </w:p>
        </w:tc>
        <w:tc>
          <w:tcPr>
            <w:tcW w:w="1863" w:type="dxa"/>
          </w:tcPr>
          <w:p w14:paraId="234FA0B3" w14:textId="77777777" w:rsidR="00E40BFC" w:rsidRPr="00E40BFC" w:rsidRDefault="00E40BFC" w:rsidP="00E40BFC">
            <w:pPr>
              <w:spacing w:before="40" w:after="40"/>
            </w:pPr>
            <w:r w:rsidRPr="00E40BFC">
              <w:t>[September] 2022</w:t>
            </w:r>
          </w:p>
        </w:tc>
      </w:tr>
      <w:tr w:rsidR="00E40BFC" w:rsidRPr="00E40BFC" w14:paraId="00794AB0" w14:textId="77777777" w:rsidTr="00E40BFC">
        <w:trPr>
          <w:trHeight w:val="57"/>
          <w:jc w:val="right"/>
        </w:trPr>
        <w:tc>
          <w:tcPr>
            <w:tcW w:w="6444" w:type="dxa"/>
          </w:tcPr>
          <w:p w14:paraId="3CECC788" w14:textId="77777777" w:rsidR="00E40BFC" w:rsidRPr="00E40BFC" w:rsidRDefault="00E40BFC" w:rsidP="00E40BFC">
            <w:pPr>
              <w:spacing w:before="40" w:after="40"/>
            </w:pPr>
            <w:r w:rsidRPr="00E40BFC">
              <w:t>Group of technical experts, with the support of the Secretariat and the consultants, to prepare a first draft of the guidance on BAT/BEP.</w:t>
            </w:r>
          </w:p>
        </w:tc>
        <w:tc>
          <w:tcPr>
            <w:tcW w:w="1863" w:type="dxa"/>
          </w:tcPr>
          <w:p w14:paraId="62AF771C" w14:textId="77777777" w:rsidR="00E40BFC" w:rsidRPr="00E40BFC" w:rsidRDefault="00E40BFC" w:rsidP="00E40BFC">
            <w:pPr>
              <w:spacing w:before="40" w:after="40"/>
            </w:pPr>
            <w:r w:rsidRPr="00E40BFC">
              <w:t>December 2022</w:t>
            </w:r>
          </w:p>
        </w:tc>
      </w:tr>
      <w:tr w:rsidR="00E40BFC" w:rsidRPr="00E40BFC" w14:paraId="651A5C0E" w14:textId="77777777" w:rsidTr="00E40BFC">
        <w:trPr>
          <w:trHeight w:val="57"/>
          <w:jc w:val="right"/>
        </w:trPr>
        <w:tc>
          <w:tcPr>
            <w:tcW w:w="6444" w:type="dxa"/>
          </w:tcPr>
          <w:p w14:paraId="4832E96D" w14:textId="77777777" w:rsidR="00E40BFC" w:rsidRPr="00E40BFC" w:rsidRDefault="00E40BFC" w:rsidP="00E40BFC">
            <w:pPr>
              <w:spacing w:before="40" w:after="40"/>
            </w:pPr>
            <w:r w:rsidRPr="00E40BFC">
              <w:t>First draft to be posted on the Convention website for comments and input.</w:t>
            </w:r>
          </w:p>
        </w:tc>
        <w:tc>
          <w:tcPr>
            <w:tcW w:w="1863" w:type="dxa"/>
          </w:tcPr>
          <w:p w14:paraId="6431C9DF" w14:textId="77777777" w:rsidR="00E40BFC" w:rsidRPr="00E40BFC" w:rsidRDefault="00E40BFC" w:rsidP="00E40BFC">
            <w:pPr>
              <w:spacing w:before="40" w:after="40"/>
            </w:pPr>
            <w:r w:rsidRPr="00E40BFC">
              <w:t>January 2023</w:t>
            </w:r>
          </w:p>
        </w:tc>
      </w:tr>
      <w:tr w:rsidR="00E40BFC" w:rsidRPr="00E40BFC" w14:paraId="11811E22" w14:textId="77777777" w:rsidTr="00E40BFC">
        <w:trPr>
          <w:trHeight w:val="57"/>
          <w:jc w:val="right"/>
        </w:trPr>
        <w:tc>
          <w:tcPr>
            <w:tcW w:w="6444" w:type="dxa"/>
          </w:tcPr>
          <w:p w14:paraId="3F4A8271" w14:textId="77777777" w:rsidR="00E40BFC" w:rsidRPr="00E40BFC" w:rsidRDefault="00E40BFC" w:rsidP="00E40BFC">
            <w:pPr>
              <w:spacing w:before="40" w:after="40"/>
            </w:pPr>
            <w:r w:rsidRPr="00E40BFC">
              <w:t>Deadline for comments from Parties and stakeholders on the first draft.</w:t>
            </w:r>
          </w:p>
        </w:tc>
        <w:tc>
          <w:tcPr>
            <w:tcW w:w="1863" w:type="dxa"/>
          </w:tcPr>
          <w:p w14:paraId="287AFE79" w14:textId="77777777" w:rsidR="00E40BFC" w:rsidRPr="00E40BFC" w:rsidRDefault="00E40BFC" w:rsidP="00E40BFC">
            <w:pPr>
              <w:spacing w:before="40" w:after="40"/>
            </w:pPr>
            <w:r w:rsidRPr="00E40BFC">
              <w:t>March 2023</w:t>
            </w:r>
          </w:p>
        </w:tc>
      </w:tr>
      <w:tr w:rsidR="00E40BFC" w:rsidRPr="00E40BFC" w14:paraId="5259C411" w14:textId="77777777" w:rsidTr="00E40BFC">
        <w:trPr>
          <w:trHeight w:val="57"/>
          <w:jc w:val="right"/>
        </w:trPr>
        <w:tc>
          <w:tcPr>
            <w:tcW w:w="6444" w:type="dxa"/>
          </w:tcPr>
          <w:p w14:paraId="216DBE58" w14:textId="77777777" w:rsidR="00E40BFC" w:rsidRPr="00E40BFC" w:rsidRDefault="00E40BFC" w:rsidP="00E40BFC">
            <w:pPr>
              <w:spacing w:before="40" w:after="40"/>
            </w:pPr>
            <w:r w:rsidRPr="00E40BFC">
              <w:t>Group of technical experts to revise the draft guidance considering the comments received.</w:t>
            </w:r>
          </w:p>
        </w:tc>
        <w:tc>
          <w:tcPr>
            <w:tcW w:w="1863" w:type="dxa"/>
          </w:tcPr>
          <w:p w14:paraId="0A2BEE18" w14:textId="77777777" w:rsidR="00E40BFC" w:rsidRPr="00E40BFC" w:rsidRDefault="00E40BFC" w:rsidP="00E40BFC">
            <w:pPr>
              <w:spacing w:before="40" w:after="40"/>
            </w:pPr>
            <w:r w:rsidRPr="00E40BFC">
              <w:t>April-June 2020</w:t>
            </w:r>
          </w:p>
        </w:tc>
      </w:tr>
      <w:tr w:rsidR="00E40BFC" w:rsidRPr="00E40BFC" w14:paraId="4B4EEBA5" w14:textId="77777777" w:rsidTr="00E40BFC">
        <w:trPr>
          <w:trHeight w:val="57"/>
          <w:jc w:val="right"/>
        </w:trPr>
        <w:tc>
          <w:tcPr>
            <w:tcW w:w="6444" w:type="dxa"/>
          </w:tcPr>
          <w:p w14:paraId="58C3A69A" w14:textId="77777777" w:rsidR="00E40BFC" w:rsidRPr="00E40BFC" w:rsidRDefault="00E40BFC" w:rsidP="00E40BFC">
            <w:pPr>
              <w:spacing w:before="40" w:after="40"/>
            </w:pPr>
            <w:r w:rsidRPr="00E40BFC">
              <w:t>Draft guidance finalised for submission as COP-5 document.</w:t>
            </w:r>
          </w:p>
        </w:tc>
        <w:tc>
          <w:tcPr>
            <w:tcW w:w="1863" w:type="dxa"/>
          </w:tcPr>
          <w:p w14:paraId="64DB4765" w14:textId="77777777" w:rsidR="00E40BFC" w:rsidRPr="00E40BFC" w:rsidRDefault="00E40BFC" w:rsidP="00E40BFC">
            <w:pPr>
              <w:spacing w:before="40" w:after="40"/>
            </w:pPr>
            <w:r w:rsidRPr="00E40BFC">
              <w:t>July 2023</w:t>
            </w:r>
          </w:p>
        </w:tc>
      </w:tr>
    </w:tbl>
    <w:p w14:paraId="2DB2FFBF" w14:textId="77777777" w:rsidR="00E40BFC" w:rsidRPr="00E40BFC" w:rsidRDefault="00E40BFC" w:rsidP="00E40BFC">
      <w:pPr>
        <w:rPr>
          <w:rFonts w:ascii="Times New Roman" w:hAnsi="Times New Roman" w:cs="Times New Roman"/>
        </w:rPr>
      </w:pPr>
    </w:p>
    <w:p w14:paraId="4709FDF4" w14:textId="6EEB8365" w:rsidR="00E40BFC" w:rsidRPr="00E40BFC" w:rsidRDefault="00E40BFC" w:rsidP="00E40BFC">
      <w:pPr>
        <w:pStyle w:val="CH2"/>
      </w:pPr>
      <w:r>
        <w:tab/>
      </w:r>
      <w:r w:rsidRPr="00E40BFC">
        <w:t>Relationship with other articles</w:t>
      </w:r>
    </w:p>
    <w:p w14:paraId="656062FD" w14:textId="77777777" w:rsidR="00E40BFC" w:rsidRPr="0026014C" w:rsidRDefault="00E40BFC" w:rsidP="0026014C">
      <w:pPr>
        <w:tabs>
          <w:tab w:val="left" w:pos="624"/>
        </w:tabs>
        <w:adjustRightInd w:val="0"/>
        <w:snapToGrid w:val="0"/>
        <w:spacing w:after="120" w:line="240" w:lineRule="auto"/>
        <w:rPr>
          <w:rFonts w:asciiTheme="majorBidi" w:hAnsiTheme="majorBidi" w:cstheme="majorBidi"/>
          <w:sz w:val="20"/>
          <w:szCs w:val="20"/>
        </w:rPr>
      </w:pPr>
      <w:r w:rsidRPr="0026014C">
        <w:rPr>
          <w:rFonts w:asciiTheme="majorBidi" w:hAnsiTheme="majorBidi" w:cstheme="majorBidi"/>
          <w:sz w:val="20"/>
          <w:szCs w:val="20"/>
        </w:rPr>
        <w:t xml:space="preserve">In the process of developing the guidance, information relevant to other articles of the Convention such as Article 8 (emissions) and 11 (mercury waste) may become available. Such information may be incorporated into relevant guidance documents or made available on </w:t>
      </w:r>
      <w:r w:rsidR="00F83B56">
        <w:rPr>
          <w:rFonts w:asciiTheme="majorBidi" w:hAnsiTheme="majorBidi" w:cstheme="majorBidi"/>
          <w:sz w:val="20"/>
          <w:szCs w:val="20"/>
        </w:rPr>
        <w:t xml:space="preserve">the </w:t>
      </w:r>
      <w:r w:rsidRPr="0026014C">
        <w:rPr>
          <w:rFonts w:asciiTheme="majorBidi" w:hAnsiTheme="majorBidi" w:cstheme="majorBidi"/>
          <w:sz w:val="20"/>
          <w:szCs w:val="20"/>
        </w:rPr>
        <w:t>website.</w:t>
      </w:r>
    </w:p>
    <w:p w14:paraId="00C7BD75" w14:textId="3DC26C96" w:rsidR="000952B6" w:rsidRDefault="000952B6">
      <w:pPr>
        <w:rPr>
          <w:rFonts w:ascii="Times New Roman" w:eastAsia="Times New Roman" w:hAnsi="Times New Roman" w:cs="Times New Roman"/>
          <w:sz w:val="20"/>
          <w:szCs w:val="20"/>
          <w:lang w:eastAsia="en-US"/>
        </w:rPr>
      </w:pPr>
    </w:p>
    <w:sectPr w:rsidR="000952B6" w:rsidSect="000A272E">
      <w:footerReference w:type="default" r:id="rId23"/>
      <w:headerReference w:type="firs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D68F5" w14:textId="77777777" w:rsidR="00736ADD" w:rsidRDefault="00736ADD" w:rsidP="00B968D7">
      <w:pPr>
        <w:spacing w:after="0" w:line="240" w:lineRule="auto"/>
      </w:pPr>
      <w:r>
        <w:separator/>
      </w:r>
    </w:p>
  </w:endnote>
  <w:endnote w:type="continuationSeparator" w:id="0">
    <w:p w14:paraId="6AFD940A" w14:textId="77777777" w:rsidR="00736ADD" w:rsidRDefault="00736ADD" w:rsidP="00B968D7">
      <w:pPr>
        <w:spacing w:after="0" w:line="240" w:lineRule="auto"/>
      </w:pPr>
      <w:r>
        <w:continuationSeparator/>
      </w:r>
    </w:p>
  </w:endnote>
  <w:endnote w:type="continuationNotice" w:id="1">
    <w:p w14:paraId="3649E14A" w14:textId="77777777" w:rsidR="00736ADD" w:rsidRDefault="00736A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0820905"/>
      <w:docPartObj>
        <w:docPartGallery w:val="Page Numbers (Bottom of Page)"/>
        <w:docPartUnique/>
      </w:docPartObj>
    </w:sdtPr>
    <w:sdtEndPr>
      <w:rPr>
        <w:noProof/>
      </w:rPr>
    </w:sdtEndPr>
    <w:sdtContent>
      <w:p w14:paraId="39A695C4" w14:textId="28E6724A" w:rsidR="00724909" w:rsidRDefault="007249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A4DA4F" w14:textId="77777777" w:rsidR="00724909" w:rsidRDefault="007249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86D634" w14:textId="77777777" w:rsidR="00736ADD" w:rsidRDefault="00736ADD" w:rsidP="00B968D7">
      <w:pPr>
        <w:spacing w:after="0" w:line="240" w:lineRule="auto"/>
      </w:pPr>
      <w:r>
        <w:separator/>
      </w:r>
    </w:p>
  </w:footnote>
  <w:footnote w:type="continuationSeparator" w:id="0">
    <w:p w14:paraId="7088E9D8" w14:textId="77777777" w:rsidR="00736ADD" w:rsidRDefault="00736ADD" w:rsidP="00B968D7">
      <w:pPr>
        <w:spacing w:after="0" w:line="240" w:lineRule="auto"/>
      </w:pPr>
      <w:r>
        <w:continuationSeparator/>
      </w:r>
    </w:p>
  </w:footnote>
  <w:footnote w:type="continuationNotice" w:id="1">
    <w:p w14:paraId="7A7ECD3B" w14:textId="77777777" w:rsidR="00736ADD" w:rsidRDefault="00736ADD">
      <w:pPr>
        <w:spacing w:after="0" w:line="240" w:lineRule="auto"/>
      </w:pPr>
    </w:p>
  </w:footnote>
  <w:footnote w:id="2">
    <w:p w14:paraId="448777DB" w14:textId="69917ABD" w:rsidR="00A84A86" w:rsidRPr="00992024" w:rsidRDefault="00A84A86">
      <w:pPr>
        <w:pStyle w:val="FootnoteText"/>
        <w:rPr>
          <w:rFonts w:eastAsia="MS Mincho"/>
          <w:lang w:val="en-US" w:eastAsia="ja-JP"/>
        </w:rPr>
      </w:pPr>
      <w:r>
        <w:rPr>
          <w:rStyle w:val="FootnoteReference"/>
        </w:rPr>
        <w:footnoteRef/>
      </w:r>
      <w:r w:rsidRPr="00992024">
        <w:rPr>
          <w:lang w:val="en-US"/>
        </w:rPr>
        <w:t xml:space="preserve"> </w:t>
      </w:r>
      <w:r>
        <w:rPr>
          <w:rFonts w:eastAsia="MS Mincho"/>
          <w:lang w:val="en-US" w:eastAsia="ja-JP"/>
        </w:rPr>
        <w:t>Containment failures could lead to mercury release to the environment, although such release may be regarded as a diffuse source.</w:t>
      </w:r>
    </w:p>
  </w:footnote>
  <w:footnote w:id="3">
    <w:p w14:paraId="023ACC60" w14:textId="27020878" w:rsidR="00724909" w:rsidRDefault="00724909" w:rsidP="000F50D4">
      <w:pPr>
        <w:pStyle w:val="FootnoteText"/>
        <w:rPr>
          <w:lang w:val="en-US"/>
        </w:rPr>
      </w:pPr>
      <w:r>
        <w:rPr>
          <w:rStyle w:val="FootnoteReference"/>
        </w:rPr>
        <w:footnoteRef/>
      </w:r>
      <w:r w:rsidRPr="000F50D4">
        <w:rPr>
          <w:lang w:val="en-US"/>
        </w:rPr>
        <w:t xml:space="preserve"> </w:t>
      </w:r>
      <w:r w:rsidRPr="00EC1CB5">
        <w:rPr>
          <w:lang w:val="en-US"/>
        </w:rPr>
        <w:t xml:space="preserve">An initial source identification may be </w:t>
      </w:r>
      <w:r>
        <w:rPr>
          <w:lang w:val="en-US"/>
        </w:rPr>
        <w:t>ob</w:t>
      </w:r>
      <w:r w:rsidRPr="00EC1CB5">
        <w:rPr>
          <w:lang w:val="en-US"/>
        </w:rPr>
        <w:t xml:space="preserve">tained with minimal efforts by using the UNEP Toolkit for Identification and Quantification of Mercury Releases, available at: https://www.unenvironment.org/explore-topics/chemicals-waste/what-we-do/mercury/mercury-inventory-toolkit </w:t>
      </w:r>
    </w:p>
    <w:p w14:paraId="47CA6CB9" w14:textId="21417487" w:rsidR="00724909" w:rsidRDefault="00724909" w:rsidP="000F50D4">
      <w:pPr>
        <w:pStyle w:val="FootnoteText"/>
        <w:rPr>
          <w:lang w:val="en-US"/>
        </w:rPr>
      </w:pPr>
      <w:r w:rsidRPr="000F50D4">
        <w:rPr>
          <w:lang w:val="en-US"/>
        </w:rPr>
        <w:t xml:space="preserve">There is a wealth of experience available from countries and from international bodies and organizations, such as OECD, UNECE, UNEP and UNITAR, that are active in the development of PRTRs.  See e.g. </w:t>
      </w:r>
      <w:hyperlink r:id="rId1" w:history="1">
        <w:r w:rsidRPr="000233D0">
          <w:rPr>
            <w:rStyle w:val="Hyperlink"/>
            <w:sz w:val="18"/>
            <w:lang w:val="en-US"/>
          </w:rPr>
          <w:t>the note on Technical assistance and resources</w:t>
        </w:r>
      </w:hyperlink>
      <w:r>
        <w:rPr>
          <w:lang w:val="en-US"/>
        </w:rPr>
        <w:t>. In addition, the ECLAC Escazu Agreement, a R</w:t>
      </w:r>
      <w:r w:rsidRPr="008D66C1">
        <w:rPr>
          <w:lang w:val="en-US"/>
        </w:rPr>
        <w:t>egional Agreement on Access to Information, Public Participation and Justice in Environmental Matters in Latin America and the Caribbean</w:t>
      </w:r>
      <w:r>
        <w:rPr>
          <w:lang w:val="en-US"/>
        </w:rPr>
        <w:t xml:space="preserve"> which will enter into force on 22 April 2021, covers the establishment of PRTRs in its Art. 6(4); see </w:t>
      </w:r>
      <w:hyperlink r:id="rId2" w:history="1">
        <w:r w:rsidRPr="005C2A2C">
          <w:rPr>
            <w:rStyle w:val="Hyperlink"/>
            <w:sz w:val="18"/>
            <w:lang w:val="en-US"/>
          </w:rPr>
          <w:t>https://www.cepal.org/en/escazuagreement</w:t>
        </w:r>
      </w:hyperlink>
      <w:r>
        <w:rPr>
          <w:lang w:val="en-US"/>
        </w:rPr>
        <w:t>.</w:t>
      </w:r>
    </w:p>
    <w:p w14:paraId="74498C81" w14:textId="1EE0F9A8" w:rsidR="00724909" w:rsidRDefault="00724909" w:rsidP="000F50D4">
      <w:pPr>
        <w:pStyle w:val="FootnoteText"/>
        <w:rPr>
          <w:lang w:val="en-US"/>
        </w:rPr>
      </w:pPr>
      <w:r w:rsidRPr="000F50D4">
        <w:rPr>
          <w:lang w:val="en-US"/>
        </w:rPr>
        <w:t xml:space="preserve">More information on the establishment and implementation of PRTRs may be found at the website </w:t>
      </w:r>
      <w:hyperlink r:id="rId3" w:history="1">
        <w:r w:rsidRPr="006C6D5C">
          <w:rPr>
            <w:rStyle w:val="Hyperlink"/>
            <w:sz w:val="18"/>
            <w:lang w:val="en-US"/>
          </w:rPr>
          <w:t>PRTR.net</w:t>
        </w:r>
      </w:hyperlink>
      <w:r w:rsidRPr="000F50D4">
        <w:rPr>
          <w:lang w:val="en-US"/>
        </w:rPr>
        <w:t>, which has been developed and is maintained by the Organization for Economic Cooperation and Development (OECD), in cooperation with the United Nations Economic Commission for Europe (UNECE).</w:t>
      </w:r>
    </w:p>
    <w:p w14:paraId="7E1BC1FC" w14:textId="3A4D3615" w:rsidR="00724909" w:rsidRDefault="00724909" w:rsidP="000F50D4">
      <w:pPr>
        <w:pStyle w:val="FootnoteText"/>
        <w:rPr>
          <w:lang w:val="en-US"/>
        </w:rPr>
      </w:pPr>
      <w:r w:rsidRPr="000F50D4">
        <w:rPr>
          <w:lang w:val="en-US"/>
        </w:rPr>
        <w:t>Other useful resources include</w:t>
      </w:r>
      <w:r>
        <w:rPr>
          <w:lang w:val="en-US"/>
        </w:rPr>
        <w:t>:</w:t>
      </w:r>
    </w:p>
    <w:p w14:paraId="75AB3692" w14:textId="77777777" w:rsidR="00724909" w:rsidRDefault="00724909" w:rsidP="00BA0991">
      <w:pPr>
        <w:pStyle w:val="FootnoteText"/>
        <w:numPr>
          <w:ilvl w:val="0"/>
          <w:numId w:val="13"/>
        </w:numPr>
        <w:rPr>
          <w:lang w:val="en-US"/>
        </w:rPr>
      </w:pPr>
      <w:r w:rsidRPr="000F50D4">
        <w:rPr>
          <w:lang w:val="en-US"/>
        </w:rPr>
        <w:t xml:space="preserve">Inter-Organization Programme for the Sound Management of Chemicals (IOMC) </w:t>
      </w:r>
      <w:hyperlink r:id="rId4" w:history="1">
        <w:r w:rsidRPr="006C6D5C">
          <w:rPr>
            <w:rStyle w:val="Hyperlink"/>
            <w:sz w:val="18"/>
            <w:lang w:val="en-US"/>
          </w:rPr>
          <w:t>Toolbox</w:t>
        </w:r>
      </w:hyperlink>
    </w:p>
    <w:p w14:paraId="6C468C47" w14:textId="77777777" w:rsidR="00724909" w:rsidRDefault="00724909" w:rsidP="00BA0991">
      <w:pPr>
        <w:pStyle w:val="FootnoteText"/>
        <w:numPr>
          <w:ilvl w:val="0"/>
          <w:numId w:val="13"/>
        </w:numPr>
        <w:rPr>
          <w:lang w:val="en-US"/>
        </w:rPr>
      </w:pPr>
      <w:r>
        <w:rPr>
          <w:lang w:val="en-US"/>
        </w:rPr>
        <w:t>D</w:t>
      </w:r>
      <w:r w:rsidRPr="000F50D4">
        <w:rPr>
          <w:lang w:val="en-US"/>
        </w:rPr>
        <w:t xml:space="preserve">etailed </w:t>
      </w:r>
      <w:hyperlink r:id="rId5" w:history="1">
        <w:r w:rsidRPr="006C6D5C">
          <w:rPr>
            <w:rStyle w:val="Hyperlink"/>
            <w:sz w:val="18"/>
            <w:lang w:val="en-US"/>
          </w:rPr>
          <w:t>guidance</w:t>
        </w:r>
      </w:hyperlink>
      <w:r w:rsidRPr="000F50D4">
        <w:rPr>
          <w:lang w:val="en-US"/>
        </w:rPr>
        <w:t xml:space="preserve"> developed by OECD</w:t>
      </w:r>
    </w:p>
    <w:p w14:paraId="49B5FD2C" w14:textId="3D486B6A" w:rsidR="00724909" w:rsidRDefault="001F17D6" w:rsidP="00BA0991">
      <w:pPr>
        <w:pStyle w:val="FootnoteText"/>
        <w:numPr>
          <w:ilvl w:val="0"/>
          <w:numId w:val="13"/>
        </w:numPr>
        <w:rPr>
          <w:lang w:val="en-US"/>
        </w:rPr>
      </w:pPr>
      <w:hyperlink r:id="rId6" w:history="1">
        <w:r w:rsidR="00724909" w:rsidRPr="006C6D5C">
          <w:rPr>
            <w:rStyle w:val="Hyperlink"/>
            <w:sz w:val="18"/>
            <w:lang w:val="en-US"/>
          </w:rPr>
          <w:t>Guidance</w:t>
        </w:r>
      </w:hyperlink>
      <w:r w:rsidR="00724909" w:rsidRPr="000F50D4">
        <w:rPr>
          <w:lang w:val="en-US"/>
        </w:rPr>
        <w:t xml:space="preserve"> on the Implementation of the UNECE Protocol on PRTRs</w:t>
      </w:r>
      <w:r w:rsidR="00724909">
        <w:rPr>
          <w:lang w:val="en-US"/>
        </w:rPr>
        <w:t>.</w:t>
      </w:r>
    </w:p>
    <w:p w14:paraId="7FB58731" w14:textId="6AF03829" w:rsidR="00724909" w:rsidRPr="000F50D4" w:rsidRDefault="00724909" w:rsidP="000F50D4">
      <w:pPr>
        <w:pStyle w:val="FootnoteText"/>
        <w:rPr>
          <w:lang w:val="en-US"/>
        </w:rPr>
      </w:pPr>
      <w:r w:rsidRPr="000F50D4">
        <w:rPr>
          <w:lang w:val="en-US"/>
        </w:rPr>
        <w:t xml:space="preserve">UNITAR also makes available a number of </w:t>
      </w:r>
      <w:hyperlink r:id="rId7" w:history="1">
        <w:r w:rsidRPr="00BA0991">
          <w:rPr>
            <w:rStyle w:val="Hyperlink"/>
            <w:sz w:val="18"/>
            <w:lang w:val="en-US"/>
          </w:rPr>
          <w:t>resources</w:t>
        </w:r>
      </w:hyperlink>
      <w:r w:rsidRPr="000F50D4">
        <w:rPr>
          <w:lang w:val="en-US"/>
        </w:rPr>
        <w:t xml:space="preserve"> that facilitated countries’ implementation of PRTR systems, such as links to international guidelines, factsheets, videos, a network of international experts and </w:t>
      </w:r>
      <w:hyperlink r:id="rId8" w:history="1">
        <w:r w:rsidRPr="00BA0991">
          <w:rPr>
            <w:rStyle w:val="Hyperlink"/>
            <w:sz w:val="18"/>
            <w:lang w:val="en-US"/>
          </w:rPr>
          <w:t>e-learning opportunities</w:t>
        </w:r>
      </w:hyperlink>
      <w:r w:rsidRPr="000F50D4">
        <w:rPr>
          <w:lang w:val="en-US"/>
        </w:rPr>
        <w:t>.</w:t>
      </w:r>
    </w:p>
    <w:p w14:paraId="7E41A836" w14:textId="59FAA648" w:rsidR="00724909" w:rsidRDefault="00724909" w:rsidP="000F50D4">
      <w:pPr>
        <w:pStyle w:val="FootnoteText"/>
        <w:rPr>
          <w:lang w:val="en-US"/>
        </w:rPr>
      </w:pPr>
      <w:r w:rsidRPr="000F50D4">
        <w:rPr>
          <w:lang w:val="en-US"/>
        </w:rPr>
        <w:t>It should be noted that the PRTRs may have thresholds for reporting, under which facilities emitting less than the threshold have no obligation to report. A Party may consider using thresholds for mercury that are low enough to capture relevant sources. A Party may also complement the reported release amount of mercury with estimates of releases from smaller sources.</w:t>
      </w:r>
    </w:p>
    <w:p w14:paraId="7FC9F224" w14:textId="5E311F1E" w:rsidR="00724909" w:rsidRPr="000F50D4" w:rsidRDefault="00724909" w:rsidP="000F50D4">
      <w:pPr>
        <w:pStyle w:val="FootnoteText"/>
        <w:rPr>
          <w:lang w:val="en-US"/>
        </w:rPr>
      </w:pPr>
      <w:r w:rsidRPr="00BA0991">
        <w:rPr>
          <w:lang w:val="en-US"/>
        </w:rPr>
        <w:t>PRTR and its related legislation cover multiple pollutants and source categories. They regulate reporting requirements for the facilities including the reporting cycle, data collection and record keeping, quality assessment by the competent authority, and the dissemination of information to the public and other stakeholders</w:t>
      </w:r>
    </w:p>
  </w:footnote>
  <w:footnote w:id="4">
    <w:p w14:paraId="3D320A31" w14:textId="5E6BD15D" w:rsidR="00724909" w:rsidRPr="00CF148F" w:rsidRDefault="00724909">
      <w:pPr>
        <w:pStyle w:val="FootnoteText"/>
        <w:rPr>
          <w:lang w:val="en-US"/>
        </w:rPr>
      </w:pPr>
      <w:r>
        <w:rPr>
          <w:rStyle w:val="FootnoteReference"/>
        </w:rPr>
        <w:footnoteRef/>
      </w:r>
      <w:r w:rsidRPr="00CF148F">
        <w:rPr>
          <w:lang w:val="en-US"/>
        </w:rPr>
        <w:t xml:space="preserve"> </w:t>
      </w:r>
      <w:r>
        <w:rPr>
          <w:lang w:val="en-US"/>
        </w:rPr>
        <w:t>A</w:t>
      </w:r>
      <w:r w:rsidRPr="00CF148F">
        <w:rPr>
          <w:lang w:val="en-US"/>
        </w:rPr>
        <w:t xml:space="preserve"> map of countries with PRTR activities </w:t>
      </w:r>
      <w:r>
        <w:rPr>
          <w:lang w:val="en-US"/>
        </w:rPr>
        <w:t xml:space="preserve">is </w:t>
      </w:r>
      <w:r w:rsidRPr="00CF148F">
        <w:rPr>
          <w:lang w:val="en-US"/>
        </w:rPr>
        <w:t xml:space="preserve">available at </w:t>
      </w:r>
      <w:hyperlink r:id="rId9" w:history="1">
        <w:r w:rsidRPr="00CF148F">
          <w:rPr>
            <w:rStyle w:val="Hyperlink"/>
            <w:sz w:val="18"/>
            <w:lang w:val="en-US"/>
          </w:rPr>
          <w:t>https://unece.org/sites/default/files/2021-01/4%28a%29_ICG_8thWGPP.pdf</w:t>
        </w:r>
      </w:hyperlink>
      <w:r w:rsidRPr="00CF148F">
        <w:rPr>
          <w:lang w:val="en-US"/>
        </w:rPr>
        <w:t xml:space="preserve">, page 3.  </w:t>
      </w:r>
      <w:r w:rsidR="00DC50E4" w:rsidRPr="00CF148F">
        <w:rPr>
          <w:lang w:val="en-US"/>
        </w:rPr>
        <w:t xml:space="preserve">According to OECD, in 2016, 75 countries were working on PRTRs. See progress of PRTR and OECD activities available at </w:t>
      </w:r>
      <w:hyperlink r:id="rId10" w:history="1">
        <w:r w:rsidR="00DC50E4" w:rsidRPr="00CF148F">
          <w:rPr>
            <w:rStyle w:val="Hyperlink"/>
            <w:sz w:val="18"/>
            <w:lang w:val="en-US"/>
          </w:rPr>
          <w:t>https://unece.org/sites/default/files/2020-12/4%28a%29%20OECD%20activity%20on%20PRTR_0.pdf</w:t>
        </w:r>
      </w:hyperlink>
      <w:r w:rsidR="00DC50E4" w:rsidRPr="00CF148F">
        <w:rPr>
          <w:lang w:val="en-US"/>
        </w:rPr>
        <w:t>, page 3.</w:t>
      </w:r>
    </w:p>
  </w:footnote>
  <w:footnote w:id="5">
    <w:p w14:paraId="2E8DCDBD" w14:textId="77777777" w:rsidR="00724909" w:rsidRDefault="00724909">
      <w:pPr>
        <w:pStyle w:val="FootnoteText"/>
        <w:rPr>
          <w:lang w:val="en-US"/>
        </w:rPr>
      </w:pPr>
      <w:r>
        <w:rPr>
          <w:rStyle w:val="FootnoteReference"/>
        </w:rPr>
        <w:footnoteRef/>
      </w:r>
      <w:r w:rsidRPr="00FD3683">
        <w:rPr>
          <w:lang w:val="en-US"/>
        </w:rPr>
        <w:t xml:space="preserve"> </w:t>
      </w:r>
      <w:r w:rsidRPr="00965A05">
        <w:rPr>
          <w:lang w:val="en-US"/>
        </w:rPr>
        <w:t>Guidance on analytical measurements includes</w:t>
      </w:r>
      <w:r>
        <w:rPr>
          <w:lang w:val="en-US"/>
        </w:rPr>
        <w:t>:</w:t>
      </w:r>
    </w:p>
    <w:p w14:paraId="1E1333F6" w14:textId="7808AB37" w:rsidR="00724909" w:rsidRDefault="00724909" w:rsidP="00FD3683">
      <w:pPr>
        <w:pStyle w:val="FootnoteText"/>
        <w:numPr>
          <w:ilvl w:val="0"/>
          <w:numId w:val="23"/>
        </w:numPr>
        <w:rPr>
          <w:lang w:val="en-US"/>
        </w:rPr>
      </w:pPr>
      <w:r w:rsidRPr="00965A05">
        <w:rPr>
          <w:lang w:val="en-US"/>
        </w:rPr>
        <w:t xml:space="preserve">ISO 12846:2012 Water quality — Determination of mercury — Method using atomic absorption spectrometry (AAS) with and without enrichment; </w:t>
      </w:r>
    </w:p>
    <w:p w14:paraId="30A70FDB" w14:textId="77777777" w:rsidR="00724909" w:rsidRDefault="00724909" w:rsidP="00FD3683">
      <w:pPr>
        <w:pStyle w:val="FootnoteText"/>
        <w:numPr>
          <w:ilvl w:val="0"/>
          <w:numId w:val="23"/>
        </w:numPr>
        <w:rPr>
          <w:lang w:val="en-US"/>
        </w:rPr>
      </w:pPr>
      <w:r w:rsidRPr="00965A05">
        <w:rPr>
          <w:lang w:val="en-US"/>
        </w:rPr>
        <w:t xml:space="preserve">ISO 17852:2006 Water quality — Determination of mercury — Method using atomic fluorescence spectrometry; and </w:t>
      </w:r>
    </w:p>
    <w:p w14:paraId="62BF61E6" w14:textId="61BD27A7" w:rsidR="00724909" w:rsidRPr="00FD3683" w:rsidRDefault="00724909" w:rsidP="00FD3683">
      <w:pPr>
        <w:pStyle w:val="FootnoteText"/>
        <w:numPr>
          <w:ilvl w:val="0"/>
          <w:numId w:val="23"/>
        </w:numPr>
        <w:rPr>
          <w:lang w:val="en-US"/>
        </w:rPr>
      </w:pPr>
      <w:r w:rsidRPr="00965A05">
        <w:rPr>
          <w:lang w:val="en-US"/>
        </w:rPr>
        <w:t>USEPA Method 105 - Mercury in Wastewater Treatment Plant Sewage Sludge</w:t>
      </w:r>
    </w:p>
  </w:footnote>
  <w:footnote w:id="6">
    <w:p w14:paraId="55ADFB0A" w14:textId="7B3C553F" w:rsidR="00724909" w:rsidRPr="00577461" w:rsidRDefault="00724909" w:rsidP="00B968D7">
      <w:pPr>
        <w:pStyle w:val="FootnoteText"/>
        <w:rPr>
          <w:lang w:val="en-GB"/>
        </w:rPr>
      </w:pPr>
      <w:r>
        <w:rPr>
          <w:rStyle w:val="FootnoteReference"/>
        </w:rPr>
        <w:footnoteRef/>
      </w:r>
      <w:r w:rsidRPr="00577461">
        <w:rPr>
          <w:lang w:val="en-GB"/>
        </w:rPr>
        <w:t xml:space="preserve"> </w:t>
      </w:r>
      <w:hyperlink r:id="rId11" w:history="1">
        <w:r w:rsidRPr="00326E3B">
          <w:rPr>
            <w:rStyle w:val="Hyperlink"/>
            <w:sz w:val="18"/>
            <w:lang w:val="en-GB"/>
          </w:rPr>
          <w:t>UNEP Toolkit</w:t>
        </w:r>
      </w:hyperlink>
      <w:r>
        <w:rPr>
          <w:lang w:val="en-GB"/>
        </w:rPr>
        <w:t xml:space="preserve"> for </w:t>
      </w:r>
      <w:r w:rsidRPr="00E11D1D">
        <w:rPr>
          <w:lang w:val="en-GB"/>
        </w:rPr>
        <w:t xml:space="preserve">Identification </w:t>
      </w:r>
      <w:r w:rsidRPr="00577461">
        <w:rPr>
          <w:lang w:val="en-GB"/>
        </w:rPr>
        <w:t xml:space="preserve">and </w:t>
      </w:r>
      <w:r w:rsidRPr="00E11D1D">
        <w:rPr>
          <w:lang w:val="en-GB"/>
        </w:rPr>
        <w:t xml:space="preserve">Quantification </w:t>
      </w:r>
      <w:r w:rsidRPr="00577461">
        <w:rPr>
          <w:lang w:val="en-GB"/>
        </w:rPr>
        <w:t xml:space="preserve">of </w:t>
      </w:r>
      <w:r w:rsidRPr="00E11D1D">
        <w:rPr>
          <w:lang w:val="en-GB"/>
        </w:rPr>
        <w:t>Mercury Releases</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192F2" w14:textId="2A86EF1C" w:rsidR="00724909" w:rsidRPr="000A272E" w:rsidRDefault="00724909" w:rsidP="000A272E">
    <w:pPr>
      <w:pStyle w:val="Header"/>
      <w:jc w:val="right"/>
      <w:rPr>
        <w:rFonts w:ascii="Times New Roman" w:hAnsi="Times New Roman" w:cs="Times New Roman"/>
        <w:b/>
        <w:bCs/>
        <w:sz w:val="20"/>
        <w:szCs w:val="20"/>
        <w:lang w:val="en-US"/>
      </w:rPr>
    </w:pPr>
    <w:r w:rsidRPr="000A272E">
      <w:rPr>
        <w:rFonts w:ascii="Times New Roman" w:hAnsi="Times New Roman" w:cs="Times New Roman"/>
        <w:b/>
        <w:bCs/>
        <w:sz w:val="20"/>
        <w:szCs w:val="20"/>
        <w:lang w:val="en-US"/>
      </w:rPr>
      <w:t>D</w:t>
    </w:r>
    <w:r w:rsidR="00992024">
      <w:rPr>
        <w:rFonts w:ascii="Times New Roman" w:hAnsi="Times New Roman" w:cs="Times New Roman"/>
        <w:b/>
        <w:bCs/>
        <w:sz w:val="20"/>
        <w:szCs w:val="20"/>
        <w:lang w:val="en-US"/>
      </w:rPr>
      <w:t>raft report as of 25</w:t>
    </w:r>
    <w:r w:rsidR="00A84A86">
      <w:rPr>
        <w:rFonts w:ascii="Times New Roman" w:hAnsi="Times New Roman" w:cs="Times New Roman"/>
        <w:b/>
        <w:bCs/>
        <w:sz w:val="20"/>
        <w:szCs w:val="20"/>
        <w:lang w:val="en-US"/>
      </w:rPr>
      <w:t xml:space="preserve"> </w:t>
    </w:r>
    <w:r>
      <w:rPr>
        <w:rFonts w:ascii="Times New Roman" w:hAnsi="Times New Roman" w:cs="Times New Roman"/>
        <w:b/>
        <w:bCs/>
        <w:sz w:val="20"/>
        <w:szCs w:val="20"/>
        <w:lang w:val="en-US"/>
      </w:rPr>
      <w:t>June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49E59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54C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F8F7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9C67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C3C58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AB045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5240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46A6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93004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5A8D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37174"/>
    <w:multiLevelType w:val="hybridMultilevel"/>
    <w:tmpl w:val="6F4C3ACE"/>
    <w:lvl w:ilvl="0" w:tplc="6CA6A85C">
      <w:start w:val="1"/>
      <w:numFmt w:val="decimal"/>
      <w:pStyle w:val="Normalnumber"/>
      <w:lvlText w:val="%1."/>
      <w:lvlJc w:val="left"/>
      <w:pPr>
        <w:ind w:left="1967"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1" w15:restartNumberingAfterBreak="0">
    <w:nsid w:val="0A2E2CAF"/>
    <w:multiLevelType w:val="hybridMultilevel"/>
    <w:tmpl w:val="C11CDC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66280B"/>
    <w:multiLevelType w:val="hybridMultilevel"/>
    <w:tmpl w:val="73A60050"/>
    <w:lvl w:ilvl="0" w:tplc="7AB02E38">
      <w:start w:val="1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17786C"/>
    <w:multiLevelType w:val="hybridMultilevel"/>
    <w:tmpl w:val="3BBAE00A"/>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4" w15:restartNumberingAfterBreak="0">
    <w:nsid w:val="36D96031"/>
    <w:multiLevelType w:val="hybridMultilevel"/>
    <w:tmpl w:val="54302C4A"/>
    <w:lvl w:ilvl="0" w:tplc="040A000F">
      <w:start w:val="1"/>
      <w:numFmt w:val="decimal"/>
      <w:lvlText w:val="%1."/>
      <w:lvlJc w:val="left"/>
      <w:pPr>
        <w:ind w:left="360" w:hanging="360"/>
      </w:pPr>
    </w:lvl>
    <w:lvl w:ilvl="1" w:tplc="65E6C17A">
      <w:start w:val="1"/>
      <w:numFmt w:val="lowerLetter"/>
      <w:lvlText w:val="(%2)"/>
      <w:lvlJc w:val="left"/>
      <w:pPr>
        <w:ind w:left="1080" w:hanging="360"/>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37810E3F"/>
    <w:multiLevelType w:val="multilevel"/>
    <w:tmpl w:val="6A3C0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683BBA"/>
    <w:multiLevelType w:val="hybridMultilevel"/>
    <w:tmpl w:val="10DAF32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7" w15:restartNumberingAfterBreak="0">
    <w:nsid w:val="3D9C3B39"/>
    <w:multiLevelType w:val="hybridMultilevel"/>
    <w:tmpl w:val="EE62CC88"/>
    <w:lvl w:ilvl="0" w:tplc="EFD43A66">
      <w:numFmt w:val="bullet"/>
      <w:lvlText w:val="-"/>
      <w:lvlJc w:val="left"/>
      <w:pPr>
        <w:ind w:left="1607" w:hanging="360"/>
      </w:pPr>
      <w:rPr>
        <w:rFonts w:ascii="Times New Roman" w:eastAsia="Times New Roman" w:hAnsi="Times New Roman" w:cs="Times New Roman" w:hint="default"/>
      </w:rPr>
    </w:lvl>
    <w:lvl w:ilvl="1" w:tplc="04140003">
      <w:start w:val="1"/>
      <w:numFmt w:val="bullet"/>
      <w:lvlText w:val="o"/>
      <w:lvlJc w:val="left"/>
      <w:pPr>
        <w:ind w:left="2327" w:hanging="360"/>
      </w:pPr>
      <w:rPr>
        <w:rFonts w:ascii="Courier New" w:hAnsi="Courier New" w:cs="Courier New" w:hint="default"/>
      </w:rPr>
    </w:lvl>
    <w:lvl w:ilvl="2" w:tplc="04140005" w:tentative="1">
      <w:start w:val="1"/>
      <w:numFmt w:val="bullet"/>
      <w:lvlText w:val=""/>
      <w:lvlJc w:val="left"/>
      <w:pPr>
        <w:ind w:left="3047" w:hanging="360"/>
      </w:pPr>
      <w:rPr>
        <w:rFonts w:ascii="Wingdings" w:hAnsi="Wingdings" w:hint="default"/>
      </w:rPr>
    </w:lvl>
    <w:lvl w:ilvl="3" w:tplc="04140001" w:tentative="1">
      <w:start w:val="1"/>
      <w:numFmt w:val="bullet"/>
      <w:lvlText w:val=""/>
      <w:lvlJc w:val="left"/>
      <w:pPr>
        <w:ind w:left="3767" w:hanging="360"/>
      </w:pPr>
      <w:rPr>
        <w:rFonts w:ascii="Symbol" w:hAnsi="Symbol" w:hint="default"/>
      </w:rPr>
    </w:lvl>
    <w:lvl w:ilvl="4" w:tplc="04140003" w:tentative="1">
      <w:start w:val="1"/>
      <w:numFmt w:val="bullet"/>
      <w:lvlText w:val="o"/>
      <w:lvlJc w:val="left"/>
      <w:pPr>
        <w:ind w:left="4487" w:hanging="360"/>
      </w:pPr>
      <w:rPr>
        <w:rFonts w:ascii="Courier New" w:hAnsi="Courier New" w:cs="Courier New" w:hint="default"/>
      </w:rPr>
    </w:lvl>
    <w:lvl w:ilvl="5" w:tplc="04140005" w:tentative="1">
      <w:start w:val="1"/>
      <w:numFmt w:val="bullet"/>
      <w:lvlText w:val=""/>
      <w:lvlJc w:val="left"/>
      <w:pPr>
        <w:ind w:left="5207" w:hanging="360"/>
      </w:pPr>
      <w:rPr>
        <w:rFonts w:ascii="Wingdings" w:hAnsi="Wingdings" w:hint="default"/>
      </w:rPr>
    </w:lvl>
    <w:lvl w:ilvl="6" w:tplc="04140001" w:tentative="1">
      <w:start w:val="1"/>
      <w:numFmt w:val="bullet"/>
      <w:lvlText w:val=""/>
      <w:lvlJc w:val="left"/>
      <w:pPr>
        <w:ind w:left="5927" w:hanging="360"/>
      </w:pPr>
      <w:rPr>
        <w:rFonts w:ascii="Symbol" w:hAnsi="Symbol" w:hint="default"/>
      </w:rPr>
    </w:lvl>
    <w:lvl w:ilvl="7" w:tplc="04140003" w:tentative="1">
      <w:start w:val="1"/>
      <w:numFmt w:val="bullet"/>
      <w:lvlText w:val="o"/>
      <w:lvlJc w:val="left"/>
      <w:pPr>
        <w:ind w:left="6647" w:hanging="360"/>
      </w:pPr>
      <w:rPr>
        <w:rFonts w:ascii="Courier New" w:hAnsi="Courier New" w:cs="Courier New" w:hint="default"/>
      </w:rPr>
    </w:lvl>
    <w:lvl w:ilvl="8" w:tplc="04140005" w:tentative="1">
      <w:start w:val="1"/>
      <w:numFmt w:val="bullet"/>
      <w:lvlText w:val=""/>
      <w:lvlJc w:val="left"/>
      <w:pPr>
        <w:ind w:left="7367" w:hanging="360"/>
      </w:pPr>
      <w:rPr>
        <w:rFonts w:ascii="Wingdings" w:hAnsi="Wingdings" w:hint="default"/>
      </w:rPr>
    </w:lvl>
  </w:abstractNum>
  <w:abstractNum w:abstractNumId="18" w15:restartNumberingAfterBreak="0">
    <w:nsid w:val="3F205DF5"/>
    <w:multiLevelType w:val="hybridMultilevel"/>
    <w:tmpl w:val="782A539A"/>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9" w15:restartNumberingAfterBreak="0">
    <w:nsid w:val="42087B79"/>
    <w:multiLevelType w:val="hybridMultilevel"/>
    <w:tmpl w:val="707E318C"/>
    <w:lvl w:ilvl="0" w:tplc="04090001">
      <w:start w:val="1"/>
      <w:numFmt w:val="bullet"/>
      <w:lvlText w:val=""/>
      <w:lvlJc w:val="left"/>
      <w:pPr>
        <w:ind w:left="1967" w:hanging="360"/>
      </w:pPr>
      <w:rPr>
        <w:rFonts w:ascii="Symbol" w:hAnsi="Symbol" w:hint="default"/>
      </w:rPr>
    </w:lvl>
    <w:lvl w:ilvl="1" w:tplc="20C6A9B2">
      <w:numFmt w:val="bullet"/>
      <w:lvlText w:val="•"/>
      <w:lvlJc w:val="left"/>
      <w:pPr>
        <w:ind w:left="2897" w:hanging="570"/>
      </w:pPr>
      <w:rPr>
        <w:rFonts w:ascii="Times New Roman" w:eastAsia="Times New Roman" w:hAnsi="Times New Roman" w:cs="Times New Roman"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15:restartNumberingAfterBreak="0">
    <w:nsid w:val="53E6630D"/>
    <w:multiLevelType w:val="hybridMultilevel"/>
    <w:tmpl w:val="7A0CAC6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1" w15:restartNumberingAfterBreak="0">
    <w:nsid w:val="5EE42DE5"/>
    <w:multiLevelType w:val="hybridMultilevel"/>
    <w:tmpl w:val="B5586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CC2831"/>
    <w:multiLevelType w:val="hybridMultilevel"/>
    <w:tmpl w:val="474A5D44"/>
    <w:lvl w:ilvl="0" w:tplc="04090017">
      <w:start w:val="1"/>
      <w:numFmt w:val="lowerLetter"/>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3" w15:restartNumberingAfterBreak="0">
    <w:nsid w:val="79340401"/>
    <w:multiLevelType w:val="hybridMultilevel"/>
    <w:tmpl w:val="07081F40"/>
    <w:lvl w:ilvl="0" w:tplc="377CEE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2"/>
  </w:num>
  <w:num w:numId="15">
    <w:abstractNumId w:val="11"/>
  </w:num>
  <w:num w:numId="16">
    <w:abstractNumId w:val="23"/>
  </w:num>
  <w:num w:numId="17">
    <w:abstractNumId w:val="21"/>
  </w:num>
  <w:num w:numId="18">
    <w:abstractNumId w:val="19"/>
  </w:num>
  <w:num w:numId="19">
    <w:abstractNumId w:val="22"/>
  </w:num>
  <w:num w:numId="20">
    <w:abstractNumId w:val="20"/>
  </w:num>
  <w:num w:numId="21">
    <w:abstractNumId w:val="14"/>
  </w:num>
  <w:num w:numId="22">
    <w:abstractNumId w:val="10"/>
  </w:num>
  <w:num w:numId="23">
    <w:abstractNumId w:val="1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8D7"/>
    <w:rsid w:val="0000156C"/>
    <w:rsid w:val="00001A23"/>
    <w:rsid w:val="000031B2"/>
    <w:rsid w:val="00006456"/>
    <w:rsid w:val="000100C7"/>
    <w:rsid w:val="00010C3C"/>
    <w:rsid w:val="00011F5D"/>
    <w:rsid w:val="0001533C"/>
    <w:rsid w:val="0002181D"/>
    <w:rsid w:val="000233D0"/>
    <w:rsid w:val="000271D4"/>
    <w:rsid w:val="000308B4"/>
    <w:rsid w:val="00032D74"/>
    <w:rsid w:val="00036742"/>
    <w:rsid w:val="0004584F"/>
    <w:rsid w:val="000549FC"/>
    <w:rsid w:val="00061C31"/>
    <w:rsid w:val="00063453"/>
    <w:rsid w:val="00075EEE"/>
    <w:rsid w:val="00085AB1"/>
    <w:rsid w:val="00087F0D"/>
    <w:rsid w:val="00094396"/>
    <w:rsid w:val="000952B6"/>
    <w:rsid w:val="00097414"/>
    <w:rsid w:val="000A272E"/>
    <w:rsid w:val="000B3425"/>
    <w:rsid w:val="000C27D8"/>
    <w:rsid w:val="000D44CA"/>
    <w:rsid w:val="000D54C0"/>
    <w:rsid w:val="000D5FF3"/>
    <w:rsid w:val="000D7C71"/>
    <w:rsid w:val="000E2D54"/>
    <w:rsid w:val="000E4AFA"/>
    <w:rsid w:val="000E668F"/>
    <w:rsid w:val="000E7A52"/>
    <w:rsid w:val="000F50D4"/>
    <w:rsid w:val="00102B4C"/>
    <w:rsid w:val="001042D8"/>
    <w:rsid w:val="00124B7E"/>
    <w:rsid w:val="00134CE5"/>
    <w:rsid w:val="00137A52"/>
    <w:rsid w:val="0014199E"/>
    <w:rsid w:val="00147D3F"/>
    <w:rsid w:val="00153C52"/>
    <w:rsid w:val="00184F62"/>
    <w:rsid w:val="00186300"/>
    <w:rsid w:val="001923C1"/>
    <w:rsid w:val="001B12EA"/>
    <w:rsid w:val="001B1A48"/>
    <w:rsid w:val="001B267B"/>
    <w:rsid w:val="001B7408"/>
    <w:rsid w:val="001C6566"/>
    <w:rsid w:val="001D071D"/>
    <w:rsid w:val="001D2EAD"/>
    <w:rsid w:val="001D3DC4"/>
    <w:rsid w:val="001D6C81"/>
    <w:rsid w:val="001E3A51"/>
    <w:rsid w:val="001E452E"/>
    <w:rsid w:val="001E4ADC"/>
    <w:rsid w:val="001F0CFA"/>
    <w:rsid w:val="001F17D6"/>
    <w:rsid w:val="00207E47"/>
    <w:rsid w:val="00220CCC"/>
    <w:rsid w:val="002217C7"/>
    <w:rsid w:val="00221C39"/>
    <w:rsid w:val="002254E4"/>
    <w:rsid w:val="002310BC"/>
    <w:rsid w:val="002314BA"/>
    <w:rsid w:val="0024187F"/>
    <w:rsid w:val="00245749"/>
    <w:rsid w:val="0024574C"/>
    <w:rsid w:val="00246D41"/>
    <w:rsid w:val="0026014C"/>
    <w:rsid w:val="0026025E"/>
    <w:rsid w:val="002608CB"/>
    <w:rsid w:val="00261E57"/>
    <w:rsid w:val="00265039"/>
    <w:rsid w:val="00270808"/>
    <w:rsid w:val="00273701"/>
    <w:rsid w:val="00273F00"/>
    <w:rsid w:val="002767DD"/>
    <w:rsid w:val="002920A3"/>
    <w:rsid w:val="00296FB4"/>
    <w:rsid w:val="00297435"/>
    <w:rsid w:val="0029784F"/>
    <w:rsid w:val="002A195F"/>
    <w:rsid w:val="002A4620"/>
    <w:rsid w:val="002A5C79"/>
    <w:rsid w:val="002B0666"/>
    <w:rsid w:val="002B3657"/>
    <w:rsid w:val="002C355E"/>
    <w:rsid w:val="002D4FB2"/>
    <w:rsid w:val="002E1480"/>
    <w:rsid w:val="002E14D9"/>
    <w:rsid w:val="002E1F09"/>
    <w:rsid w:val="002E3A2F"/>
    <w:rsid w:val="002E7796"/>
    <w:rsid w:val="002F2AD3"/>
    <w:rsid w:val="002F5185"/>
    <w:rsid w:val="002F6581"/>
    <w:rsid w:val="002F7CFD"/>
    <w:rsid w:val="00302584"/>
    <w:rsid w:val="003139E9"/>
    <w:rsid w:val="00315832"/>
    <w:rsid w:val="00315962"/>
    <w:rsid w:val="00321503"/>
    <w:rsid w:val="003266A9"/>
    <w:rsid w:val="00326E3B"/>
    <w:rsid w:val="0033455B"/>
    <w:rsid w:val="00335686"/>
    <w:rsid w:val="0035212B"/>
    <w:rsid w:val="003533AA"/>
    <w:rsid w:val="003649A5"/>
    <w:rsid w:val="00365699"/>
    <w:rsid w:val="00366637"/>
    <w:rsid w:val="00372252"/>
    <w:rsid w:val="00386875"/>
    <w:rsid w:val="00394A79"/>
    <w:rsid w:val="00394BA6"/>
    <w:rsid w:val="00396E92"/>
    <w:rsid w:val="003A7B1A"/>
    <w:rsid w:val="003A7FDE"/>
    <w:rsid w:val="003D5328"/>
    <w:rsid w:val="003E1649"/>
    <w:rsid w:val="003E1ACE"/>
    <w:rsid w:val="003E49BD"/>
    <w:rsid w:val="003F4115"/>
    <w:rsid w:val="004103FD"/>
    <w:rsid w:val="004108CE"/>
    <w:rsid w:val="004154F3"/>
    <w:rsid w:val="004226D3"/>
    <w:rsid w:val="00424380"/>
    <w:rsid w:val="0044421F"/>
    <w:rsid w:val="004500B2"/>
    <w:rsid w:val="00457092"/>
    <w:rsid w:val="00460A21"/>
    <w:rsid w:val="004636D7"/>
    <w:rsid w:val="004711FF"/>
    <w:rsid w:val="0047658C"/>
    <w:rsid w:val="0047690A"/>
    <w:rsid w:val="004856F0"/>
    <w:rsid w:val="00487BA8"/>
    <w:rsid w:val="00490994"/>
    <w:rsid w:val="00495AC8"/>
    <w:rsid w:val="004A1761"/>
    <w:rsid w:val="004A3D42"/>
    <w:rsid w:val="004B0866"/>
    <w:rsid w:val="004B2191"/>
    <w:rsid w:val="004B5873"/>
    <w:rsid w:val="004B620E"/>
    <w:rsid w:val="004C150F"/>
    <w:rsid w:val="004C2931"/>
    <w:rsid w:val="004C46F9"/>
    <w:rsid w:val="004D0749"/>
    <w:rsid w:val="004D0FBB"/>
    <w:rsid w:val="004D305E"/>
    <w:rsid w:val="004D47F7"/>
    <w:rsid w:val="004D6581"/>
    <w:rsid w:val="004E5176"/>
    <w:rsid w:val="004F207D"/>
    <w:rsid w:val="0051194E"/>
    <w:rsid w:val="00512E21"/>
    <w:rsid w:val="00515E43"/>
    <w:rsid w:val="005225B4"/>
    <w:rsid w:val="00527804"/>
    <w:rsid w:val="005526B9"/>
    <w:rsid w:val="0055368B"/>
    <w:rsid w:val="00554DFA"/>
    <w:rsid w:val="00563FE2"/>
    <w:rsid w:val="005708DC"/>
    <w:rsid w:val="00573775"/>
    <w:rsid w:val="00576BED"/>
    <w:rsid w:val="0057726A"/>
    <w:rsid w:val="00580175"/>
    <w:rsid w:val="005806CE"/>
    <w:rsid w:val="00583067"/>
    <w:rsid w:val="005852A2"/>
    <w:rsid w:val="00587F66"/>
    <w:rsid w:val="005963D4"/>
    <w:rsid w:val="005A59E6"/>
    <w:rsid w:val="005B23B5"/>
    <w:rsid w:val="005C1611"/>
    <w:rsid w:val="005C5320"/>
    <w:rsid w:val="005C6B6E"/>
    <w:rsid w:val="005D23B1"/>
    <w:rsid w:val="005E04EE"/>
    <w:rsid w:val="005E7866"/>
    <w:rsid w:val="005F0F49"/>
    <w:rsid w:val="00605447"/>
    <w:rsid w:val="00606027"/>
    <w:rsid w:val="0061556B"/>
    <w:rsid w:val="00615684"/>
    <w:rsid w:val="006200FE"/>
    <w:rsid w:val="00642DCA"/>
    <w:rsid w:val="006453E2"/>
    <w:rsid w:val="0064717F"/>
    <w:rsid w:val="00652293"/>
    <w:rsid w:val="00666E7D"/>
    <w:rsid w:val="006715C1"/>
    <w:rsid w:val="006871D4"/>
    <w:rsid w:val="0069209C"/>
    <w:rsid w:val="006965E4"/>
    <w:rsid w:val="006A331E"/>
    <w:rsid w:val="006A4233"/>
    <w:rsid w:val="006C607A"/>
    <w:rsid w:val="006C6D5C"/>
    <w:rsid w:val="006C6FC8"/>
    <w:rsid w:val="006F7A6D"/>
    <w:rsid w:val="00701F77"/>
    <w:rsid w:val="007037D0"/>
    <w:rsid w:val="007244CF"/>
    <w:rsid w:val="00724909"/>
    <w:rsid w:val="00727709"/>
    <w:rsid w:val="00730F26"/>
    <w:rsid w:val="00735AC7"/>
    <w:rsid w:val="00736ADD"/>
    <w:rsid w:val="00742411"/>
    <w:rsid w:val="00742E68"/>
    <w:rsid w:val="00750568"/>
    <w:rsid w:val="007522AE"/>
    <w:rsid w:val="00756048"/>
    <w:rsid w:val="007566A3"/>
    <w:rsid w:val="00756DBF"/>
    <w:rsid w:val="00792E86"/>
    <w:rsid w:val="00794345"/>
    <w:rsid w:val="007A04D1"/>
    <w:rsid w:val="007A542A"/>
    <w:rsid w:val="007B6303"/>
    <w:rsid w:val="007B7445"/>
    <w:rsid w:val="007C6F83"/>
    <w:rsid w:val="007D17D1"/>
    <w:rsid w:val="007D4CDB"/>
    <w:rsid w:val="007E1D39"/>
    <w:rsid w:val="007E7580"/>
    <w:rsid w:val="007F6C4C"/>
    <w:rsid w:val="00820E39"/>
    <w:rsid w:val="008228BB"/>
    <w:rsid w:val="0084733A"/>
    <w:rsid w:val="0085689C"/>
    <w:rsid w:val="008607FF"/>
    <w:rsid w:val="00861546"/>
    <w:rsid w:val="008624EF"/>
    <w:rsid w:val="00873AC9"/>
    <w:rsid w:val="00876484"/>
    <w:rsid w:val="008856C8"/>
    <w:rsid w:val="0088660B"/>
    <w:rsid w:val="00890200"/>
    <w:rsid w:val="0089167E"/>
    <w:rsid w:val="008931E8"/>
    <w:rsid w:val="00896380"/>
    <w:rsid w:val="00896714"/>
    <w:rsid w:val="008A0C7D"/>
    <w:rsid w:val="008A2555"/>
    <w:rsid w:val="008A6EF9"/>
    <w:rsid w:val="008C44F0"/>
    <w:rsid w:val="008C6425"/>
    <w:rsid w:val="008C7980"/>
    <w:rsid w:val="008D3E80"/>
    <w:rsid w:val="008D66C1"/>
    <w:rsid w:val="008E498E"/>
    <w:rsid w:val="008F17EF"/>
    <w:rsid w:val="009019CF"/>
    <w:rsid w:val="00905E82"/>
    <w:rsid w:val="00921503"/>
    <w:rsid w:val="00922446"/>
    <w:rsid w:val="00936BDF"/>
    <w:rsid w:val="00941310"/>
    <w:rsid w:val="00953693"/>
    <w:rsid w:val="009610B4"/>
    <w:rsid w:val="00963CCB"/>
    <w:rsid w:val="00965429"/>
    <w:rsid w:val="00965A05"/>
    <w:rsid w:val="009661C3"/>
    <w:rsid w:val="00972DB8"/>
    <w:rsid w:val="009740CB"/>
    <w:rsid w:val="00974FC2"/>
    <w:rsid w:val="0098312F"/>
    <w:rsid w:val="00987221"/>
    <w:rsid w:val="009914ED"/>
    <w:rsid w:val="009919A0"/>
    <w:rsid w:val="00992024"/>
    <w:rsid w:val="00993BFC"/>
    <w:rsid w:val="009A2060"/>
    <w:rsid w:val="009A36A0"/>
    <w:rsid w:val="009A3DA3"/>
    <w:rsid w:val="009A3EE8"/>
    <w:rsid w:val="009B0FD1"/>
    <w:rsid w:val="009B6360"/>
    <w:rsid w:val="009B7837"/>
    <w:rsid w:val="009C2254"/>
    <w:rsid w:val="009D25B7"/>
    <w:rsid w:val="009D359A"/>
    <w:rsid w:val="009D607D"/>
    <w:rsid w:val="009E2599"/>
    <w:rsid w:val="009F63AE"/>
    <w:rsid w:val="00A02DB7"/>
    <w:rsid w:val="00A0763A"/>
    <w:rsid w:val="00A10ADA"/>
    <w:rsid w:val="00A114E2"/>
    <w:rsid w:val="00A16A4E"/>
    <w:rsid w:val="00A16B05"/>
    <w:rsid w:val="00A246A6"/>
    <w:rsid w:val="00A30DFD"/>
    <w:rsid w:val="00A30E1B"/>
    <w:rsid w:val="00A535B9"/>
    <w:rsid w:val="00A5764A"/>
    <w:rsid w:val="00A57D59"/>
    <w:rsid w:val="00A6079A"/>
    <w:rsid w:val="00A64407"/>
    <w:rsid w:val="00A71A39"/>
    <w:rsid w:val="00A74DD0"/>
    <w:rsid w:val="00A806DC"/>
    <w:rsid w:val="00A84A86"/>
    <w:rsid w:val="00A96FBF"/>
    <w:rsid w:val="00AA54E5"/>
    <w:rsid w:val="00AB306F"/>
    <w:rsid w:val="00AD54FD"/>
    <w:rsid w:val="00AE059D"/>
    <w:rsid w:val="00AE0A9E"/>
    <w:rsid w:val="00AE23C0"/>
    <w:rsid w:val="00AE2A56"/>
    <w:rsid w:val="00AE6A3E"/>
    <w:rsid w:val="00AF31CA"/>
    <w:rsid w:val="00AF369A"/>
    <w:rsid w:val="00B00FDA"/>
    <w:rsid w:val="00B038B6"/>
    <w:rsid w:val="00B25B4D"/>
    <w:rsid w:val="00B266BB"/>
    <w:rsid w:val="00B3118A"/>
    <w:rsid w:val="00B323C9"/>
    <w:rsid w:val="00B330E9"/>
    <w:rsid w:val="00B349E3"/>
    <w:rsid w:val="00B34AC5"/>
    <w:rsid w:val="00B35A53"/>
    <w:rsid w:val="00B37ACA"/>
    <w:rsid w:val="00B477D9"/>
    <w:rsid w:val="00B5289F"/>
    <w:rsid w:val="00B5666C"/>
    <w:rsid w:val="00B65E99"/>
    <w:rsid w:val="00B67339"/>
    <w:rsid w:val="00B7123A"/>
    <w:rsid w:val="00B737ED"/>
    <w:rsid w:val="00B765D3"/>
    <w:rsid w:val="00B9351F"/>
    <w:rsid w:val="00B968D7"/>
    <w:rsid w:val="00BA0991"/>
    <w:rsid w:val="00BA2708"/>
    <w:rsid w:val="00BA6530"/>
    <w:rsid w:val="00BB1D01"/>
    <w:rsid w:val="00BB4EAD"/>
    <w:rsid w:val="00BC79BC"/>
    <w:rsid w:val="00BD330A"/>
    <w:rsid w:val="00BE1D1C"/>
    <w:rsid w:val="00BE4F9A"/>
    <w:rsid w:val="00BE56E9"/>
    <w:rsid w:val="00BF2317"/>
    <w:rsid w:val="00BF286B"/>
    <w:rsid w:val="00BF41CE"/>
    <w:rsid w:val="00BF607A"/>
    <w:rsid w:val="00C01A29"/>
    <w:rsid w:val="00C0324C"/>
    <w:rsid w:val="00C033C9"/>
    <w:rsid w:val="00C043C9"/>
    <w:rsid w:val="00C04C0B"/>
    <w:rsid w:val="00C04DDE"/>
    <w:rsid w:val="00C0667A"/>
    <w:rsid w:val="00C06DD4"/>
    <w:rsid w:val="00C20099"/>
    <w:rsid w:val="00C2691E"/>
    <w:rsid w:val="00C423CF"/>
    <w:rsid w:val="00C42477"/>
    <w:rsid w:val="00C42CBE"/>
    <w:rsid w:val="00C43106"/>
    <w:rsid w:val="00C53A46"/>
    <w:rsid w:val="00C60D1E"/>
    <w:rsid w:val="00C653A5"/>
    <w:rsid w:val="00C969D3"/>
    <w:rsid w:val="00CA2DF6"/>
    <w:rsid w:val="00CA36AB"/>
    <w:rsid w:val="00CC2E0A"/>
    <w:rsid w:val="00CC3198"/>
    <w:rsid w:val="00CC4D96"/>
    <w:rsid w:val="00CC4E37"/>
    <w:rsid w:val="00CC5192"/>
    <w:rsid w:val="00CD5F4D"/>
    <w:rsid w:val="00CD71EA"/>
    <w:rsid w:val="00CE5A51"/>
    <w:rsid w:val="00CE6D4A"/>
    <w:rsid w:val="00CE755E"/>
    <w:rsid w:val="00CF148F"/>
    <w:rsid w:val="00CF5D18"/>
    <w:rsid w:val="00D01362"/>
    <w:rsid w:val="00D17CAE"/>
    <w:rsid w:val="00D201E0"/>
    <w:rsid w:val="00D26301"/>
    <w:rsid w:val="00D36A4F"/>
    <w:rsid w:val="00D417CF"/>
    <w:rsid w:val="00D42A5A"/>
    <w:rsid w:val="00D45928"/>
    <w:rsid w:val="00D51738"/>
    <w:rsid w:val="00D60B9F"/>
    <w:rsid w:val="00D6266D"/>
    <w:rsid w:val="00D76105"/>
    <w:rsid w:val="00D80507"/>
    <w:rsid w:val="00D81B87"/>
    <w:rsid w:val="00D86BED"/>
    <w:rsid w:val="00D91E43"/>
    <w:rsid w:val="00D9355A"/>
    <w:rsid w:val="00DA19A7"/>
    <w:rsid w:val="00DA338F"/>
    <w:rsid w:val="00DB1612"/>
    <w:rsid w:val="00DC1C47"/>
    <w:rsid w:val="00DC47D7"/>
    <w:rsid w:val="00DC50E4"/>
    <w:rsid w:val="00DD13C3"/>
    <w:rsid w:val="00DD5BE2"/>
    <w:rsid w:val="00DD7654"/>
    <w:rsid w:val="00DE6561"/>
    <w:rsid w:val="00DF22C7"/>
    <w:rsid w:val="00DF2BA9"/>
    <w:rsid w:val="00DF711B"/>
    <w:rsid w:val="00DF79EA"/>
    <w:rsid w:val="00E02310"/>
    <w:rsid w:val="00E02F72"/>
    <w:rsid w:val="00E0469D"/>
    <w:rsid w:val="00E07DB3"/>
    <w:rsid w:val="00E20D72"/>
    <w:rsid w:val="00E40BFC"/>
    <w:rsid w:val="00E41B82"/>
    <w:rsid w:val="00E505B1"/>
    <w:rsid w:val="00E63706"/>
    <w:rsid w:val="00E712CB"/>
    <w:rsid w:val="00E763C8"/>
    <w:rsid w:val="00E77DE3"/>
    <w:rsid w:val="00E8118C"/>
    <w:rsid w:val="00E8458B"/>
    <w:rsid w:val="00E90EBC"/>
    <w:rsid w:val="00E9459D"/>
    <w:rsid w:val="00E94CDE"/>
    <w:rsid w:val="00E9637C"/>
    <w:rsid w:val="00EB19BE"/>
    <w:rsid w:val="00EB3C01"/>
    <w:rsid w:val="00EB3E2E"/>
    <w:rsid w:val="00EC151A"/>
    <w:rsid w:val="00EC1CB5"/>
    <w:rsid w:val="00EC2129"/>
    <w:rsid w:val="00ED0E5E"/>
    <w:rsid w:val="00EE3614"/>
    <w:rsid w:val="00EE3FDD"/>
    <w:rsid w:val="00EF0C7D"/>
    <w:rsid w:val="00EF1D91"/>
    <w:rsid w:val="00F00A88"/>
    <w:rsid w:val="00F02169"/>
    <w:rsid w:val="00F0274D"/>
    <w:rsid w:val="00F03CF1"/>
    <w:rsid w:val="00F24AB4"/>
    <w:rsid w:val="00F27129"/>
    <w:rsid w:val="00F27CD3"/>
    <w:rsid w:val="00F338E3"/>
    <w:rsid w:val="00F350ED"/>
    <w:rsid w:val="00F37BCD"/>
    <w:rsid w:val="00F40B71"/>
    <w:rsid w:val="00F42AAB"/>
    <w:rsid w:val="00F46472"/>
    <w:rsid w:val="00F5245E"/>
    <w:rsid w:val="00F53E3C"/>
    <w:rsid w:val="00F54136"/>
    <w:rsid w:val="00F61667"/>
    <w:rsid w:val="00F72633"/>
    <w:rsid w:val="00F73F27"/>
    <w:rsid w:val="00F771FD"/>
    <w:rsid w:val="00F817E2"/>
    <w:rsid w:val="00F825F6"/>
    <w:rsid w:val="00F83B56"/>
    <w:rsid w:val="00F86E04"/>
    <w:rsid w:val="00F90AE7"/>
    <w:rsid w:val="00F91336"/>
    <w:rsid w:val="00FA5B04"/>
    <w:rsid w:val="00FB3580"/>
    <w:rsid w:val="00FB6F73"/>
    <w:rsid w:val="00FD266F"/>
    <w:rsid w:val="00FD3683"/>
    <w:rsid w:val="00FE0A33"/>
    <w:rsid w:val="00FE30E9"/>
    <w:rsid w:val="00FF0652"/>
    <w:rsid w:val="00FF3AAE"/>
    <w:rsid w:val="00FF4D62"/>
    <w:rsid w:val="00FF553A"/>
    <w:rsid w:val="00FF7FB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608AA"/>
  <w15:docId w15:val="{C773C63F-7499-42A6-8FB8-A8137D705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D5C"/>
  </w:style>
  <w:style w:type="paragraph" w:styleId="Heading1">
    <w:name w:val="heading 1"/>
    <w:basedOn w:val="Normal"/>
    <w:link w:val="Heading1Char"/>
    <w:uiPriority w:val="9"/>
    <w:qFormat/>
    <w:rsid w:val="0051194E"/>
    <w:pPr>
      <w:spacing w:before="100" w:beforeAutospacing="1" w:after="100" w:afterAutospacing="1" w:line="240" w:lineRule="auto"/>
      <w:outlineLvl w:val="0"/>
    </w:pPr>
    <w:rPr>
      <w:rFonts w:ascii="Times New Roman" w:eastAsia="Times New Roman" w:hAnsi="Times New Roman" w:cs="Times New Roman"/>
      <w:b/>
      <w:bCs/>
      <w:kern w:val="36"/>
      <w:sz w:val="48"/>
      <w:szCs w:val="48"/>
      <w:lang w:val="nb-NO"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B968D7"/>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eastAsia="en-US"/>
    </w:rPr>
  </w:style>
  <w:style w:type="character" w:styleId="FootnoteReference">
    <w:name w:val="footnote reference"/>
    <w:aliases w:val="16 Point,Superscript 6 Point,ftref,(Ref. de nota al pie),number,SUPERS,Footnote Reference Superscript,4_G"/>
    <w:qFormat/>
    <w:rsid w:val="00B968D7"/>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rsid w:val="00B968D7"/>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B968D7"/>
    <w:rPr>
      <w:rFonts w:ascii="Times New Roman" w:eastAsia="Times New Roman" w:hAnsi="Times New Roman" w:cs="Times New Roman"/>
      <w:sz w:val="18"/>
      <w:szCs w:val="20"/>
      <w:lang w:val="fr-FR" w:eastAsia="en-US"/>
    </w:rPr>
  </w:style>
  <w:style w:type="paragraph" w:customStyle="1" w:styleId="BBTitle">
    <w:name w:val="BB_Title"/>
    <w:basedOn w:val="Normal"/>
    <w:rsid w:val="00B968D7"/>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eastAsia="en-US"/>
    </w:rPr>
  </w:style>
  <w:style w:type="character" w:styleId="Hyperlink">
    <w:name w:val="Hyperlink"/>
    <w:uiPriority w:val="99"/>
    <w:rsid w:val="006C6D5C"/>
    <w:rPr>
      <w:rFonts w:ascii="Times New Roman" w:hAnsi="Times New Roman"/>
      <w:color w:val="0070C0"/>
      <w:sz w:val="20"/>
      <w:szCs w:val="20"/>
      <w:u w:val="single"/>
      <w:lang w:val="fr-FR"/>
    </w:rPr>
  </w:style>
  <w:style w:type="paragraph" w:customStyle="1" w:styleId="NormalNonumber">
    <w:name w:val="Normal_No_number"/>
    <w:basedOn w:val="Normal"/>
    <w:rsid w:val="00B968D7"/>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eastAsia="en-US"/>
    </w:rPr>
  </w:style>
  <w:style w:type="paragraph" w:styleId="Header">
    <w:name w:val="header"/>
    <w:basedOn w:val="Normal"/>
    <w:link w:val="HeaderChar"/>
    <w:uiPriority w:val="99"/>
    <w:unhideWhenUsed/>
    <w:rsid w:val="00BA2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708"/>
  </w:style>
  <w:style w:type="paragraph" w:styleId="Footer">
    <w:name w:val="footer"/>
    <w:basedOn w:val="Normal"/>
    <w:link w:val="FooterChar"/>
    <w:uiPriority w:val="99"/>
    <w:unhideWhenUsed/>
    <w:rsid w:val="00BA2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708"/>
  </w:style>
  <w:style w:type="paragraph" w:styleId="BalloonText">
    <w:name w:val="Balloon Text"/>
    <w:basedOn w:val="Normal"/>
    <w:link w:val="BalloonTextChar"/>
    <w:uiPriority w:val="99"/>
    <w:semiHidden/>
    <w:unhideWhenUsed/>
    <w:rsid w:val="00BA27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708"/>
    <w:rPr>
      <w:rFonts w:ascii="Segoe UI" w:hAnsi="Segoe UI" w:cs="Segoe UI"/>
      <w:sz w:val="18"/>
      <w:szCs w:val="18"/>
    </w:rPr>
  </w:style>
  <w:style w:type="character" w:styleId="CommentReference">
    <w:name w:val="annotation reference"/>
    <w:basedOn w:val="DefaultParagraphFont"/>
    <w:uiPriority w:val="99"/>
    <w:unhideWhenUsed/>
    <w:rsid w:val="00642DCA"/>
    <w:rPr>
      <w:sz w:val="16"/>
      <w:szCs w:val="16"/>
    </w:rPr>
  </w:style>
  <w:style w:type="paragraph" w:styleId="CommentText">
    <w:name w:val="annotation text"/>
    <w:basedOn w:val="Normal"/>
    <w:link w:val="CommentTextChar"/>
    <w:uiPriority w:val="99"/>
    <w:unhideWhenUsed/>
    <w:rsid w:val="00642DCA"/>
    <w:pPr>
      <w:spacing w:line="240" w:lineRule="auto"/>
    </w:pPr>
    <w:rPr>
      <w:sz w:val="20"/>
      <w:szCs w:val="20"/>
    </w:rPr>
  </w:style>
  <w:style w:type="character" w:customStyle="1" w:styleId="CommentTextChar">
    <w:name w:val="Comment Text Char"/>
    <w:basedOn w:val="DefaultParagraphFont"/>
    <w:link w:val="CommentText"/>
    <w:uiPriority w:val="99"/>
    <w:rsid w:val="00642DCA"/>
    <w:rPr>
      <w:sz w:val="20"/>
      <w:szCs w:val="20"/>
    </w:rPr>
  </w:style>
  <w:style w:type="paragraph" w:styleId="CommentSubject">
    <w:name w:val="annotation subject"/>
    <w:basedOn w:val="CommentText"/>
    <w:next w:val="CommentText"/>
    <w:link w:val="CommentSubjectChar"/>
    <w:uiPriority w:val="99"/>
    <w:semiHidden/>
    <w:unhideWhenUsed/>
    <w:rsid w:val="00642DCA"/>
    <w:rPr>
      <w:b/>
      <w:bCs/>
    </w:rPr>
  </w:style>
  <w:style w:type="character" w:customStyle="1" w:styleId="CommentSubjectChar">
    <w:name w:val="Comment Subject Char"/>
    <w:basedOn w:val="CommentTextChar"/>
    <w:link w:val="CommentSubject"/>
    <w:uiPriority w:val="99"/>
    <w:semiHidden/>
    <w:rsid w:val="00642DCA"/>
    <w:rPr>
      <w:b/>
      <w:bCs/>
      <w:sz w:val="20"/>
      <w:szCs w:val="20"/>
    </w:rPr>
  </w:style>
  <w:style w:type="character" w:styleId="UnresolvedMention">
    <w:name w:val="Unresolved Mention"/>
    <w:basedOn w:val="DefaultParagraphFont"/>
    <w:uiPriority w:val="99"/>
    <w:semiHidden/>
    <w:unhideWhenUsed/>
    <w:rsid w:val="00B35A53"/>
    <w:rPr>
      <w:color w:val="605E5C"/>
      <w:shd w:val="clear" w:color="auto" w:fill="E1DFDD"/>
    </w:rPr>
  </w:style>
  <w:style w:type="character" w:styleId="LineNumber">
    <w:name w:val="line number"/>
    <w:basedOn w:val="DefaultParagraphFont"/>
    <w:uiPriority w:val="99"/>
    <w:semiHidden/>
    <w:unhideWhenUsed/>
    <w:rsid w:val="008228BB"/>
  </w:style>
  <w:style w:type="paragraph" w:styleId="EndnoteText">
    <w:name w:val="endnote text"/>
    <w:basedOn w:val="Normal"/>
    <w:link w:val="EndnoteTextChar"/>
    <w:uiPriority w:val="99"/>
    <w:semiHidden/>
    <w:unhideWhenUsed/>
    <w:rsid w:val="000F50D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50D4"/>
    <w:rPr>
      <w:sz w:val="20"/>
      <w:szCs w:val="20"/>
    </w:rPr>
  </w:style>
  <w:style w:type="character" w:styleId="EndnoteReference">
    <w:name w:val="endnote reference"/>
    <w:basedOn w:val="DefaultParagraphFont"/>
    <w:uiPriority w:val="99"/>
    <w:semiHidden/>
    <w:unhideWhenUsed/>
    <w:rsid w:val="000F50D4"/>
    <w:rPr>
      <w:vertAlign w:val="superscript"/>
    </w:rPr>
  </w:style>
  <w:style w:type="character" w:styleId="FollowedHyperlink">
    <w:name w:val="FollowedHyperlink"/>
    <w:basedOn w:val="DefaultParagraphFont"/>
    <w:uiPriority w:val="99"/>
    <w:semiHidden/>
    <w:unhideWhenUsed/>
    <w:rsid w:val="0069209C"/>
    <w:rPr>
      <w:color w:val="800080" w:themeColor="followedHyperlink"/>
      <w:u w:val="single"/>
    </w:rPr>
  </w:style>
  <w:style w:type="paragraph" w:customStyle="1" w:styleId="Normal-pool">
    <w:name w:val="Normal-pool"/>
    <w:link w:val="Normal-poolChar"/>
    <w:rsid w:val="00BF41C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eastAsia="en-US"/>
    </w:rPr>
  </w:style>
  <w:style w:type="table" w:styleId="TableGrid">
    <w:name w:val="Table Grid"/>
    <w:basedOn w:val="TableNormal"/>
    <w:uiPriority w:val="39"/>
    <w:rsid w:val="00BF41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BF41CE"/>
    <w:rPr>
      <w:rFonts w:ascii="Times New Roman" w:eastAsia="Times New Roman" w:hAnsi="Times New Roman" w:cs="Times New Roman"/>
      <w:sz w:val="20"/>
      <w:szCs w:val="20"/>
      <w:lang w:eastAsia="en-US"/>
    </w:rPr>
  </w:style>
  <w:style w:type="paragraph" w:styleId="Revision">
    <w:name w:val="Revision"/>
    <w:hidden/>
    <w:uiPriority w:val="99"/>
    <w:semiHidden/>
    <w:rsid w:val="004B5873"/>
    <w:pPr>
      <w:spacing w:after="0" w:line="240" w:lineRule="auto"/>
    </w:pPr>
  </w:style>
  <w:style w:type="paragraph" w:styleId="NormalWeb">
    <w:name w:val="Normal (Web)"/>
    <w:basedOn w:val="Normal"/>
    <w:uiPriority w:val="99"/>
    <w:unhideWhenUsed/>
    <w:rsid w:val="00A6440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51194E"/>
    <w:rPr>
      <w:rFonts w:ascii="Times New Roman" w:eastAsia="Times New Roman" w:hAnsi="Times New Roman" w:cs="Times New Roman"/>
      <w:b/>
      <w:bCs/>
      <w:kern w:val="36"/>
      <w:sz w:val="48"/>
      <w:szCs w:val="48"/>
      <w:lang w:val="nb-NO" w:eastAsia="nb-NO"/>
    </w:rPr>
  </w:style>
  <w:style w:type="paragraph" w:styleId="Caption">
    <w:name w:val="caption"/>
    <w:basedOn w:val="Normal"/>
    <w:next w:val="Normal"/>
    <w:uiPriority w:val="35"/>
    <w:unhideWhenUsed/>
    <w:qFormat/>
    <w:rsid w:val="0051194E"/>
    <w:pPr>
      <w:spacing w:line="240" w:lineRule="auto"/>
    </w:pPr>
    <w:rPr>
      <w:i/>
      <w:iCs/>
      <w:color w:val="1F497D" w:themeColor="text2"/>
      <w:sz w:val="18"/>
      <w:szCs w:val="18"/>
    </w:rPr>
  </w:style>
  <w:style w:type="table" w:customStyle="1" w:styleId="Tabellrutenett1">
    <w:name w:val="Tabellrutenett1"/>
    <w:basedOn w:val="TableNormal"/>
    <w:next w:val="TableGrid"/>
    <w:uiPriority w:val="39"/>
    <w:rsid w:val="0051194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text">
    <w:name w:val="title-text"/>
    <w:basedOn w:val="DefaultParagraphFont"/>
    <w:rsid w:val="0051194E"/>
  </w:style>
  <w:style w:type="character" w:customStyle="1" w:styleId="UnresolvedMention1">
    <w:name w:val="Unresolved Mention1"/>
    <w:basedOn w:val="DefaultParagraphFont"/>
    <w:uiPriority w:val="99"/>
    <w:semiHidden/>
    <w:unhideWhenUsed/>
    <w:rsid w:val="0057726A"/>
    <w:rPr>
      <w:color w:val="605E5C"/>
      <w:shd w:val="clear" w:color="auto" w:fill="E1DFDD"/>
    </w:rPr>
  </w:style>
  <w:style w:type="character" w:customStyle="1" w:styleId="sentence">
    <w:name w:val="sentence"/>
    <w:basedOn w:val="DefaultParagraphFont"/>
    <w:rsid w:val="0057726A"/>
  </w:style>
  <w:style w:type="character" w:customStyle="1" w:styleId="word">
    <w:name w:val="word"/>
    <w:basedOn w:val="DefaultParagraphFont"/>
    <w:rsid w:val="0057726A"/>
  </w:style>
  <w:style w:type="character" w:customStyle="1" w:styleId="correction">
    <w:name w:val="correction"/>
    <w:basedOn w:val="DefaultParagraphFont"/>
    <w:rsid w:val="0057726A"/>
  </w:style>
  <w:style w:type="paragraph" w:styleId="ListParagraph">
    <w:name w:val="List Paragraph"/>
    <w:basedOn w:val="Normal"/>
    <w:uiPriority w:val="34"/>
    <w:qFormat/>
    <w:rsid w:val="00315962"/>
    <w:pPr>
      <w:tabs>
        <w:tab w:val="left" w:pos="1247"/>
        <w:tab w:val="left" w:pos="1814"/>
        <w:tab w:val="left" w:pos="2381"/>
        <w:tab w:val="left" w:pos="2948"/>
        <w:tab w:val="left" w:pos="3515"/>
      </w:tabs>
      <w:spacing w:after="0" w:line="240" w:lineRule="auto"/>
      <w:ind w:left="720"/>
    </w:pPr>
    <w:rPr>
      <w:rFonts w:ascii="Times New Roman" w:eastAsia="Times New Roman" w:hAnsi="Times New Roman" w:cs="Times New Roman"/>
      <w:sz w:val="20"/>
      <w:szCs w:val="20"/>
      <w:lang w:eastAsia="en-US"/>
    </w:rPr>
  </w:style>
  <w:style w:type="paragraph" w:customStyle="1" w:styleId="Titlefigure">
    <w:name w:val="Title_figure"/>
    <w:basedOn w:val="Normal"/>
    <w:next w:val="NormalNonumber"/>
    <w:rsid w:val="00B349E3"/>
    <w:pPr>
      <w:keepNext/>
      <w:keepLines/>
      <w:tabs>
        <w:tab w:val="left" w:pos="1247"/>
        <w:tab w:val="left" w:pos="1814"/>
        <w:tab w:val="left" w:pos="2381"/>
        <w:tab w:val="left" w:pos="2948"/>
        <w:tab w:val="left" w:pos="3515"/>
        <w:tab w:val="left" w:pos="4082"/>
      </w:tabs>
      <w:suppressAutoHyphens/>
      <w:spacing w:after="60" w:line="240" w:lineRule="auto"/>
      <w:ind w:left="1247"/>
    </w:pPr>
    <w:rPr>
      <w:rFonts w:ascii="Times New Roman" w:eastAsia="Times New Roman" w:hAnsi="Times New Roman" w:cs="Times New Roman"/>
      <w:b/>
      <w:sz w:val="20"/>
      <w:szCs w:val="20"/>
      <w:lang w:eastAsia="en-US"/>
    </w:rPr>
  </w:style>
  <w:style w:type="character" w:customStyle="1" w:styleId="CH2Char">
    <w:name w:val="CH2 Char"/>
    <w:link w:val="CH2"/>
    <w:locked/>
    <w:rsid w:val="000952B6"/>
    <w:rPr>
      <w:rFonts w:ascii="Times New Roman" w:eastAsia="Times New Roman" w:hAnsi="Times New Roman" w:cs="Times New Roman"/>
      <w:b/>
      <w:sz w:val="24"/>
      <w:szCs w:val="24"/>
      <w:lang w:eastAsia="en-US"/>
    </w:rPr>
  </w:style>
  <w:style w:type="paragraph" w:customStyle="1" w:styleId="Normalnumber">
    <w:name w:val="Normal_number"/>
    <w:basedOn w:val="Normal"/>
    <w:link w:val="NormalnumberChar"/>
    <w:autoRedefine/>
    <w:rsid w:val="00F0274D"/>
    <w:pPr>
      <w:numPr>
        <w:numId w:val="22"/>
      </w:numPr>
      <w:spacing w:after="120" w:line="240" w:lineRule="auto"/>
      <w:ind w:left="1247" w:firstLine="0"/>
    </w:pPr>
    <w:rPr>
      <w:rFonts w:ascii="Times New Roman" w:eastAsia="Times New Roman" w:hAnsi="Times New Roman" w:cs="Times New Roman"/>
      <w:sz w:val="20"/>
      <w:szCs w:val="20"/>
      <w:lang w:eastAsia="en-US"/>
    </w:rPr>
  </w:style>
  <w:style w:type="character" w:customStyle="1" w:styleId="NormalnumberChar">
    <w:name w:val="Normal_number Char"/>
    <w:link w:val="Normalnumber"/>
    <w:locked/>
    <w:rsid w:val="00F0274D"/>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356342">
      <w:bodyDiv w:val="1"/>
      <w:marLeft w:val="0"/>
      <w:marRight w:val="0"/>
      <w:marTop w:val="0"/>
      <w:marBottom w:val="0"/>
      <w:divBdr>
        <w:top w:val="none" w:sz="0" w:space="0" w:color="auto"/>
        <w:left w:val="none" w:sz="0" w:space="0" w:color="auto"/>
        <w:bottom w:val="none" w:sz="0" w:space="0" w:color="auto"/>
        <w:right w:val="none" w:sz="0" w:space="0" w:color="auto"/>
      </w:divBdr>
    </w:div>
    <w:div w:id="711996895">
      <w:bodyDiv w:val="1"/>
      <w:marLeft w:val="0"/>
      <w:marRight w:val="0"/>
      <w:marTop w:val="0"/>
      <w:marBottom w:val="0"/>
      <w:divBdr>
        <w:top w:val="none" w:sz="0" w:space="0" w:color="auto"/>
        <w:left w:val="none" w:sz="0" w:space="0" w:color="auto"/>
        <w:bottom w:val="none" w:sz="0" w:space="0" w:color="auto"/>
        <w:right w:val="none" w:sz="0" w:space="0" w:color="auto"/>
      </w:divBdr>
    </w:div>
    <w:div w:id="1629894231">
      <w:bodyDiv w:val="1"/>
      <w:marLeft w:val="0"/>
      <w:marRight w:val="0"/>
      <w:marTop w:val="0"/>
      <w:marBottom w:val="0"/>
      <w:divBdr>
        <w:top w:val="none" w:sz="0" w:space="0" w:color="auto"/>
        <w:left w:val="none" w:sz="0" w:space="0" w:color="auto"/>
        <w:bottom w:val="none" w:sz="0" w:space="0" w:color="auto"/>
        <w:right w:val="none" w:sz="0" w:space="0" w:color="auto"/>
      </w:divBdr>
    </w:div>
    <w:div w:id="1991982822">
      <w:bodyDiv w:val="1"/>
      <w:marLeft w:val="0"/>
      <w:marRight w:val="0"/>
      <w:marTop w:val="0"/>
      <w:marBottom w:val="0"/>
      <w:divBdr>
        <w:top w:val="none" w:sz="0" w:space="0" w:color="auto"/>
        <w:left w:val="none" w:sz="0" w:space="0" w:color="auto"/>
        <w:bottom w:val="none" w:sz="0" w:space="0" w:color="auto"/>
        <w:right w:val="none" w:sz="0" w:space="0" w:color="auto"/>
      </w:divBdr>
    </w:div>
    <w:div w:id="214041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sciencedirect.com/science/article/pii/S135223101830047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ubmed.ncbi.nlm.nih.gov/2619742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sciencedirect.com/science/article/pii/S095965262100273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info.gov/content/pkg/FR-2010-09-09/pdf/2010-21102.pdf" TargetMode="External"/><Relationship Id="rId20" Type="http://schemas.openxmlformats.org/officeDocument/2006/relationships/hyperlink" Target="https://pubmed.ncbi.nlm.nih.gov/2619742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cese.utulsa.edu/wp-content/uploads/2017/06/IPEC-2014-Removal-of-mercury-from-water-in-petroleum-industry.pdf" TargetMode="External"/><Relationship Id="rId23"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yperlink" Target="https://wedocs.unep.org/bitstream/handle/20.500.11822/13793/Env_Prot_3_Edition_5.pdf?sequence=1&amp;isAllowed=y"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mea-minamatasecretariat@un.org" TargetMode="External"/><Relationship Id="rId22" Type="http://schemas.openxmlformats.org/officeDocument/2006/relationships/hyperlink" Target="http://www.mercuryconvention.org/Portals/11/documents/MIAs/Nepal_MIA_2019.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prtr.unitar.org/site/prtr-learn" TargetMode="External"/><Relationship Id="rId3" Type="http://schemas.openxmlformats.org/officeDocument/2006/relationships/hyperlink" Target="https://prtr.unece.org/" TargetMode="External"/><Relationship Id="rId7" Type="http://schemas.openxmlformats.org/officeDocument/2006/relationships/hyperlink" Target="http://prtr.unitar.org/site/resources" TargetMode="External"/><Relationship Id="rId2" Type="http://schemas.openxmlformats.org/officeDocument/2006/relationships/hyperlink" Target="https://www.cepal.org/en/escazuagreement" TargetMode="External"/><Relationship Id="rId1" Type="http://schemas.openxmlformats.org/officeDocument/2006/relationships/hyperlink" Target="https://www.unece.org/env/pp/prtr/wgp5.html" TargetMode="External"/><Relationship Id="rId6" Type="http://schemas.openxmlformats.org/officeDocument/2006/relationships/hyperlink" Target="https://www.unece.org/env/pp/prtr.guidancedev.html" TargetMode="External"/><Relationship Id="rId11" Type="http://schemas.openxmlformats.org/officeDocument/2006/relationships/hyperlink" Target="https://www.unenvironment.org/explore-topics/chemicals-waste/what-we-do/mercury/mercury-inventory-toolkit" TargetMode="External"/><Relationship Id="rId5" Type="http://schemas.openxmlformats.org/officeDocument/2006/relationships/hyperlink" Target="http://www.oecd.org/chemicalsafety/pollutant-release-transfer-register/" TargetMode="External"/><Relationship Id="rId10" Type="http://schemas.openxmlformats.org/officeDocument/2006/relationships/hyperlink" Target="https://unece.org/sites/default/files/2020-12/4%28a%29%20OECD%20activity%20on%20PRTR_0.pdf" TargetMode="External"/><Relationship Id="rId4" Type="http://schemas.openxmlformats.org/officeDocument/2006/relationships/hyperlink" Target="https://iomctoolbox.oecd.org/" TargetMode="External"/><Relationship Id="rId9" Type="http://schemas.openxmlformats.org/officeDocument/2006/relationships/hyperlink" Target="https://unece.org/sites/default/files/2021-01/4%28a%29_ICG_8thWGP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ecords_x0020_Date xmlns="d7834534-2027-4112-859c-0852fb8affaa" xsi:nil="true"/>
    <Rights xmlns="4ffa91fb-a0ff-4ac5-b2db-65c790d184a4" xsi:nil="true"/>
    <Document_x0020_Creation_x0020_Date xmlns="4ffa91fb-a0ff-4ac5-b2db-65c790d184a4">2020-07-29T00:55:22+00:00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Records_x0020_Status xmlns="d7834534-2027-4112-859c-0852fb8affaa">Pending</Records_x0020_Status>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3.xml><?xml version="1.0" encoding="utf-8"?>
<?mso-contentType ?>
<SharedContentType xmlns="Microsoft.SharePoint.Taxonomy.ContentTypeSync" SourceId="f3010fb3-0ead-40f9-8418-3186255a05f9" ContentTypeId="0x010100D14BD004BF1C4459B890F3727F092580"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311A8E3D2238214E934F0D4813990A85" ma:contentTypeVersion="33" ma:contentTypeDescription="Create a new document." ma:contentTypeScope="" ma:versionID="42509bcf3e7264cb40ce0647315f97c3">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d7834534-2027-4112-859c-0852fb8affaa" xmlns:ns7="4aa8df66-35cf-4b21-b271-1058551de38d" targetNamespace="http://schemas.microsoft.com/office/2006/metadata/properties" ma:root="true" ma:fieldsID="f11cc3b030d41fd6bfeb79fb55ca94b7" ns1:_="" ns3:_="" ns4:_="" ns5:_="" ns6:_="" ns7:_="">
    <xsd:import namespace="http://schemas.microsoft.com/sharepoint/v3"/>
    <xsd:import namespace="4ffa91fb-a0ff-4ac5-b2db-65c790d184a4"/>
    <xsd:import namespace="http://schemas.microsoft.com/sharepoint.v3"/>
    <xsd:import namespace="http://schemas.microsoft.com/sharepoint/v3/fields"/>
    <xsd:import namespace="d7834534-2027-4112-859c-0852fb8affaa"/>
    <xsd:import namespace="4aa8df66-35cf-4b21-b271-1058551de38d"/>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7:MediaServiceAutoTags" minOccurs="0"/>
                <xsd:element ref="ns7:MediaServiceDateTaken" minOccurs="0"/>
                <xsd:element ref="ns7:MediaServiceOCR" minOccurs="0"/>
                <xsd:element ref="ns6:Records_x0020_Status" minOccurs="0"/>
                <xsd:element ref="ns6:Records_x0020_Date" minOccurs="0"/>
                <xsd:element ref="ns7:MediaServiceEventHashCode" minOccurs="0"/>
                <xsd:element ref="ns7:MediaServiceGenerationTime" minOccurs="0"/>
                <xsd:element ref="ns7:MediaServiceAutoKeyPoints" minOccurs="0"/>
                <xsd:element ref="ns7: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975f509d-8126-40dd-82a1-bafe1076fa18}" ma:internalName="TaxCatchAllLabel" ma:readOnly="true" ma:showField="CatchAllDataLabel" ma:web="d7834534-2027-4112-859c-0852fb8affaa">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975f509d-8126-40dd-82a1-bafe1076fa18}" ma:internalName="TaxCatchAll" ma:showField="CatchAllData" ma:web="d7834534-2027-4112-859c-0852fb8affa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834534-2027-4112-859c-0852fb8affaa" elementFormDefault="qualified">
    <xsd:import namespace="http://schemas.microsoft.com/office/2006/documentManagement/types"/>
    <xsd:import namespace="http://schemas.microsoft.com/office/infopath/2007/PartnerControls"/>
    <xsd:element name="SharedWithUsers" ma:index="2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description="" ma:internalName="SharedWithDetails" ma:readOnly="true">
      <xsd:simpleType>
        <xsd:restriction base="dms:Note">
          <xsd:maxLength value="255"/>
        </xsd:restriction>
      </xsd:simpleType>
    </xsd:element>
    <xsd:element name="SharingHintHash" ma:index="30" nillable="true" ma:displayName="Sharing Hint Hash" ma:description="" ma:hidden="true" ma:internalName="SharingHintHash" ma:readOnly="true">
      <xsd:simpleType>
        <xsd:restriction base="dms:Text"/>
      </xsd:simpleType>
    </xsd:element>
    <xsd:element name="Records_x0020_Status" ma:index="36" nillable="true" ma:displayName="Records Status" ma:default="Pending" ma:internalName="Records_x0020_Status">
      <xsd:simpleType>
        <xsd:restriction base="dms:Text"/>
      </xsd:simpleType>
    </xsd:element>
    <xsd:element name="Records_x0020_Date" ma:index="37"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aa8df66-35cf-4b21-b271-1058551de38d"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Tags" ma:index="33" nillable="true" ma:displayName="MediaServiceAutoTags" ma:description="" ma:internalName="MediaServiceAutoTags" ma:readOnly="true">
      <xsd:simpleType>
        <xsd:restriction base="dms:Text"/>
      </xsd:simpleType>
    </xsd:element>
    <xsd:element name="MediaServiceDateTaken" ma:index="34" nillable="true" ma:displayName="MediaServiceDateTaken" ma:description="" ma:hidden="true" ma:internalName="MediaServiceDateTaken"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29f62856-1543-49d4-a736-4569d363f533" ContentTypeId="0x0101" PreviousValue="false"/>
</file>

<file path=customXml/item7.xml><?xml version="1.0" encoding="utf-8"?>
<ct:contentTypeSchema xmlns:ct="http://schemas.microsoft.com/office/2006/metadata/contentType" xmlns:ma="http://schemas.microsoft.com/office/2006/metadata/properties/metaAttributes" ct:_="" ma:_="" ma:contentTypeName="Miljødirektoratet Dokument" ma:contentTypeID="0x010100D14BD004BF1C4459B890F3727F092580000966C379719EFD41912A7A5B13A31110" ma:contentTypeVersion="4" ma:contentTypeDescription="Opprett et nytt dokument. " ma:contentTypeScope="" ma:versionID="6adbfd4f3d79fa7312a330dc152a0d48">
  <xsd:schema xmlns:xsd="http://www.w3.org/2001/XMLSchema" xmlns:xs="http://www.w3.org/2001/XMLSchema" xmlns:p="http://schemas.microsoft.com/office/2006/metadata/properties" xmlns:ns2="99b93dda-0db1-4804-bcd9-79ac3408f7b3" targetNamespace="http://schemas.microsoft.com/office/2006/metadata/properties" ma:root="true" ma:fieldsID="2b3b7193e38ed5f534e1af8691dd043b" ns2:_="">
    <xsd:import namespace="99b93dda-0db1-4804-bcd9-79ac3408f7b3"/>
    <xsd:element name="properties">
      <xsd:complexType>
        <xsd:sequence>
          <xsd:element name="documentManagement">
            <xsd:complexType>
              <xsd:all>
                <xsd:element ref="ns2:gdc15e87e6184dc285cecc59dfe3e409" minOccurs="0"/>
                <xsd:element ref="ns2:TaxCatchAll" minOccurs="0"/>
                <xsd:element ref="ns2:TaxCatchAllLabel" minOccurs="0"/>
                <xsd:element ref="ns2:a707137999d24c5390df78a72943486a" minOccurs="0"/>
                <xsd:element ref="ns2:AvtaltD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93dda-0db1-4804-bcd9-79ac3408f7b3" elementFormDefault="qualified">
    <xsd:import namespace="http://schemas.microsoft.com/office/2006/documentManagement/types"/>
    <xsd:import namespace="http://schemas.microsoft.com/office/infopath/2007/PartnerControls"/>
    <xsd:element name="gdc15e87e6184dc285cecc59dfe3e409" ma:index="8" nillable="true" ma:taxonomy="true" ma:internalName="gdc15e87e6184dc285cecc59dfe3e409" ma:taxonomyFieldName="Dokumentkategori" ma:displayName="Dokumentkategori" ma:default="" ma:fieldId="{0dc15e87-e618-4dc2-85ce-cc59dfe3e409}" ma:taxonomyMulti="true" ma:sspId="f3010fb3-0ead-40f9-8418-3186255a05f9" ma:termSetId="53e1fc6a-97c5-4630-8402-445232887b95"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c5cfcf28-d949-4af0-ac10-d6479a183d42}" ma:internalName="TaxCatchAll" ma:showField="CatchAllData" ma:web="5a7c4aa6-5e12-4f20-a202-8f1b26c9108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c5cfcf28-d949-4af0-ac10-d6479a183d42}" ma:internalName="TaxCatchAllLabel" ma:readOnly="true" ma:showField="CatchAllDataLabel" ma:web="5a7c4aa6-5e12-4f20-a202-8f1b26c91088">
      <xsd:complexType>
        <xsd:complexContent>
          <xsd:extension base="dms:MultiChoiceLookup">
            <xsd:sequence>
              <xsd:element name="Value" type="dms:Lookup" maxOccurs="unbounded" minOccurs="0" nillable="true"/>
            </xsd:sequence>
          </xsd:extension>
        </xsd:complexContent>
      </xsd:complexType>
    </xsd:element>
    <xsd:element name="a707137999d24c5390df78a72943486a" ma:index="12" nillable="true" ma:taxonomy="true" ma:internalName="a707137999d24c5390df78a72943486a" ma:taxonomyFieldName="Stikkord" ma:displayName="Stikkord" ma:readOnly="false" ma:default="" ma:fieldId="{a7071379-99d2-4c53-90df-78a72943486a}" ma:taxonomyMulti="true" ma:sspId="f3010fb3-0ead-40f9-8418-3186255a05f9" ma:termSetId="5b9839b4-4137-4aaf-bfa7-b3e208cd477c" ma:anchorId="00000000-0000-0000-0000-000000000000" ma:open="true" ma:isKeyword="false">
      <xsd:complexType>
        <xsd:sequence>
          <xsd:element ref="pc:Terms" minOccurs="0" maxOccurs="1"/>
        </xsd:sequence>
      </xsd:complexType>
    </xsd:element>
    <xsd:element name="AvtaltDato" ma:index="14" nillable="true" ma:displayName="Avtalt dato" ma:format="DateOnly" ma:indexed="true" ma:internalName="AvtaltDato"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230A2-0D0A-457A-816F-11747312F5AE}">
  <ds:schemaRefs>
    <ds:schemaRef ds:uri="http://schemas.openxmlformats.org/officeDocument/2006/bibliography"/>
  </ds:schemaRefs>
</ds:datastoreItem>
</file>

<file path=customXml/itemProps2.xml><?xml version="1.0" encoding="utf-8"?>
<ds:datastoreItem xmlns:ds="http://schemas.openxmlformats.org/officeDocument/2006/customXml" ds:itemID="{E2508453-E219-4602-8D31-2810F00502A8}">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d7834534-2027-4112-859c-0852fb8affaa"/>
    <ds:schemaRef ds:uri="http://schemas.microsoft.com/sharepoint.v3"/>
  </ds:schemaRefs>
</ds:datastoreItem>
</file>

<file path=customXml/itemProps3.xml><?xml version="1.0" encoding="utf-8"?>
<ds:datastoreItem xmlns:ds="http://schemas.openxmlformats.org/officeDocument/2006/customXml" ds:itemID="{5EC37C14-E3C0-407C-BC8A-BE55F68F04AA}">
  <ds:schemaRefs>
    <ds:schemaRef ds:uri="Microsoft.SharePoint.Taxonomy.ContentTypeSync"/>
  </ds:schemaRefs>
</ds:datastoreItem>
</file>

<file path=customXml/itemProps4.xml><?xml version="1.0" encoding="utf-8"?>
<ds:datastoreItem xmlns:ds="http://schemas.openxmlformats.org/officeDocument/2006/customXml" ds:itemID="{6494FF47-D9AA-41A9-AA43-4ABC8858C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d7834534-2027-4112-859c-0852fb8affaa"/>
    <ds:schemaRef ds:uri="4aa8df66-35cf-4b21-b271-1058551de3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074A64C-3B83-4A51-BD79-17D75C7FE38D}">
  <ds:schemaRefs>
    <ds:schemaRef ds:uri="http://schemas.microsoft.com/sharepoint/v3/contenttype/forms"/>
  </ds:schemaRefs>
</ds:datastoreItem>
</file>

<file path=customXml/itemProps6.xml><?xml version="1.0" encoding="utf-8"?>
<ds:datastoreItem xmlns:ds="http://schemas.openxmlformats.org/officeDocument/2006/customXml" ds:itemID="{D288AD9C-AD73-4911-BBAC-88EDED190058}">
  <ds:schemaRefs>
    <ds:schemaRef ds:uri="Microsoft.SharePoint.Taxonomy.ContentTypeSync"/>
  </ds:schemaRefs>
</ds:datastoreItem>
</file>

<file path=customXml/itemProps7.xml><?xml version="1.0" encoding="utf-8"?>
<ds:datastoreItem xmlns:ds="http://schemas.openxmlformats.org/officeDocument/2006/customXml" ds:itemID="{050816B7-7FBA-486F-9591-DF708839B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93dda-0db1-4804-bcd9-79ac3408f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6217</Words>
  <Characters>35437</Characters>
  <Application>Microsoft Office Word</Application>
  <DocSecurity>0</DocSecurity>
  <Lines>295</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United Nations Office at Geneva</Company>
  <LinksUpToDate>false</LinksUpToDate>
  <CharactersWithSpaces>41571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LOGAN</dc:creator>
  <cp:lastModifiedBy>Eisaku TODA</cp:lastModifiedBy>
  <cp:revision>2</cp:revision>
  <cp:lastPrinted>2021-06-08T20:27:00Z</cp:lastPrinted>
  <dcterms:created xsi:type="dcterms:W3CDTF">2021-06-25T13:01:00Z</dcterms:created>
  <dcterms:modified xsi:type="dcterms:W3CDTF">2021-06-25T13:01:00Z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0x010100311A8E3D2238214E934F0D4813990A85</vt:lpwstr>
  </property>
  <property fmtid="{D5CDD505-2E9C-101B-9397-08002B2CF9AE}" pid="3" name="Stikkord">
    <vt:lpwstr/>
  </property>
  <property fmtid="{D5CDD505-2E9C-101B-9397-08002B2CF9AE}" pid="4" name="Dokumentkategori">
    <vt:lpwstr/>
  </property>
</Properties>
</file>