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2311A7E6" w:rsidR="004B0A17" w:rsidRPr="008405B2" w:rsidRDefault="00115715" w:rsidP="0010467B">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461F27">
              <w:rPr>
                <w:rFonts w:cs="Times New Roman"/>
                <w:szCs w:val="20"/>
              </w:rPr>
              <w:t>1</w:t>
            </w:r>
            <w:r w:rsidR="00CA3707">
              <w:rPr>
                <w:rFonts w:cs="Times New Roman"/>
                <w:szCs w:val="20"/>
              </w:rPr>
              <w:t>3</w:t>
            </w:r>
            <w:r w:rsidR="0010467B" w:rsidRPr="004D5308">
              <w:rPr>
                <w:rFonts w:cs="Times New Roman"/>
                <w:sz w:val="24"/>
                <w:szCs w:val="24"/>
                <w:vertAlign w:val="superscript"/>
                <w:lang w:val="en-GB"/>
              </w:rPr>
              <w:footnoteReference w:customMarkFollows="1" w:id="1"/>
              <w:t>*</w:t>
            </w:r>
          </w:p>
        </w:tc>
        <w:tc>
          <w:tcPr>
            <w:tcW w:w="6237" w:type="dxa"/>
            <w:gridSpan w:val="2"/>
            <w:tcBorders>
              <w:top w:val="nil"/>
              <w:bottom w:val="single" w:sz="4" w:space="0" w:color="auto"/>
            </w:tcBorders>
          </w:tcPr>
          <w:p w14:paraId="0A72B2A3" w14:textId="77777777" w:rsidR="004B0A17" w:rsidRPr="004D5308" w:rsidRDefault="004B0A17" w:rsidP="004B0A17">
            <w:pPr>
              <w:jc w:val="both"/>
              <w:rPr>
                <w:rFonts w:cs="Times New Roman"/>
                <w:b/>
                <w:bCs/>
                <w:szCs w:val="20"/>
                <w:rtl/>
              </w:rPr>
            </w:pPr>
          </w:p>
        </w:tc>
      </w:tr>
      <w:tr w:rsidR="00DE796A" w14:paraId="0D8768E6" w14:textId="77777777" w:rsidTr="008F1B77">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5A99F5D3" w:rsidR="00934FB6" w:rsidRPr="002772B3" w:rsidRDefault="008216EB" w:rsidP="00934FB6">
            <w:pPr>
              <w:jc w:val="both"/>
              <w:rPr>
                <w:rFonts w:cs="Times New Roman"/>
                <w:szCs w:val="20"/>
              </w:rPr>
            </w:pPr>
            <w:r>
              <w:rPr>
                <w:rFonts w:cs="Times New Roman"/>
                <w:szCs w:val="20"/>
              </w:rPr>
              <w:t>2</w:t>
            </w:r>
            <w:r w:rsidR="00461F27">
              <w:rPr>
                <w:rFonts w:cs="Times New Roman"/>
                <w:szCs w:val="20"/>
              </w:rPr>
              <w:t>5</w:t>
            </w:r>
            <w:r w:rsidR="00934FB6">
              <w:rPr>
                <w:rFonts w:cs="Times New Roman"/>
                <w:szCs w:val="20"/>
              </w:rPr>
              <w:t xml:space="preserve"> </w:t>
            </w:r>
            <w:r w:rsidR="008405B2">
              <w:rPr>
                <w:rFonts w:cs="Times New Roman"/>
                <w:szCs w:val="20"/>
              </w:rPr>
              <w:t>September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A969A0" w:rsidRDefault="00934FB6" w:rsidP="00934FB6">
            <w:pPr>
              <w:pStyle w:val="Titre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fr-FR"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8F1B77">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BE3C21">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2F581F08" w14:textId="714AE43E" w:rsidR="00BE3C21" w:rsidRDefault="00BE3C21" w:rsidP="0010467B">
            <w:pPr>
              <w:bidi/>
              <w:spacing w:line="360" w:lineRule="exact"/>
              <w:ind w:left="34"/>
              <w:rPr>
                <w:rFonts w:ascii="Traditional Arabic" w:hAnsi="Traditional Arabic"/>
                <w:sz w:val="28"/>
                <w:rtl/>
              </w:rPr>
            </w:pPr>
            <w:r w:rsidRPr="00FF3359">
              <w:rPr>
                <w:rFonts w:ascii="Traditional Arabic" w:hAnsi="Traditional Arabic" w:hint="cs"/>
                <w:sz w:val="28"/>
                <w:rtl/>
              </w:rPr>
              <w:t xml:space="preserve">البند </w:t>
            </w:r>
            <w:r>
              <w:rPr>
                <w:rFonts w:asciiTheme="minorHAnsi" w:hAnsiTheme="minorHAnsi" w:hint="cs"/>
                <w:sz w:val="28"/>
                <w:rtl/>
              </w:rPr>
              <w:t>5 (</w:t>
            </w:r>
            <w:r w:rsidR="00CA3707">
              <w:rPr>
                <w:rFonts w:asciiTheme="minorHAnsi" w:hAnsiTheme="minorHAnsi" w:hint="cs"/>
                <w:sz w:val="28"/>
                <w:rtl/>
              </w:rPr>
              <w:t>ط</w:t>
            </w:r>
            <w:r>
              <w:rPr>
                <w:rFonts w:asciiTheme="minorHAnsi" w:hAnsiTheme="minorHAnsi" w:hint="cs"/>
                <w:sz w:val="28"/>
                <w:rtl/>
              </w:rPr>
              <w:t>)</w:t>
            </w:r>
            <w:r w:rsidRPr="00FF3359">
              <w:rPr>
                <w:rFonts w:ascii="Traditional Arabic" w:hAnsi="Traditional Arabic" w:hint="cs"/>
                <w:sz w:val="28"/>
                <w:rtl/>
              </w:rPr>
              <w:t xml:space="preserve"> من جدول الأعمال المؤقت</w:t>
            </w:r>
            <w:r w:rsidR="0010467B" w:rsidRPr="00206B55">
              <w:rPr>
                <w:rFonts w:hint="cs"/>
                <w:szCs w:val="24"/>
                <w:rtl/>
              </w:rPr>
              <w:t>*</w:t>
            </w:r>
            <w:r>
              <w:rPr>
                <w:szCs w:val="24"/>
                <w:rtl/>
              </w:rPr>
              <w:footnoteReference w:customMarkFollows="1" w:id="2"/>
              <w:t>*</w:t>
            </w:r>
          </w:p>
          <w:p w14:paraId="270B00D7" w14:textId="11C72049" w:rsidR="00BE3C21" w:rsidRPr="00BE3C21" w:rsidRDefault="00BE3C21" w:rsidP="00CA3707">
            <w:pPr>
              <w:bidi/>
              <w:spacing w:line="360" w:lineRule="exact"/>
              <w:ind w:right="2472"/>
              <w:jc w:val="both"/>
              <w:rPr>
                <w:rFonts w:cs="Times New Roman"/>
                <w:szCs w:val="20"/>
                <w:rtl/>
              </w:rPr>
            </w:pPr>
            <w:r w:rsidRPr="00643398">
              <w:rPr>
                <w:rFonts w:ascii="Traditional Arabic" w:hAnsi="Traditional Arabic" w:hint="cs"/>
                <w:b/>
                <w:bCs/>
                <w:sz w:val="28"/>
                <w:szCs w:val="28"/>
                <w:rtl/>
                <w:lang w:eastAsia="zh-TW"/>
              </w:rPr>
              <w:t xml:space="preserve">مسائل </w:t>
            </w:r>
            <w:r w:rsidRPr="00643398">
              <w:rPr>
                <w:rFonts w:ascii="Traditional Arabic" w:hAnsi="Traditional Arabic" w:hint="cs"/>
                <w:b/>
                <w:bCs/>
                <w:sz w:val="28"/>
                <w:szCs w:val="28"/>
                <w:rtl/>
              </w:rPr>
              <w:t xml:space="preserve">تُعرض </w:t>
            </w:r>
            <w:r w:rsidRPr="00643398">
              <w:rPr>
                <w:rFonts w:ascii="Traditional Arabic" w:hAnsi="Traditional Arabic"/>
                <w:b/>
                <w:bCs/>
                <w:sz w:val="28"/>
                <w:szCs w:val="28"/>
                <w:rtl/>
              </w:rPr>
              <w:t xml:space="preserve">على مؤتمر الأطراف </w:t>
            </w:r>
            <w:r w:rsidRPr="00643398">
              <w:rPr>
                <w:rFonts w:ascii="Traditional Arabic" w:hAnsi="Traditional Arabic" w:hint="cs"/>
                <w:b/>
                <w:bCs/>
                <w:sz w:val="28"/>
                <w:szCs w:val="28"/>
                <w:rtl/>
              </w:rPr>
              <w:t>لكي</w:t>
            </w:r>
            <w:r w:rsidRPr="00643398">
              <w:rPr>
                <w:rFonts w:ascii="Traditional Arabic" w:hAnsi="Traditional Arabic"/>
                <w:b/>
                <w:bCs/>
                <w:sz w:val="28"/>
                <w:szCs w:val="28"/>
                <w:rtl/>
              </w:rPr>
              <w:t xml:space="preserve"> ي</w:t>
            </w:r>
            <w:r w:rsidRPr="00643398">
              <w:rPr>
                <w:rFonts w:ascii="Traditional Arabic" w:hAnsi="Traditional Arabic" w:hint="cs"/>
                <w:b/>
                <w:bCs/>
                <w:sz w:val="28"/>
                <w:szCs w:val="28"/>
                <w:rtl/>
              </w:rPr>
              <w:t>نظر فيها أو ي</w:t>
            </w:r>
            <w:r w:rsidRPr="00643398">
              <w:rPr>
                <w:rFonts w:ascii="Traditional Arabic" w:hAnsi="Traditional Arabic"/>
                <w:b/>
                <w:bCs/>
                <w:sz w:val="28"/>
                <w:szCs w:val="28"/>
                <w:rtl/>
              </w:rPr>
              <w:t>تخذ إجراء</w:t>
            </w:r>
            <w:r w:rsidRPr="00643398">
              <w:rPr>
                <w:rFonts w:ascii="Traditional Arabic" w:hAnsi="Traditional Arabic" w:hint="cs"/>
                <w:b/>
                <w:bCs/>
                <w:sz w:val="28"/>
                <w:szCs w:val="28"/>
                <w:rtl/>
              </w:rPr>
              <w:t>ً</w:t>
            </w:r>
            <w:r w:rsidRPr="00643398">
              <w:rPr>
                <w:rFonts w:ascii="Traditional Arabic" w:hAnsi="Traditional Arabic"/>
                <w:b/>
                <w:bCs/>
                <w:sz w:val="28"/>
                <w:szCs w:val="28"/>
                <w:rtl/>
              </w:rPr>
              <w:t xml:space="preserve"> بشأنها</w:t>
            </w:r>
            <w:r w:rsidRPr="00643398">
              <w:rPr>
                <w:rFonts w:ascii="Traditional Arabic" w:hAnsi="Traditional Arabic" w:hint="cs"/>
                <w:b/>
                <w:bCs/>
                <w:sz w:val="28"/>
                <w:szCs w:val="28"/>
                <w:rtl/>
              </w:rPr>
              <w:t xml:space="preserve">: </w:t>
            </w:r>
            <w:r w:rsidR="00CA3707" w:rsidRPr="00CA3707">
              <w:rPr>
                <w:rFonts w:ascii="Traditional Arabic" w:hAnsi="Traditional Arabic" w:hint="cs"/>
                <w:b/>
                <w:bCs/>
                <w:sz w:val="28"/>
                <w:szCs w:val="28"/>
                <w:rtl/>
              </w:rPr>
              <w:t>تقييم الفعالية</w:t>
            </w:r>
          </w:p>
        </w:tc>
      </w:tr>
    </w:tbl>
    <w:p w14:paraId="796D8D26" w14:textId="493A706D" w:rsidR="00C60C8B" w:rsidRPr="00F756FF" w:rsidRDefault="00CA3707" w:rsidP="00542FA1">
      <w:pPr>
        <w:tabs>
          <w:tab w:val="left" w:pos="1841"/>
        </w:tabs>
        <w:bidi/>
        <w:spacing w:before="240" w:after="180" w:line="400" w:lineRule="exact"/>
        <w:ind w:left="1134"/>
        <w:jc w:val="both"/>
        <w:rPr>
          <w:b/>
          <w:bCs/>
          <w:sz w:val="34"/>
          <w:szCs w:val="34"/>
          <w:rtl/>
        </w:rPr>
      </w:pPr>
      <w:r>
        <w:rPr>
          <w:rFonts w:ascii="Traditional Arabic" w:hAnsi="Traditional Arabic" w:hint="cs"/>
          <w:bCs/>
          <w:sz w:val="34"/>
          <w:szCs w:val="34"/>
          <w:rtl/>
          <w:lang w:eastAsia="zh-TW"/>
        </w:rPr>
        <w:t xml:space="preserve">تقرير عن </w:t>
      </w:r>
      <w:r w:rsidR="00A34397" w:rsidRPr="00A34397">
        <w:rPr>
          <w:rFonts w:ascii="Traditional Arabic" w:hAnsi="Traditional Arabic"/>
          <w:bCs/>
          <w:sz w:val="34"/>
          <w:szCs w:val="34"/>
          <w:rtl/>
          <w:lang w:eastAsia="zh-TW"/>
        </w:rPr>
        <w:t>مخطط إطار تقييم الفعالية وخطته وعناصره</w:t>
      </w:r>
    </w:p>
    <w:p w14:paraId="7ACCD99F" w14:textId="77777777" w:rsidR="00C60C8B" w:rsidRPr="0052405D" w:rsidRDefault="00C60C8B" w:rsidP="0047425F">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الأمانة</w:t>
      </w:r>
    </w:p>
    <w:p w14:paraId="0B8EF733" w14:textId="3822A328" w:rsidR="00E8191C" w:rsidRPr="00E8191C" w:rsidRDefault="00E8191C" w:rsidP="00DF19DD">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E8191C">
        <w:rPr>
          <w:rFonts w:cs="Traditional Arabic"/>
          <w:sz w:val="30"/>
          <w:szCs w:val="30"/>
          <w:rtl/>
          <w:lang w:eastAsia="zh-TW"/>
        </w:rPr>
        <w:t>اعتمد مؤتمر الأطراف في اجتماعه الأول، بموجب المقرر ا م-1/9، خريطة طريق من أجل وضع ترتيبات لتزويد مؤتمر الأطراف ببيانات رصد مقارنة، وعناصر إطار لتقييم الفعالية بموجب المادة ٢٢ من اتفاقية ميناماتا بشأن الزئبق، ترد في المرفق الأول للمقرر. وتشمل خريطة الطريق اجتماعاً مباشراً لفريق خبراء مخصص بهدف إعداد مشروع تقرير، بما في ذلك مخطط لإطار تقييم الفعالية وخطته وعناصره.</w:t>
      </w:r>
    </w:p>
    <w:p w14:paraId="06AE2810" w14:textId="1E926EC9" w:rsidR="00E8191C" w:rsidRPr="00E8191C" w:rsidRDefault="00E8191C" w:rsidP="00DF19DD">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E8191C">
        <w:rPr>
          <w:rFonts w:cs="Traditional Arabic"/>
          <w:sz w:val="30"/>
          <w:szCs w:val="30"/>
          <w:rtl/>
          <w:lang w:eastAsia="zh-TW"/>
        </w:rPr>
        <w:t>وأنشئ فريق الخبراء المخصص وفقا</w:t>
      </w:r>
      <w:r w:rsidR="0061395F">
        <w:rPr>
          <w:rFonts w:cs="Traditional Arabic" w:hint="cs"/>
          <w:sz w:val="30"/>
          <w:szCs w:val="30"/>
          <w:rtl/>
          <w:lang w:eastAsia="zh-TW"/>
        </w:rPr>
        <w:t>ً</w:t>
      </w:r>
      <w:r w:rsidRPr="00E8191C">
        <w:rPr>
          <w:rFonts w:cs="Traditional Arabic"/>
          <w:sz w:val="30"/>
          <w:szCs w:val="30"/>
          <w:rtl/>
          <w:lang w:eastAsia="zh-TW"/>
        </w:rPr>
        <w:t xml:space="preserve"> للاختصاصات الواردة في المرفق الثاني من المقرر ا م-1/9، واجتمع في أوتاوا في الفترة من ٥ إلى ٩ آذار/مارس ٢٠١٨. و</w:t>
      </w:r>
      <w:r w:rsidR="00CD6E59">
        <w:rPr>
          <w:rFonts w:cs="Traditional Arabic" w:hint="cs"/>
          <w:sz w:val="30"/>
          <w:szCs w:val="30"/>
          <w:rtl/>
          <w:lang w:eastAsia="zh-TW"/>
        </w:rPr>
        <w:t>ت</w:t>
      </w:r>
      <w:r w:rsidRPr="00E8191C">
        <w:rPr>
          <w:rFonts w:cs="Traditional Arabic"/>
          <w:sz w:val="30"/>
          <w:szCs w:val="30"/>
          <w:rtl/>
          <w:lang w:eastAsia="zh-TW"/>
        </w:rPr>
        <w:t xml:space="preserve">رد في مرفق هذه المذكرة توصيات </w:t>
      </w:r>
      <w:r w:rsidR="00CD6E59">
        <w:rPr>
          <w:rFonts w:cs="Traditional Arabic" w:hint="cs"/>
          <w:sz w:val="30"/>
          <w:szCs w:val="30"/>
          <w:rtl/>
          <w:lang w:eastAsia="zh-TW"/>
        </w:rPr>
        <w:t>ال</w:t>
      </w:r>
      <w:r w:rsidRPr="00E8191C">
        <w:rPr>
          <w:rFonts w:cs="Traditional Arabic"/>
          <w:sz w:val="30"/>
          <w:szCs w:val="30"/>
          <w:rtl/>
          <w:lang w:eastAsia="zh-TW"/>
        </w:rPr>
        <w:t>فريق</w:t>
      </w:r>
      <w:r w:rsidR="00CD6E59">
        <w:rPr>
          <w:rFonts w:cs="Traditional Arabic" w:hint="cs"/>
          <w:sz w:val="30"/>
          <w:szCs w:val="30"/>
          <w:rtl/>
          <w:lang w:eastAsia="zh-TW"/>
        </w:rPr>
        <w:t>، أما</w:t>
      </w:r>
      <w:r w:rsidRPr="00E8191C">
        <w:rPr>
          <w:rFonts w:cs="Traditional Arabic"/>
          <w:sz w:val="30"/>
          <w:szCs w:val="30"/>
          <w:rtl/>
          <w:lang w:eastAsia="zh-TW"/>
        </w:rPr>
        <w:t xml:space="preserve"> </w:t>
      </w:r>
      <w:r w:rsidR="00CD6E59">
        <w:rPr>
          <w:rFonts w:cs="Traditional Arabic" w:hint="cs"/>
          <w:sz w:val="30"/>
          <w:szCs w:val="30"/>
          <w:rtl/>
          <w:lang w:eastAsia="zh-TW"/>
        </w:rPr>
        <w:t>ال</w:t>
      </w:r>
      <w:r w:rsidRPr="00E8191C">
        <w:rPr>
          <w:rFonts w:cs="Traditional Arabic"/>
          <w:sz w:val="30"/>
          <w:szCs w:val="30"/>
          <w:rtl/>
          <w:lang w:eastAsia="zh-TW"/>
        </w:rPr>
        <w:t>تقرير عن عمل فريق الخبراء المخصص المعني بتقييم الفعالية</w:t>
      </w:r>
      <w:r w:rsidR="00CD6E59">
        <w:rPr>
          <w:rFonts w:cs="Traditional Arabic" w:hint="cs"/>
          <w:sz w:val="30"/>
          <w:szCs w:val="30"/>
          <w:rtl/>
          <w:lang w:eastAsia="zh-TW"/>
        </w:rPr>
        <w:t xml:space="preserve"> فيرد</w:t>
      </w:r>
      <w:r w:rsidRPr="00E8191C">
        <w:rPr>
          <w:rFonts w:cs="Traditional Arabic"/>
          <w:sz w:val="30"/>
          <w:szCs w:val="30"/>
          <w:rtl/>
          <w:lang w:eastAsia="zh-TW"/>
        </w:rPr>
        <w:t xml:space="preserve"> في الوثيقة </w:t>
      </w:r>
      <w:r w:rsidR="00937A2F" w:rsidRPr="00937A2F">
        <w:rPr>
          <w:rFonts w:asciiTheme="majorBidi" w:hAnsiTheme="majorBidi" w:cstheme="majorBidi"/>
          <w:szCs w:val="20"/>
        </w:rPr>
        <w:t>UNEP/MC/COP.2/INF/</w:t>
      </w:r>
      <w:r w:rsidR="0010467B">
        <w:rPr>
          <w:rFonts w:asciiTheme="majorBidi" w:hAnsiTheme="majorBidi" w:cstheme="majorBidi"/>
          <w:szCs w:val="20"/>
        </w:rPr>
        <w:t>15</w:t>
      </w:r>
      <w:r w:rsidRPr="00E8191C">
        <w:rPr>
          <w:rFonts w:cs="Traditional Arabic"/>
          <w:sz w:val="30"/>
          <w:szCs w:val="30"/>
          <w:rtl/>
          <w:lang w:eastAsia="zh-TW"/>
        </w:rPr>
        <w:t>.</w:t>
      </w:r>
    </w:p>
    <w:p w14:paraId="62439AB1" w14:textId="1F68EC0D" w:rsidR="00E8191C" w:rsidRPr="00E8191C" w:rsidRDefault="00E8191C" w:rsidP="00DF19DD">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E8191C">
        <w:rPr>
          <w:rFonts w:cs="Traditional Arabic"/>
          <w:sz w:val="30"/>
          <w:szCs w:val="30"/>
          <w:rtl/>
          <w:lang w:eastAsia="zh-TW"/>
        </w:rPr>
        <w:t>وعلى النحو المحدد في خريطة الطريق فقد أتاحت الأمانة مشروع التقرير عن عمل الفريق على الموقع الشبكي لاتفاقية ميناماتا بدايةً من أيار/مايو ٢٠١٨ للتعليق عليه. وقدم عدد من الأطراف والكيانات الأخرى تعليقات</w:t>
      </w:r>
      <w:r w:rsidR="00164904">
        <w:rPr>
          <w:rFonts w:cs="Traditional Arabic" w:hint="cs"/>
          <w:sz w:val="30"/>
          <w:szCs w:val="30"/>
          <w:rtl/>
          <w:lang w:eastAsia="zh-TW"/>
        </w:rPr>
        <w:t xml:space="preserve"> ترد</w:t>
      </w:r>
      <w:r w:rsidRPr="00E8191C">
        <w:rPr>
          <w:rFonts w:cs="Traditional Arabic"/>
          <w:sz w:val="30"/>
          <w:szCs w:val="30"/>
          <w:rtl/>
          <w:lang w:eastAsia="zh-TW"/>
        </w:rPr>
        <w:t xml:space="preserve"> في الوثيقة </w:t>
      </w:r>
      <w:r w:rsidR="00937A2F" w:rsidRPr="00937A2F">
        <w:rPr>
          <w:rFonts w:asciiTheme="majorBidi" w:hAnsiTheme="majorBidi" w:cstheme="majorBidi"/>
          <w:szCs w:val="20"/>
        </w:rPr>
        <w:t>UNEP/MC/COP.2/INF/8</w:t>
      </w:r>
      <w:r w:rsidRPr="00E8191C">
        <w:rPr>
          <w:rFonts w:cs="Traditional Arabic"/>
          <w:sz w:val="30"/>
          <w:szCs w:val="30"/>
          <w:rtl/>
          <w:lang w:eastAsia="zh-TW"/>
        </w:rPr>
        <w:t xml:space="preserve">. وقد نُقح التقرير ووُضع في صيغته النهائية استناداً إلى تلك التعليقات. بيد أن بعض التعليقات تحتاج إلى المزيد من المناقشات من جانب الفريق، بتوجيه من مؤتمر الأطراف، وبالتالي لا يمكن تضمينها في التقرير. وتشمل </w:t>
      </w:r>
      <w:r w:rsidR="00164904">
        <w:rPr>
          <w:rFonts w:cs="Traditional Arabic" w:hint="cs"/>
          <w:sz w:val="30"/>
          <w:szCs w:val="30"/>
          <w:rtl/>
          <w:lang w:eastAsia="zh-TW"/>
        </w:rPr>
        <w:t xml:space="preserve">هذه </w:t>
      </w:r>
      <w:r w:rsidRPr="00E8191C">
        <w:rPr>
          <w:rFonts w:cs="Traditional Arabic"/>
          <w:sz w:val="30"/>
          <w:szCs w:val="30"/>
          <w:rtl/>
          <w:lang w:eastAsia="zh-TW"/>
        </w:rPr>
        <w:t>التعليقات ما يلي:</w:t>
      </w:r>
    </w:p>
    <w:p w14:paraId="569270EF" w14:textId="628E293A" w:rsidR="00E8191C" w:rsidRPr="00E8191C" w:rsidRDefault="00E8191C" w:rsidP="00DF19DD">
      <w:pPr>
        <w:numPr>
          <w:ilvl w:val="1"/>
          <w:numId w:val="30"/>
        </w:numPr>
        <w:tabs>
          <w:tab w:val="left" w:pos="2408"/>
          <w:tab w:val="left" w:pos="3515"/>
        </w:tabs>
        <w:bidi/>
        <w:spacing w:after="120" w:line="400" w:lineRule="exact"/>
        <w:ind w:left="1134" w:firstLine="707"/>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ذكر أحد الأطراف أنه يتعين على الفريق المخصص أن ينقح مشروع التقرير من أجل تعزيز تواؤمه مع نطاق الولاية على النحو المبين في المرفق الثاني للمقرر ا م-1/9. وأشار الطرف إلى أمثلة</w:t>
      </w:r>
      <w:r w:rsidR="00973307">
        <w:rPr>
          <w:rFonts w:ascii="Traditional Arabic" w:hAnsi="Traditional Arabic" w:hint="cs"/>
          <w:sz w:val="30"/>
          <w:rtl/>
          <w:lang w:val="en-GB" w:eastAsia="zh-TW"/>
        </w:rPr>
        <w:t xml:space="preserve"> لحالات</w:t>
      </w:r>
      <w:r w:rsidRPr="00E8191C">
        <w:rPr>
          <w:rFonts w:ascii="Traditional Arabic" w:hAnsi="Traditional Arabic"/>
          <w:sz w:val="30"/>
          <w:rtl/>
          <w:lang w:val="en-GB" w:eastAsia="zh-TW"/>
        </w:rPr>
        <w:t xml:space="preserve"> لم يتقيد فيها </w:t>
      </w:r>
      <w:r w:rsidRPr="00E8191C">
        <w:rPr>
          <w:rFonts w:ascii="Traditional Arabic" w:hAnsi="Traditional Arabic"/>
          <w:sz w:val="30"/>
          <w:rtl/>
          <w:lang w:val="en-GB" w:eastAsia="zh-TW"/>
        </w:rPr>
        <w:lastRenderedPageBreak/>
        <w:t xml:space="preserve">الفريق بولايته </w:t>
      </w:r>
      <w:r w:rsidR="00973307">
        <w:rPr>
          <w:rFonts w:ascii="Traditional Arabic" w:hAnsi="Traditional Arabic" w:hint="cs"/>
          <w:sz w:val="30"/>
          <w:rtl/>
          <w:lang w:val="en-GB" w:eastAsia="zh-TW"/>
        </w:rPr>
        <w:t>منها</w:t>
      </w:r>
      <w:r w:rsidR="00973307" w:rsidRPr="00E8191C">
        <w:rPr>
          <w:rFonts w:ascii="Traditional Arabic" w:hAnsi="Traditional Arabic"/>
          <w:sz w:val="30"/>
          <w:rtl/>
          <w:lang w:val="en-GB" w:eastAsia="zh-TW"/>
        </w:rPr>
        <w:t xml:space="preserve"> </w:t>
      </w:r>
      <w:r w:rsidRPr="00E8191C">
        <w:rPr>
          <w:rFonts w:ascii="Traditional Arabic" w:hAnsi="Traditional Arabic"/>
          <w:sz w:val="30"/>
          <w:rtl/>
          <w:lang w:val="en-GB" w:eastAsia="zh-TW"/>
        </w:rPr>
        <w:t>عدم استعراض أطر تقييم فعالية الاتفاقات البيئية المتعددة الأطراف الأخرى التي تقع خارج إطار تقييم فعالية اتفاقية استكهولم بشأن الملوثات العضوية الثابتة، وعدم وجود تقييم مفصل لكيفية إدماج المعلومات من برامج الرصد القائمة في تقييم الفعالية؛</w:t>
      </w:r>
    </w:p>
    <w:p w14:paraId="4B036B99" w14:textId="163337D7" w:rsidR="00E8191C" w:rsidRPr="00E8191C" w:rsidRDefault="00E8191C" w:rsidP="00DF19DD">
      <w:pPr>
        <w:numPr>
          <w:ilvl w:val="1"/>
          <w:numId w:val="30"/>
        </w:numPr>
        <w:tabs>
          <w:tab w:val="left" w:pos="2408"/>
          <w:tab w:val="left" w:pos="3515"/>
        </w:tabs>
        <w:bidi/>
        <w:spacing w:after="120" w:line="400" w:lineRule="exact"/>
        <w:ind w:left="1134" w:firstLine="707"/>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أُعرب عن القلق بشأن الاقتراح بوضع خطة رصد عالمي</w:t>
      </w:r>
      <w:r w:rsidR="00B34901">
        <w:rPr>
          <w:rFonts w:ascii="Traditional Arabic" w:hAnsi="Traditional Arabic" w:hint="cs"/>
          <w:sz w:val="30"/>
          <w:rtl/>
          <w:lang w:val="en-GB" w:eastAsia="zh-TW"/>
        </w:rPr>
        <w:t>ة</w:t>
      </w:r>
      <w:r w:rsidRPr="00E8191C">
        <w:rPr>
          <w:rFonts w:ascii="Traditional Arabic" w:hAnsi="Traditional Arabic"/>
          <w:sz w:val="30"/>
          <w:rtl/>
          <w:lang w:val="en-GB" w:eastAsia="zh-TW"/>
        </w:rPr>
        <w:t xml:space="preserve">، </w:t>
      </w:r>
      <w:r w:rsidR="002243E8">
        <w:rPr>
          <w:rFonts w:ascii="Traditional Arabic" w:hAnsi="Traditional Arabic" w:hint="cs"/>
          <w:sz w:val="30"/>
          <w:rtl/>
          <w:lang w:val="en-GB" w:eastAsia="zh-TW"/>
        </w:rPr>
        <w:t>ب</w:t>
      </w:r>
      <w:r w:rsidR="00973307">
        <w:rPr>
          <w:rFonts w:ascii="Traditional Arabic" w:hAnsi="Traditional Arabic" w:hint="cs"/>
          <w:sz w:val="30"/>
          <w:rtl/>
          <w:lang w:val="en-GB" w:eastAsia="zh-TW"/>
        </w:rPr>
        <w:t>النظر إلى</w:t>
      </w:r>
      <w:r w:rsidRPr="00E8191C">
        <w:rPr>
          <w:rFonts w:ascii="Traditional Arabic" w:hAnsi="Traditional Arabic"/>
          <w:sz w:val="30"/>
          <w:rtl/>
          <w:lang w:val="en-GB" w:eastAsia="zh-TW"/>
        </w:rPr>
        <w:t xml:space="preserve"> أن المادة ٢٢ من الاتفاقية تنص على أن تقييم الفعالية ينبغي أن يجرى استناداً إلى المعلومات المتاحة. وأشير إلى أن اتفاقية ميناماتا لا تلزم الأطراف بإجراء الرصد، ولا تدعو إلى وضع تقرير عن الرصد؛</w:t>
      </w:r>
    </w:p>
    <w:p w14:paraId="5D43A033" w14:textId="45F1E2E9" w:rsidR="00E8191C" w:rsidRPr="00E8191C" w:rsidRDefault="00E8191C" w:rsidP="00DF19DD">
      <w:pPr>
        <w:numPr>
          <w:ilvl w:val="1"/>
          <w:numId w:val="30"/>
        </w:numPr>
        <w:tabs>
          <w:tab w:val="left" w:pos="2408"/>
          <w:tab w:val="left" w:pos="3515"/>
        </w:tabs>
        <w:bidi/>
        <w:spacing w:after="120" w:line="400" w:lineRule="exact"/>
        <w:ind w:left="1134" w:firstLine="707"/>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قُدمت عدة تعليقات فيما يخص استنتاج الفريق بأن تُجم</w:t>
      </w:r>
      <w:r w:rsidR="00732613">
        <w:rPr>
          <w:rFonts w:ascii="Traditional Arabic" w:hAnsi="Traditional Arabic" w:hint="cs"/>
          <w:sz w:val="30"/>
          <w:rtl/>
          <w:lang w:val="en-GB" w:eastAsia="zh-TW"/>
        </w:rPr>
        <w:t>َ</w:t>
      </w:r>
      <w:r w:rsidRPr="00E8191C">
        <w:rPr>
          <w:rFonts w:ascii="Traditional Arabic" w:hAnsi="Traditional Arabic"/>
          <w:sz w:val="30"/>
          <w:rtl/>
          <w:lang w:val="en-GB" w:eastAsia="zh-TW"/>
        </w:rPr>
        <w:t>ع بيانات الرصد عن مستويات الزئبق في الهواء والكائنات الحية والبشر (الشعر ودم الحبل السري)، تشير إلى ضرورة مواصلة النظر في المكونات الأخرى لجمع البيانات؛</w:t>
      </w:r>
    </w:p>
    <w:p w14:paraId="0665B9A5" w14:textId="6B9AF123" w:rsidR="00E8191C" w:rsidRPr="00E8191C" w:rsidRDefault="00E8191C" w:rsidP="00DF19DD">
      <w:pPr>
        <w:numPr>
          <w:ilvl w:val="1"/>
          <w:numId w:val="30"/>
        </w:numPr>
        <w:tabs>
          <w:tab w:val="left" w:pos="2408"/>
          <w:tab w:val="left" w:pos="3515"/>
        </w:tabs>
        <w:bidi/>
        <w:spacing w:after="120" w:line="400" w:lineRule="exact"/>
        <w:ind w:left="1134" w:firstLine="707"/>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 xml:space="preserve">أوصى أحد الأطراف في إفادته بوضع </w:t>
      </w:r>
      <w:proofErr w:type="gramStart"/>
      <w:r w:rsidRPr="00E8191C">
        <w:rPr>
          <w:rFonts w:ascii="Traditional Arabic" w:hAnsi="Traditional Arabic"/>
          <w:sz w:val="30"/>
          <w:rtl/>
          <w:lang w:val="en-GB" w:eastAsia="zh-TW"/>
        </w:rPr>
        <w:t>’’دليل</w:t>
      </w:r>
      <w:proofErr w:type="gramEnd"/>
      <w:r w:rsidRPr="00E8191C">
        <w:rPr>
          <w:rFonts w:ascii="Traditional Arabic" w:hAnsi="Traditional Arabic"/>
          <w:sz w:val="30"/>
          <w:rtl/>
          <w:lang w:val="en-GB" w:eastAsia="zh-TW"/>
        </w:rPr>
        <w:t xml:space="preserve"> تقني للرصد العالمي للزئبق‘‘ لتيسير جمع البيانات القابلة للمقارنة. وأشارت تعليقات أخرى إلى الحاجة إلى بناء القدرات والتعاون مع المجتمع المدني؛</w:t>
      </w:r>
    </w:p>
    <w:p w14:paraId="078F9EC0" w14:textId="78367E8D" w:rsidR="00E8191C" w:rsidRPr="00E8191C" w:rsidRDefault="00E8191C" w:rsidP="00DF19DD">
      <w:pPr>
        <w:numPr>
          <w:ilvl w:val="1"/>
          <w:numId w:val="30"/>
        </w:numPr>
        <w:tabs>
          <w:tab w:val="left" w:pos="2408"/>
          <w:tab w:val="left" w:pos="3515"/>
        </w:tabs>
        <w:bidi/>
        <w:spacing w:after="120" w:line="400" w:lineRule="exact"/>
        <w:ind w:left="1134" w:firstLine="707"/>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أُعرب أيضا</w:t>
      </w:r>
      <w:r w:rsidR="00DF19DD">
        <w:rPr>
          <w:rFonts w:ascii="Traditional Arabic" w:hAnsi="Traditional Arabic" w:hint="cs"/>
          <w:sz w:val="30"/>
          <w:rtl/>
          <w:lang w:val="en-GB" w:eastAsia="zh-TW"/>
        </w:rPr>
        <w:t>ً</w:t>
      </w:r>
      <w:r w:rsidRPr="00E8191C">
        <w:rPr>
          <w:rFonts w:ascii="Traditional Arabic" w:hAnsi="Traditional Arabic"/>
          <w:sz w:val="30"/>
          <w:rtl/>
          <w:lang w:val="en-GB" w:eastAsia="zh-TW"/>
        </w:rPr>
        <w:t xml:space="preserve"> عن القلق من أن فريق الخبراء المخصص لم يوفر خيارات لنهج محتملة لإجراء تقييم الفعالية، بل وضع نهجاً واحداً واسع النطاق، بما في ذلك اقتراح مؤشرات أداء لكل مادة على حدة؛</w:t>
      </w:r>
    </w:p>
    <w:p w14:paraId="2BC9DAE2" w14:textId="4420E958" w:rsidR="00E8191C" w:rsidRPr="00E8191C" w:rsidRDefault="00E8191C" w:rsidP="00DF19DD">
      <w:pPr>
        <w:numPr>
          <w:ilvl w:val="1"/>
          <w:numId w:val="30"/>
        </w:numPr>
        <w:tabs>
          <w:tab w:val="left" w:pos="2408"/>
          <w:tab w:val="left" w:pos="3515"/>
        </w:tabs>
        <w:bidi/>
        <w:spacing w:after="120" w:line="400" w:lineRule="exact"/>
        <w:ind w:left="1134" w:firstLine="707"/>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فيما يتعلق بمصادر المعلومات لتقييم الفعالية، ذكر أحد الأطراف أن تقييم الفعالية ينبغي أن يستند إلى ما تقدمه الأطراف إلى الأمانة وفقا</w:t>
      </w:r>
      <w:r w:rsidR="00DF19DD">
        <w:rPr>
          <w:rFonts w:ascii="Traditional Arabic" w:hAnsi="Traditional Arabic" w:hint="cs"/>
          <w:sz w:val="30"/>
          <w:rtl/>
          <w:lang w:val="en-GB" w:eastAsia="zh-TW"/>
        </w:rPr>
        <w:t>ً</w:t>
      </w:r>
      <w:r w:rsidRPr="00E8191C">
        <w:rPr>
          <w:rFonts w:ascii="Traditional Arabic" w:hAnsi="Traditional Arabic"/>
          <w:sz w:val="30"/>
          <w:rtl/>
          <w:lang w:val="en-GB" w:eastAsia="zh-TW"/>
        </w:rPr>
        <w:t xml:space="preserve"> لمتطلبات الاتفاقية، واقترح حذف الإشارة إلى مصادر المعلومات الأخرى من إطار الرصد وقائمة المؤشرات المحتملة. وأيد المعلقون الآخرون استخدام مصادر أخرى للمعلومات، بما في ذلك مختلف تقارير المشروع؛</w:t>
      </w:r>
    </w:p>
    <w:p w14:paraId="79DECD3D" w14:textId="3DA4BF4B" w:rsidR="00E8191C" w:rsidRPr="00E8191C" w:rsidRDefault="00E8191C" w:rsidP="00DF19DD">
      <w:pPr>
        <w:numPr>
          <w:ilvl w:val="1"/>
          <w:numId w:val="30"/>
        </w:numPr>
        <w:tabs>
          <w:tab w:val="left" w:pos="2408"/>
          <w:tab w:val="left" w:pos="3515"/>
        </w:tabs>
        <w:bidi/>
        <w:spacing w:after="120" w:line="400" w:lineRule="exact"/>
        <w:ind w:left="1134" w:firstLine="707"/>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لاحظ أحد الأطراف أن مشروع التقرير يتضمن عددا</w:t>
      </w:r>
      <w:r w:rsidR="00DF19DD">
        <w:rPr>
          <w:rFonts w:ascii="Traditional Arabic" w:hAnsi="Traditional Arabic" w:hint="cs"/>
          <w:sz w:val="30"/>
          <w:rtl/>
          <w:lang w:val="en-GB" w:eastAsia="zh-TW"/>
        </w:rPr>
        <w:t>ً</w:t>
      </w:r>
      <w:r w:rsidRPr="00E8191C">
        <w:rPr>
          <w:rFonts w:ascii="Traditional Arabic" w:hAnsi="Traditional Arabic"/>
          <w:sz w:val="30"/>
          <w:rtl/>
          <w:lang w:val="en-GB" w:eastAsia="zh-TW"/>
        </w:rPr>
        <w:t xml:space="preserve"> من المزاعم دون توضيح الكيفية التي توصل بها </w:t>
      </w:r>
      <w:r w:rsidR="00B34901">
        <w:rPr>
          <w:rFonts w:ascii="Traditional Arabic" w:hAnsi="Traditional Arabic" w:hint="cs"/>
          <w:sz w:val="30"/>
          <w:rtl/>
          <w:lang w:val="en-GB" w:eastAsia="zh-TW"/>
        </w:rPr>
        <w:t>ا</w:t>
      </w:r>
      <w:r w:rsidRPr="00E8191C">
        <w:rPr>
          <w:rFonts w:ascii="Traditional Arabic" w:hAnsi="Traditional Arabic"/>
          <w:sz w:val="30"/>
          <w:rtl/>
          <w:lang w:val="en-GB" w:eastAsia="zh-TW"/>
        </w:rPr>
        <w:t xml:space="preserve">لفريق المخصص إلى استنتاجاته أو تقديم الأدلة العلمية الداعمة، بما في ذلك الإشارات إلى الأوراق والتقارير العلمية، لدعم </w:t>
      </w:r>
      <w:r w:rsidR="00732613">
        <w:rPr>
          <w:rFonts w:ascii="Traditional Arabic" w:hAnsi="Traditional Arabic" w:hint="cs"/>
          <w:sz w:val="30"/>
          <w:rtl/>
          <w:lang w:val="en-GB" w:eastAsia="zh-TW"/>
        </w:rPr>
        <w:t>ال</w:t>
      </w:r>
      <w:r w:rsidRPr="00E8191C">
        <w:rPr>
          <w:rFonts w:ascii="Traditional Arabic" w:hAnsi="Traditional Arabic"/>
          <w:sz w:val="30"/>
          <w:rtl/>
          <w:lang w:val="en-GB" w:eastAsia="zh-TW"/>
        </w:rPr>
        <w:t>أحكام</w:t>
      </w:r>
      <w:r w:rsidR="00732613">
        <w:rPr>
          <w:rFonts w:ascii="Traditional Arabic" w:hAnsi="Traditional Arabic" w:hint="cs"/>
          <w:sz w:val="30"/>
          <w:rtl/>
          <w:lang w:val="en-GB" w:eastAsia="zh-TW"/>
        </w:rPr>
        <w:t xml:space="preserve"> الواردة في المشروع</w:t>
      </w:r>
      <w:r w:rsidRPr="00E8191C">
        <w:rPr>
          <w:rFonts w:ascii="Traditional Arabic" w:hAnsi="Traditional Arabic"/>
          <w:sz w:val="30"/>
          <w:rtl/>
          <w:lang w:val="en-GB" w:eastAsia="zh-TW"/>
        </w:rPr>
        <w:t>. وأشار إلى أن عدم وجود هذه الإيضاحات أو الأدلة الداعمة يؤدي إلى تقويض قدرة الأطراف على فهم سياق اقتراحاته.</w:t>
      </w:r>
    </w:p>
    <w:p w14:paraId="7374A5C0" w14:textId="412C0E85" w:rsidR="00E8191C" w:rsidRPr="00CB4C6E" w:rsidRDefault="00E8191C" w:rsidP="00DF19DD">
      <w:pPr>
        <w:keepNext/>
        <w:keepLines/>
        <w:tabs>
          <w:tab w:val="right" w:pos="851"/>
          <w:tab w:val="left" w:pos="1247"/>
          <w:tab w:val="left" w:pos="1814"/>
          <w:tab w:val="left" w:pos="2381"/>
          <w:tab w:val="left" w:pos="2948"/>
          <w:tab w:val="left" w:pos="3515"/>
          <w:tab w:val="left" w:pos="4082"/>
        </w:tabs>
        <w:suppressAutoHyphens/>
        <w:bidi/>
        <w:spacing w:after="120" w:line="400" w:lineRule="exact"/>
        <w:ind w:left="1134"/>
        <w:jc w:val="both"/>
        <w:textDirection w:val="tbRlV"/>
        <w:rPr>
          <w:rFonts w:ascii="Traditional Arabic" w:hAnsi="Traditional Arabic"/>
          <w:bCs/>
          <w:sz w:val="32"/>
          <w:szCs w:val="32"/>
          <w:rtl/>
          <w:lang w:val="en-GB" w:eastAsia="zh-TW"/>
        </w:rPr>
      </w:pPr>
      <w:r w:rsidRPr="00CB4C6E">
        <w:rPr>
          <w:rFonts w:ascii="Traditional Arabic" w:hAnsi="Traditional Arabic"/>
          <w:bCs/>
          <w:sz w:val="32"/>
          <w:szCs w:val="32"/>
          <w:rtl/>
          <w:lang w:val="en-GB" w:eastAsia="zh-TW"/>
        </w:rPr>
        <w:t>الإجراء الذي يُقترح أن يتخذه مؤتمر الأطراف</w:t>
      </w:r>
    </w:p>
    <w:p w14:paraId="5D07BC0C" w14:textId="2FF97FD6" w:rsidR="00E8191C" w:rsidRPr="00E8191C" w:rsidRDefault="00E8191C" w:rsidP="00DF19DD">
      <w:pPr>
        <w:pStyle w:val="Normalnumber"/>
        <w:numPr>
          <w:ilvl w:val="0"/>
          <w:numId w:val="3"/>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E8191C">
        <w:rPr>
          <w:rFonts w:cs="Traditional Arabic"/>
          <w:sz w:val="30"/>
          <w:szCs w:val="30"/>
          <w:rtl/>
          <w:lang w:eastAsia="zh-TW"/>
        </w:rPr>
        <w:t>قد يرغب مؤتمر الأطراف في أن ينظر في توصيات فريق الخبراء المخصص، إضافة إلى الإفادات التي قدمتها الأطراف والكيانات الأخرى بشأن تقرير الفريق. وقد يرغب مؤتمر الأطراف في أن يطلب إلى فريق الخبراء المخصص أن يواصل عمله وأن يستعرض توصياته، مع مراعاة المناقشات التي جرت بشأن هذه المسألة والتوجيهات التي قدمها مؤتمر الأطراف في اجتماعه الثاني، وغير ذلك من المسائل والشواغل التي قد تثار في الاجتماع، وأن يقدم تقريراً يتضمن المزيد من التفاصيل عن الترتيبات المقترحة بشأن بيانات رصد قابلة للمقارنة وعناصر إطار لتقييم الفعالية لكي ينظر فيه مؤتمر الأطراف في اجتماعه الثالث.</w:t>
      </w:r>
    </w:p>
    <w:p w14:paraId="4058F0CC" w14:textId="77777777" w:rsidR="00732613" w:rsidRDefault="00732613" w:rsidP="00CB4C6E">
      <w:pPr>
        <w:bidi/>
        <w:rPr>
          <w:rFonts w:ascii="Traditional Arabic" w:hAnsi="Traditional Arabic"/>
          <w:b/>
          <w:bCs/>
          <w:sz w:val="34"/>
          <w:szCs w:val="34"/>
          <w:rtl/>
          <w:lang w:val="en-GB" w:eastAsia="zh-TW"/>
        </w:rPr>
      </w:pPr>
      <w:r>
        <w:rPr>
          <w:rFonts w:ascii="Traditional Arabic" w:hAnsi="Traditional Arabic"/>
          <w:b/>
          <w:bCs/>
          <w:sz w:val="34"/>
          <w:szCs w:val="34"/>
          <w:rtl/>
          <w:lang w:val="en-GB" w:eastAsia="zh-TW"/>
        </w:rPr>
        <w:br w:type="page"/>
      </w:r>
    </w:p>
    <w:p w14:paraId="21B856E4" w14:textId="76EB6A46" w:rsidR="00E8191C" w:rsidRPr="00E8191C" w:rsidRDefault="00E8191C" w:rsidP="000855C4">
      <w:pPr>
        <w:bidi/>
        <w:spacing w:line="400" w:lineRule="exact"/>
        <w:jc w:val="both"/>
        <w:textDirection w:val="tbRlV"/>
        <w:rPr>
          <w:rFonts w:ascii="Traditional Arabic" w:hAnsi="Traditional Arabic"/>
          <w:b/>
          <w:bCs/>
          <w:sz w:val="30"/>
          <w:rtl/>
          <w:lang w:val="en-GB" w:eastAsia="zh-TW"/>
        </w:rPr>
      </w:pPr>
      <w:r w:rsidRPr="00E8191C">
        <w:rPr>
          <w:rFonts w:ascii="Traditional Arabic" w:hAnsi="Traditional Arabic"/>
          <w:b/>
          <w:bCs/>
          <w:sz w:val="34"/>
          <w:szCs w:val="34"/>
          <w:rtl/>
          <w:lang w:val="en-GB" w:eastAsia="zh-TW"/>
        </w:rPr>
        <w:lastRenderedPageBreak/>
        <w:t>المرفق</w:t>
      </w:r>
    </w:p>
    <w:p w14:paraId="37EA260C" w14:textId="77777777" w:rsidR="00E8191C" w:rsidRPr="00CB4C6E" w:rsidRDefault="00E8191C" w:rsidP="000855C4">
      <w:pPr>
        <w:bidi/>
        <w:spacing w:after="120" w:line="400" w:lineRule="exact"/>
        <w:ind w:left="1134"/>
        <w:jc w:val="both"/>
        <w:textDirection w:val="tbRlV"/>
        <w:rPr>
          <w:rFonts w:ascii="Traditional Arabic" w:hAnsi="Traditional Arabic"/>
          <w:sz w:val="32"/>
          <w:szCs w:val="32"/>
          <w:rtl/>
          <w:lang w:val="en-GB" w:eastAsia="zh-TW"/>
        </w:rPr>
      </w:pPr>
      <w:r w:rsidRPr="00CB4C6E">
        <w:rPr>
          <w:rFonts w:ascii="Traditional Arabic" w:hAnsi="Traditional Arabic"/>
          <w:b/>
          <w:bCs/>
          <w:sz w:val="32"/>
          <w:szCs w:val="32"/>
          <w:rtl/>
          <w:lang w:val="en-GB" w:eastAsia="zh-TW"/>
        </w:rPr>
        <w:t>توصيات فريق الخبراء فيما يتعلق بالرصد</w:t>
      </w:r>
      <w:bookmarkStart w:id="1" w:name="_Hlk523214865"/>
    </w:p>
    <w:p w14:paraId="2CC25D32" w14:textId="77777777" w:rsidR="00E8191C" w:rsidRPr="00CB4C6E" w:rsidRDefault="00E8191C" w:rsidP="00CB4C6E">
      <w:pPr>
        <w:pBdr>
          <w:top w:val="nil"/>
          <w:left w:val="nil"/>
          <w:bottom w:val="nil"/>
          <w:right w:val="nil"/>
          <w:between w:val="nil"/>
          <w:bar w:val="nil"/>
        </w:pBdr>
        <w:bidi/>
        <w:spacing w:after="120" w:line="400" w:lineRule="exact"/>
        <w:ind w:left="1134"/>
        <w:jc w:val="both"/>
        <w:textDirection w:val="tbRlV"/>
        <w:rPr>
          <w:rFonts w:ascii="Traditional Arabic" w:eastAsiaTheme="minorEastAsia" w:hAnsi="Traditional Arabic"/>
          <w:b/>
          <w:bCs/>
          <w:sz w:val="30"/>
          <w:u w:color="000000"/>
          <w:bdr w:val="nil"/>
          <w:rtl/>
          <w:lang w:val="en-GB" w:eastAsia="zh-TW"/>
        </w:rPr>
      </w:pPr>
      <w:r w:rsidRPr="00CB4C6E">
        <w:rPr>
          <w:rFonts w:ascii="Traditional Arabic" w:eastAsiaTheme="minorEastAsia" w:hAnsi="Traditional Arabic"/>
          <w:b/>
          <w:bCs/>
          <w:color w:val="000000"/>
          <w:sz w:val="30"/>
          <w:u w:color="000000"/>
          <w:bdr w:val="nil"/>
          <w:rtl/>
          <w:lang w:val="en-GB" w:eastAsia="zh-TW"/>
        </w:rPr>
        <w:t>التوصيات بشأن الترتيبات المتعلقة ببيانات الرصد</w:t>
      </w:r>
    </w:p>
    <w:bookmarkEnd w:id="1"/>
    <w:p w14:paraId="377E21E7" w14:textId="5A2A61B5" w:rsidR="00E8191C" w:rsidRPr="00E8191C" w:rsidRDefault="00E8191C" w:rsidP="00CB4C6E">
      <w:pPr>
        <w:pBdr>
          <w:top w:val="nil"/>
          <w:left w:val="nil"/>
          <w:bottom w:val="nil"/>
          <w:right w:val="nil"/>
          <w:between w:val="nil"/>
          <w:bar w:val="nil"/>
        </w:pBdr>
        <w:bidi/>
        <w:spacing w:after="120" w:line="400" w:lineRule="exact"/>
        <w:ind w:left="1134"/>
        <w:jc w:val="both"/>
        <w:textDirection w:val="tbRlV"/>
        <w:rPr>
          <w:rFonts w:ascii="Traditional Arabic" w:eastAsiaTheme="minorEastAsia" w:hAnsi="Traditional Arabic"/>
          <w:b/>
          <w:bCs/>
          <w:sz w:val="30"/>
          <w:u w:color="000000"/>
          <w:bdr w:val="nil"/>
          <w:rtl/>
          <w:lang w:val="en-GB" w:eastAsia="zh-TW"/>
        </w:rPr>
      </w:pPr>
      <w:r w:rsidRPr="00CB4C6E">
        <w:rPr>
          <w:rFonts w:ascii="Traditional Arabic" w:eastAsiaTheme="minorEastAsia" w:hAnsi="Traditional Arabic"/>
          <w:b/>
          <w:bCs/>
          <w:color w:val="000000"/>
          <w:sz w:val="30"/>
          <w:u w:color="000000"/>
          <w:bdr w:val="nil"/>
          <w:rtl/>
          <w:lang w:val="en-GB" w:eastAsia="zh-TW"/>
        </w:rPr>
        <w:t xml:space="preserve">تحديد أنواع البيانات التي يمكن أن تكون قابلة للمقارنة على الصعيد العالمي، </w:t>
      </w:r>
      <w:r w:rsidR="00664FFC" w:rsidRPr="00CB4C6E">
        <w:rPr>
          <w:rFonts w:ascii="Traditional Arabic" w:eastAsiaTheme="minorEastAsia" w:hAnsi="Traditional Arabic" w:hint="cs"/>
          <w:b/>
          <w:bCs/>
          <w:color w:val="000000"/>
          <w:sz w:val="30"/>
          <w:u w:color="000000"/>
          <w:bdr w:val="nil"/>
          <w:rtl/>
          <w:lang w:val="en-GB" w:eastAsia="zh-TW"/>
        </w:rPr>
        <w:t>و</w:t>
      </w:r>
      <w:r w:rsidRPr="00CB4C6E">
        <w:rPr>
          <w:rFonts w:ascii="Traditional Arabic" w:eastAsiaTheme="minorEastAsia" w:hAnsi="Traditional Arabic"/>
          <w:b/>
          <w:bCs/>
          <w:color w:val="000000"/>
          <w:sz w:val="30"/>
          <w:u w:color="000000"/>
          <w:bdr w:val="nil"/>
          <w:rtl/>
          <w:lang w:val="en-GB" w:eastAsia="zh-TW"/>
        </w:rPr>
        <w:t>توافرها، مع مشروع خطة تدمج نتائج قابلة للمقارنة من أجل الرصد في المستقبل</w:t>
      </w:r>
    </w:p>
    <w:p w14:paraId="7CE7737B" w14:textId="77777777" w:rsidR="00E8191C" w:rsidRPr="00E8191C" w:rsidRDefault="00E8191C" w:rsidP="00CB4C6E">
      <w:pPr>
        <w:pStyle w:val="Normalnumber"/>
        <w:numPr>
          <w:ilvl w:val="0"/>
          <w:numId w:val="31"/>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ascii="Traditional Arabic" w:hAnsi="Traditional Arabic" w:cs="Traditional Arabic"/>
          <w:color w:val="000000"/>
          <w:sz w:val="30"/>
          <w:szCs w:val="30"/>
          <w:u w:color="000000"/>
          <w:bdr w:val="nil"/>
          <w:rtl/>
          <w:lang w:val="en-GB" w:eastAsia="zh-TW"/>
        </w:rPr>
        <w:t xml:space="preserve">يقوم مؤتمر </w:t>
      </w:r>
      <w:r w:rsidRPr="00E8191C">
        <w:rPr>
          <w:rFonts w:cs="Traditional Arabic"/>
          <w:sz w:val="30"/>
          <w:szCs w:val="30"/>
          <w:rtl/>
          <w:lang w:eastAsia="zh-TW"/>
        </w:rPr>
        <w:t>الأطراف</w:t>
      </w:r>
      <w:r w:rsidRPr="00E8191C">
        <w:rPr>
          <w:rFonts w:ascii="Traditional Arabic" w:hAnsi="Traditional Arabic" w:cs="Traditional Arabic"/>
          <w:color w:val="000000"/>
          <w:sz w:val="30"/>
          <w:szCs w:val="30"/>
          <w:u w:color="000000"/>
          <w:bdr w:val="nil"/>
          <w:rtl/>
          <w:lang w:val="en-GB" w:eastAsia="zh-TW"/>
        </w:rPr>
        <w:t xml:space="preserve"> بما يلي:</w:t>
      </w:r>
    </w:p>
    <w:p w14:paraId="56462A59" w14:textId="26F34030" w:rsidR="00E8191C" w:rsidRPr="00CB4C6E" w:rsidRDefault="00E8191C" w:rsidP="0011441C">
      <w:pPr>
        <w:numPr>
          <w:ilvl w:val="0"/>
          <w:numId w:val="9"/>
        </w:numPr>
        <w:pBdr>
          <w:top w:val="nil"/>
          <w:left w:val="nil"/>
          <w:bottom w:val="nil"/>
          <w:right w:val="nil"/>
          <w:between w:val="nil"/>
          <w:bar w:val="nil"/>
        </w:pBdr>
        <w:bidi/>
        <w:spacing w:after="100" w:line="400" w:lineRule="exact"/>
        <w:ind w:left="2268" w:hanging="425"/>
        <w:jc w:val="both"/>
        <w:textDirection w:val="tbRlV"/>
        <w:rPr>
          <w:rFonts w:ascii="Traditional Arabic" w:eastAsiaTheme="minorEastAsia" w:hAnsi="Traditional Arabic"/>
          <w:color w:val="000000"/>
          <w:sz w:val="30"/>
          <w:u w:color="000000"/>
          <w:bdr w:val="nil"/>
          <w:rtl/>
          <w:lang w:val="en-GB" w:eastAsia="zh-TW"/>
        </w:rPr>
      </w:pPr>
      <w:r w:rsidRPr="00E8191C">
        <w:rPr>
          <w:rFonts w:ascii="Traditional Arabic" w:eastAsiaTheme="minorEastAsia" w:hAnsi="Traditional Arabic"/>
          <w:color w:val="000000"/>
          <w:sz w:val="30"/>
          <w:u w:color="000000"/>
          <w:bdr w:val="nil"/>
          <w:rtl/>
          <w:lang w:val="en-GB" w:eastAsia="zh-TW"/>
        </w:rPr>
        <w:t>إقامة علاقات عن طريق الأمانة مع الهيئات التي تدير المعلومات الحالية</w:t>
      </w:r>
      <w:r w:rsidR="00664FFC" w:rsidRPr="00CB4C6E">
        <w:rPr>
          <w:rFonts w:ascii="Traditional Arabic" w:eastAsiaTheme="minorEastAsia" w:hAnsi="Traditional Arabic" w:hint="cs"/>
          <w:color w:val="000000"/>
          <w:sz w:val="30"/>
          <w:u w:color="000000"/>
          <w:bdr w:val="nil"/>
          <w:rtl/>
          <w:lang w:val="en-GB" w:eastAsia="zh-TW"/>
        </w:rPr>
        <w:t>؛</w:t>
      </w:r>
    </w:p>
    <w:p w14:paraId="5CD36B20" w14:textId="5CF22656" w:rsidR="00E8191C" w:rsidRPr="00CB4C6E" w:rsidRDefault="00E8191C" w:rsidP="0011441C">
      <w:pPr>
        <w:numPr>
          <w:ilvl w:val="0"/>
          <w:numId w:val="9"/>
        </w:numPr>
        <w:pBdr>
          <w:top w:val="nil"/>
          <w:left w:val="nil"/>
          <w:bottom w:val="nil"/>
          <w:right w:val="nil"/>
          <w:between w:val="nil"/>
          <w:bar w:val="nil"/>
        </w:pBdr>
        <w:bidi/>
        <w:spacing w:after="100" w:line="400" w:lineRule="exact"/>
        <w:ind w:left="2268" w:hanging="425"/>
        <w:jc w:val="both"/>
        <w:textDirection w:val="tbRlV"/>
        <w:rPr>
          <w:rFonts w:ascii="Traditional Arabic" w:eastAsiaTheme="minorEastAsia" w:hAnsi="Traditional Arabic"/>
          <w:color w:val="000000"/>
          <w:sz w:val="30"/>
          <w:u w:color="000000"/>
          <w:bdr w:val="nil"/>
          <w:rtl/>
          <w:lang w:val="en-GB" w:eastAsia="zh-TW"/>
        </w:rPr>
      </w:pPr>
      <w:r w:rsidRPr="00E8191C">
        <w:rPr>
          <w:rFonts w:ascii="Traditional Arabic" w:eastAsiaTheme="minorEastAsia" w:hAnsi="Traditional Arabic"/>
          <w:color w:val="000000"/>
          <w:sz w:val="30"/>
          <w:u w:color="000000"/>
          <w:bdr w:val="nil"/>
          <w:rtl/>
          <w:lang w:val="en-GB" w:eastAsia="zh-TW"/>
        </w:rPr>
        <w:t>يطلب إلى الخبراء أن يضعوا اختصاصات ترتيبات الرصد واختصاصات تنفيذ الخطة المقترحة</w:t>
      </w:r>
      <w:r w:rsidR="00664FFC" w:rsidRPr="00CB4C6E">
        <w:rPr>
          <w:rFonts w:ascii="Traditional Arabic" w:eastAsiaTheme="minorEastAsia" w:hAnsi="Traditional Arabic" w:hint="cs"/>
          <w:color w:val="000000"/>
          <w:sz w:val="30"/>
          <w:u w:color="000000"/>
          <w:bdr w:val="nil"/>
          <w:rtl/>
          <w:lang w:val="en-GB" w:eastAsia="zh-TW"/>
        </w:rPr>
        <w:t>؛</w:t>
      </w:r>
    </w:p>
    <w:p w14:paraId="35C19FD0" w14:textId="4B881517" w:rsidR="00E8191C" w:rsidRPr="00E8191C" w:rsidRDefault="00E8191C" w:rsidP="0011441C">
      <w:pPr>
        <w:numPr>
          <w:ilvl w:val="0"/>
          <w:numId w:val="9"/>
        </w:numPr>
        <w:pBdr>
          <w:top w:val="nil"/>
          <w:left w:val="nil"/>
          <w:bottom w:val="nil"/>
          <w:right w:val="nil"/>
          <w:between w:val="nil"/>
          <w:bar w:val="nil"/>
        </w:pBdr>
        <w:bidi/>
        <w:spacing w:after="100" w:line="400" w:lineRule="exact"/>
        <w:ind w:left="2268" w:hanging="425"/>
        <w:jc w:val="both"/>
        <w:textDirection w:val="tbRlV"/>
        <w:rPr>
          <w:rFonts w:ascii="Traditional Arabic" w:eastAsiaTheme="minorEastAsia" w:hAnsi="Traditional Arabic"/>
          <w:sz w:val="30"/>
          <w:u w:color="000000"/>
          <w:bdr w:val="nil"/>
          <w:rtl/>
          <w:lang w:val="en-GB" w:eastAsia="zh-TW"/>
        </w:rPr>
      </w:pPr>
      <w:r w:rsidRPr="00E8191C">
        <w:rPr>
          <w:rFonts w:ascii="Traditional Arabic" w:eastAsiaTheme="minorEastAsia" w:hAnsi="Traditional Arabic"/>
          <w:color w:val="000000"/>
          <w:sz w:val="30"/>
          <w:u w:color="000000"/>
          <w:bdr w:val="nil"/>
          <w:rtl/>
          <w:lang w:val="en-GB" w:eastAsia="zh-TW"/>
        </w:rPr>
        <w:t>تقديم توصية إلى مرفق البيئة العالمي</w:t>
      </w:r>
      <w:r w:rsidR="003575B9">
        <w:rPr>
          <w:rFonts w:ascii="Traditional Arabic" w:eastAsiaTheme="minorEastAsia" w:hAnsi="Traditional Arabic" w:hint="cs"/>
          <w:color w:val="000000"/>
          <w:sz w:val="30"/>
          <w:u w:color="000000"/>
          <w:bdr w:val="nil"/>
          <w:rtl/>
          <w:lang w:val="en-GB" w:eastAsia="zh-TW"/>
        </w:rPr>
        <w:t>ة</w:t>
      </w:r>
      <w:r w:rsidR="003575B9" w:rsidRPr="00CB4C6E">
        <w:rPr>
          <w:rFonts w:ascii="Traditional Arabic" w:eastAsiaTheme="minorEastAsia" w:hAnsi="Traditional Arabic"/>
          <w:color w:val="000000"/>
          <w:sz w:val="30"/>
          <w:u w:color="000000"/>
          <w:bdr w:val="nil"/>
          <w:vertAlign w:val="superscript"/>
          <w:rtl/>
          <w:lang w:val="en-GB" w:eastAsia="zh-TW"/>
        </w:rPr>
        <w:t>(</w:t>
      </w:r>
      <w:r w:rsidR="003575B9" w:rsidRPr="00CB4C6E">
        <w:rPr>
          <w:rFonts w:eastAsiaTheme="minorEastAsia"/>
          <w:color w:val="000000"/>
          <w:u w:color="000000"/>
          <w:bdr w:val="nil"/>
          <w:vertAlign w:val="superscript"/>
          <w:rtl/>
          <w:lang w:val="en-GB"/>
        </w:rPr>
        <w:footnoteReference w:id="3"/>
      </w:r>
      <w:r w:rsidR="003575B9" w:rsidRPr="00CB4C6E">
        <w:rPr>
          <w:rFonts w:ascii="Traditional Arabic" w:eastAsiaTheme="minorEastAsia" w:hAnsi="Traditional Arabic"/>
          <w:color w:val="000000"/>
          <w:sz w:val="30"/>
          <w:u w:color="000000"/>
          <w:bdr w:val="nil"/>
          <w:vertAlign w:val="superscript"/>
          <w:rtl/>
          <w:lang w:val="en-GB" w:eastAsia="zh-TW"/>
        </w:rPr>
        <w:t>)</w:t>
      </w:r>
      <w:r w:rsidR="003575B9" w:rsidRPr="003575B9">
        <w:rPr>
          <w:rFonts w:ascii="Traditional Arabic" w:eastAsiaTheme="minorEastAsia" w:hAnsi="Traditional Arabic" w:hint="cs"/>
          <w:color w:val="000000"/>
          <w:sz w:val="30"/>
          <w:u w:color="000000"/>
          <w:bdr w:val="nil"/>
          <w:rtl/>
          <w:lang w:val="en-GB" w:eastAsia="zh-TW"/>
        </w:rPr>
        <w:t xml:space="preserve"> </w:t>
      </w:r>
      <w:r w:rsidRPr="00E8191C">
        <w:rPr>
          <w:rFonts w:ascii="Traditional Arabic" w:eastAsiaTheme="minorEastAsia" w:hAnsi="Traditional Arabic"/>
          <w:color w:val="000000"/>
          <w:sz w:val="30"/>
          <w:u w:color="000000"/>
          <w:bdr w:val="nil"/>
          <w:rtl/>
          <w:lang w:val="en-GB" w:eastAsia="zh-TW"/>
        </w:rPr>
        <w:t>بشأن الحاجة إلى الدعم على صعيد جمع البيانات الأساسية وتيسير المدخلات المستدامة لمعلومات الرصد فيما يخص تقييم الفعالية.</w:t>
      </w:r>
    </w:p>
    <w:p w14:paraId="601CCBB2" w14:textId="136B3159" w:rsidR="00E8191C" w:rsidRPr="00E8191C" w:rsidRDefault="00E8191C" w:rsidP="00CB4C6E">
      <w:pPr>
        <w:pBdr>
          <w:top w:val="nil"/>
          <w:left w:val="nil"/>
          <w:bottom w:val="nil"/>
          <w:right w:val="nil"/>
          <w:between w:val="nil"/>
          <w:bar w:val="nil"/>
        </w:pBdr>
        <w:bidi/>
        <w:spacing w:after="120" w:line="400" w:lineRule="exact"/>
        <w:ind w:left="1134"/>
        <w:jc w:val="both"/>
        <w:textDirection w:val="tbRlV"/>
        <w:rPr>
          <w:rFonts w:ascii="Traditional Arabic" w:eastAsiaTheme="minorEastAsia" w:hAnsi="Traditional Arabic"/>
          <w:b/>
          <w:bCs/>
          <w:sz w:val="30"/>
          <w:u w:color="000000"/>
          <w:bdr w:val="nil"/>
          <w:rtl/>
          <w:lang w:val="en-GB" w:eastAsia="zh-TW"/>
        </w:rPr>
      </w:pPr>
      <w:r w:rsidRPr="00E8191C">
        <w:rPr>
          <w:rFonts w:ascii="Traditional Arabic" w:eastAsiaTheme="minorEastAsia" w:hAnsi="Traditional Arabic"/>
          <w:b/>
          <w:bCs/>
          <w:color w:val="000000"/>
          <w:sz w:val="30"/>
          <w:u w:color="000000"/>
          <w:bdr w:val="nil"/>
          <w:rtl/>
          <w:lang w:val="en-GB" w:eastAsia="zh-TW"/>
        </w:rPr>
        <w:t>استعراض المعلومات عن برامج الرصد القائمة</w:t>
      </w:r>
    </w:p>
    <w:p w14:paraId="4BBF6366" w14:textId="77777777" w:rsidR="00E8191C" w:rsidRPr="00E8191C" w:rsidRDefault="00E8191C" w:rsidP="00CB4C6E">
      <w:pPr>
        <w:pStyle w:val="Normalnumber"/>
        <w:numPr>
          <w:ilvl w:val="0"/>
          <w:numId w:val="31"/>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cs="Traditional Arabic"/>
          <w:sz w:val="30"/>
          <w:szCs w:val="30"/>
          <w:rtl/>
          <w:lang w:eastAsia="zh-TW"/>
        </w:rPr>
        <w:t>ينبغي أن يطلب مؤتمر الأطراف إلى البلدان والمنظمات أن تواصل تقديم معلومات عن برامج الرصد لديها للإسهام في المناقشات في الاجتماع الثالث لمؤتمر الأطراف.</w:t>
      </w:r>
    </w:p>
    <w:p w14:paraId="085523F0" w14:textId="01F00D09" w:rsidR="00E8191C" w:rsidRPr="00E8191C" w:rsidRDefault="00E8191C" w:rsidP="00CB4C6E">
      <w:pPr>
        <w:pBdr>
          <w:top w:val="nil"/>
          <w:left w:val="nil"/>
          <w:bottom w:val="nil"/>
          <w:right w:val="nil"/>
          <w:between w:val="nil"/>
          <w:bar w:val="nil"/>
        </w:pBdr>
        <w:bidi/>
        <w:spacing w:after="120" w:line="400" w:lineRule="exact"/>
        <w:ind w:left="1134"/>
        <w:jc w:val="both"/>
        <w:textDirection w:val="tbRlV"/>
        <w:rPr>
          <w:rFonts w:ascii="Traditional Arabic" w:eastAsiaTheme="minorEastAsia" w:hAnsi="Traditional Arabic"/>
          <w:b/>
          <w:bCs/>
          <w:color w:val="000000"/>
          <w:sz w:val="30"/>
          <w:u w:color="000000"/>
          <w:bdr w:val="nil"/>
          <w:rtl/>
          <w:lang w:val="en-GB" w:eastAsia="zh-TW"/>
        </w:rPr>
      </w:pPr>
      <w:r w:rsidRPr="00E8191C">
        <w:rPr>
          <w:rFonts w:ascii="Traditional Arabic" w:eastAsiaTheme="minorEastAsia" w:hAnsi="Traditional Arabic"/>
          <w:b/>
          <w:bCs/>
          <w:color w:val="000000"/>
          <w:sz w:val="30"/>
          <w:u w:color="000000"/>
          <w:bdr w:val="nil"/>
          <w:rtl/>
          <w:lang w:val="en-GB" w:eastAsia="zh-TW"/>
        </w:rPr>
        <w:t>تقييم مدى تلبية المعلومات المستعرضة لاحتياجات الرصد المبينة في الفقرة 2 من المادة ٢٢ من اتفاقية ميناماتا بشأن الزئبق، وعلى هذا الأساس تحديد خيارات لتعزيز قابلية المعلومات المستعرضة للمقارنة واكتمالها</w:t>
      </w:r>
    </w:p>
    <w:p w14:paraId="45506689" w14:textId="1D944D27" w:rsidR="00E8191C" w:rsidRPr="00E8191C" w:rsidRDefault="00E8191C" w:rsidP="00CB4C6E">
      <w:pPr>
        <w:pStyle w:val="Normalnumber"/>
        <w:numPr>
          <w:ilvl w:val="0"/>
          <w:numId w:val="31"/>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ascii="Traditional Arabic" w:hAnsi="Traditional Arabic" w:cs="Traditional Arabic"/>
          <w:color w:val="000000"/>
          <w:sz w:val="30"/>
          <w:szCs w:val="30"/>
          <w:u w:color="000000"/>
          <w:bdr w:val="nil"/>
          <w:rtl/>
          <w:lang w:val="en-GB" w:eastAsia="zh-TW"/>
        </w:rPr>
        <w:t>ينبغي لمؤتمر الأطراف أن يضع خطة رصد عالمية تتضمن توصيات بشأن الثغرات في المعلومات المتاحة التي ينبغي معالجتها من أجل الوفاء الكامل بالاحتياجات من المعلومات وفق ما هو مبين في الفقرة ٢ من المادة ٢٢.</w:t>
      </w:r>
    </w:p>
    <w:p w14:paraId="387A6006" w14:textId="29301BEA" w:rsidR="00E8191C" w:rsidRPr="00E8191C" w:rsidRDefault="00E8191C" w:rsidP="00CB4C6E">
      <w:pPr>
        <w:pBdr>
          <w:top w:val="nil"/>
          <w:left w:val="nil"/>
          <w:bottom w:val="nil"/>
          <w:right w:val="nil"/>
          <w:between w:val="nil"/>
          <w:bar w:val="nil"/>
        </w:pBdr>
        <w:bidi/>
        <w:spacing w:after="120" w:line="400" w:lineRule="exact"/>
        <w:ind w:left="1134"/>
        <w:jc w:val="both"/>
        <w:textDirection w:val="tbRlV"/>
        <w:rPr>
          <w:rFonts w:ascii="Traditional Arabic" w:eastAsiaTheme="minorEastAsia" w:hAnsi="Traditional Arabic"/>
          <w:b/>
          <w:bCs/>
          <w:color w:val="000000"/>
          <w:sz w:val="30"/>
          <w:u w:color="000000"/>
          <w:bdr w:val="nil"/>
          <w:rtl/>
          <w:lang w:val="en-GB" w:eastAsia="zh-TW"/>
        </w:rPr>
      </w:pPr>
      <w:r w:rsidRPr="00E8191C">
        <w:rPr>
          <w:rFonts w:ascii="Traditional Arabic" w:eastAsiaTheme="minorEastAsia" w:hAnsi="Traditional Arabic"/>
          <w:b/>
          <w:bCs/>
          <w:color w:val="000000"/>
          <w:sz w:val="30"/>
          <w:u w:color="000000"/>
          <w:bdr w:val="nil"/>
          <w:rtl/>
          <w:lang w:val="en-GB" w:eastAsia="zh-TW"/>
        </w:rPr>
        <w:t>النظر في الفعالية من حيث التكلفة، خصوصاً الطابع العملي، والجدوى، والاستدامة، والتغطية العالمية، والقدرات الإقليمية عند تحديد الفرص المتاحة لإدخال تحسينات في المستقبل على عملية الرصد</w:t>
      </w:r>
    </w:p>
    <w:p w14:paraId="49C2A03E" w14:textId="5D608EAF" w:rsidR="00E8191C" w:rsidRPr="00E8191C" w:rsidRDefault="00E8191C" w:rsidP="0011441C">
      <w:pPr>
        <w:pStyle w:val="Normalnumber"/>
        <w:numPr>
          <w:ilvl w:val="0"/>
          <w:numId w:val="31"/>
        </w:numPr>
        <w:tabs>
          <w:tab w:val="left" w:pos="1841"/>
        </w:tabs>
        <w:autoSpaceDE/>
        <w:autoSpaceDN/>
        <w:bidi/>
        <w:adjustRightInd/>
        <w:spacing w:after="0" w:line="400" w:lineRule="exact"/>
        <w:ind w:left="1134" w:firstLine="0"/>
        <w:jc w:val="both"/>
        <w:textDirection w:val="tbRlV"/>
        <w:rPr>
          <w:rFonts w:ascii="Traditional Arabic" w:hAnsi="Traditional Arabic" w:cs="Traditional Arabic"/>
          <w:sz w:val="30"/>
          <w:szCs w:val="30"/>
          <w:u w:color="000000"/>
          <w:bdr w:val="nil"/>
          <w:rtl/>
          <w:lang w:val="en-GB" w:eastAsia="zh-TW"/>
        </w:rPr>
      </w:pPr>
      <w:bookmarkStart w:id="2" w:name="_Hlk523222687"/>
      <w:r w:rsidRPr="00E8191C">
        <w:rPr>
          <w:rFonts w:ascii="Traditional Arabic" w:hAnsi="Traditional Arabic" w:cs="Traditional Arabic"/>
          <w:color w:val="000000"/>
          <w:sz w:val="30"/>
          <w:szCs w:val="30"/>
          <w:u w:color="000000"/>
          <w:bdr w:val="nil"/>
          <w:rtl/>
          <w:lang w:val="en-GB" w:eastAsia="zh-TW"/>
        </w:rPr>
        <w:t xml:space="preserve">خلص الفريق إلى أنه من أجل </w:t>
      </w:r>
      <w:r w:rsidR="00984DB0" w:rsidRPr="00E8191C">
        <w:rPr>
          <w:rFonts w:ascii="Traditional Arabic" w:hAnsi="Traditional Arabic" w:cs="Traditional Arabic" w:hint="cs"/>
          <w:color w:val="000000"/>
          <w:sz w:val="30"/>
          <w:szCs w:val="30"/>
          <w:u w:color="000000"/>
          <w:bdr w:val="nil"/>
          <w:rtl/>
          <w:lang w:val="en-GB" w:eastAsia="zh-TW"/>
        </w:rPr>
        <w:t>الوفاء</w:t>
      </w:r>
      <w:r w:rsidRPr="00E8191C">
        <w:rPr>
          <w:rFonts w:ascii="Traditional Arabic" w:hAnsi="Traditional Arabic" w:cs="Traditional Arabic"/>
          <w:color w:val="000000"/>
          <w:sz w:val="30"/>
          <w:szCs w:val="30"/>
          <w:u w:color="000000"/>
          <w:bdr w:val="nil"/>
          <w:rtl/>
          <w:lang w:val="en-GB" w:eastAsia="zh-TW"/>
        </w:rPr>
        <w:t xml:space="preserve"> بمتطلبات المادة ٢٢ من الاتفاقية بشأن بيانات الرصد، يتعين جمع معلومات عن مستويات الزئبق في الهواء والكائنات الحية والبشر. وتتوفر وسائل فعالة من حيث التكلفة وعملية ومجدية ومستدامة لجميع أنواع الرصد. وفيما يخص الهواء، يوصى </w:t>
      </w:r>
      <w:r w:rsidR="00984DB0">
        <w:rPr>
          <w:rFonts w:ascii="Traditional Arabic" w:hAnsi="Traditional Arabic" w:cs="Traditional Arabic" w:hint="cs"/>
          <w:color w:val="000000"/>
          <w:sz w:val="30"/>
          <w:szCs w:val="30"/>
          <w:u w:color="000000"/>
          <w:bdr w:val="nil"/>
          <w:rtl/>
          <w:lang w:val="en-GB" w:eastAsia="zh-TW"/>
        </w:rPr>
        <w:t>ب</w:t>
      </w:r>
      <w:r w:rsidRPr="00E8191C">
        <w:rPr>
          <w:rFonts w:ascii="Traditional Arabic" w:hAnsi="Traditional Arabic" w:cs="Traditional Arabic"/>
          <w:color w:val="000000"/>
          <w:sz w:val="30"/>
          <w:szCs w:val="30"/>
          <w:u w:color="000000"/>
          <w:bdr w:val="nil"/>
          <w:rtl/>
          <w:lang w:val="en-GB" w:eastAsia="zh-TW"/>
        </w:rPr>
        <w:t xml:space="preserve">أخذ عينات من الهواء (إيجابية وسلبية) وترسبات رطبة، حيثما أمكن. أما فيما يخص الرصد البيولوجي للإنسان فإن الشعر </w:t>
      </w:r>
      <w:r w:rsidR="00664FFC">
        <w:rPr>
          <w:rFonts w:ascii="Traditional Arabic" w:hAnsi="Traditional Arabic" w:cs="Traditional Arabic" w:hint="cs"/>
          <w:color w:val="000000"/>
          <w:sz w:val="30"/>
          <w:szCs w:val="30"/>
          <w:u w:color="000000"/>
          <w:bdr w:val="nil"/>
          <w:rtl/>
          <w:lang w:val="en-GB" w:eastAsia="zh-TW"/>
        </w:rPr>
        <w:t>و</w:t>
      </w:r>
      <w:r w:rsidRPr="00E8191C">
        <w:rPr>
          <w:rFonts w:ascii="Traditional Arabic" w:hAnsi="Traditional Arabic" w:cs="Traditional Arabic"/>
          <w:color w:val="000000"/>
          <w:sz w:val="30"/>
          <w:szCs w:val="30"/>
          <w:u w:color="000000"/>
          <w:bdr w:val="nil"/>
          <w:rtl/>
          <w:lang w:val="en-GB" w:eastAsia="zh-TW"/>
        </w:rPr>
        <w:t>دم الحبل السري يستوفيان جميع معايير الإدراج في برنامج الرصد العالمي. وفيما يخص الكائنات الحية، قد تختلف طرق أخذ العينات باختلاف المجتمع الأحيائي والهدف، بيد أن أخذ العينات الذي يراعي جميع الاعتبارات ممكن. ولوحظ أنه في حين أن التغطية العالمية للرصد لا توجد إلا أن مشروع الخط</w:t>
      </w:r>
      <w:r w:rsidR="003575B9">
        <w:rPr>
          <w:rFonts w:ascii="Traditional Arabic" w:hAnsi="Traditional Arabic" w:cs="Traditional Arabic" w:hint="cs"/>
          <w:color w:val="000000"/>
          <w:sz w:val="30"/>
          <w:szCs w:val="30"/>
          <w:u w:color="000000"/>
          <w:bdr w:val="nil"/>
          <w:rtl/>
          <w:lang w:val="en-GB" w:eastAsia="zh-TW"/>
        </w:rPr>
        <w:t>ة</w:t>
      </w:r>
      <w:r w:rsidR="003575B9" w:rsidRPr="003575B9">
        <w:rPr>
          <w:rFonts w:ascii="Traditional Arabic" w:hAnsi="Traditional Arabic" w:cs="Traditional Arabic"/>
          <w:sz w:val="30"/>
          <w:szCs w:val="30"/>
          <w:vertAlign w:val="superscript"/>
          <w:rtl/>
          <w:lang w:eastAsia="zh-TW"/>
        </w:rPr>
        <w:t>(</w:t>
      </w:r>
      <w:r w:rsidR="003575B9" w:rsidRPr="003575B9">
        <w:rPr>
          <w:rStyle w:val="Appelnotedebasdep"/>
          <w:rFonts w:ascii="Traditional Arabic" w:hAnsi="Traditional Arabic" w:cs="Traditional Arabic"/>
          <w:sz w:val="30"/>
          <w:szCs w:val="30"/>
          <w:rtl/>
          <w:lang w:eastAsia="zh-TW"/>
        </w:rPr>
        <w:footnoteReference w:id="4"/>
      </w:r>
      <w:r w:rsidR="003575B9" w:rsidRPr="003575B9">
        <w:rPr>
          <w:rFonts w:ascii="Traditional Arabic" w:hAnsi="Traditional Arabic" w:cs="Traditional Arabic"/>
          <w:sz w:val="30"/>
          <w:szCs w:val="30"/>
          <w:vertAlign w:val="superscript"/>
          <w:rtl/>
          <w:lang w:eastAsia="zh-TW"/>
        </w:rPr>
        <w:t>)</w:t>
      </w:r>
      <w:r w:rsidR="003575B9">
        <w:rPr>
          <w:rFonts w:ascii="Traditional Arabic" w:hAnsi="Traditional Arabic" w:cs="Traditional Arabic" w:hint="cs"/>
          <w:color w:val="000000"/>
          <w:sz w:val="30"/>
          <w:szCs w:val="30"/>
          <w:u w:color="000000"/>
          <w:bdr w:val="nil"/>
          <w:rtl/>
          <w:lang w:val="en-GB" w:eastAsia="zh-TW"/>
        </w:rPr>
        <w:t xml:space="preserve"> </w:t>
      </w:r>
      <w:r w:rsidRPr="00E8191C">
        <w:rPr>
          <w:rFonts w:ascii="Traditional Arabic" w:hAnsi="Traditional Arabic" w:cs="Traditional Arabic"/>
          <w:color w:val="000000"/>
          <w:sz w:val="30"/>
          <w:szCs w:val="30"/>
          <w:u w:color="000000"/>
          <w:bdr w:val="nil"/>
          <w:rtl/>
          <w:lang w:val="en-GB" w:eastAsia="zh-TW"/>
        </w:rPr>
        <w:t xml:space="preserve">يتضمن توصيات بشأن كيفية معالجة الثغرات القائمة في التغطية. وتتوفر </w:t>
      </w:r>
      <w:r w:rsidR="00664FFC">
        <w:rPr>
          <w:rFonts w:ascii="Traditional Arabic" w:hAnsi="Traditional Arabic" w:cs="Traditional Arabic" w:hint="cs"/>
          <w:color w:val="000000"/>
          <w:sz w:val="30"/>
          <w:szCs w:val="30"/>
          <w:u w:color="000000"/>
          <w:bdr w:val="nil"/>
          <w:rtl/>
          <w:lang w:val="en-GB" w:eastAsia="zh-TW"/>
        </w:rPr>
        <w:t>ال</w:t>
      </w:r>
      <w:r w:rsidRPr="00E8191C">
        <w:rPr>
          <w:rFonts w:ascii="Traditional Arabic" w:hAnsi="Traditional Arabic" w:cs="Traditional Arabic"/>
          <w:color w:val="000000"/>
          <w:sz w:val="30"/>
          <w:szCs w:val="30"/>
          <w:u w:color="000000"/>
          <w:bdr w:val="nil"/>
          <w:rtl/>
          <w:lang w:val="en-GB" w:eastAsia="zh-TW"/>
        </w:rPr>
        <w:t>تكنولوجيات و</w:t>
      </w:r>
      <w:r w:rsidR="00664FFC">
        <w:rPr>
          <w:rFonts w:ascii="Traditional Arabic" w:hAnsi="Traditional Arabic" w:cs="Traditional Arabic" w:hint="cs"/>
          <w:color w:val="000000"/>
          <w:sz w:val="30"/>
          <w:szCs w:val="30"/>
          <w:u w:color="000000"/>
          <w:bdr w:val="nil"/>
          <w:rtl/>
          <w:lang w:val="en-GB" w:eastAsia="zh-TW"/>
        </w:rPr>
        <w:t>ال</w:t>
      </w:r>
      <w:r w:rsidRPr="00E8191C">
        <w:rPr>
          <w:rFonts w:ascii="Traditional Arabic" w:hAnsi="Traditional Arabic" w:cs="Traditional Arabic"/>
          <w:color w:val="000000"/>
          <w:sz w:val="30"/>
          <w:szCs w:val="30"/>
          <w:u w:color="000000"/>
          <w:bdr w:val="nil"/>
          <w:rtl/>
          <w:lang w:val="en-GB" w:eastAsia="zh-TW"/>
        </w:rPr>
        <w:t xml:space="preserve">قدرات </w:t>
      </w:r>
      <w:r w:rsidR="00664FFC">
        <w:rPr>
          <w:rFonts w:ascii="Traditional Arabic" w:hAnsi="Traditional Arabic" w:cs="Traditional Arabic" w:hint="cs"/>
          <w:color w:val="000000"/>
          <w:sz w:val="30"/>
          <w:szCs w:val="30"/>
          <w:u w:color="000000"/>
          <w:bdr w:val="nil"/>
          <w:rtl/>
          <w:lang w:val="en-GB" w:eastAsia="zh-TW"/>
        </w:rPr>
        <w:t>ال</w:t>
      </w:r>
      <w:r w:rsidRPr="00E8191C">
        <w:rPr>
          <w:rFonts w:ascii="Traditional Arabic" w:hAnsi="Traditional Arabic" w:cs="Traditional Arabic"/>
          <w:color w:val="000000"/>
          <w:sz w:val="30"/>
          <w:szCs w:val="30"/>
          <w:u w:color="000000"/>
          <w:bdr w:val="nil"/>
          <w:rtl/>
          <w:lang w:val="en-GB" w:eastAsia="zh-TW"/>
        </w:rPr>
        <w:t>تحليلية و</w:t>
      </w:r>
      <w:r w:rsidR="00664FFC">
        <w:rPr>
          <w:rFonts w:ascii="Traditional Arabic" w:hAnsi="Traditional Arabic" w:cs="Traditional Arabic" w:hint="cs"/>
          <w:color w:val="000000"/>
          <w:sz w:val="30"/>
          <w:szCs w:val="30"/>
          <w:u w:color="000000"/>
          <w:bdr w:val="nil"/>
          <w:rtl/>
          <w:lang w:val="en-GB" w:eastAsia="zh-TW"/>
        </w:rPr>
        <w:t>ال</w:t>
      </w:r>
      <w:r w:rsidRPr="00E8191C">
        <w:rPr>
          <w:rFonts w:ascii="Traditional Arabic" w:hAnsi="Traditional Arabic" w:cs="Traditional Arabic"/>
          <w:color w:val="000000"/>
          <w:sz w:val="30"/>
          <w:szCs w:val="30"/>
          <w:u w:color="000000"/>
          <w:bdr w:val="nil"/>
          <w:rtl/>
          <w:lang w:val="en-GB" w:eastAsia="zh-TW"/>
        </w:rPr>
        <w:t>خبرات</w:t>
      </w:r>
      <w:r w:rsidR="00664FFC">
        <w:rPr>
          <w:rFonts w:ascii="Traditional Arabic" w:hAnsi="Traditional Arabic" w:cs="Traditional Arabic" w:hint="cs"/>
          <w:color w:val="000000"/>
          <w:sz w:val="30"/>
          <w:szCs w:val="30"/>
          <w:u w:color="000000"/>
          <w:bdr w:val="nil"/>
          <w:rtl/>
          <w:lang w:val="en-GB" w:eastAsia="zh-TW"/>
        </w:rPr>
        <w:t xml:space="preserve"> اللازمة</w:t>
      </w:r>
      <w:r w:rsidRPr="00E8191C">
        <w:rPr>
          <w:rFonts w:ascii="Traditional Arabic" w:hAnsi="Traditional Arabic" w:cs="Traditional Arabic"/>
          <w:color w:val="000000"/>
          <w:sz w:val="30"/>
          <w:szCs w:val="30"/>
          <w:u w:color="000000"/>
          <w:bdr w:val="nil"/>
          <w:rtl/>
          <w:lang w:val="en-GB" w:eastAsia="zh-TW"/>
        </w:rPr>
        <w:t xml:space="preserve"> لتنفيذ الرصد العالمي. ويرى الفريق أنه يمكن إحراز تقدم مطرد نحو الرصد على الصعيد العالمي مع إنشاء برامج إضافية.</w:t>
      </w:r>
      <w:bookmarkEnd w:id="2"/>
    </w:p>
    <w:p w14:paraId="4A8A511A" w14:textId="55E740D3" w:rsidR="00E8191C" w:rsidRPr="00E8191C" w:rsidRDefault="00E8191C" w:rsidP="00CB4C6E">
      <w:pPr>
        <w:keepNext/>
        <w:keepLines/>
        <w:pBdr>
          <w:top w:val="nil"/>
          <w:left w:val="nil"/>
          <w:bottom w:val="nil"/>
          <w:right w:val="nil"/>
          <w:between w:val="nil"/>
          <w:bar w:val="nil"/>
        </w:pBdr>
        <w:bidi/>
        <w:spacing w:after="120" w:line="400" w:lineRule="exact"/>
        <w:ind w:left="1134"/>
        <w:jc w:val="both"/>
        <w:textDirection w:val="tbRlV"/>
        <w:rPr>
          <w:rFonts w:ascii="Traditional Arabic" w:eastAsiaTheme="minorEastAsia" w:hAnsi="Traditional Arabic"/>
          <w:b/>
          <w:bCs/>
          <w:sz w:val="30"/>
          <w:u w:color="000000"/>
          <w:bdr w:val="nil"/>
          <w:rtl/>
          <w:lang w:val="en-GB" w:eastAsia="zh-TW"/>
        </w:rPr>
      </w:pPr>
      <w:r w:rsidRPr="00E8191C">
        <w:rPr>
          <w:rFonts w:ascii="Traditional Arabic" w:eastAsiaTheme="minorEastAsia" w:hAnsi="Traditional Arabic"/>
          <w:b/>
          <w:bCs/>
          <w:color w:val="000000"/>
          <w:sz w:val="30"/>
          <w:u w:color="000000"/>
          <w:bdr w:val="nil"/>
          <w:rtl/>
          <w:lang w:val="en-GB" w:eastAsia="zh-TW"/>
        </w:rPr>
        <w:lastRenderedPageBreak/>
        <w:t>تحديد إمكانات النمذجة المتاحة لتقييم التغيرات في مستويات الزئبق العالمية داخل الأوساط المختلفة وعبرها</w:t>
      </w:r>
    </w:p>
    <w:p w14:paraId="37561F79" w14:textId="77777777" w:rsidR="00E8191C" w:rsidRPr="00E8191C" w:rsidRDefault="00E8191C" w:rsidP="00CB4C6E">
      <w:pPr>
        <w:pStyle w:val="Normalnumber"/>
        <w:numPr>
          <w:ilvl w:val="0"/>
          <w:numId w:val="31"/>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ascii="Traditional Arabic" w:hAnsi="Traditional Arabic" w:cs="Traditional Arabic"/>
          <w:color w:val="000000"/>
          <w:sz w:val="30"/>
          <w:szCs w:val="30"/>
          <w:u w:color="000000"/>
          <w:bdr w:val="nil"/>
          <w:rtl/>
          <w:lang w:val="en-GB" w:eastAsia="zh-TW"/>
        </w:rPr>
        <w:t>يقوم مؤتمر الأطراف بما يلي:</w:t>
      </w:r>
    </w:p>
    <w:p w14:paraId="7E02344D" w14:textId="3709227D" w:rsidR="00E8191C" w:rsidRPr="00CB4C6E" w:rsidRDefault="00E8191C" w:rsidP="00CB4C6E">
      <w:pPr>
        <w:numPr>
          <w:ilvl w:val="0"/>
          <w:numId w:val="9"/>
        </w:numPr>
        <w:pBdr>
          <w:top w:val="nil"/>
          <w:left w:val="nil"/>
          <w:bottom w:val="nil"/>
          <w:right w:val="nil"/>
          <w:between w:val="nil"/>
          <w:bar w:val="nil"/>
        </w:pBdr>
        <w:bidi/>
        <w:spacing w:after="120" w:line="400" w:lineRule="exact"/>
        <w:ind w:left="2266" w:hanging="425"/>
        <w:jc w:val="both"/>
        <w:textDirection w:val="tbRlV"/>
        <w:rPr>
          <w:rFonts w:ascii="Traditional Arabic" w:eastAsiaTheme="minorEastAsia" w:hAnsi="Traditional Arabic"/>
          <w:color w:val="000000"/>
          <w:sz w:val="30"/>
          <w:u w:color="000000"/>
          <w:bdr w:val="nil"/>
          <w:rtl/>
          <w:lang w:val="en-GB" w:eastAsia="zh-TW"/>
        </w:rPr>
      </w:pPr>
      <w:r w:rsidRPr="00E8191C">
        <w:rPr>
          <w:rFonts w:ascii="Traditional Arabic" w:eastAsiaTheme="minorEastAsia" w:hAnsi="Traditional Arabic"/>
          <w:color w:val="000000"/>
          <w:sz w:val="30"/>
          <w:u w:color="000000"/>
          <w:bdr w:val="nil"/>
          <w:rtl/>
          <w:lang w:val="en-GB" w:eastAsia="zh-TW"/>
        </w:rPr>
        <w:t>تشجيع الأطراف على السعي إلى التعاون في تطوير وتحسين البحث ليشمل النمذجة والتحقق من صحة النماذج، بما في ذلك معالجة الثغرات في وضع النماذج من قبيل تلك المتعلقة بتعدين الذهب الحرفي والضيق النطاق</w:t>
      </w:r>
      <w:r w:rsidR="009B63E9">
        <w:rPr>
          <w:rFonts w:ascii="Traditional Arabic" w:eastAsiaTheme="minorEastAsia" w:hAnsi="Traditional Arabic" w:hint="cs"/>
          <w:color w:val="000000"/>
          <w:sz w:val="30"/>
          <w:u w:color="000000"/>
          <w:bdr w:val="nil"/>
          <w:rtl/>
          <w:lang w:val="en-GB" w:eastAsia="zh-TW"/>
        </w:rPr>
        <w:t>؛</w:t>
      </w:r>
    </w:p>
    <w:p w14:paraId="359D7BE3" w14:textId="76582E6A" w:rsidR="00E8191C" w:rsidRPr="00CB4C6E" w:rsidRDefault="00E8191C" w:rsidP="00CB4C6E">
      <w:pPr>
        <w:numPr>
          <w:ilvl w:val="0"/>
          <w:numId w:val="9"/>
        </w:numPr>
        <w:pBdr>
          <w:top w:val="nil"/>
          <w:left w:val="nil"/>
          <w:bottom w:val="nil"/>
          <w:right w:val="nil"/>
          <w:between w:val="nil"/>
          <w:bar w:val="nil"/>
        </w:pBdr>
        <w:bidi/>
        <w:spacing w:after="120" w:line="400" w:lineRule="exact"/>
        <w:ind w:left="2266" w:hanging="425"/>
        <w:jc w:val="both"/>
        <w:textDirection w:val="tbRlV"/>
        <w:rPr>
          <w:rFonts w:ascii="Traditional Arabic" w:eastAsiaTheme="minorEastAsia" w:hAnsi="Traditional Arabic"/>
          <w:color w:val="000000"/>
          <w:sz w:val="30"/>
          <w:u w:color="000000"/>
          <w:bdr w:val="nil"/>
          <w:rtl/>
          <w:lang w:val="en-GB" w:eastAsia="zh-TW"/>
        </w:rPr>
      </w:pPr>
      <w:r w:rsidRPr="00E8191C">
        <w:rPr>
          <w:rFonts w:ascii="Traditional Arabic" w:eastAsiaTheme="minorEastAsia" w:hAnsi="Traditional Arabic"/>
          <w:color w:val="000000"/>
          <w:sz w:val="30"/>
          <w:u w:color="000000"/>
          <w:bdr w:val="nil"/>
          <w:rtl/>
          <w:lang w:val="en-GB" w:eastAsia="zh-TW"/>
        </w:rPr>
        <w:t>الطلب إلى المنظمات أن تعمل على وضع النماذج وإقرارها وتعزيز استخدامها، بما في ذلك وضع نماذج لما بين المكونات (مثلاً بشأن الكائنات الحية والهواء والبشر، أو التدفقات بين الهواء والماء)</w:t>
      </w:r>
      <w:r w:rsidR="009B63E9">
        <w:rPr>
          <w:rFonts w:ascii="Traditional Arabic" w:eastAsiaTheme="minorEastAsia" w:hAnsi="Traditional Arabic" w:hint="cs"/>
          <w:color w:val="000000"/>
          <w:sz w:val="30"/>
          <w:u w:color="000000"/>
          <w:bdr w:val="nil"/>
          <w:rtl/>
          <w:lang w:val="en-GB" w:eastAsia="zh-TW"/>
        </w:rPr>
        <w:t>؛</w:t>
      </w:r>
    </w:p>
    <w:p w14:paraId="75A68E80" w14:textId="00FAE857" w:rsidR="00E8191C" w:rsidRPr="00CB4C6E" w:rsidRDefault="00E8191C" w:rsidP="00CB4C6E">
      <w:pPr>
        <w:numPr>
          <w:ilvl w:val="0"/>
          <w:numId w:val="9"/>
        </w:numPr>
        <w:pBdr>
          <w:top w:val="nil"/>
          <w:left w:val="nil"/>
          <w:bottom w:val="nil"/>
          <w:right w:val="nil"/>
          <w:between w:val="nil"/>
          <w:bar w:val="nil"/>
        </w:pBdr>
        <w:bidi/>
        <w:spacing w:after="120" w:line="400" w:lineRule="exact"/>
        <w:ind w:left="2266" w:hanging="425"/>
        <w:jc w:val="both"/>
        <w:textDirection w:val="tbRlV"/>
        <w:rPr>
          <w:rFonts w:ascii="Traditional Arabic" w:eastAsiaTheme="minorEastAsia" w:hAnsi="Traditional Arabic"/>
          <w:color w:val="000000"/>
          <w:sz w:val="30"/>
          <w:u w:color="000000"/>
          <w:bdr w:val="nil"/>
          <w:rtl/>
          <w:lang w:val="en-GB" w:eastAsia="zh-TW"/>
        </w:rPr>
      </w:pPr>
      <w:r w:rsidRPr="00E8191C">
        <w:rPr>
          <w:rFonts w:ascii="Traditional Arabic" w:eastAsiaTheme="minorEastAsia" w:hAnsi="Traditional Arabic"/>
          <w:color w:val="000000"/>
          <w:sz w:val="30"/>
          <w:u w:color="000000"/>
          <w:bdr w:val="nil"/>
          <w:rtl/>
          <w:lang w:val="en-GB" w:eastAsia="zh-TW"/>
        </w:rPr>
        <w:t>كفالة استخدام النماذج للاسترشاد بها في وضع خطة الرصد، وكذلك أي تعديل مقبل للخطة، ووضع معلومات لتقييم الفعالية.</w:t>
      </w:r>
    </w:p>
    <w:p w14:paraId="11B5B8F1" w14:textId="23AEC29C" w:rsidR="00E8191C" w:rsidRPr="00E8191C" w:rsidRDefault="00E8191C" w:rsidP="00CB4C6E">
      <w:pPr>
        <w:pBdr>
          <w:top w:val="nil"/>
          <w:left w:val="nil"/>
          <w:bottom w:val="nil"/>
          <w:right w:val="nil"/>
          <w:between w:val="nil"/>
          <w:bar w:val="nil"/>
        </w:pBdr>
        <w:bidi/>
        <w:spacing w:after="120" w:line="400" w:lineRule="exact"/>
        <w:ind w:left="1134"/>
        <w:jc w:val="both"/>
        <w:textDirection w:val="tbRlV"/>
        <w:rPr>
          <w:rFonts w:ascii="Traditional Arabic" w:eastAsiaTheme="minorEastAsia" w:hAnsi="Traditional Arabic"/>
          <w:b/>
          <w:bCs/>
          <w:color w:val="000000"/>
          <w:sz w:val="30"/>
          <w:u w:color="000000"/>
          <w:bdr w:val="nil"/>
          <w:rtl/>
          <w:lang w:val="en-GB" w:eastAsia="zh-TW"/>
        </w:rPr>
      </w:pPr>
      <w:r w:rsidRPr="00E8191C">
        <w:rPr>
          <w:rFonts w:ascii="Traditional Arabic" w:eastAsiaTheme="minorEastAsia" w:hAnsi="Traditional Arabic"/>
          <w:b/>
          <w:bCs/>
          <w:color w:val="000000"/>
          <w:sz w:val="30"/>
          <w:u w:color="000000"/>
          <w:bdr w:val="nil"/>
          <w:rtl/>
          <w:lang w:val="en-GB" w:eastAsia="zh-TW"/>
        </w:rPr>
        <w:t>تحديد مصادر البيانات التي يمكن استخدامها لتحديد خط أساس</w:t>
      </w:r>
    </w:p>
    <w:p w14:paraId="0384B385" w14:textId="77777777" w:rsidR="00E8191C" w:rsidRPr="00E8191C" w:rsidRDefault="00E8191C" w:rsidP="00CB4C6E">
      <w:pPr>
        <w:pStyle w:val="Normalnumber"/>
        <w:numPr>
          <w:ilvl w:val="0"/>
          <w:numId w:val="31"/>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ascii="Traditional Arabic" w:hAnsi="Traditional Arabic" w:cs="Traditional Arabic"/>
          <w:color w:val="000000"/>
          <w:sz w:val="30"/>
          <w:szCs w:val="30"/>
          <w:u w:color="000000"/>
          <w:bdr w:val="nil"/>
          <w:rtl/>
          <w:lang w:val="en-GB" w:eastAsia="zh-TW"/>
        </w:rPr>
        <w:t>يتعين على مؤتمر الأطراف أن ينظر في اتخاذ ترتيبات لعملية رسمية لترسيخ جمع بيانات الزئبق وإدارتها ونشرها في إطار اتفاقية ميناماتا لغرض تيسير تقييم الفعالية، والحاجة إلى تحديد خط أساس لتلك العملية. ويتعين الأخذ في الاعتبار مصادر المعلومات المتاحة، بما في ذلك التقييم العالمي للزئبق، عند وضع ترتيبات من هذا القبيل.</w:t>
      </w:r>
    </w:p>
    <w:p w14:paraId="14E7B11D" w14:textId="026C99FE" w:rsidR="00E8191C" w:rsidRPr="00E8191C" w:rsidRDefault="00E8191C" w:rsidP="00CB4C6E">
      <w:pPr>
        <w:pBdr>
          <w:top w:val="nil"/>
          <w:left w:val="nil"/>
          <w:bottom w:val="nil"/>
          <w:right w:val="nil"/>
          <w:between w:val="nil"/>
          <w:bar w:val="nil"/>
        </w:pBdr>
        <w:bidi/>
        <w:spacing w:after="120" w:line="400" w:lineRule="exact"/>
        <w:ind w:left="1134"/>
        <w:jc w:val="both"/>
        <w:textDirection w:val="tbRlV"/>
        <w:rPr>
          <w:rFonts w:ascii="Traditional Arabic" w:eastAsiaTheme="minorEastAsia" w:hAnsi="Traditional Arabic"/>
          <w:b/>
          <w:bCs/>
          <w:sz w:val="30"/>
          <w:u w:color="000000"/>
          <w:bdr w:val="nil"/>
          <w:rtl/>
          <w:lang w:val="en-GB" w:eastAsia="zh-TW"/>
        </w:rPr>
      </w:pPr>
      <w:r w:rsidRPr="00E8191C">
        <w:rPr>
          <w:rFonts w:ascii="Traditional Arabic" w:eastAsiaTheme="minorEastAsia" w:hAnsi="Traditional Arabic"/>
          <w:b/>
          <w:bCs/>
          <w:color w:val="000000"/>
          <w:sz w:val="30"/>
          <w:u w:color="000000"/>
          <w:bdr w:val="nil"/>
          <w:rtl/>
          <w:lang w:val="en-GB" w:eastAsia="zh-TW"/>
        </w:rPr>
        <w:t>تحديد الكيفية التي يمكن بها لأنشطة الرصد أن تسهم في وضع إطار تقييم الفعالية</w:t>
      </w:r>
    </w:p>
    <w:p w14:paraId="17825711" w14:textId="45E518F2" w:rsidR="00E8191C" w:rsidRPr="00E8191C" w:rsidRDefault="00E8191C" w:rsidP="002C7F76">
      <w:pPr>
        <w:pStyle w:val="Normalnumber"/>
        <w:numPr>
          <w:ilvl w:val="0"/>
          <w:numId w:val="31"/>
        </w:numPr>
        <w:tabs>
          <w:tab w:val="left" w:pos="1841"/>
        </w:tabs>
        <w:autoSpaceDE/>
        <w:autoSpaceDN/>
        <w:bidi/>
        <w:adjustRightInd/>
        <w:spacing w:after="240"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ascii="Traditional Arabic" w:hAnsi="Traditional Arabic" w:cs="Traditional Arabic"/>
          <w:color w:val="000000"/>
          <w:sz w:val="30"/>
          <w:szCs w:val="30"/>
          <w:u w:color="000000"/>
          <w:bdr w:val="nil"/>
          <w:rtl/>
          <w:lang w:val="en-GB" w:eastAsia="zh-TW"/>
        </w:rPr>
        <w:t xml:space="preserve">تشمل التوصيات </w:t>
      </w:r>
      <w:r w:rsidRPr="00E8191C">
        <w:rPr>
          <w:rFonts w:cs="Traditional Arabic"/>
          <w:sz w:val="30"/>
          <w:szCs w:val="30"/>
          <w:rtl/>
          <w:lang w:eastAsia="zh-TW"/>
        </w:rPr>
        <w:t>بشأن</w:t>
      </w:r>
      <w:r w:rsidRPr="00E8191C">
        <w:rPr>
          <w:rFonts w:ascii="Traditional Arabic" w:hAnsi="Traditional Arabic" w:cs="Traditional Arabic"/>
          <w:color w:val="000000"/>
          <w:sz w:val="30"/>
          <w:szCs w:val="30"/>
          <w:u w:color="000000"/>
          <w:bdr w:val="nil"/>
          <w:rtl/>
          <w:lang w:val="en-GB" w:eastAsia="zh-TW"/>
        </w:rPr>
        <w:t xml:space="preserve"> الكيفية التي يمكن أن تسهم بها معلومات الرصد، إلى جانب التقييم الملائم</w:t>
      </w:r>
      <w:r w:rsidR="00984DB0">
        <w:rPr>
          <w:rFonts w:ascii="Traditional Arabic" w:hAnsi="Traditional Arabic" w:cs="Traditional Arabic" w:hint="cs"/>
          <w:color w:val="000000"/>
          <w:sz w:val="30"/>
          <w:szCs w:val="30"/>
          <w:u w:color="000000"/>
          <w:bdr w:val="nil"/>
          <w:rtl/>
          <w:lang w:val="en-GB" w:eastAsia="zh-TW"/>
        </w:rPr>
        <w:t xml:space="preserve"> </w:t>
      </w:r>
      <w:r w:rsidRPr="00E8191C">
        <w:rPr>
          <w:rFonts w:ascii="Traditional Arabic" w:hAnsi="Traditional Arabic" w:cs="Traditional Arabic"/>
          <w:color w:val="000000"/>
          <w:sz w:val="30"/>
          <w:szCs w:val="30"/>
          <w:u w:color="000000"/>
          <w:bdr w:val="nil"/>
          <w:rtl/>
          <w:lang w:val="en-GB" w:eastAsia="zh-TW"/>
        </w:rPr>
        <w:t>للعلاقة السببية، في تقييم بعض المواد، ما يلي:</w:t>
      </w:r>
    </w:p>
    <w:tbl>
      <w:tblPr>
        <w:tblStyle w:val="Grilledutableau"/>
        <w:bidiVisual/>
        <w:tblW w:w="9496" w:type="dxa"/>
        <w:tblInd w:w="280" w:type="dxa"/>
        <w:tblLayout w:type="fixed"/>
        <w:tblCellMar>
          <w:top w:w="28" w:type="dxa"/>
          <w:bottom w:w="28" w:type="dxa"/>
        </w:tblCellMar>
        <w:tblLook w:val="04A0" w:firstRow="1" w:lastRow="0" w:firstColumn="1" w:lastColumn="0" w:noHBand="0" w:noVBand="1"/>
      </w:tblPr>
      <w:tblGrid>
        <w:gridCol w:w="3119"/>
        <w:gridCol w:w="6377"/>
      </w:tblGrid>
      <w:tr w:rsidR="00E8191C" w:rsidRPr="002C7F76" w14:paraId="4CFC2B76" w14:textId="77777777" w:rsidTr="002C7F76">
        <w:tc>
          <w:tcPr>
            <w:tcW w:w="3119" w:type="dxa"/>
          </w:tcPr>
          <w:p w14:paraId="7E52DD1F" w14:textId="77777777" w:rsidR="00E8191C" w:rsidRPr="00DF19DD" w:rsidRDefault="00E8191C" w:rsidP="002C7F76">
            <w:pPr>
              <w:bidi/>
              <w:spacing w:after="40" w:line="300" w:lineRule="exact"/>
              <w:jc w:val="both"/>
              <w:textDirection w:val="tbRlV"/>
              <w:rPr>
                <w:rFonts w:ascii="Traditional Arabic" w:eastAsiaTheme="minorEastAsia" w:hAnsi="Traditional Arabic" w:cs="Traditional Arabic"/>
                <w:i/>
                <w:iCs/>
                <w:sz w:val="28"/>
                <w:szCs w:val="28"/>
                <w:u w:color="000000"/>
                <w:bdr w:val="nil"/>
                <w:rtl/>
                <w:lang w:val="en-GB" w:eastAsia="zh-TW"/>
              </w:rPr>
            </w:pPr>
            <w:r w:rsidRPr="00DF19DD">
              <w:rPr>
                <w:rFonts w:ascii="Traditional Arabic" w:eastAsiaTheme="minorEastAsia" w:hAnsi="Traditional Arabic" w:cs="Traditional Arabic"/>
                <w:i/>
                <w:iCs/>
                <w:color w:val="000000"/>
                <w:sz w:val="28"/>
                <w:szCs w:val="28"/>
                <w:u w:color="000000"/>
                <w:bdr w:val="nil"/>
                <w:rtl/>
                <w:lang w:val="en-GB" w:eastAsia="zh-TW"/>
              </w:rPr>
              <w:t>المادة</w:t>
            </w:r>
          </w:p>
        </w:tc>
        <w:tc>
          <w:tcPr>
            <w:tcW w:w="6377" w:type="dxa"/>
          </w:tcPr>
          <w:p w14:paraId="29A67B75" w14:textId="77777777" w:rsidR="00EA4B86" w:rsidRPr="00EA4B86" w:rsidRDefault="00E8191C" w:rsidP="00EA4B86">
            <w:pPr>
              <w:tabs>
                <w:tab w:val="left" w:pos="2948"/>
                <w:tab w:val="left" w:pos="3515"/>
              </w:tabs>
              <w:bidi/>
              <w:spacing w:line="300" w:lineRule="exact"/>
              <w:jc w:val="center"/>
              <w:textDirection w:val="tbRlV"/>
              <w:rPr>
                <w:rFonts w:ascii="Traditional Arabic" w:hAnsi="Traditional Arabic" w:cs="Traditional Arabic"/>
                <w:i/>
                <w:iCs/>
                <w:sz w:val="28"/>
                <w:szCs w:val="28"/>
                <w:rtl/>
                <w:lang w:val="en-GB" w:eastAsia="zh-TW"/>
              </w:rPr>
            </w:pPr>
            <w:r w:rsidRPr="00EA4B86">
              <w:rPr>
                <w:rFonts w:ascii="Traditional Arabic" w:hAnsi="Traditional Arabic" w:cs="Traditional Arabic"/>
                <w:i/>
                <w:iCs/>
                <w:sz w:val="28"/>
                <w:szCs w:val="28"/>
                <w:rtl/>
                <w:lang w:val="en-GB" w:eastAsia="zh-TW"/>
              </w:rPr>
              <w:t>بيان الكيفية التي يمكن بها لبيانات الرصد العالمية (للهواء والبشر والكائنات الحية)</w:t>
            </w:r>
          </w:p>
          <w:p w14:paraId="4BF9E612" w14:textId="4336D56C" w:rsidR="00E8191C" w:rsidRPr="002C7F76" w:rsidRDefault="00E8191C" w:rsidP="00EA4B86">
            <w:pPr>
              <w:tabs>
                <w:tab w:val="left" w:pos="2948"/>
                <w:tab w:val="left" w:pos="3515"/>
              </w:tabs>
              <w:bidi/>
              <w:spacing w:after="40" w:line="300" w:lineRule="exact"/>
              <w:jc w:val="center"/>
              <w:textDirection w:val="tbRlV"/>
              <w:rPr>
                <w:rFonts w:ascii="Traditional Arabic" w:eastAsia="Roboto" w:hAnsi="Traditional Arabic" w:cs="Traditional Arabic"/>
                <w:i/>
                <w:sz w:val="28"/>
                <w:szCs w:val="28"/>
                <w:rtl/>
                <w:lang w:val="en-GB" w:eastAsia="zh-TW"/>
              </w:rPr>
            </w:pPr>
            <w:r w:rsidRPr="00EA4B86">
              <w:rPr>
                <w:rFonts w:ascii="Traditional Arabic" w:hAnsi="Traditional Arabic" w:cs="Traditional Arabic"/>
                <w:i/>
                <w:iCs/>
                <w:sz w:val="28"/>
                <w:szCs w:val="28"/>
                <w:rtl/>
                <w:lang w:val="en-GB" w:eastAsia="zh-TW"/>
              </w:rPr>
              <w:t>أن تسهم في تقييم فعالية الاتفاقية</w:t>
            </w:r>
          </w:p>
        </w:tc>
      </w:tr>
      <w:tr w:rsidR="00E8191C" w:rsidRPr="002C7F76" w14:paraId="64A2BA85" w14:textId="77777777" w:rsidTr="002C7F76">
        <w:tc>
          <w:tcPr>
            <w:tcW w:w="3119" w:type="dxa"/>
          </w:tcPr>
          <w:p w14:paraId="011C2F6E" w14:textId="2982FFFA" w:rsidR="00E8191C" w:rsidRPr="00DF19DD" w:rsidRDefault="00E8191C" w:rsidP="00EA4B86">
            <w:pPr>
              <w:bidi/>
              <w:spacing w:line="340" w:lineRule="exact"/>
              <w:jc w:val="both"/>
              <w:textDirection w:val="tbRlV"/>
              <w:rPr>
                <w:rFonts w:ascii="Traditional Arabic" w:eastAsiaTheme="minorEastAsia" w:hAnsi="Traditional Arabic" w:cs="Traditional Arabic"/>
                <w:sz w:val="28"/>
                <w:szCs w:val="28"/>
                <w:u w:color="000000"/>
                <w:bdr w:val="nil"/>
                <w:rtl/>
                <w:lang w:val="en-GB" w:eastAsia="zh-TW"/>
              </w:rPr>
            </w:pPr>
            <w:r w:rsidRPr="00DF19DD">
              <w:rPr>
                <w:rFonts w:ascii="Traditional Arabic" w:eastAsiaTheme="minorEastAsia" w:hAnsi="Traditional Arabic" w:cs="Traditional Arabic"/>
                <w:color w:val="000000"/>
                <w:sz w:val="28"/>
                <w:szCs w:val="28"/>
                <w:u w:color="000000"/>
                <w:bdr w:val="nil"/>
                <w:rtl/>
                <w:lang w:val="en-GB" w:eastAsia="zh-TW"/>
              </w:rPr>
              <w:t xml:space="preserve">المادة 1- الهدف </w:t>
            </w:r>
          </w:p>
        </w:tc>
        <w:tc>
          <w:tcPr>
            <w:tcW w:w="6377" w:type="dxa"/>
          </w:tcPr>
          <w:p w14:paraId="31542F1B" w14:textId="77777777" w:rsidR="00E8191C" w:rsidRPr="002C7F76" w:rsidRDefault="00E8191C" w:rsidP="00EA4B86">
            <w:pPr>
              <w:numPr>
                <w:ilvl w:val="0"/>
                <w:numId w:val="9"/>
              </w:numPr>
              <w:pBdr>
                <w:top w:val="nil"/>
                <w:left w:val="nil"/>
                <w:bottom w:val="nil"/>
                <w:right w:val="nil"/>
                <w:between w:val="nil"/>
                <w:bar w:val="nil"/>
              </w:pBdr>
              <w:bidi/>
              <w:spacing w:line="340" w:lineRule="exact"/>
              <w:ind w:left="312" w:hanging="284"/>
              <w:jc w:val="both"/>
              <w:textDirection w:val="tbRlV"/>
              <w:rPr>
                <w:rFonts w:ascii="Traditional Arabic" w:eastAsia="Roboto" w:hAnsi="Traditional Arabic" w:cs="Traditional Arabic"/>
                <w:sz w:val="28"/>
                <w:szCs w:val="28"/>
                <w:rtl/>
                <w:lang w:val="en-GB" w:eastAsia="zh-TW"/>
              </w:rPr>
            </w:pPr>
            <w:r w:rsidRPr="002C7F76">
              <w:rPr>
                <w:rFonts w:ascii="Traditional Arabic" w:hAnsi="Traditional Arabic" w:cs="Traditional Arabic"/>
                <w:sz w:val="28"/>
                <w:szCs w:val="28"/>
                <w:rtl/>
                <w:lang w:val="en-GB" w:eastAsia="zh-TW"/>
              </w:rPr>
              <w:t>مستوى الزئبق في الهواء والبشر والكائنات الحية</w:t>
            </w:r>
          </w:p>
          <w:p w14:paraId="059FF5BB" w14:textId="77777777" w:rsidR="00E8191C" w:rsidRPr="002C7F76" w:rsidRDefault="00E8191C" w:rsidP="00EA4B86">
            <w:pPr>
              <w:numPr>
                <w:ilvl w:val="0"/>
                <w:numId w:val="9"/>
              </w:numPr>
              <w:bidi/>
              <w:spacing w:line="340" w:lineRule="exact"/>
              <w:ind w:left="312" w:hanging="284"/>
              <w:jc w:val="both"/>
              <w:textDirection w:val="tbRlV"/>
              <w:rPr>
                <w:rFonts w:ascii="Traditional Arabic" w:eastAsiaTheme="minorEastAsia" w:hAnsi="Traditional Arabic" w:cs="Traditional Arabic"/>
                <w:sz w:val="28"/>
                <w:szCs w:val="28"/>
                <w:u w:color="000000"/>
                <w:bdr w:val="nil"/>
                <w:rtl/>
                <w:lang w:val="en-GB" w:eastAsia="zh-TW"/>
              </w:rPr>
            </w:pPr>
            <w:r w:rsidRPr="002C7F76">
              <w:rPr>
                <w:rFonts w:ascii="Traditional Arabic" w:eastAsiaTheme="minorEastAsia" w:hAnsi="Traditional Arabic" w:cs="Traditional Arabic"/>
                <w:color w:val="000000"/>
                <w:sz w:val="28"/>
                <w:szCs w:val="28"/>
                <w:u w:color="000000"/>
                <w:bdr w:val="nil"/>
                <w:rtl/>
                <w:lang w:val="en-GB" w:eastAsia="zh-TW"/>
              </w:rPr>
              <w:t>إسناد مستويات الزئبق في البيئة والبشر من الانبعاثات والإطلاقات البشرية المنشأ حسب تقديرات معلومات النماذج</w:t>
            </w:r>
          </w:p>
        </w:tc>
      </w:tr>
      <w:tr w:rsidR="00E8191C" w:rsidRPr="002C7F76" w14:paraId="1038E079" w14:textId="77777777" w:rsidTr="002C7F76">
        <w:tc>
          <w:tcPr>
            <w:tcW w:w="3119" w:type="dxa"/>
          </w:tcPr>
          <w:p w14:paraId="51DA6F9F" w14:textId="354E1B0A" w:rsidR="00E8191C" w:rsidRPr="00DF19DD" w:rsidRDefault="00E8191C" w:rsidP="00DF19DD">
            <w:pPr>
              <w:bidi/>
              <w:spacing w:line="340" w:lineRule="exact"/>
              <w:textDirection w:val="tbRlV"/>
              <w:rPr>
                <w:rFonts w:ascii="Traditional Arabic" w:eastAsiaTheme="minorEastAsia" w:hAnsi="Traditional Arabic" w:cs="Traditional Arabic"/>
                <w:sz w:val="28"/>
                <w:szCs w:val="28"/>
                <w:u w:color="000000"/>
                <w:bdr w:val="nil"/>
                <w:rtl/>
                <w:lang w:val="en-GB" w:eastAsia="zh-TW"/>
              </w:rPr>
            </w:pPr>
            <w:r w:rsidRPr="00DF19DD">
              <w:rPr>
                <w:rFonts w:ascii="Traditional Arabic" w:eastAsiaTheme="minorEastAsia" w:hAnsi="Traditional Arabic" w:cs="Traditional Arabic"/>
                <w:color w:val="000000"/>
                <w:sz w:val="28"/>
                <w:szCs w:val="28"/>
                <w:u w:color="000000"/>
                <w:bdr w:val="nil"/>
                <w:rtl/>
                <w:lang w:val="en-GB" w:eastAsia="zh-TW"/>
              </w:rPr>
              <w:t>المادة 7- تعدين الذهب الحرفي</w:t>
            </w:r>
            <w:r w:rsidR="00DF19DD">
              <w:rPr>
                <w:rFonts w:ascii="Traditional Arabic" w:eastAsiaTheme="minorEastAsia" w:hAnsi="Traditional Arabic" w:cs="Traditional Arabic"/>
                <w:color w:val="000000"/>
                <w:sz w:val="28"/>
                <w:szCs w:val="28"/>
                <w:u w:color="000000"/>
                <w:bdr w:val="nil"/>
                <w:rtl/>
                <w:lang w:val="en-GB" w:eastAsia="zh-TW"/>
              </w:rPr>
              <w:br/>
            </w:r>
            <w:r w:rsidRPr="00DF19DD">
              <w:rPr>
                <w:rFonts w:ascii="Traditional Arabic" w:eastAsiaTheme="minorEastAsia" w:hAnsi="Traditional Arabic" w:cs="Traditional Arabic"/>
                <w:color w:val="000000"/>
                <w:sz w:val="28"/>
                <w:szCs w:val="28"/>
                <w:u w:color="000000"/>
                <w:bdr w:val="nil"/>
                <w:rtl/>
                <w:lang w:val="en-GB" w:eastAsia="zh-TW"/>
              </w:rPr>
              <w:t>والضيق النطاق</w:t>
            </w:r>
          </w:p>
        </w:tc>
        <w:tc>
          <w:tcPr>
            <w:tcW w:w="6377" w:type="dxa"/>
          </w:tcPr>
          <w:p w14:paraId="43F90D1D" w14:textId="77777777" w:rsidR="00E8191C" w:rsidRPr="002C7F76" w:rsidRDefault="00E8191C" w:rsidP="00EA4B86">
            <w:pPr>
              <w:numPr>
                <w:ilvl w:val="0"/>
                <w:numId w:val="9"/>
              </w:numPr>
              <w:pBdr>
                <w:top w:val="nil"/>
                <w:left w:val="nil"/>
                <w:bottom w:val="nil"/>
                <w:right w:val="nil"/>
                <w:between w:val="nil"/>
                <w:bar w:val="nil"/>
              </w:pBdr>
              <w:bidi/>
              <w:spacing w:line="340" w:lineRule="exact"/>
              <w:ind w:left="312" w:hanging="284"/>
              <w:jc w:val="both"/>
              <w:textDirection w:val="tbRlV"/>
              <w:rPr>
                <w:rFonts w:ascii="Traditional Arabic" w:eastAsia="Roboto" w:hAnsi="Traditional Arabic" w:cs="Traditional Arabic"/>
                <w:sz w:val="28"/>
                <w:szCs w:val="28"/>
                <w:rtl/>
                <w:lang w:val="en-GB" w:eastAsia="zh-TW"/>
              </w:rPr>
            </w:pPr>
            <w:r w:rsidRPr="002C7F76">
              <w:rPr>
                <w:rFonts w:ascii="Traditional Arabic" w:hAnsi="Traditional Arabic" w:cs="Traditional Arabic"/>
                <w:sz w:val="28"/>
                <w:szCs w:val="28"/>
                <w:rtl/>
                <w:lang w:val="en-GB" w:eastAsia="zh-TW"/>
              </w:rPr>
              <w:t>مستويات الزئبق في البشر</w:t>
            </w:r>
          </w:p>
          <w:p w14:paraId="4478F005" w14:textId="1070107F" w:rsidR="00E8191C" w:rsidRPr="002C7F76" w:rsidRDefault="00E8191C" w:rsidP="00EA4B86">
            <w:pPr>
              <w:numPr>
                <w:ilvl w:val="0"/>
                <w:numId w:val="9"/>
              </w:numPr>
              <w:pBdr>
                <w:top w:val="nil"/>
                <w:left w:val="nil"/>
                <w:bottom w:val="nil"/>
                <w:right w:val="nil"/>
                <w:between w:val="nil"/>
                <w:bar w:val="nil"/>
              </w:pBdr>
              <w:bidi/>
              <w:spacing w:line="340" w:lineRule="exact"/>
              <w:ind w:left="312" w:hanging="284"/>
              <w:jc w:val="both"/>
              <w:textDirection w:val="tbRlV"/>
              <w:rPr>
                <w:rFonts w:ascii="Traditional Arabic" w:eastAsia="Roboto" w:hAnsi="Traditional Arabic" w:cs="Traditional Arabic"/>
                <w:sz w:val="28"/>
                <w:szCs w:val="28"/>
                <w:rtl/>
                <w:lang w:val="en-GB" w:eastAsia="zh-TW"/>
              </w:rPr>
            </w:pPr>
            <w:r w:rsidRPr="002C7F76">
              <w:rPr>
                <w:rFonts w:ascii="Traditional Arabic" w:hAnsi="Traditional Arabic" w:cs="Traditional Arabic"/>
                <w:sz w:val="28"/>
                <w:szCs w:val="28"/>
                <w:rtl/>
                <w:lang w:val="en-GB" w:eastAsia="zh-TW"/>
              </w:rPr>
              <w:t>مستويات الزئبق في الأسماك وغيرها من الكائنات الحية التي تقع في المستويات الدنيا على مسار أنشطة تعدين الذهب الحرفي والضيق النطاق</w:t>
            </w:r>
          </w:p>
          <w:p w14:paraId="6E9CCB87" w14:textId="77777777" w:rsidR="00E8191C" w:rsidRPr="002C7F76" w:rsidRDefault="00E8191C" w:rsidP="00EA4B86">
            <w:pPr>
              <w:numPr>
                <w:ilvl w:val="0"/>
                <w:numId w:val="9"/>
              </w:numPr>
              <w:bidi/>
              <w:spacing w:line="340" w:lineRule="exact"/>
              <w:ind w:left="312" w:hanging="284"/>
              <w:jc w:val="both"/>
              <w:textDirection w:val="tbRlV"/>
              <w:rPr>
                <w:rFonts w:ascii="Traditional Arabic" w:eastAsiaTheme="minorEastAsia" w:hAnsi="Traditional Arabic" w:cs="Traditional Arabic"/>
                <w:sz w:val="28"/>
                <w:szCs w:val="28"/>
                <w:u w:color="000000"/>
                <w:bdr w:val="nil"/>
                <w:rtl/>
                <w:lang w:val="en-GB" w:eastAsia="zh-TW"/>
              </w:rPr>
            </w:pPr>
            <w:r w:rsidRPr="002C7F76">
              <w:rPr>
                <w:rFonts w:ascii="Traditional Arabic" w:eastAsiaTheme="minorEastAsia" w:hAnsi="Traditional Arabic" w:cs="Traditional Arabic"/>
                <w:color w:val="000000"/>
                <w:sz w:val="28"/>
                <w:szCs w:val="28"/>
                <w:u w:color="000000"/>
                <w:bdr w:val="nil"/>
                <w:rtl/>
                <w:lang w:val="en-GB" w:eastAsia="zh-TW"/>
              </w:rPr>
              <w:t>مستويات الزئبق في الهواء المحيط</w:t>
            </w:r>
          </w:p>
        </w:tc>
      </w:tr>
      <w:tr w:rsidR="00E8191C" w:rsidRPr="002C7F76" w14:paraId="36189E24" w14:textId="77777777" w:rsidTr="002C7F76">
        <w:tc>
          <w:tcPr>
            <w:tcW w:w="3119" w:type="dxa"/>
          </w:tcPr>
          <w:p w14:paraId="7108411E" w14:textId="21A2DB76" w:rsidR="00E8191C" w:rsidRPr="00DF19DD" w:rsidRDefault="00E8191C" w:rsidP="00EA4B86">
            <w:pPr>
              <w:bidi/>
              <w:spacing w:line="340" w:lineRule="exact"/>
              <w:jc w:val="both"/>
              <w:textDirection w:val="tbRlV"/>
              <w:rPr>
                <w:rFonts w:ascii="Traditional Arabic" w:eastAsiaTheme="minorEastAsia" w:hAnsi="Traditional Arabic" w:cs="Traditional Arabic"/>
                <w:sz w:val="28"/>
                <w:szCs w:val="28"/>
                <w:u w:color="000000"/>
                <w:bdr w:val="nil"/>
                <w:rtl/>
                <w:lang w:val="en-GB" w:eastAsia="zh-TW"/>
              </w:rPr>
            </w:pPr>
            <w:r w:rsidRPr="00DF19DD">
              <w:rPr>
                <w:rFonts w:ascii="Traditional Arabic" w:eastAsiaTheme="minorEastAsia" w:hAnsi="Traditional Arabic" w:cs="Traditional Arabic"/>
                <w:color w:val="000000"/>
                <w:sz w:val="28"/>
                <w:szCs w:val="28"/>
                <w:u w:color="000000"/>
                <w:bdr w:val="nil"/>
                <w:rtl/>
                <w:lang w:val="en-GB" w:eastAsia="zh-TW"/>
              </w:rPr>
              <w:t>المادة 8- الانبعاثات</w:t>
            </w:r>
          </w:p>
        </w:tc>
        <w:tc>
          <w:tcPr>
            <w:tcW w:w="6377" w:type="dxa"/>
          </w:tcPr>
          <w:p w14:paraId="64B720D2" w14:textId="77777777" w:rsidR="00E8191C" w:rsidRPr="009B63E9" w:rsidRDefault="00E8191C" w:rsidP="00EA4B86">
            <w:pPr>
              <w:numPr>
                <w:ilvl w:val="0"/>
                <w:numId w:val="9"/>
              </w:numPr>
              <w:pBdr>
                <w:top w:val="nil"/>
                <w:left w:val="nil"/>
                <w:bottom w:val="nil"/>
                <w:right w:val="nil"/>
                <w:between w:val="nil"/>
                <w:bar w:val="nil"/>
              </w:pBdr>
              <w:bidi/>
              <w:spacing w:line="340" w:lineRule="exact"/>
              <w:ind w:left="312" w:hanging="284"/>
              <w:jc w:val="both"/>
              <w:textDirection w:val="tbRlV"/>
              <w:rPr>
                <w:rFonts w:ascii="Traditional Arabic" w:eastAsia="Roboto" w:hAnsi="Traditional Arabic" w:cs="Traditional Arabic"/>
                <w:i/>
                <w:sz w:val="28"/>
                <w:szCs w:val="28"/>
                <w:rtl/>
                <w:lang w:val="en-GB" w:eastAsia="zh-TW"/>
              </w:rPr>
            </w:pPr>
            <w:r w:rsidRPr="002C7F76">
              <w:rPr>
                <w:rFonts w:ascii="Traditional Arabic" w:hAnsi="Traditional Arabic" w:cs="Traditional Arabic"/>
                <w:sz w:val="28"/>
                <w:szCs w:val="28"/>
                <w:rtl/>
                <w:lang w:val="en-GB" w:eastAsia="zh-TW"/>
              </w:rPr>
              <w:t>مستويات الزئبق في الهواء المحيط</w:t>
            </w:r>
          </w:p>
          <w:p w14:paraId="6072FB1E" w14:textId="77777777" w:rsidR="00E8191C" w:rsidRPr="002C7F76" w:rsidRDefault="00E8191C" w:rsidP="00EA4B86">
            <w:pPr>
              <w:numPr>
                <w:ilvl w:val="0"/>
                <w:numId w:val="9"/>
              </w:numPr>
              <w:bidi/>
              <w:spacing w:line="340" w:lineRule="exact"/>
              <w:ind w:left="312" w:hanging="284"/>
              <w:jc w:val="both"/>
              <w:textDirection w:val="tbRlV"/>
              <w:rPr>
                <w:rFonts w:ascii="Traditional Arabic" w:eastAsiaTheme="minorEastAsia" w:hAnsi="Traditional Arabic" w:cs="Traditional Arabic"/>
                <w:iCs/>
                <w:sz w:val="28"/>
                <w:szCs w:val="28"/>
                <w:u w:color="000000"/>
                <w:bdr w:val="nil"/>
                <w:rtl/>
                <w:lang w:val="en-GB" w:eastAsia="zh-TW"/>
              </w:rPr>
            </w:pPr>
            <w:r w:rsidRPr="002C7F76">
              <w:rPr>
                <w:rFonts w:ascii="Traditional Arabic" w:eastAsiaTheme="minorEastAsia" w:hAnsi="Traditional Arabic" w:cs="Traditional Arabic"/>
                <w:color w:val="000000"/>
                <w:sz w:val="28"/>
                <w:szCs w:val="28"/>
                <w:u w:color="000000"/>
                <w:bdr w:val="nil"/>
                <w:rtl/>
                <w:lang w:val="en-GB" w:eastAsia="zh-TW"/>
              </w:rPr>
              <w:t>مستويات الزئبق في الكائنات الحية لدراسة الآثار المحلية والانتقال البعيد المدى</w:t>
            </w:r>
          </w:p>
        </w:tc>
      </w:tr>
      <w:tr w:rsidR="00E8191C" w:rsidRPr="002C7F76" w14:paraId="259C36EC" w14:textId="77777777" w:rsidTr="002C7F76">
        <w:tc>
          <w:tcPr>
            <w:tcW w:w="3119" w:type="dxa"/>
          </w:tcPr>
          <w:p w14:paraId="6977A8A9" w14:textId="7FC9F5D6" w:rsidR="00E8191C" w:rsidRPr="00DF19DD" w:rsidRDefault="00E8191C" w:rsidP="00EA4B86">
            <w:pPr>
              <w:bidi/>
              <w:spacing w:line="340" w:lineRule="exact"/>
              <w:jc w:val="both"/>
              <w:textDirection w:val="tbRlV"/>
              <w:rPr>
                <w:rFonts w:ascii="Traditional Arabic" w:eastAsiaTheme="minorEastAsia" w:hAnsi="Traditional Arabic" w:cs="Traditional Arabic"/>
                <w:sz w:val="28"/>
                <w:szCs w:val="28"/>
                <w:u w:color="000000"/>
                <w:bdr w:val="nil"/>
                <w:rtl/>
                <w:lang w:val="en-GB" w:eastAsia="zh-TW"/>
              </w:rPr>
            </w:pPr>
            <w:r w:rsidRPr="00DF19DD">
              <w:rPr>
                <w:rFonts w:ascii="Traditional Arabic" w:eastAsiaTheme="minorEastAsia" w:hAnsi="Traditional Arabic" w:cs="Traditional Arabic"/>
                <w:color w:val="000000"/>
                <w:sz w:val="28"/>
                <w:szCs w:val="28"/>
                <w:u w:color="000000"/>
                <w:bdr w:val="nil"/>
                <w:rtl/>
                <w:lang w:val="en-GB" w:eastAsia="zh-TW"/>
              </w:rPr>
              <w:t>المادة 9- الإطلاقات</w:t>
            </w:r>
          </w:p>
        </w:tc>
        <w:tc>
          <w:tcPr>
            <w:tcW w:w="6377" w:type="dxa"/>
          </w:tcPr>
          <w:p w14:paraId="2E8E5694" w14:textId="77777777" w:rsidR="00E8191C" w:rsidRPr="002C7F76" w:rsidRDefault="00E8191C" w:rsidP="00EA4B86">
            <w:pPr>
              <w:numPr>
                <w:ilvl w:val="0"/>
                <w:numId w:val="9"/>
              </w:numPr>
              <w:pBdr>
                <w:top w:val="nil"/>
                <w:left w:val="nil"/>
                <w:bottom w:val="nil"/>
                <w:right w:val="nil"/>
                <w:between w:val="nil"/>
                <w:bar w:val="nil"/>
              </w:pBdr>
              <w:bidi/>
              <w:spacing w:line="340" w:lineRule="exact"/>
              <w:ind w:left="312" w:hanging="284"/>
              <w:jc w:val="both"/>
              <w:textDirection w:val="tbRlV"/>
              <w:rPr>
                <w:rFonts w:ascii="Traditional Arabic" w:eastAsia="Roboto" w:hAnsi="Traditional Arabic" w:cs="Traditional Arabic"/>
                <w:iCs/>
                <w:sz w:val="28"/>
                <w:szCs w:val="28"/>
                <w:rtl/>
                <w:lang w:val="en-GB" w:eastAsia="zh-TW"/>
              </w:rPr>
            </w:pPr>
            <w:r w:rsidRPr="002C7F76">
              <w:rPr>
                <w:rFonts w:ascii="Traditional Arabic" w:hAnsi="Traditional Arabic" w:cs="Traditional Arabic"/>
                <w:sz w:val="28"/>
                <w:szCs w:val="28"/>
                <w:rtl/>
                <w:lang w:val="en-GB" w:eastAsia="zh-TW"/>
              </w:rPr>
              <w:t>مستويات الزئبق في الأسماك وغيرها من الكائنات الحية والبشر</w:t>
            </w:r>
          </w:p>
        </w:tc>
      </w:tr>
      <w:tr w:rsidR="00E8191C" w:rsidRPr="002C7F76" w14:paraId="44EF47F6" w14:textId="77777777" w:rsidTr="002C7F76">
        <w:tc>
          <w:tcPr>
            <w:tcW w:w="3119" w:type="dxa"/>
          </w:tcPr>
          <w:p w14:paraId="74F3B653" w14:textId="01E906E3" w:rsidR="00E8191C" w:rsidRPr="00DF19DD" w:rsidRDefault="00E8191C" w:rsidP="00EA4B86">
            <w:pPr>
              <w:bidi/>
              <w:spacing w:line="340" w:lineRule="exact"/>
              <w:jc w:val="both"/>
              <w:textDirection w:val="tbRlV"/>
              <w:rPr>
                <w:rFonts w:ascii="Traditional Arabic" w:eastAsiaTheme="minorEastAsia" w:hAnsi="Traditional Arabic" w:cs="Traditional Arabic"/>
                <w:sz w:val="28"/>
                <w:szCs w:val="28"/>
                <w:u w:color="000000"/>
                <w:bdr w:val="nil"/>
                <w:rtl/>
                <w:lang w:val="en-GB" w:eastAsia="zh-TW"/>
              </w:rPr>
            </w:pPr>
            <w:r w:rsidRPr="00DF19DD">
              <w:rPr>
                <w:rFonts w:ascii="Traditional Arabic" w:eastAsiaTheme="minorEastAsia" w:hAnsi="Traditional Arabic" w:cs="Traditional Arabic"/>
                <w:color w:val="000000"/>
                <w:sz w:val="28"/>
                <w:szCs w:val="28"/>
                <w:u w:color="000000"/>
                <w:bdr w:val="nil"/>
                <w:rtl/>
                <w:lang w:val="en-GB" w:eastAsia="zh-TW"/>
              </w:rPr>
              <w:t>المادة 12- المواقع الملوثة بالزئبق</w:t>
            </w:r>
          </w:p>
        </w:tc>
        <w:tc>
          <w:tcPr>
            <w:tcW w:w="6377" w:type="dxa"/>
          </w:tcPr>
          <w:p w14:paraId="44A69001" w14:textId="77777777" w:rsidR="00E8191C" w:rsidRPr="002C7F76" w:rsidRDefault="00E8191C" w:rsidP="00EA4B86">
            <w:pPr>
              <w:numPr>
                <w:ilvl w:val="0"/>
                <w:numId w:val="9"/>
              </w:numPr>
              <w:bidi/>
              <w:spacing w:line="340" w:lineRule="exact"/>
              <w:ind w:left="312" w:hanging="284"/>
              <w:jc w:val="both"/>
              <w:textDirection w:val="tbRlV"/>
              <w:rPr>
                <w:rFonts w:ascii="Traditional Arabic" w:eastAsiaTheme="minorEastAsia" w:hAnsi="Traditional Arabic" w:cs="Traditional Arabic"/>
                <w:sz w:val="28"/>
                <w:szCs w:val="28"/>
                <w:u w:color="000000"/>
                <w:bdr w:val="nil"/>
                <w:rtl/>
                <w:lang w:val="en-GB" w:eastAsia="zh-TW"/>
              </w:rPr>
            </w:pPr>
            <w:r w:rsidRPr="002C7F76">
              <w:rPr>
                <w:rFonts w:ascii="Traditional Arabic" w:eastAsiaTheme="minorEastAsia" w:hAnsi="Traditional Arabic" w:cs="Traditional Arabic"/>
                <w:color w:val="000000"/>
                <w:sz w:val="28"/>
                <w:szCs w:val="28"/>
                <w:u w:color="000000"/>
                <w:bdr w:val="nil"/>
                <w:rtl/>
                <w:lang w:val="en-GB" w:eastAsia="zh-TW"/>
              </w:rPr>
              <w:t>مستويات الزئبق في الهواء والبشر والكائنات الحية</w:t>
            </w:r>
          </w:p>
        </w:tc>
      </w:tr>
      <w:tr w:rsidR="00E8191C" w:rsidRPr="002C7F76" w14:paraId="4593F650" w14:textId="77777777" w:rsidTr="002C7F76">
        <w:tc>
          <w:tcPr>
            <w:tcW w:w="3119" w:type="dxa"/>
          </w:tcPr>
          <w:p w14:paraId="2AA87ACA" w14:textId="63B9D48E" w:rsidR="00E8191C" w:rsidRPr="00DF19DD" w:rsidRDefault="00E8191C" w:rsidP="00EA4B86">
            <w:pPr>
              <w:bidi/>
              <w:spacing w:line="340" w:lineRule="exact"/>
              <w:jc w:val="both"/>
              <w:textDirection w:val="tbRlV"/>
              <w:rPr>
                <w:rFonts w:ascii="Traditional Arabic" w:eastAsiaTheme="minorEastAsia" w:hAnsi="Traditional Arabic" w:cs="Traditional Arabic"/>
                <w:sz w:val="28"/>
                <w:szCs w:val="28"/>
                <w:u w:color="000000"/>
                <w:bdr w:val="nil"/>
                <w:rtl/>
                <w:lang w:val="en-GB" w:eastAsia="zh-TW"/>
              </w:rPr>
            </w:pPr>
            <w:r w:rsidRPr="00DF19DD">
              <w:rPr>
                <w:rFonts w:ascii="Traditional Arabic" w:eastAsiaTheme="minorEastAsia" w:hAnsi="Traditional Arabic" w:cs="Traditional Arabic"/>
                <w:color w:val="000000"/>
                <w:sz w:val="28"/>
                <w:szCs w:val="28"/>
                <w:u w:color="000000"/>
                <w:bdr w:val="nil"/>
                <w:rtl/>
                <w:lang w:val="en-GB" w:eastAsia="zh-TW"/>
              </w:rPr>
              <w:t>المادة 16- الجوانب الصحية</w:t>
            </w:r>
          </w:p>
        </w:tc>
        <w:tc>
          <w:tcPr>
            <w:tcW w:w="6377" w:type="dxa"/>
          </w:tcPr>
          <w:p w14:paraId="1C7B69BB" w14:textId="77777777" w:rsidR="00E8191C" w:rsidRPr="002C7F76" w:rsidRDefault="00E8191C" w:rsidP="00EA4B86">
            <w:pPr>
              <w:numPr>
                <w:ilvl w:val="0"/>
                <w:numId w:val="9"/>
              </w:numPr>
              <w:bidi/>
              <w:spacing w:line="340" w:lineRule="exact"/>
              <w:ind w:left="312" w:hanging="284"/>
              <w:jc w:val="both"/>
              <w:textDirection w:val="tbRlV"/>
              <w:rPr>
                <w:rFonts w:ascii="Traditional Arabic" w:eastAsiaTheme="minorEastAsia" w:hAnsi="Traditional Arabic" w:cs="Traditional Arabic"/>
                <w:sz w:val="28"/>
                <w:szCs w:val="28"/>
                <w:u w:color="000000"/>
                <w:bdr w:val="nil"/>
                <w:rtl/>
                <w:lang w:val="en-GB" w:eastAsia="zh-TW"/>
              </w:rPr>
            </w:pPr>
            <w:r w:rsidRPr="002C7F76">
              <w:rPr>
                <w:rFonts w:ascii="Traditional Arabic" w:eastAsiaTheme="minorEastAsia" w:hAnsi="Traditional Arabic" w:cs="Traditional Arabic"/>
                <w:color w:val="000000"/>
                <w:sz w:val="28"/>
                <w:szCs w:val="28"/>
                <w:u w:color="000000"/>
                <w:bdr w:val="nil"/>
                <w:rtl/>
                <w:lang w:val="en-GB" w:eastAsia="zh-TW"/>
              </w:rPr>
              <w:t>مستويات الزئبق في البشر (تتبع النجاح في حماية الفئات الضعيفة من السكان)</w:t>
            </w:r>
          </w:p>
        </w:tc>
      </w:tr>
      <w:tr w:rsidR="00E8191C" w:rsidRPr="002C7F76" w14:paraId="10758C56" w14:textId="77777777" w:rsidTr="002C7F76">
        <w:tc>
          <w:tcPr>
            <w:tcW w:w="3119" w:type="dxa"/>
          </w:tcPr>
          <w:p w14:paraId="585D2A8F" w14:textId="6B1C3E3A" w:rsidR="00E8191C" w:rsidRPr="00DF19DD" w:rsidRDefault="00E8191C" w:rsidP="00EA4B86">
            <w:pPr>
              <w:bidi/>
              <w:spacing w:line="340" w:lineRule="exact"/>
              <w:jc w:val="both"/>
              <w:textDirection w:val="tbRlV"/>
              <w:rPr>
                <w:rFonts w:ascii="Traditional Arabic" w:eastAsiaTheme="minorEastAsia" w:hAnsi="Traditional Arabic" w:cs="Traditional Arabic"/>
                <w:sz w:val="28"/>
                <w:szCs w:val="28"/>
                <w:u w:color="000000"/>
                <w:bdr w:val="nil"/>
                <w:rtl/>
                <w:lang w:val="en-GB" w:eastAsia="zh-TW"/>
              </w:rPr>
            </w:pPr>
            <w:r w:rsidRPr="00DF19DD">
              <w:rPr>
                <w:rFonts w:ascii="Traditional Arabic" w:eastAsiaTheme="minorEastAsia" w:hAnsi="Traditional Arabic" w:cs="Traditional Arabic"/>
                <w:color w:val="000000"/>
                <w:sz w:val="28"/>
                <w:szCs w:val="28"/>
                <w:u w:color="000000"/>
                <w:bdr w:val="nil"/>
                <w:rtl/>
                <w:lang w:val="en-GB" w:eastAsia="zh-TW"/>
              </w:rPr>
              <w:t>المادة 18- إعلام الجمهور وتوعيته وتثقيفه</w:t>
            </w:r>
          </w:p>
        </w:tc>
        <w:tc>
          <w:tcPr>
            <w:tcW w:w="6377" w:type="dxa"/>
          </w:tcPr>
          <w:p w14:paraId="0936A571" w14:textId="77777777" w:rsidR="00E8191C" w:rsidRPr="002C7F76" w:rsidRDefault="00E8191C" w:rsidP="00EA4B86">
            <w:pPr>
              <w:numPr>
                <w:ilvl w:val="0"/>
                <w:numId w:val="9"/>
              </w:numPr>
              <w:pBdr>
                <w:top w:val="nil"/>
                <w:left w:val="nil"/>
                <w:bottom w:val="nil"/>
                <w:right w:val="nil"/>
                <w:between w:val="nil"/>
                <w:bar w:val="nil"/>
              </w:pBdr>
              <w:bidi/>
              <w:spacing w:line="340" w:lineRule="exact"/>
              <w:ind w:left="312" w:hanging="284"/>
              <w:jc w:val="both"/>
              <w:textDirection w:val="tbRlV"/>
              <w:rPr>
                <w:rFonts w:ascii="Traditional Arabic" w:eastAsia="Roboto" w:hAnsi="Traditional Arabic" w:cs="Traditional Arabic"/>
                <w:sz w:val="28"/>
                <w:szCs w:val="28"/>
                <w:rtl/>
                <w:lang w:val="en-GB" w:eastAsia="zh-TW"/>
              </w:rPr>
            </w:pPr>
            <w:r w:rsidRPr="002C7F76">
              <w:rPr>
                <w:rFonts w:ascii="Traditional Arabic" w:hAnsi="Traditional Arabic" w:cs="Traditional Arabic"/>
                <w:sz w:val="28"/>
                <w:szCs w:val="28"/>
                <w:rtl/>
                <w:lang w:val="en-GB" w:eastAsia="zh-TW"/>
              </w:rPr>
              <w:t>عدد الأطراف التي لديها معلومات عامة عن مستويات الزئبق في الهواء والبشر والكائنات الحية</w:t>
            </w:r>
          </w:p>
        </w:tc>
      </w:tr>
      <w:tr w:rsidR="00E8191C" w:rsidRPr="002C7F76" w14:paraId="336181C6" w14:textId="77777777" w:rsidTr="002C7F76">
        <w:tc>
          <w:tcPr>
            <w:tcW w:w="3119" w:type="dxa"/>
          </w:tcPr>
          <w:p w14:paraId="08958022" w14:textId="358C2477" w:rsidR="00E8191C" w:rsidRPr="00DF19DD" w:rsidRDefault="00E8191C" w:rsidP="00EA4B86">
            <w:pPr>
              <w:bidi/>
              <w:spacing w:line="340" w:lineRule="exact"/>
              <w:jc w:val="both"/>
              <w:textDirection w:val="tbRlV"/>
              <w:rPr>
                <w:rFonts w:ascii="Traditional Arabic" w:eastAsiaTheme="minorEastAsia" w:hAnsi="Traditional Arabic" w:cs="Traditional Arabic"/>
                <w:sz w:val="28"/>
                <w:szCs w:val="28"/>
                <w:u w:color="000000"/>
                <w:bdr w:val="nil"/>
                <w:rtl/>
                <w:lang w:val="en-GB" w:eastAsia="zh-TW"/>
              </w:rPr>
            </w:pPr>
            <w:r w:rsidRPr="00DF19DD">
              <w:rPr>
                <w:rFonts w:ascii="Traditional Arabic" w:eastAsiaTheme="minorEastAsia" w:hAnsi="Traditional Arabic" w:cs="Traditional Arabic"/>
                <w:color w:val="000000"/>
                <w:sz w:val="28"/>
                <w:szCs w:val="28"/>
                <w:u w:color="000000"/>
                <w:bdr w:val="nil"/>
                <w:rtl/>
                <w:lang w:val="en-GB" w:eastAsia="zh-TW"/>
              </w:rPr>
              <w:t>المادة 19- البحوث والتطوير والرصد</w:t>
            </w:r>
          </w:p>
        </w:tc>
        <w:tc>
          <w:tcPr>
            <w:tcW w:w="6377" w:type="dxa"/>
          </w:tcPr>
          <w:p w14:paraId="6A61575D" w14:textId="77777777" w:rsidR="00E8191C" w:rsidRPr="002C7F76" w:rsidRDefault="00E8191C" w:rsidP="00EA4B86">
            <w:pPr>
              <w:numPr>
                <w:ilvl w:val="0"/>
                <w:numId w:val="9"/>
              </w:numPr>
              <w:pBdr>
                <w:top w:val="nil"/>
                <w:left w:val="nil"/>
                <w:bottom w:val="nil"/>
                <w:right w:val="nil"/>
                <w:between w:val="nil"/>
                <w:bar w:val="nil"/>
              </w:pBdr>
              <w:bidi/>
              <w:spacing w:line="340" w:lineRule="exact"/>
              <w:ind w:left="312" w:hanging="284"/>
              <w:jc w:val="both"/>
              <w:textDirection w:val="tbRlV"/>
              <w:rPr>
                <w:rFonts w:ascii="Traditional Arabic" w:eastAsia="Roboto" w:hAnsi="Traditional Arabic" w:cs="Traditional Arabic"/>
                <w:sz w:val="28"/>
                <w:szCs w:val="28"/>
                <w:rtl/>
                <w:lang w:val="en-GB" w:eastAsia="zh-TW"/>
              </w:rPr>
            </w:pPr>
            <w:r w:rsidRPr="002C7F76">
              <w:rPr>
                <w:rFonts w:ascii="Traditional Arabic" w:hAnsi="Traditional Arabic" w:cs="Traditional Arabic"/>
                <w:sz w:val="28"/>
                <w:szCs w:val="28"/>
                <w:rtl/>
                <w:lang w:val="en-GB" w:eastAsia="zh-TW"/>
              </w:rPr>
              <w:t>عدد الأطراف التي تتعاون في تطوير وتحسين المعلومات المتاحة لإدراجها في تقرير الرصد العالمي (بما في ذلك من خلال مصادر البيانات القائمة)</w:t>
            </w:r>
          </w:p>
        </w:tc>
      </w:tr>
    </w:tbl>
    <w:p w14:paraId="58F595F7" w14:textId="77777777" w:rsidR="00E8191C" w:rsidRPr="00E8191C" w:rsidRDefault="00E8191C" w:rsidP="000C79BA">
      <w:pPr>
        <w:pBdr>
          <w:top w:val="nil"/>
          <w:left w:val="nil"/>
          <w:bottom w:val="nil"/>
          <w:right w:val="nil"/>
          <w:between w:val="nil"/>
          <w:bar w:val="nil"/>
        </w:pBdr>
        <w:bidi/>
        <w:spacing w:before="360" w:after="120" w:line="400" w:lineRule="exact"/>
        <w:ind w:left="1134"/>
        <w:jc w:val="both"/>
        <w:textDirection w:val="tbRlV"/>
        <w:rPr>
          <w:rFonts w:ascii="Traditional Arabic" w:eastAsiaTheme="minorEastAsia" w:hAnsi="Traditional Arabic"/>
          <w:b/>
          <w:bCs/>
          <w:sz w:val="30"/>
          <w:u w:color="000000"/>
          <w:bdr w:val="nil"/>
          <w:rtl/>
          <w:lang w:val="en-GB" w:eastAsia="zh-TW"/>
        </w:rPr>
      </w:pPr>
      <w:r w:rsidRPr="00E8191C">
        <w:rPr>
          <w:rFonts w:ascii="Traditional Arabic" w:eastAsiaTheme="minorEastAsia" w:hAnsi="Traditional Arabic"/>
          <w:b/>
          <w:bCs/>
          <w:color w:val="000000"/>
          <w:sz w:val="30"/>
          <w:u w:color="000000"/>
          <w:bdr w:val="nil"/>
          <w:rtl/>
          <w:lang w:val="en-GB" w:eastAsia="zh-TW"/>
        </w:rPr>
        <w:lastRenderedPageBreak/>
        <w:t>توصيات بشأن عناصر إطار تقييم الفعالية</w:t>
      </w:r>
    </w:p>
    <w:p w14:paraId="6087119A" w14:textId="3635A504" w:rsidR="00E8191C" w:rsidRPr="00E8191C" w:rsidRDefault="00E8191C" w:rsidP="000C79BA">
      <w:pPr>
        <w:pStyle w:val="Normalnumber"/>
        <w:numPr>
          <w:ilvl w:val="0"/>
          <w:numId w:val="31"/>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ascii="Traditional Arabic" w:hAnsi="Traditional Arabic" w:cs="Traditional Arabic"/>
          <w:color w:val="000000"/>
          <w:sz w:val="30"/>
          <w:szCs w:val="30"/>
          <w:u w:color="000000"/>
          <w:bdr w:val="nil"/>
          <w:rtl/>
          <w:lang w:val="en-GB" w:eastAsia="zh-TW"/>
        </w:rPr>
        <w:t xml:space="preserve">وضع فريق </w:t>
      </w:r>
      <w:r w:rsidRPr="00E8191C">
        <w:rPr>
          <w:rFonts w:cs="Traditional Arabic"/>
          <w:sz w:val="30"/>
          <w:szCs w:val="30"/>
          <w:rtl/>
          <w:lang w:eastAsia="zh-TW"/>
        </w:rPr>
        <w:t>الخبراء</w:t>
      </w:r>
      <w:r w:rsidRPr="00E8191C">
        <w:rPr>
          <w:rFonts w:ascii="Traditional Arabic" w:hAnsi="Traditional Arabic" w:cs="Traditional Arabic"/>
          <w:color w:val="000000"/>
          <w:sz w:val="30"/>
          <w:szCs w:val="30"/>
          <w:u w:color="000000"/>
          <w:bdr w:val="nil"/>
          <w:rtl/>
          <w:lang w:val="en-GB" w:eastAsia="zh-TW"/>
        </w:rPr>
        <w:t xml:space="preserve"> المخصص قائمة أولية بالمؤشرات لتقييم الفعالية الأول. وهناك حاجة إلى المزيد من العمل لاستعراض قيود البيانات وخطوط الأساس لتلك المؤشرات، فضلا</w:t>
      </w:r>
      <w:r w:rsidR="00DF19DD">
        <w:rPr>
          <w:rFonts w:ascii="Traditional Arabic" w:hAnsi="Traditional Arabic" w:cs="Traditional Arabic" w:hint="cs"/>
          <w:color w:val="000000"/>
          <w:sz w:val="30"/>
          <w:szCs w:val="30"/>
          <w:u w:color="000000"/>
          <w:bdr w:val="nil"/>
          <w:rtl/>
          <w:lang w:val="en-GB" w:eastAsia="zh-TW"/>
        </w:rPr>
        <w:t>ً</w:t>
      </w:r>
      <w:r w:rsidRPr="00E8191C">
        <w:rPr>
          <w:rFonts w:ascii="Traditional Arabic" w:hAnsi="Traditional Arabic" w:cs="Traditional Arabic"/>
          <w:color w:val="000000"/>
          <w:sz w:val="30"/>
          <w:szCs w:val="30"/>
          <w:u w:color="000000"/>
          <w:bdr w:val="nil"/>
          <w:rtl/>
          <w:lang w:val="en-GB" w:eastAsia="zh-TW"/>
        </w:rPr>
        <w:t xml:space="preserve"> عن تطوير أساليب لتحليل مؤشرات كل مادة على حدة لتقييم الفعالية الشامل، والنظر في استخدام معلومات الرصد في تقييم الفعالية.</w:t>
      </w:r>
    </w:p>
    <w:p w14:paraId="38BB17DD" w14:textId="77777777" w:rsidR="00E8191C" w:rsidRPr="00E8191C" w:rsidRDefault="00E8191C" w:rsidP="000C79BA">
      <w:pPr>
        <w:pStyle w:val="Normalnumber"/>
        <w:numPr>
          <w:ilvl w:val="0"/>
          <w:numId w:val="31"/>
        </w:numPr>
        <w:tabs>
          <w:tab w:val="left" w:pos="1841"/>
        </w:tabs>
        <w:autoSpaceDE/>
        <w:autoSpaceDN/>
        <w:bidi/>
        <w:adjustRightInd/>
        <w:spacing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ascii="Traditional Arabic" w:hAnsi="Traditional Arabic" w:cs="Traditional Arabic"/>
          <w:color w:val="000000"/>
          <w:sz w:val="30"/>
          <w:szCs w:val="30"/>
          <w:u w:color="000000"/>
          <w:bdr w:val="nil"/>
          <w:rtl/>
          <w:lang w:val="en-GB" w:eastAsia="zh-TW"/>
        </w:rPr>
        <w:t xml:space="preserve">ويوصي فريق </w:t>
      </w:r>
      <w:r w:rsidRPr="00E8191C">
        <w:rPr>
          <w:rFonts w:cs="Traditional Arabic"/>
          <w:sz w:val="30"/>
          <w:szCs w:val="30"/>
          <w:rtl/>
          <w:lang w:eastAsia="zh-TW"/>
        </w:rPr>
        <w:t>الخبراء</w:t>
      </w:r>
      <w:r w:rsidRPr="00E8191C">
        <w:rPr>
          <w:rFonts w:ascii="Traditional Arabic" w:hAnsi="Traditional Arabic" w:cs="Traditional Arabic"/>
          <w:color w:val="000000"/>
          <w:sz w:val="30"/>
          <w:szCs w:val="30"/>
          <w:u w:color="000000"/>
          <w:bdr w:val="nil"/>
          <w:rtl/>
          <w:lang w:val="en-GB" w:eastAsia="zh-TW"/>
        </w:rPr>
        <w:t xml:space="preserve"> المخصص بعملية من مرحلتين وجدول لتقييم الفعالية الأول على النحو التالي: ينظر مؤتمر الأطراف في الاقتراح بهدف إنشاء إطار لتقييم الفعالية في اجتماعه الثالث.</w:t>
      </w:r>
    </w:p>
    <w:p w14:paraId="7C8F47BB" w14:textId="4D6414BF" w:rsidR="00E8191C" w:rsidRPr="00E8191C" w:rsidRDefault="00E8191C" w:rsidP="00231C59">
      <w:pPr>
        <w:numPr>
          <w:ilvl w:val="0"/>
          <w:numId w:val="11"/>
        </w:numPr>
        <w:pBdr>
          <w:top w:val="nil"/>
          <w:left w:val="nil"/>
          <w:bottom w:val="nil"/>
          <w:right w:val="nil"/>
          <w:between w:val="nil"/>
          <w:bar w:val="nil"/>
        </w:pBdr>
        <w:tabs>
          <w:tab w:val="clear" w:pos="477"/>
          <w:tab w:val="left" w:pos="2381"/>
        </w:tabs>
        <w:bidi/>
        <w:spacing w:after="80" w:line="400" w:lineRule="exact"/>
        <w:ind w:left="1841" w:firstLine="0"/>
        <w:jc w:val="both"/>
        <w:textDirection w:val="tbRlV"/>
        <w:rPr>
          <w:rFonts w:ascii="Traditional Arabic" w:eastAsia="Roboto" w:hAnsi="Traditional Arabic"/>
          <w:sz w:val="30"/>
          <w:rtl/>
          <w:lang w:val="en-GB" w:eastAsia="zh-TW"/>
        </w:rPr>
      </w:pPr>
      <w:r w:rsidRPr="00E8191C">
        <w:rPr>
          <w:rFonts w:ascii="Traditional Arabic" w:hAnsi="Traditional Arabic"/>
          <w:sz w:val="30"/>
          <w:rtl/>
          <w:lang w:val="en-GB" w:eastAsia="zh-TW"/>
        </w:rPr>
        <w:t>المرحلة ١: جمع المعلومات وتصنيفها</w:t>
      </w:r>
      <w:r w:rsidR="009B63E9">
        <w:rPr>
          <w:rFonts w:ascii="Traditional Arabic" w:eastAsia="Roboto" w:hAnsi="Traditional Arabic" w:hint="cs"/>
          <w:sz w:val="30"/>
          <w:rtl/>
          <w:lang w:val="en-GB" w:eastAsia="zh-TW"/>
        </w:rPr>
        <w:t>:</w:t>
      </w:r>
    </w:p>
    <w:p w14:paraId="1FBFD7F5" w14:textId="6669F0D0" w:rsidR="00E8191C" w:rsidRPr="00E8191C"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eastAsia="Roboto" w:hAnsi="Traditional Arabic"/>
          <w:sz w:val="30"/>
          <w:rtl/>
          <w:lang w:val="en-GB" w:eastAsia="zh-TW"/>
        </w:rPr>
      </w:pPr>
      <w:r w:rsidRPr="00E8191C">
        <w:rPr>
          <w:rFonts w:ascii="Traditional Arabic" w:hAnsi="Traditional Arabic"/>
          <w:sz w:val="30"/>
          <w:rtl/>
          <w:lang w:val="en-GB" w:eastAsia="zh-TW"/>
        </w:rPr>
        <w:t xml:space="preserve">المادة ٢١ الإبلاغ </w:t>
      </w:r>
      <w:r w:rsidR="000855C4">
        <w:rPr>
          <w:rFonts w:ascii="Traditional Arabic" w:hAnsi="Traditional Arabic" w:hint="cs"/>
          <w:sz w:val="30"/>
          <w:rtl/>
          <w:lang w:val="en-GB" w:eastAsia="zh-TW"/>
        </w:rPr>
        <w:t>-</w:t>
      </w:r>
      <w:r w:rsidRPr="00E8191C">
        <w:rPr>
          <w:rFonts w:ascii="Traditional Arabic" w:hAnsi="Traditional Arabic"/>
          <w:sz w:val="30"/>
          <w:rtl/>
          <w:lang w:val="en-GB" w:eastAsia="zh-TW"/>
        </w:rPr>
        <w:t xml:space="preserve"> تجمع الأمانة كجزء من دورة الإبلاغ، بما في ذلك مجموعة من الإحصاءات الوصفية</w:t>
      </w:r>
      <w:r w:rsidR="0011120E">
        <w:rPr>
          <w:rFonts w:ascii="Traditional Arabic" w:eastAsia="Roboto" w:hAnsi="Traditional Arabic" w:hint="cs"/>
          <w:sz w:val="30"/>
          <w:rtl/>
          <w:lang w:val="en-GB" w:eastAsia="zh-TW"/>
        </w:rPr>
        <w:t>.</w:t>
      </w:r>
    </w:p>
    <w:p w14:paraId="1DCC91C5" w14:textId="5A741417" w:rsidR="00E8191C" w:rsidRPr="00E8191C"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eastAsia="Roboto" w:hAnsi="Traditional Arabic"/>
          <w:sz w:val="30"/>
          <w:rtl/>
          <w:lang w:val="en-GB" w:eastAsia="zh-TW"/>
        </w:rPr>
      </w:pPr>
      <w:r w:rsidRPr="00E8191C">
        <w:rPr>
          <w:rFonts w:ascii="Traditional Arabic" w:hAnsi="Traditional Arabic"/>
          <w:sz w:val="30"/>
          <w:rtl/>
          <w:lang w:val="en-GB" w:eastAsia="zh-TW"/>
        </w:rPr>
        <w:t xml:space="preserve">الإفادات الأخرى للأمانة </w:t>
      </w:r>
      <w:r w:rsidR="0026779B">
        <w:rPr>
          <w:rFonts w:ascii="Traditional Arabic" w:hAnsi="Traditional Arabic" w:hint="cs"/>
          <w:sz w:val="30"/>
          <w:rtl/>
          <w:lang w:val="en-GB" w:eastAsia="zh-TW"/>
        </w:rPr>
        <w:t>(</w:t>
      </w:r>
      <w:r w:rsidRPr="00E8191C">
        <w:rPr>
          <w:rFonts w:ascii="Traditional Arabic" w:hAnsi="Traditional Arabic"/>
          <w:sz w:val="30"/>
          <w:rtl/>
          <w:lang w:val="en-GB" w:eastAsia="zh-TW"/>
        </w:rPr>
        <w:t>الموافقة على الاستيراد، خطط العمل الوطنية، جرد انبعاثات، الإعفاء، خطط التنفيذ الوطنية الاختيارية، وما إلى ذلك،)</w:t>
      </w:r>
      <w:r w:rsidR="0011120E" w:rsidRPr="00E8191C">
        <w:rPr>
          <w:rFonts w:ascii="Traditional Arabic" w:hAnsi="Traditional Arabic"/>
          <w:color w:val="000000"/>
          <w:sz w:val="30"/>
          <w:u w:color="000000"/>
          <w:bdr w:val="nil"/>
          <w:rtl/>
          <w:lang w:val="en-GB" w:eastAsia="zh-TW"/>
        </w:rPr>
        <w:t>.</w:t>
      </w:r>
    </w:p>
    <w:p w14:paraId="4C00FC25" w14:textId="3233907F" w:rsidR="00E8191C" w:rsidRPr="00E8191C"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eastAsia="Roboto" w:hAnsi="Traditional Arabic"/>
          <w:sz w:val="30"/>
          <w:rtl/>
          <w:lang w:val="en-GB" w:eastAsia="zh-TW"/>
        </w:rPr>
      </w:pPr>
      <w:r w:rsidRPr="00E8191C">
        <w:rPr>
          <w:rFonts w:ascii="Traditional Arabic" w:hAnsi="Traditional Arabic"/>
          <w:sz w:val="30"/>
          <w:rtl/>
          <w:lang w:val="en-GB" w:eastAsia="zh-TW"/>
        </w:rPr>
        <w:t>تقرير الرصد العالمي</w:t>
      </w:r>
      <w:r w:rsidR="003575B9" w:rsidRPr="00DD1CC5">
        <w:rPr>
          <w:rFonts w:ascii="Traditional Arabic" w:hAnsi="Traditional Arabic"/>
          <w:sz w:val="30"/>
          <w:vertAlign w:val="superscript"/>
          <w:rtl/>
          <w:lang w:eastAsia="zh-TW"/>
        </w:rPr>
        <w:t>(</w:t>
      </w:r>
      <w:r w:rsidR="003575B9" w:rsidRPr="00DD1CC5">
        <w:rPr>
          <w:rStyle w:val="Appelnotedebasdep"/>
          <w:rFonts w:ascii="Traditional Arabic" w:hAnsi="Traditional Arabic"/>
          <w:sz w:val="30"/>
          <w:rtl/>
          <w:lang w:eastAsia="zh-TW"/>
        </w:rPr>
        <w:footnoteReference w:id="5"/>
      </w:r>
      <w:r w:rsidR="003575B9" w:rsidRPr="00DD1CC5">
        <w:rPr>
          <w:rFonts w:ascii="Traditional Arabic" w:hAnsi="Traditional Arabic"/>
          <w:sz w:val="30"/>
          <w:vertAlign w:val="superscript"/>
          <w:rtl/>
          <w:lang w:eastAsia="zh-TW"/>
        </w:rPr>
        <w:t>)</w:t>
      </w:r>
      <w:r w:rsidR="0011120E" w:rsidRPr="00E8191C">
        <w:rPr>
          <w:rFonts w:ascii="Traditional Arabic" w:hAnsi="Traditional Arabic"/>
          <w:color w:val="000000"/>
          <w:sz w:val="30"/>
          <w:u w:color="000000"/>
          <w:bdr w:val="nil"/>
          <w:rtl/>
          <w:lang w:val="en-GB" w:eastAsia="zh-TW"/>
        </w:rPr>
        <w:t>.</w:t>
      </w:r>
    </w:p>
    <w:p w14:paraId="5CD5FF84" w14:textId="7F3B1F51" w:rsidR="00E8191C" w:rsidRPr="00E8191C"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eastAsia="Roboto" w:hAnsi="Traditional Arabic"/>
          <w:sz w:val="30"/>
          <w:rtl/>
          <w:lang w:val="en-GB" w:eastAsia="zh-TW"/>
        </w:rPr>
      </w:pPr>
      <w:r w:rsidRPr="00E8191C">
        <w:rPr>
          <w:rFonts w:ascii="Traditional Arabic" w:hAnsi="Traditional Arabic"/>
          <w:sz w:val="30"/>
          <w:rtl/>
          <w:lang w:val="en-GB" w:eastAsia="zh-TW"/>
        </w:rPr>
        <w:t>تقرير لجنة التنفيذ والامتثال</w:t>
      </w:r>
      <w:r w:rsidR="0011120E" w:rsidRPr="00E8191C">
        <w:rPr>
          <w:rFonts w:ascii="Traditional Arabic" w:hAnsi="Traditional Arabic"/>
          <w:color w:val="000000"/>
          <w:sz w:val="30"/>
          <w:u w:color="000000"/>
          <w:bdr w:val="nil"/>
          <w:rtl/>
          <w:lang w:val="en-GB" w:eastAsia="zh-TW"/>
        </w:rPr>
        <w:t>.</w:t>
      </w:r>
    </w:p>
    <w:p w14:paraId="18B85042" w14:textId="1A2D55B2" w:rsidR="00E8191C" w:rsidRPr="00E8191C"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eastAsia="Roboto" w:hAnsi="Traditional Arabic"/>
          <w:sz w:val="30"/>
          <w:rtl/>
          <w:lang w:val="en-GB" w:eastAsia="zh-TW"/>
        </w:rPr>
      </w:pPr>
      <w:r w:rsidRPr="00E8191C">
        <w:rPr>
          <w:rFonts w:ascii="Traditional Arabic" w:hAnsi="Traditional Arabic"/>
          <w:sz w:val="30"/>
          <w:rtl/>
          <w:lang w:val="en-GB" w:eastAsia="zh-TW"/>
        </w:rPr>
        <w:t>تقرير من مرفق البيئة العالمية</w:t>
      </w:r>
      <w:r w:rsidR="0011120E" w:rsidRPr="00E8191C">
        <w:rPr>
          <w:rFonts w:ascii="Traditional Arabic" w:hAnsi="Traditional Arabic"/>
          <w:color w:val="000000"/>
          <w:sz w:val="30"/>
          <w:u w:color="000000"/>
          <w:bdr w:val="nil"/>
          <w:rtl/>
          <w:lang w:val="en-GB" w:eastAsia="zh-TW"/>
        </w:rPr>
        <w:t>.</w:t>
      </w:r>
    </w:p>
    <w:p w14:paraId="71EBBDA1" w14:textId="583D5D76" w:rsidR="00E8191C" w:rsidRPr="00E8191C"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eastAsia="Roboto" w:hAnsi="Traditional Arabic"/>
          <w:sz w:val="30"/>
          <w:rtl/>
          <w:lang w:val="en-GB" w:eastAsia="zh-TW"/>
        </w:rPr>
      </w:pPr>
      <w:r w:rsidRPr="00E8191C">
        <w:rPr>
          <w:rFonts w:ascii="Traditional Arabic" w:hAnsi="Traditional Arabic"/>
          <w:sz w:val="30"/>
          <w:rtl/>
          <w:lang w:val="en-GB" w:eastAsia="zh-TW"/>
        </w:rPr>
        <w:t>تقرير البرنامج الدولي المحدد</w:t>
      </w:r>
      <w:r w:rsidR="0011120E" w:rsidRPr="00E8191C">
        <w:rPr>
          <w:rFonts w:ascii="Traditional Arabic" w:hAnsi="Traditional Arabic"/>
          <w:color w:val="000000"/>
          <w:sz w:val="30"/>
          <w:u w:color="000000"/>
          <w:bdr w:val="nil"/>
          <w:rtl/>
          <w:lang w:val="en-GB" w:eastAsia="zh-TW"/>
        </w:rPr>
        <w:t>.</w:t>
      </w:r>
    </w:p>
    <w:p w14:paraId="7BD6B887" w14:textId="453762DD" w:rsidR="00E8191C" w:rsidRPr="00E8191C"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eastAsia="Roboto" w:hAnsi="Traditional Arabic"/>
          <w:sz w:val="30"/>
          <w:rtl/>
          <w:lang w:val="en-GB" w:eastAsia="zh-TW"/>
        </w:rPr>
      </w:pPr>
      <w:r w:rsidRPr="00E8191C">
        <w:rPr>
          <w:rFonts w:ascii="Traditional Arabic" w:hAnsi="Traditional Arabic"/>
          <w:sz w:val="30"/>
          <w:rtl/>
          <w:lang w:val="en-GB" w:eastAsia="zh-TW"/>
        </w:rPr>
        <w:t>تقرير البرنامج الخاص لدعم التعزيز المؤسسي على الصعيد الوطني من أجل تنفيذ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واتفاقية ميناماتا، والنهج الاستراتيجي للإدارة الدولية للمواد الكيميائية</w:t>
      </w:r>
      <w:r w:rsidR="0011120E" w:rsidRPr="00E8191C">
        <w:rPr>
          <w:rFonts w:ascii="Traditional Arabic" w:hAnsi="Traditional Arabic"/>
          <w:color w:val="000000"/>
          <w:sz w:val="30"/>
          <w:u w:color="000000"/>
          <w:bdr w:val="nil"/>
          <w:rtl/>
          <w:lang w:val="en-GB" w:eastAsia="zh-TW"/>
        </w:rPr>
        <w:t>.</w:t>
      </w:r>
    </w:p>
    <w:p w14:paraId="77721ABC" w14:textId="78D8A0CF" w:rsidR="00E8191C" w:rsidRDefault="00E8191C" w:rsidP="00231C59">
      <w:pPr>
        <w:numPr>
          <w:ilvl w:val="1"/>
          <w:numId w:val="11"/>
        </w:numPr>
        <w:pBdr>
          <w:top w:val="nil"/>
          <w:left w:val="nil"/>
          <w:bottom w:val="nil"/>
          <w:right w:val="nil"/>
          <w:between w:val="nil"/>
          <w:bar w:val="nil"/>
        </w:pBdr>
        <w:bidi/>
        <w:spacing w:after="80" w:line="360" w:lineRule="exact"/>
        <w:ind w:left="3261" w:hanging="851"/>
        <w:jc w:val="both"/>
        <w:textDirection w:val="tbRlV"/>
        <w:rPr>
          <w:rFonts w:ascii="Traditional Arabic" w:eastAsia="Roboto" w:hAnsi="Traditional Arabic"/>
          <w:sz w:val="30"/>
          <w:lang w:val="en-GB" w:eastAsia="zh-TW"/>
        </w:rPr>
      </w:pPr>
      <w:r w:rsidRPr="00E8191C">
        <w:rPr>
          <w:rFonts w:ascii="Traditional Arabic" w:hAnsi="Traditional Arabic"/>
          <w:sz w:val="30"/>
          <w:rtl/>
          <w:lang w:val="en-GB" w:eastAsia="zh-TW"/>
        </w:rPr>
        <w:t>المعلومات الأخرى ذات الصلة، بما في ذلك التقييم العالمي للزئبق، وتقرير العرض والتجارة والطلب الصادر عن برنامج الأمم المتحدة للبيئة، والإفادات الطوعية، وتقارير المنظمات الحكومية الدولية (منظمة الصحة العالمية، ومنظمة العمل الدولية، وبرنامج الأمم المتحدة الإنمائي، وبرنامج رصد المنطقة المتجمدة الشمالية وتقييمها، ومنظمة الأمم المتحدة للتنمية الصناعية، وما إلى ذلك)، والتقييمات الأولية لاتفاقية ميناماتا، وشراكة الزئبق العالمية، وتقارير المشاريع، والبيانات التجارية للأمم المتحدة، والمؤلفات العلمية، من بين معلومات أخرى</w:t>
      </w:r>
      <w:r w:rsidR="0011120E" w:rsidRPr="00E8191C">
        <w:rPr>
          <w:rFonts w:ascii="Traditional Arabic" w:hAnsi="Traditional Arabic"/>
          <w:color w:val="000000"/>
          <w:sz w:val="30"/>
          <w:u w:color="000000"/>
          <w:bdr w:val="nil"/>
          <w:rtl/>
          <w:lang w:val="en-GB" w:eastAsia="zh-TW"/>
        </w:rPr>
        <w:t>.</w:t>
      </w:r>
    </w:p>
    <w:p w14:paraId="6F789CB3" w14:textId="2FCE96B3" w:rsidR="00E8191C" w:rsidRPr="000855C4" w:rsidRDefault="00E8191C" w:rsidP="00231C59">
      <w:pPr>
        <w:numPr>
          <w:ilvl w:val="0"/>
          <w:numId w:val="11"/>
        </w:numPr>
        <w:pBdr>
          <w:top w:val="nil"/>
          <w:left w:val="nil"/>
          <w:bottom w:val="nil"/>
          <w:right w:val="nil"/>
          <w:between w:val="nil"/>
          <w:bar w:val="nil"/>
        </w:pBdr>
        <w:tabs>
          <w:tab w:val="clear" w:pos="477"/>
          <w:tab w:val="left" w:pos="2381"/>
        </w:tabs>
        <w:bidi/>
        <w:spacing w:after="80" w:line="360" w:lineRule="exact"/>
        <w:ind w:left="1841" w:firstLine="0"/>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المرحلة ٢: توليف المعلومات وتقييمها</w:t>
      </w:r>
      <w:r w:rsidR="0011120E">
        <w:rPr>
          <w:rFonts w:ascii="Traditional Arabic" w:hAnsi="Traditional Arabic" w:hint="cs"/>
          <w:sz w:val="30"/>
          <w:rtl/>
          <w:lang w:val="en-GB" w:eastAsia="zh-TW"/>
        </w:rPr>
        <w:t>:</w:t>
      </w:r>
    </w:p>
    <w:p w14:paraId="0120695B" w14:textId="299E0DF3" w:rsidR="00E8191C" w:rsidRPr="000855C4"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تعد الأمانة تقريرا</w:t>
      </w:r>
      <w:r w:rsidR="00DF19DD">
        <w:rPr>
          <w:rFonts w:ascii="Traditional Arabic" w:hAnsi="Traditional Arabic" w:hint="cs"/>
          <w:sz w:val="30"/>
          <w:rtl/>
          <w:lang w:val="en-GB" w:eastAsia="zh-TW"/>
        </w:rPr>
        <w:t>ً</w:t>
      </w:r>
      <w:r w:rsidRPr="00E8191C">
        <w:rPr>
          <w:rFonts w:ascii="Traditional Arabic" w:hAnsi="Traditional Arabic"/>
          <w:sz w:val="30"/>
          <w:rtl/>
          <w:lang w:val="en-GB" w:eastAsia="zh-TW"/>
        </w:rPr>
        <w:t xml:space="preserve"> أوليا</w:t>
      </w:r>
      <w:r w:rsidR="00DF19DD">
        <w:rPr>
          <w:rFonts w:ascii="Traditional Arabic" w:hAnsi="Traditional Arabic" w:hint="cs"/>
          <w:sz w:val="30"/>
          <w:rtl/>
          <w:lang w:val="en-GB" w:eastAsia="zh-TW"/>
        </w:rPr>
        <w:t>ً</w:t>
      </w:r>
      <w:r w:rsidRPr="00E8191C">
        <w:rPr>
          <w:rFonts w:ascii="Traditional Arabic" w:hAnsi="Traditional Arabic"/>
          <w:sz w:val="30"/>
          <w:rtl/>
          <w:lang w:val="en-GB" w:eastAsia="zh-TW"/>
        </w:rPr>
        <w:t xml:space="preserve"> باستخدام المعلومات من المرحلة 1. ويشمل التقرير الأولي تجميعاً لمختلف المعلومات والبيانات المتاحة لتيسير تقييم الاتفاقية</w:t>
      </w:r>
      <w:r w:rsidR="0011120E" w:rsidRPr="00E8191C">
        <w:rPr>
          <w:rFonts w:ascii="Traditional Arabic" w:hAnsi="Traditional Arabic"/>
          <w:color w:val="000000"/>
          <w:sz w:val="30"/>
          <w:u w:color="000000"/>
          <w:bdr w:val="nil"/>
          <w:rtl/>
          <w:lang w:val="en-GB" w:eastAsia="zh-TW"/>
        </w:rPr>
        <w:t>.</w:t>
      </w:r>
    </w:p>
    <w:p w14:paraId="537671F1" w14:textId="2F89FAB8" w:rsidR="00E8191C" w:rsidRPr="000855C4" w:rsidRDefault="00E8191C" w:rsidP="00231C59">
      <w:pPr>
        <w:numPr>
          <w:ilvl w:val="1"/>
          <w:numId w:val="11"/>
        </w:numPr>
        <w:pBdr>
          <w:top w:val="nil"/>
          <w:left w:val="nil"/>
          <w:bottom w:val="nil"/>
          <w:right w:val="nil"/>
          <w:between w:val="nil"/>
          <w:bar w:val="nil"/>
        </w:pBdr>
        <w:bidi/>
        <w:spacing w:after="80" w:line="360" w:lineRule="exact"/>
        <w:ind w:left="3259" w:hanging="849"/>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وتستعرض لجنة تقييم الفعالية المعلومات التي جمعتها الأمانة وتقيمها</w:t>
      </w:r>
      <w:r w:rsidR="0011120E" w:rsidRPr="00E8191C">
        <w:rPr>
          <w:rFonts w:ascii="Traditional Arabic" w:hAnsi="Traditional Arabic"/>
          <w:color w:val="000000"/>
          <w:sz w:val="30"/>
          <w:u w:color="000000"/>
          <w:bdr w:val="nil"/>
          <w:rtl/>
          <w:lang w:val="en-GB" w:eastAsia="zh-TW"/>
        </w:rPr>
        <w:t>.</w:t>
      </w:r>
    </w:p>
    <w:p w14:paraId="01FE1900" w14:textId="2FA032EE" w:rsidR="00E8191C" w:rsidRPr="000855C4" w:rsidRDefault="00E8191C" w:rsidP="00231C59">
      <w:pPr>
        <w:numPr>
          <w:ilvl w:val="1"/>
          <w:numId w:val="11"/>
        </w:numPr>
        <w:pBdr>
          <w:top w:val="nil"/>
          <w:left w:val="nil"/>
          <w:bottom w:val="nil"/>
          <w:right w:val="nil"/>
          <w:between w:val="nil"/>
          <w:bar w:val="nil"/>
        </w:pBdr>
        <w:bidi/>
        <w:spacing w:line="360" w:lineRule="exact"/>
        <w:ind w:left="3261" w:hanging="851"/>
        <w:jc w:val="both"/>
        <w:textDirection w:val="tbRlV"/>
        <w:rPr>
          <w:rFonts w:ascii="Traditional Arabic" w:hAnsi="Traditional Arabic"/>
          <w:sz w:val="30"/>
          <w:rtl/>
          <w:lang w:val="en-GB" w:eastAsia="zh-TW"/>
        </w:rPr>
      </w:pPr>
      <w:r w:rsidRPr="00E8191C">
        <w:rPr>
          <w:rFonts w:ascii="Traditional Arabic" w:hAnsi="Traditional Arabic"/>
          <w:sz w:val="30"/>
          <w:rtl/>
          <w:lang w:val="en-GB" w:eastAsia="zh-TW"/>
        </w:rPr>
        <w:t>تستخلص اللجنة استنتاجات بشأن فعالية الاتفاقية، وتقدم توصيات إلى مؤتمر الأطراف عن أي تحسينات قد يكون لها ما يبررها</w:t>
      </w:r>
      <w:r w:rsidR="0011120E" w:rsidRPr="00E8191C">
        <w:rPr>
          <w:rFonts w:ascii="Traditional Arabic" w:hAnsi="Traditional Arabic"/>
          <w:color w:val="000000"/>
          <w:sz w:val="30"/>
          <w:u w:color="000000"/>
          <w:bdr w:val="nil"/>
          <w:rtl/>
          <w:lang w:val="en-GB" w:eastAsia="zh-TW"/>
        </w:rPr>
        <w:t>.</w:t>
      </w:r>
    </w:p>
    <w:p w14:paraId="0C11C9E7" w14:textId="77777777" w:rsidR="00E8191C" w:rsidRPr="00E8191C" w:rsidRDefault="00E8191C" w:rsidP="002A222A">
      <w:pPr>
        <w:pBdr>
          <w:top w:val="nil"/>
          <w:left w:val="nil"/>
          <w:bottom w:val="nil"/>
          <w:right w:val="nil"/>
          <w:between w:val="nil"/>
          <w:bar w:val="nil"/>
        </w:pBdr>
        <w:bidi/>
        <w:spacing w:after="240" w:line="400" w:lineRule="exact"/>
        <w:ind w:left="1134"/>
        <w:jc w:val="both"/>
        <w:textDirection w:val="tbRlV"/>
        <w:rPr>
          <w:rFonts w:ascii="Traditional Arabic" w:eastAsiaTheme="minorEastAsia" w:hAnsi="Traditional Arabic"/>
          <w:b/>
          <w:bCs/>
          <w:sz w:val="30"/>
          <w:u w:color="000000"/>
          <w:bdr w:val="nil"/>
          <w:rtl/>
          <w:lang w:val="en-GB" w:eastAsia="zh-TW"/>
        </w:rPr>
      </w:pPr>
      <w:r w:rsidRPr="00E8191C">
        <w:rPr>
          <w:rFonts w:ascii="Traditional Arabic" w:eastAsiaTheme="minorEastAsia" w:hAnsi="Traditional Arabic"/>
          <w:b/>
          <w:bCs/>
          <w:color w:val="000000"/>
          <w:sz w:val="30"/>
          <w:u w:color="000000"/>
          <w:bdr w:val="nil"/>
          <w:rtl/>
          <w:lang w:val="en-GB" w:eastAsia="zh-TW"/>
        </w:rPr>
        <w:lastRenderedPageBreak/>
        <w:t>الجدول الزمني المقترح لتقييم الفعالية الأول</w:t>
      </w:r>
    </w:p>
    <w:tbl>
      <w:tblPr>
        <w:bidiVisual/>
        <w:tblW w:w="9496" w:type="dxa"/>
        <w:tblInd w:w="-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701"/>
        <w:gridCol w:w="2410"/>
        <w:gridCol w:w="2693"/>
        <w:gridCol w:w="2692"/>
      </w:tblGrid>
      <w:tr w:rsidR="00E8191C" w:rsidRPr="00E8191C" w14:paraId="67728EA1" w14:textId="77777777" w:rsidTr="00231C59">
        <w:trPr>
          <w:trHeight w:val="141"/>
          <w:tblHead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7B5F8A" w14:textId="77777777" w:rsidR="00E8191C" w:rsidRPr="009B63E9" w:rsidRDefault="00E8191C" w:rsidP="004C7C51">
            <w:pPr>
              <w:pBdr>
                <w:top w:val="nil"/>
                <w:left w:val="nil"/>
                <w:bottom w:val="nil"/>
                <w:right w:val="nil"/>
                <w:between w:val="nil"/>
                <w:bar w:val="nil"/>
              </w:pBdr>
              <w:tabs>
                <w:tab w:val="left" w:pos="477"/>
                <w:tab w:val="left" w:pos="1247"/>
                <w:tab w:val="left" w:pos="1814"/>
                <w:tab w:val="left" w:pos="2381"/>
                <w:tab w:val="left" w:pos="2948"/>
                <w:tab w:val="left" w:pos="3515"/>
              </w:tabs>
              <w:bidi/>
              <w:spacing w:line="340" w:lineRule="exact"/>
              <w:jc w:val="both"/>
              <w:textDirection w:val="tbRlV"/>
              <w:rPr>
                <w:rFonts w:ascii="Traditional Arabic" w:eastAsiaTheme="minorEastAsia" w:hAnsi="Traditional Arabic"/>
                <w:i/>
                <w:iCs/>
                <w:sz w:val="28"/>
                <w:szCs w:val="28"/>
                <w:u w:color="000000"/>
                <w:bdr w:val="nil"/>
                <w:rtl/>
                <w:lang w:val="en-GB" w:eastAsia="zh-TW"/>
              </w:rPr>
            </w:pPr>
            <w:r w:rsidRPr="009B63E9">
              <w:rPr>
                <w:rFonts w:ascii="Traditional Arabic" w:eastAsiaTheme="minorEastAsia" w:hAnsi="Traditional Arabic"/>
                <w:i/>
                <w:iCs/>
                <w:color w:val="000000"/>
                <w:sz w:val="28"/>
                <w:szCs w:val="28"/>
                <w:u w:color="000000"/>
                <w:bdr w:val="nil"/>
                <w:rtl/>
                <w:lang w:val="en-GB" w:eastAsia="zh-TW"/>
              </w:rPr>
              <w:t>السنة</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CF995" w14:textId="77777777" w:rsidR="00E8191C" w:rsidRPr="00317398" w:rsidRDefault="00E8191C" w:rsidP="004C7C51">
            <w:pPr>
              <w:pBdr>
                <w:top w:val="nil"/>
                <w:left w:val="nil"/>
                <w:bottom w:val="nil"/>
                <w:right w:val="nil"/>
                <w:between w:val="nil"/>
                <w:bar w:val="nil"/>
              </w:pBdr>
              <w:tabs>
                <w:tab w:val="left" w:pos="477"/>
                <w:tab w:val="left" w:pos="1247"/>
                <w:tab w:val="left" w:pos="1814"/>
                <w:tab w:val="left" w:pos="2381"/>
                <w:tab w:val="left" w:pos="2948"/>
                <w:tab w:val="left" w:pos="3515"/>
              </w:tabs>
              <w:bidi/>
              <w:spacing w:line="340" w:lineRule="exact"/>
              <w:jc w:val="both"/>
              <w:textDirection w:val="tbRlV"/>
              <w:rPr>
                <w:rFonts w:ascii="Traditional Arabic" w:eastAsiaTheme="minorEastAsia" w:hAnsi="Traditional Arabic"/>
                <w:i/>
                <w:iCs/>
                <w:sz w:val="24"/>
                <w:szCs w:val="24"/>
                <w:u w:color="000000"/>
                <w:bdr w:val="nil"/>
                <w:rtl/>
                <w:lang w:val="en-GB" w:eastAsia="zh-TW"/>
              </w:rPr>
            </w:pPr>
            <w:r w:rsidRPr="00317398">
              <w:rPr>
                <w:rFonts w:ascii="Traditional Arabic" w:eastAsiaTheme="minorEastAsia" w:hAnsi="Traditional Arabic"/>
                <w:i/>
                <w:iCs/>
                <w:color w:val="000000"/>
                <w:sz w:val="24"/>
                <w:szCs w:val="24"/>
                <w:u w:color="000000"/>
                <w:bdr w:val="nil"/>
                <w:rtl/>
                <w:lang w:val="en-GB" w:eastAsia="zh-TW"/>
              </w:rPr>
              <w:t>المعلومات المتاحة</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F8629" w14:textId="77777777" w:rsidR="00E8191C" w:rsidRPr="00317398" w:rsidRDefault="00E8191C" w:rsidP="004C7C51">
            <w:pPr>
              <w:pBdr>
                <w:top w:val="nil"/>
                <w:left w:val="nil"/>
                <w:bottom w:val="nil"/>
                <w:right w:val="nil"/>
                <w:between w:val="nil"/>
                <w:bar w:val="nil"/>
              </w:pBdr>
              <w:tabs>
                <w:tab w:val="left" w:pos="477"/>
                <w:tab w:val="left" w:pos="1247"/>
                <w:tab w:val="left" w:pos="1814"/>
                <w:tab w:val="left" w:pos="2381"/>
                <w:tab w:val="left" w:pos="2948"/>
                <w:tab w:val="left" w:pos="3515"/>
              </w:tabs>
              <w:bidi/>
              <w:spacing w:line="340" w:lineRule="exact"/>
              <w:jc w:val="both"/>
              <w:textDirection w:val="tbRlV"/>
              <w:rPr>
                <w:rFonts w:ascii="Traditional Arabic" w:eastAsiaTheme="minorEastAsia" w:hAnsi="Traditional Arabic"/>
                <w:i/>
                <w:iCs/>
                <w:sz w:val="24"/>
                <w:szCs w:val="24"/>
                <w:u w:color="000000"/>
                <w:bdr w:val="nil"/>
                <w:rtl/>
                <w:lang w:val="en-GB" w:eastAsia="zh-TW"/>
              </w:rPr>
            </w:pPr>
            <w:r w:rsidRPr="00317398">
              <w:rPr>
                <w:rFonts w:ascii="Traditional Arabic" w:eastAsiaTheme="minorEastAsia" w:hAnsi="Traditional Arabic"/>
                <w:i/>
                <w:iCs/>
                <w:color w:val="000000"/>
                <w:sz w:val="24"/>
                <w:szCs w:val="24"/>
                <w:u w:color="000000"/>
                <w:bdr w:val="nil"/>
                <w:rtl/>
                <w:lang w:val="en-GB" w:eastAsia="zh-TW"/>
              </w:rPr>
              <w:t>بيانات الرصد</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5A977F" w14:textId="77777777" w:rsidR="00E8191C" w:rsidRPr="00317398" w:rsidRDefault="00E8191C" w:rsidP="004C7C51">
            <w:pPr>
              <w:pBdr>
                <w:top w:val="nil"/>
                <w:left w:val="nil"/>
                <w:bottom w:val="nil"/>
                <w:right w:val="nil"/>
                <w:between w:val="nil"/>
                <w:bar w:val="nil"/>
              </w:pBdr>
              <w:tabs>
                <w:tab w:val="left" w:pos="477"/>
                <w:tab w:val="left" w:pos="1247"/>
                <w:tab w:val="left" w:pos="1814"/>
                <w:tab w:val="left" w:pos="2381"/>
                <w:tab w:val="left" w:pos="2948"/>
                <w:tab w:val="left" w:pos="3515"/>
              </w:tabs>
              <w:bidi/>
              <w:spacing w:line="340" w:lineRule="exact"/>
              <w:jc w:val="both"/>
              <w:textDirection w:val="tbRlV"/>
              <w:rPr>
                <w:rFonts w:ascii="Traditional Arabic" w:eastAsiaTheme="minorEastAsia" w:hAnsi="Traditional Arabic"/>
                <w:i/>
                <w:iCs/>
                <w:sz w:val="24"/>
                <w:szCs w:val="24"/>
                <w:u w:color="000000"/>
                <w:bdr w:val="nil"/>
                <w:rtl/>
                <w:lang w:val="en-GB" w:eastAsia="zh-TW"/>
              </w:rPr>
            </w:pPr>
            <w:r w:rsidRPr="00317398">
              <w:rPr>
                <w:rFonts w:ascii="Traditional Arabic" w:eastAsiaTheme="minorEastAsia" w:hAnsi="Traditional Arabic"/>
                <w:i/>
                <w:iCs/>
                <w:color w:val="000000"/>
                <w:sz w:val="24"/>
                <w:szCs w:val="24"/>
                <w:u w:color="000000"/>
                <w:bdr w:val="nil"/>
                <w:rtl/>
                <w:lang w:val="en-GB" w:eastAsia="zh-TW"/>
              </w:rPr>
              <w:t>تقييم الفعالية</w:t>
            </w:r>
          </w:p>
        </w:tc>
      </w:tr>
      <w:tr w:rsidR="00E8191C" w:rsidRPr="00E8191C" w14:paraId="2491B2B8" w14:textId="77777777" w:rsidTr="00231C59">
        <w:trPr>
          <w:trHeight w:val="39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D6B47B" w14:textId="54235E1E" w:rsidR="00E8191C" w:rsidRPr="009B63E9" w:rsidRDefault="002A222A" w:rsidP="004C7C51">
            <w:pPr>
              <w:pBdr>
                <w:top w:val="nil"/>
                <w:left w:val="nil"/>
                <w:bottom w:val="nil"/>
                <w:right w:val="nil"/>
                <w:between w:val="nil"/>
                <w:bar w:val="nil"/>
              </w:pBdr>
              <w:tabs>
                <w:tab w:val="left" w:pos="477"/>
              </w:tabs>
              <w:bidi/>
              <w:spacing w:line="340" w:lineRule="exact"/>
              <w:textDirection w:val="tbRlV"/>
              <w:rPr>
                <w:rFonts w:ascii="Traditional Arabic" w:eastAsiaTheme="minorEastAsia" w:hAnsi="Traditional Arabic"/>
                <w:sz w:val="28"/>
                <w:szCs w:val="28"/>
                <w:u w:color="000000"/>
                <w:bdr w:val="nil"/>
                <w:rtl/>
                <w:lang w:val="en-GB" w:eastAsia="zh-TW"/>
              </w:rPr>
            </w:pPr>
            <w:r w:rsidRPr="009B63E9">
              <w:rPr>
                <w:rFonts w:ascii="Traditional Arabic" w:eastAsiaTheme="minorEastAsia" w:hAnsi="Traditional Arabic" w:hint="cs"/>
                <w:color w:val="000000"/>
                <w:sz w:val="28"/>
                <w:szCs w:val="28"/>
                <w:u w:color="000000"/>
                <w:bdr w:val="nil"/>
                <w:rtl/>
                <w:lang w:val="en-GB" w:eastAsia="zh-TW"/>
              </w:rPr>
              <w:t>2017</w:t>
            </w:r>
            <w:r w:rsidR="00E8191C" w:rsidRPr="009B63E9">
              <w:rPr>
                <w:rFonts w:ascii="Traditional Arabic" w:eastAsiaTheme="minorEastAsia" w:hAnsi="Traditional Arabic"/>
                <w:color w:val="000000"/>
                <w:sz w:val="28"/>
                <w:szCs w:val="28"/>
                <w:u w:color="000000"/>
                <w:bdr w:val="nil"/>
                <w:rtl/>
                <w:lang w:val="en-GB" w:eastAsia="zh-TW"/>
              </w:rPr>
              <w:t>-</w:t>
            </w:r>
            <w:r w:rsidRPr="009B63E9">
              <w:rPr>
                <w:rFonts w:ascii="Traditional Arabic" w:eastAsiaTheme="minorEastAsia" w:hAnsi="Traditional Arabic" w:hint="cs"/>
                <w:color w:val="000000"/>
                <w:sz w:val="28"/>
                <w:szCs w:val="28"/>
                <w:u w:color="000000"/>
                <w:bdr w:val="nil"/>
                <w:rtl/>
                <w:lang w:val="en-GB" w:eastAsia="zh-TW"/>
              </w:rPr>
              <w:t xml:space="preserve"> </w:t>
            </w:r>
            <w:r w:rsidR="00E8191C" w:rsidRPr="009B63E9">
              <w:rPr>
                <w:rFonts w:ascii="Traditional Arabic" w:eastAsiaTheme="minorEastAsia" w:hAnsi="Traditional Arabic"/>
                <w:color w:val="000000"/>
                <w:sz w:val="28"/>
                <w:szCs w:val="28"/>
                <w:u w:color="000000"/>
                <w:bdr w:val="nil"/>
                <w:rtl/>
                <w:lang w:val="en-GB" w:eastAsia="zh-TW"/>
              </w:rPr>
              <w:t>بدء النفاذ، الاجتماع الأول لمؤتمر الأطراف</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D6A9C0" w14:textId="77777777" w:rsidR="00E8191C" w:rsidRPr="00E8191C" w:rsidRDefault="00E8191C" w:rsidP="003640BE">
            <w:pPr>
              <w:tabs>
                <w:tab w:val="left" w:pos="1247"/>
                <w:tab w:val="left" w:pos="1814"/>
                <w:tab w:val="left" w:pos="2381"/>
                <w:tab w:val="left" w:pos="2948"/>
                <w:tab w:val="left" w:pos="3515"/>
              </w:tabs>
              <w:bidi/>
              <w:rPr>
                <w:rFonts w:ascii="Traditional Arabic" w:hAnsi="Traditional Arabic"/>
                <w:sz w:val="24"/>
                <w:szCs w:val="24"/>
                <w:rtl/>
                <w:lang w:val="en-GB"/>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B0723" w14:textId="77777777" w:rsidR="00E8191C" w:rsidRPr="00E8191C" w:rsidRDefault="00E8191C" w:rsidP="003640BE">
            <w:pPr>
              <w:tabs>
                <w:tab w:val="left" w:pos="1247"/>
                <w:tab w:val="left" w:pos="1814"/>
                <w:tab w:val="left" w:pos="2381"/>
                <w:tab w:val="left" w:pos="2948"/>
                <w:tab w:val="left" w:pos="3515"/>
              </w:tabs>
              <w:bidi/>
              <w:rPr>
                <w:rFonts w:ascii="Traditional Arabic" w:hAnsi="Traditional Arabic"/>
                <w:sz w:val="24"/>
                <w:szCs w:val="24"/>
                <w:rtl/>
                <w:lang w:val="en-GB"/>
              </w:rPr>
            </w:pP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DA222" w14:textId="77777777" w:rsidR="00E8191C" w:rsidRPr="00E8191C" w:rsidRDefault="00E8191C" w:rsidP="003640BE">
            <w:pPr>
              <w:tabs>
                <w:tab w:val="left" w:pos="1247"/>
                <w:tab w:val="left" w:pos="1814"/>
                <w:tab w:val="left" w:pos="2381"/>
                <w:tab w:val="left" w:pos="2948"/>
                <w:tab w:val="left" w:pos="3515"/>
              </w:tabs>
              <w:bidi/>
              <w:rPr>
                <w:rFonts w:ascii="Traditional Arabic" w:hAnsi="Traditional Arabic"/>
                <w:sz w:val="24"/>
                <w:szCs w:val="24"/>
                <w:rtl/>
                <w:lang w:val="en-GB"/>
              </w:rPr>
            </w:pPr>
          </w:p>
        </w:tc>
      </w:tr>
      <w:tr w:rsidR="00E8191C" w:rsidRPr="00E8191C" w14:paraId="5DDD9484" w14:textId="77777777" w:rsidTr="00231C59">
        <w:trPr>
          <w:trHeight w:val="244"/>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1F173" w14:textId="3AC49966" w:rsidR="00E8191C" w:rsidRPr="009B63E9" w:rsidRDefault="00E8191C" w:rsidP="004C7C51">
            <w:pPr>
              <w:pBdr>
                <w:top w:val="nil"/>
                <w:left w:val="nil"/>
                <w:bottom w:val="nil"/>
                <w:right w:val="nil"/>
                <w:between w:val="nil"/>
                <w:bar w:val="nil"/>
              </w:pBdr>
              <w:tabs>
                <w:tab w:val="left" w:pos="477"/>
              </w:tabs>
              <w:bidi/>
              <w:spacing w:line="340" w:lineRule="exact"/>
              <w:textDirection w:val="tbRlV"/>
              <w:rPr>
                <w:rFonts w:ascii="Traditional Arabic" w:eastAsiaTheme="minorEastAsia" w:hAnsi="Traditional Arabic"/>
                <w:sz w:val="28"/>
                <w:szCs w:val="28"/>
                <w:u w:color="000000"/>
                <w:bdr w:val="nil"/>
                <w:rtl/>
                <w:lang w:val="en-GB" w:eastAsia="zh-TW"/>
              </w:rPr>
            </w:pPr>
            <w:r w:rsidRPr="009B63E9">
              <w:rPr>
                <w:rFonts w:ascii="Traditional Arabic" w:eastAsiaTheme="minorEastAsia" w:hAnsi="Traditional Arabic"/>
                <w:color w:val="000000"/>
                <w:sz w:val="28"/>
                <w:szCs w:val="28"/>
                <w:u w:color="000000"/>
                <w:bdr w:val="nil"/>
                <w:rtl/>
                <w:lang w:val="en-GB" w:eastAsia="zh-TW"/>
              </w:rPr>
              <w:t>2018- الاجتماع الثاني لمؤتمر الأطراف</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86986" w14:textId="77777777" w:rsidR="00E8191C" w:rsidRPr="00EA4B86" w:rsidRDefault="00E8191C" w:rsidP="004C7C51">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التقييم العالمي للزئبق</w:t>
            </w:r>
          </w:p>
          <w:p w14:paraId="2B94FB9E"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إكمال معظم التقييمات الأولية لاتفاقية ميناماتا</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5B03F"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 xml:space="preserve">ينظر مؤتمر الأطراف في نتائج العمل فيما بين الدورات، وكيفية معالجة الثغرات وتنظيم الرصد في المستقبل بما في ذلك الترتيبات التنظيمية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71E2D"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ينظر مؤتمر الأطراف في نتائج العمل فيما بين الدورات ويدرس كيفية وضع إطار لتقييم الفعالية</w:t>
            </w:r>
          </w:p>
        </w:tc>
      </w:tr>
      <w:tr w:rsidR="00E8191C" w:rsidRPr="00E8191C" w14:paraId="65858155" w14:textId="77777777" w:rsidTr="00231C59">
        <w:trPr>
          <w:trHeight w:val="946"/>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976293" w14:textId="50AE89AF" w:rsidR="00E8191C" w:rsidRPr="009B63E9" w:rsidRDefault="00E8191C" w:rsidP="004C7C51">
            <w:pPr>
              <w:pBdr>
                <w:top w:val="nil"/>
                <w:left w:val="nil"/>
                <w:bottom w:val="nil"/>
                <w:right w:val="nil"/>
                <w:between w:val="nil"/>
                <w:bar w:val="nil"/>
              </w:pBdr>
              <w:tabs>
                <w:tab w:val="left" w:pos="477"/>
              </w:tabs>
              <w:bidi/>
              <w:spacing w:line="340" w:lineRule="exact"/>
              <w:textDirection w:val="tbRlV"/>
              <w:rPr>
                <w:rFonts w:ascii="Traditional Arabic" w:eastAsiaTheme="minorEastAsia" w:hAnsi="Traditional Arabic"/>
                <w:sz w:val="28"/>
                <w:szCs w:val="28"/>
                <w:u w:color="000000"/>
                <w:bdr w:val="nil"/>
                <w:rtl/>
                <w:lang w:val="en-GB" w:eastAsia="zh-TW"/>
              </w:rPr>
            </w:pPr>
            <w:r w:rsidRPr="009B63E9">
              <w:rPr>
                <w:rFonts w:ascii="Traditional Arabic" w:eastAsiaTheme="minorEastAsia" w:hAnsi="Traditional Arabic"/>
                <w:color w:val="000000"/>
                <w:sz w:val="28"/>
                <w:szCs w:val="28"/>
                <w:u w:color="000000"/>
                <w:bdr w:val="nil"/>
                <w:rtl/>
                <w:lang w:val="en-GB" w:eastAsia="zh-TW"/>
              </w:rPr>
              <w:t>2019</w:t>
            </w:r>
            <w:r w:rsidR="002B20F8" w:rsidRPr="009B63E9">
              <w:rPr>
                <w:rFonts w:ascii="Traditional Arabic" w:eastAsiaTheme="minorEastAsia" w:hAnsi="Traditional Arabic" w:hint="cs"/>
                <w:color w:val="000000"/>
                <w:sz w:val="28"/>
                <w:szCs w:val="28"/>
                <w:u w:color="000000"/>
                <w:bdr w:val="nil"/>
                <w:rtl/>
                <w:lang w:val="en-GB" w:eastAsia="zh-TW"/>
              </w:rPr>
              <w:t>-</w:t>
            </w:r>
            <w:r w:rsidRPr="009B63E9">
              <w:rPr>
                <w:rFonts w:ascii="Traditional Arabic" w:eastAsiaTheme="minorEastAsia" w:hAnsi="Traditional Arabic"/>
                <w:color w:val="000000"/>
                <w:sz w:val="28"/>
                <w:szCs w:val="28"/>
                <w:u w:color="000000"/>
                <w:bdr w:val="nil"/>
                <w:rtl/>
                <w:lang w:val="en-GB" w:eastAsia="zh-TW"/>
              </w:rPr>
              <w:t xml:space="preserve"> الاجتماع الثالث لمؤتمر الأطراف</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D53FC" w14:textId="2D561AC1"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المادة ٢١ الإبلاغ: التقرير الموجز الأول لفترة السنتين بحلول ٣١ كانون الأول/ديسمبر</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B8EF6"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الموافقة على ترتيبات الرصد، بما في ذلك الجدول الزمني لتقديم البيانات</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857D8"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اعتماد إطار تقييم الفعالية</w:t>
            </w:r>
          </w:p>
          <w:p w14:paraId="27BF0091"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تسمية أعضاء لجنة تقييم الفعالية</w:t>
            </w:r>
          </w:p>
        </w:tc>
      </w:tr>
      <w:tr w:rsidR="00E8191C" w:rsidRPr="00E8191C" w14:paraId="62608177" w14:textId="77777777" w:rsidTr="00231C59">
        <w:trPr>
          <w:trHeight w:val="992"/>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BF7EBB" w14:textId="77777777" w:rsidR="00E8191C" w:rsidRPr="009B63E9" w:rsidRDefault="00E8191C" w:rsidP="004C7C51">
            <w:pPr>
              <w:pBdr>
                <w:top w:val="nil"/>
                <w:left w:val="nil"/>
                <w:bottom w:val="nil"/>
                <w:right w:val="nil"/>
                <w:between w:val="nil"/>
                <w:bar w:val="nil"/>
              </w:pBdr>
              <w:tabs>
                <w:tab w:val="left" w:pos="477"/>
              </w:tabs>
              <w:bidi/>
              <w:spacing w:line="340" w:lineRule="exact"/>
              <w:textDirection w:val="tbRlV"/>
              <w:rPr>
                <w:rFonts w:ascii="Traditional Arabic" w:eastAsiaTheme="minorEastAsia" w:hAnsi="Traditional Arabic"/>
                <w:sz w:val="28"/>
                <w:szCs w:val="28"/>
                <w:u w:color="000000"/>
                <w:bdr w:val="nil"/>
                <w:rtl/>
                <w:lang w:val="en-GB" w:eastAsia="zh-TW"/>
              </w:rPr>
            </w:pPr>
            <w:r w:rsidRPr="009B63E9">
              <w:rPr>
                <w:rFonts w:ascii="Traditional Arabic" w:eastAsiaTheme="minorEastAsia" w:hAnsi="Traditional Arabic"/>
                <w:color w:val="000000"/>
                <w:sz w:val="28"/>
                <w:szCs w:val="28"/>
                <w:u w:color="000000"/>
                <w:bdr w:val="nil"/>
                <w:rtl/>
                <w:lang w:val="en-GB" w:eastAsia="zh-TW"/>
              </w:rPr>
              <w:t>٢٠٢٠</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DB881" w14:textId="77777777" w:rsidR="00E8191C" w:rsidRPr="00EA4B86" w:rsidRDefault="00E8191C" w:rsidP="0011120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بدء تقديم خطط العمل الوطنية الأولى بشأن تعدين الذهب الحرفي والضيق النطاق</w:t>
            </w:r>
          </w:p>
          <w:p w14:paraId="7A4C0E44"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تقديم إفادة بشأن فئات مصادر الإطلاقات</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2CC4C00" w14:textId="77777777" w:rsidR="00E8191C" w:rsidRPr="00EA4B86" w:rsidRDefault="00E8191C" w:rsidP="009B63E9">
            <w:pPr>
              <w:bidi/>
              <w:spacing w:line="340" w:lineRule="exact"/>
              <w:ind w:left="28"/>
              <w:rPr>
                <w:rFonts w:ascii="Traditional Arabic" w:eastAsiaTheme="minorEastAsia" w:hAnsi="Traditional Arabic"/>
                <w:color w:val="000000"/>
                <w:sz w:val="28"/>
                <w:szCs w:val="28"/>
                <w:u w:color="000000"/>
                <w:bdr w:val="nil"/>
                <w:rtl/>
                <w:lang w:val="en-GB" w:eastAsia="zh-TW"/>
              </w:rPr>
            </w:pP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28C7B3D" w14:textId="77777777" w:rsidR="00E8191C" w:rsidRPr="00EA4B86" w:rsidRDefault="00E8191C" w:rsidP="009B63E9">
            <w:pPr>
              <w:bidi/>
              <w:spacing w:line="340" w:lineRule="exact"/>
              <w:rPr>
                <w:rFonts w:ascii="Traditional Arabic" w:eastAsiaTheme="minorEastAsia" w:hAnsi="Traditional Arabic"/>
                <w:color w:val="000000"/>
                <w:sz w:val="28"/>
                <w:szCs w:val="28"/>
                <w:u w:color="000000"/>
                <w:bdr w:val="nil"/>
                <w:rtl/>
                <w:lang w:val="en-GB" w:eastAsia="zh-TW"/>
              </w:rPr>
            </w:pPr>
          </w:p>
        </w:tc>
      </w:tr>
      <w:tr w:rsidR="00E8191C" w:rsidRPr="00E8191C" w14:paraId="2A56739D" w14:textId="77777777" w:rsidTr="00231C59">
        <w:trPr>
          <w:trHeight w:val="836"/>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5395D0" w14:textId="33518985" w:rsidR="00E8191C" w:rsidRPr="009B63E9" w:rsidRDefault="00E8191C" w:rsidP="004C7C51">
            <w:pPr>
              <w:pBdr>
                <w:top w:val="nil"/>
                <w:left w:val="nil"/>
                <w:bottom w:val="nil"/>
                <w:right w:val="nil"/>
                <w:between w:val="nil"/>
                <w:bar w:val="nil"/>
              </w:pBdr>
              <w:tabs>
                <w:tab w:val="left" w:pos="477"/>
              </w:tabs>
              <w:bidi/>
              <w:spacing w:line="340" w:lineRule="exact"/>
              <w:textDirection w:val="tbRlV"/>
              <w:rPr>
                <w:rFonts w:ascii="Traditional Arabic" w:eastAsiaTheme="minorEastAsia" w:hAnsi="Traditional Arabic"/>
                <w:sz w:val="28"/>
                <w:szCs w:val="28"/>
                <w:u w:color="000000"/>
                <w:bdr w:val="nil"/>
                <w:rtl/>
                <w:lang w:val="en-GB" w:eastAsia="zh-TW"/>
              </w:rPr>
            </w:pPr>
            <w:r w:rsidRPr="009B63E9">
              <w:rPr>
                <w:rFonts w:ascii="Traditional Arabic" w:eastAsiaTheme="minorEastAsia" w:hAnsi="Traditional Arabic"/>
                <w:color w:val="000000"/>
                <w:sz w:val="28"/>
                <w:szCs w:val="28"/>
                <w:u w:color="000000"/>
                <w:bdr w:val="nil"/>
                <w:rtl/>
                <w:lang w:val="en-GB" w:eastAsia="zh-TW"/>
              </w:rPr>
              <w:t>2021</w:t>
            </w:r>
            <w:r w:rsidR="002B20F8" w:rsidRPr="009B63E9">
              <w:rPr>
                <w:rFonts w:ascii="Traditional Arabic" w:eastAsiaTheme="minorEastAsia" w:hAnsi="Traditional Arabic" w:hint="cs"/>
                <w:color w:val="000000"/>
                <w:sz w:val="28"/>
                <w:szCs w:val="28"/>
                <w:u w:color="000000"/>
                <w:bdr w:val="nil"/>
                <w:rtl/>
                <w:lang w:val="en-GB" w:eastAsia="zh-TW"/>
              </w:rPr>
              <w:t>-</w:t>
            </w:r>
            <w:r w:rsidRPr="009B63E9">
              <w:rPr>
                <w:rFonts w:ascii="Traditional Arabic" w:eastAsiaTheme="minorEastAsia" w:hAnsi="Traditional Arabic"/>
                <w:color w:val="000000"/>
                <w:sz w:val="28"/>
                <w:szCs w:val="28"/>
                <w:u w:color="000000"/>
                <w:bdr w:val="nil"/>
                <w:rtl/>
                <w:lang w:val="en-GB" w:eastAsia="zh-TW"/>
              </w:rPr>
              <w:t xml:space="preserve"> الاجتماع الرابع لمؤتمر الأطراف</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72667"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المادة ٢١ الإبلاغ: التقرير الكامل الأول بحلول ٣١ كانون الأول/ديسمبر</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90F16"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 xml:space="preserve">يشرع مؤتمر الأطراف في تقرير الرصد الأول الذي سوف يسهم في تقييم الفعالية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4BEBF"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تقدم جميع تقارير المرحلة ١ إلى الأمانة (باستثناء تقرير الرصد العالمي)</w:t>
            </w:r>
          </w:p>
        </w:tc>
      </w:tr>
      <w:tr w:rsidR="00E8191C" w:rsidRPr="00E8191C" w14:paraId="78FDDEFF" w14:textId="77777777" w:rsidTr="00231C59">
        <w:trPr>
          <w:trHeight w:val="1328"/>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9E19C9" w14:textId="77777777" w:rsidR="00E8191C" w:rsidRPr="009B63E9" w:rsidRDefault="00E8191C" w:rsidP="004C7C51">
            <w:pPr>
              <w:pBdr>
                <w:top w:val="nil"/>
                <w:left w:val="nil"/>
                <w:bottom w:val="nil"/>
                <w:right w:val="nil"/>
                <w:between w:val="nil"/>
                <w:bar w:val="nil"/>
              </w:pBdr>
              <w:tabs>
                <w:tab w:val="left" w:pos="477"/>
              </w:tabs>
              <w:bidi/>
              <w:spacing w:line="340" w:lineRule="exact"/>
              <w:textDirection w:val="tbRlV"/>
              <w:rPr>
                <w:rFonts w:ascii="Traditional Arabic" w:eastAsiaTheme="minorEastAsia" w:hAnsi="Traditional Arabic"/>
                <w:sz w:val="28"/>
                <w:szCs w:val="28"/>
                <w:u w:color="000000"/>
                <w:bdr w:val="nil"/>
                <w:rtl/>
                <w:lang w:val="en-GB" w:eastAsia="zh-TW"/>
              </w:rPr>
            </w:pPr>
            <w:r w:rsidRPr="009B63E9">
              <w:rPr>
                <w:rFonts w:ascii="Traditional Arabic" w:eastAsiaTheme="minorEastAsia" w:hAnsi="Traditional Arabic"/>
                <w:color w:val="000000"/>
                <w:sz w:val="28"/>
                <w:szCs w:val="28"/>
                <w:u w:color="000000"/>
                <w:bdr w:val="nil"/>
                <w:rtl/>
                <w:lang w:val="en-GB" w:eastAsia="zh-TW"/>
              </w:rPr>
              <w:t>٢٠٢٢</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50265C"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المادة ٢١ تجميع التقارير الوطنية</w:t>
            </w:r>
          </w:p>
          <w:p w14:paraId="52DC784E"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بدء تقديم قوائم جرد الانبعاثات/الإطلاقات</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001CDA"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إعداد تقرير الرصد وتقديمه إلى اللجنة للإسهام في تقرير تقييم الفعالية - لمعالجة الفقرة ٢ من المادة ٢٢ في تيسير التقييم</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5FD333"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حزيران/</w:t>
            </w:r>
            <w:proofErr w:type="gramStart"/>
            <w:r w:rsidRPr="00EA4B86">
              <w:rPr>
                <w:rFonts w:ascii="Traditional Arabic" w:eastAsiaTheme="minorEastAsia" w:hAnsi="Traditional Arabic"/>
                <w:color w:val="000000"/>
                <w:sz w:val="28"/>
                <w:szCs w:val="28"/>
                <w:u w:color="000000"/>
                <w:bdr w:val="nil"/>
                <w:rtl/>
                <w:lang w:val="en-GB" w:eastAsia="zh-TW"/>
              </w:rPr>
              <w:t>يونيه</w:t>
            </w:r>
            <w:proofErr w:type="gramEnd"/>
            <w:r w:rsidRPr="00EA4B86">
              <w:rPr>
                <w:rFonts w:ascii="Traditional Arabic" w:eastAsiaTheme="minorEastAsia" w:hAnsi="Traditional Arabic"/>
                <w:color w:val="000000"/>
                <w:sz w:val="28"/>
                <w:szCs w:val="28"/>
                <w:u w:color="000000"/>
                <w:bdr w:val="nil"/>
                <w:rtl/>
                <w:lang w:val="en-GB" w:eastAsia="zh-TW"/>
              </w:rPr>
              <w:t>: اكتمال المرحلة ١</w:t>
            </w:r>
          </w:p>
          <w:p w14:paraId="61363D0B"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كانون الأول/ديسمبر: تعد الأمانة تحليلاً أولياً</w:t>
            </w:r>
          </w:p>
          <w:p w14:paraId="78D0B006"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تجتمع اللجنة لاستعراض المعلومات</w:t>
            </w:r>
          </w:p>
        </w:tc>
      </w:tr>
      <w:tr w:rsidR="00E8191C" w:rsidRPr="00E8191C" w14:paraId="157646C3" w14:textId="77777777" w:rsidTr="00231C59">
        <w:trPr>
          <w:trHeight w:val="570"/>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0D08D" w14:textId="08FA3C04" w:rsidR="00E8191C" w:rsidRPr="009B63E9" w:rsidRDefault="00E8191C" w:rsidP="004C7C51">
            <w:pPr>
              <w:pBdr>
                <w:top w:val="nil"/>
                <w:left w:val="nil"/>
                <w:bottom w:val="nil"/>
                <w:right w:val="nil"/>
                <w:between w:val="nil"/>
                <w:bar w:val="nil"/>
              </w:pBdr>
              <w:tabs>
                <w:tab w:val="left" w:pos="477"/>
              </w:tabs>
              <w:bidi/>
              <w:spacing w:line="340" w:lineRule="exact"/>
              <w:textDirection w:val="tbRlV"/>
              <w:rPr>
                <w:rFonts w:ascii="Traditional Arabic" w:eastAsiaTheme="minorEastAsia" w:hAnsi="Traditional Arabic"/>
                <w:sz w:val="28"/>
                <w:szCs w:val="28"/>
                <w:u w:color="000000"/>
                <w:bdr w:val="nil"/>
                <w:rtl/>
                <w:lang w:val="en-GB" w:eastAsia="zh-TW"/>
              </w:rPr>
            </w:pPr>
            <w:r w:rsidRPr="009B63E9">
              <w:rPr>
                <w:rFonts w:ascii="Traditional Arabic" w:eastAsiaTheme="minorEastAsia" w:hAnsi="Traditional Arabic"/>
                <w:color w:val="000000"/>
                <w:sz w:val="28"/>
                <w:szCs w:val="28"/>
                <w:u w:color="000000"/>
                <w:bdr w:val="nil"/>
                <w:rtl/>
                <w:lang w:val="en-GB" w:eastAsia="zh-TW"/>
              </w:rPr>
              <w:t>2023</w:t>
            </w:r>
            <w:r w:rsidR="002B20F8" w:rsidRPr="009B63E9">
              <w:rPr>
                <w:rFonts w:ascii="Traditional Arabic" w:eastAsiaTheme="minorEastAsia" w:hAnsi="Traditional Arabic" w:hint="cs"/>
                <w:color w:val="000000"/>
                <w:sz w:val="28"/>
                <w:szCs w:val="28"/>
                <w:u w:color="000000"/>
                <w:bdr w:val="nil"/>
                <w:rtl/>
                <w:lang w:val="en-GB" w:eastAsia="zh-TW"/>
              </w:rPr>
              <w:t>-</w:t>
            </w:r>
            <w:r w:rsidRPr="009B63E9">
              <w:rPr>
                <w:rFonts w:ascii="Traditional Arabic" w:eastAsiaTheme="minorEastAsia" w:hAnsi="Traditional Arabic"/>
                <w:color w:val="000000"/>
                <w:sz w:val="28"/>
                <w:szCs w:val="28"/>
                <w:u w:color="000000"/>
                <w:bdr w:val="nil"/>
                <w:rtl/>
                <w:lang w:val="en-GB" w:eastAsia="zh-TW"/>
              </w:rPr>
              <w:t xml:space="preserve"> الاجتماع الخامس لمؤتمر الأطراف</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D8B10"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تقرير فترة السنتين</w:t>
            </w:r>
          </w:p>
          <w:p w14:paraId="253CB67C"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 xml:space="preserve">استعراض </w:t>
            </w:r>
            <w:dir w:val="rtl">
              <w:r w:rsidRPr="00EA4B86">
                <w:rPr>
                  <w:rFonts w:ascii="Traditional Arabic" w:eastAsiaTheme="minorEastAsia" w:hAnsi="Traditional Arabic" w:hint="cs"/>
                  <w:color w:val="000000"/>
                  <w:sz w:val="28"/>
                  <w:szCs w:val="28"/>
                  <w:u w:color="000000"/>
                  <w:bdr w:val="nil"/>
                  <w:rtl/>
                  <w:lang w:val="en-GB" w:eastAsia="zh-TW"/>
                </w:rPr>
                <w:t>خطة</w:t>
              </w:r>
              <w:r w:rsidRPr="00EA4B86">
                <w:rPr>
                  <w:rFonts w:ascii="Traditional Arabic" w:eastAsiaTheme="minorEastAsia" w:hAnsi="Traditional Arabic"/>
                  <w:color w:val="000000"/>
                  <w:sz w:val="28"/>
                  <w:szCs w:val="28"/>
                  <w:u w:color="000000"/>
                  <w:bdr w:val="nil"/>
                  <w:rtl/>
                  <w:lang w:val="en-GB" w:eastAsia="zh-TW"/>
                </w:rPr>
                <w:t xml:space="preserve"> </w:t>
              </w:r>
              <w:r w:rsidRPr="00EA4B86">
                <w:rPr>
                  <w:rFonts w:ascii="Traditional Arabic" w:eastAsiaTheme="minorEastAsia" w:hAnsi="Traditional Arabic" w:hint="cs"/>
                  <w:color w:val="000000"/>
                  <w:sz w:val="28"/>
                  <w:szCs w:val="28"/>
                  <w:u w:color="000000"/>
                  <w:bdr w:val="nil"/>
                  <w:rtl/>
                  <w:lang w:val="en-GB" w:eastAsia="zh-TW"/>
                </w:rPr>
                <w:t>العمل</w:t>
              </w:r>
              <w:r w:rsidRPr="00EA4B86">
                <w:rPr>
                  <w:rFonts w:ascii="Traditional Arabic" w:eastAsiaTheme="minorEastAsia" w:hAnsi="Traditional Arabic"/>
                  <w:color w:val="000000"/>
                  <w:sz w:val="28"/>
                  <w:szCs w:val="28"/>
                  <w:u w:color="000000"/>
                  <w:bdr w:val="nil"/>
                  <w:rtl/>
                  <w:lang w:val="en-GB" w:eastAsia="zh-TW"/>
                </w:rPr>
                <w:t xml:space="preserve"> </w:t>
              </w:r>
              <w:r w:rsidRPr="00EA4B86">
                <w:rPr>
                  <w:rFonts w:ascii="Traditional Arabic" w:eastAsiaTheme="minorEastAsia" w:hAnsi="Traditional Arabic" w:hint="cs"/>
                  <w:color w:val="000000"/>
                  <w:sz w:val="28"/>
                  <w:szCs w:val="28"/>
                  <w:u w:color="000000"/>
                  <w:bdr w:val="nil"/>
                  <w:rtl/>
                  <w:lang w:val="en-GB" w:eastAsia="zh-TW"/>
                </w:rPr>
                <w:t>الوطنية</w:t>
              </w:r>
              <w:r w:rsidRPr="00EA4B86">
                <w:rPr>
                  <w:rFonts w:eastAsiaTheme="minorEastAsia" w:cs="Times New Roman" w:hint="cs"/>
                  <w:color w:val="000000"/>
                  <w:sz w:val="28"/>
                  <w:szCs w:val="28"/>
                  <w:u w:color="000000"/>
                  <w:bdr w:val="nil"/>
                  <w:rtl/>
                  <w:lang w:val="en-GB" w:eastAsia="zh-TW"/>
                </w:rPr>
                <w:t>‬</w:t>
              </w:r>
              <w:r w:rsidR="00664FFC" w:rsidRPr="00EA4B86">
                <w:rPr>
                  <w:rFonts w:eastAsiaTheme="minorEastAsia" w:cs="Times New Roman"/>
                  <w:color w:val="000000"/>
                  <w:sz w:val="28"/>
                  <w:szCs w:val="28"/>
                  <w:u w:color="000000"/>
                  <w:bdr w:val="nil"/>
                  <w:lang w:val="en-GB" w:eastAsia="zh-TW"/>
                </w:rPr>
                <w:t>‬</w:t>
              </w:r>
              <w:r w:rsidR="00210ED7" w:rsidRPr="00EA4B86">
                <w:rPr>
                  <w:rFonts w:eastAsiaTheme="minorEastAsia" w:cs="Times New Roman"/>
                  <w:color w:val="000000"/>
                  <w:sz w:val="28"/>
                  <w:szCs w:val="28"/>
                  <w:u w:color="000000"/>
                  <w:bdr w:val="nil"/>
                  <w:lang w:val="en-GB" w:eastAsia="zh-TW"/>
                </w:rPr>
                <w:t>‬</w:t>
              </w:r>
              <w:r w:rsidR="00206B55">
                <w:t>‬</w:t>
              </w:r>
              <w:r w:rsidR="00E91B61">
                <w:t>‬</w:t>
              </w:r>
              <w:r w:rsidR="00700EB8">
                <w:t>‬</w:t>
              </w:r>
            </w:di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18C70" w14:textId="4912E4BF"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ترحيب مؤتمر الأطراف بتقرير الرصد</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572E9" w14:textId="77777777" w:rsidR="00E8191C" w:rsidRPr="00EA4B86" w:rsidRDefault="00E8191C" w:rsidP="003640BE">
            <w:pPr>
              <w:numPr>
                <w:ilvl w:val="0"/>
                <w:numId w:val="9"/>
              </w:numPr>
              <w:pBdr>
                <w:top w:val="nil"/>
                <w:left w:val="nil"/>
                <w:bottom w:val="nil"/>
                <w:right w:val="nil"/>
                <w:between w:val="nil"/>
                <w:bar w:val="nil"/>
              </w:pBdr>
              <w:bidi/>
              <w:spacing w:line="340" w:lineRule="exact"/>
              <w:ind w:left="312" w:hanging="284"/>
              <w:textDirection w:val="tbRlV"/>
              <w:rPr>
                <w:rFonts w:ascii="Traditional Arabic" w:eastAsiaTheme="minorEastAsia" w:hAnsi="Traditional Arabic"/>
                <w:color w:val="000000"/>
                <w:sz w:val="28"/>
                <w:szCs w:val="28"/>
                <w:u w:color="000000"/>
                <w:bdr w:val="nil"/>
                <w:rtl/>
                <w:lang w:val="en-GB" w:eastAsia="zh-TW"/>
              </w:rPr>
            </w:pPr>
            <w:r w:rsidRPr="00EA4B86">
              <w:rPr>
                <w:rFonts w:ascii="Traditional Arabic" w:eastAsiaTheme="minorEastAsia" w:hAnsi="Traditional Arabic"/>
                <w:color w:val="000000"/>
                <w:sz w:val="28"/>
                <w:szCs w:val="28"/>
                <w:u w:color="000000"/>
                <w:bdr w:val="nil"/>
                <w:rtl/>
                <w:lang w:val="en-GB" w:eastAsia="zh-TW"/>
              </w:rPr>
              <w:t>ترحيب مؤتمر الأطراف بتقرير تقييم الفعالية</w:t>
            </w:r>
          </w:p>
        </w:tc>
      </w:tr>
    </w:tbl>
    <w:p w14:paraId="758572E4" w14:textId="4E1EE519" w:rsidR="00E8191C" w:rsidRPr="00E8191C" w:rsidRDefault="00E8191C" w:rsidP="0011441C">
      <w:pPr>
        <w:pStyle w:val="Normalnumber"/>
        <w:numPr>
          <w:ilvl w:val="0"/>
          <w:numId w:val="31"/>
        </w:numPr>
        <w:tabs>
          <w:tab w:val="left" w:pos="1841"/>
        </w:tabs>
        <w:autoSpaceDE/>
        <w:autoSpaceDN/>
        <w:bidi/>
        <w:adjustRightInd/>
        <w:spacing w:before="240" w:after="0" w:line="400" w:lineRule="exact"/>
        <w:ind w:left="1134" w:firstLine="0"/>
        <w:jc w:val="both"/>
        <w:textDirection w:val="tbRlV"/>
        <w:rPr>
          <w:rFonts w:ascii="Traditional Arabic" w:hAnsi="Traditional Arabic" w:cs="Traditional Arabic"/>
          <w:sz w:val="30"/>
          <w:szCs w:val="30"/>
          <w:u w:color="000000"/>
          <w:bdr w:val="nil"/>
          <w:rtl/>
          <w:lang w:val="en-GB" w:eastAsia="zh-TW"/>
        </w:rPr>
      </w:pPr>
      <w:r w:rsidRPr="00E8191C">
        <w:rPr>
          <w:rFonts w:ascii="Traditional Arabic" w:hAnsi="Traditional Arabic" w:cs="Traditional Arabic"/>
          <w:color w:val="000000"/>
          <w:sz w:val="30"/>
          <w:szCs w:val="30"/>
          <w:u w:color="000000"/>
          <w:bdr w:val="nil"/>
          <w:rtl/>
          <w:lang w:val="en-GB" w:eastAsia="zh-TW"/>
        </w:rPr>
        <w:t xml:space="preserve">ويتعين أن تدرج في إطار تقييم الفعالية اختصاصات لجنة تقييم الفعالية، على النحو المقترح في التقرير المتعلق بعمل فريق الخبراء المخصص المعني بتقييم الفعالية (انظر </w:t>
      </w:r>
      <w:r w:rsidR="00AD3630" w:rsidRPr="009B63E9">
        <w:rPr>
          <w:rFonts w:asciiTheme="majorBidi" w:hAnsiTheme="majorBidi" w:cstheme="majorBidi"/>
          <w:szCs w:val="20"/>
        </w:rPr>
        <w:t>UNEP/MC/COP.2/INF/8</w:t>
      </w:r>
      <w:r w:rsidR="00AD3630" w:rsidRPr="00AD3630">
        <w:rPr>
          <w:sz w:val="26"/>
          <w:szCs w:val="26"/>
          <w:rtl/>
          <w:lang w:val="en-GB" w:eastAsia="zh-TW"/>
        </w:rPr>
        <w:t>)</w:t>
      </w:r>
      <w:r w:rsidRPr="00E8191C">
        <w:rPr>
          <w:rFonts w:ascii="Traditional Arabic" w:hAnsi="Traditional Arabic" w:cs="Traditional Arabic"/>
          <w:color w:val="000000"/>
          <w:sz w:val="30"/>
          <w:szCs w:val="30"/>
          <w:u w:color="000000"/>
          <w:bdr w:val="nil"/>
          <w:rtl/>
          <w:lang w:val="en-GB" w:eastAsia="zh-TW"/>
        </w:rPr>
        <w:t>.</w:t>
      </w:r>
    </w:p>
    <w:p w14:paraId="1614407F" w14:textId="2F42B3EC" w:rsidR="00CA3707" w:rsidRPr="000E594B" w:rsidRDefault="00126215" w:rsidP="00126215">
      <w:pPr>
        <w:pStyle w:val="Normalnumber"/>
        <w:numPr>
          <w:ilvl w:val="0"/>
          <w:numId w:val="0"/>
        </w:numPr>
        <w:tabs>
          <w:tab w:val="left" w:pos="1841"/>
        </w:tabs>
        <w:autoSpaceDE/>
        <w:autoSpaceDN/>
        <w:bidi/>
        <w:adjustRightInd/>
        <w:spacing w:line="400" w:lineRule="exact"/>
        <w:ind w:left="1134"/>
        <w:jc w:val="center"/>
        <w:textDirection w:val="tbRlV"/>
        <w:rPr>
          <w:rFonts w:ascii="Traditional Arabic" w:hAnsi="Traditional Arabic" w:cs="Traditional Arabic"/>
          <w:sz w:val="30"/>
          <w:szCs w:val="30"/>
          <w:rtl/>
        </w:rPr>
      </w:pPr>
      <w:r>
        <w:rPr>
          <w:rFonts w:ascii="Traditional Arabic" w:hAnsi="Traditional Arabic" w:cs="Traditional Arabic" w:hint="cs"/>
          <w:sz w:val="30"/>
          <w:szCs w:val="30"/>
          <w:rtl/>
        </w:rPr>
        <w:t>____________</w:t>
      </w:r>
    </w:p>
    <w:sectPr w:rsidR="00CA3707" w:rsidRPr="000E594B"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FA5A4" w14:textId="77777777" w:rsidR="00210ED7" w:rsidRDefault="00210ED7">
      <w:r>
        <w:separator/>
      </w:r>
    </w:p>
  </w:endnote>
  <w:endnote w:type="continuationSeparator" w:id="0">
    <w:p w14:paraId="5C4ABC42" w14:textId="77777777" w:rsidR="00210ED7" w:rsidRDefault="00210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altName w:val="Sylfaen"/>
    <w:panose1 w:val="02020603050405020304"/>
    <w:charset w:val="00"/>
    <w:family w:val="roman"/>
    <w:pitch w:val="variable"/>
    <w:sig w:usb0="E0002EFF" w:usb1="C0007843"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423AAB41" w:rsidR="0042042E" w:rsidRPr="007B173A" w:rsidRDefault="0042042E" w:rsidP="00E0494C">
    <w:pPr>
      <w:pStyle w:val="Pieddepage"/>
      <w:tabs>
        <w:tab w:val="clear" w:pos="4153"/>
        <w:tab w:val="clear" w:pos="8306"/>
      </w:tabs>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700EB8">
      <w:rPr>
        <w:rStyle w:val="Numrodepage"/>
        <w:rFonts w:ascii="Times New Roman" w:hAnsi="Times New Roman" w:cs="Times New Roman"/>
      </w:rPr>
      <w:t>6</w:t>
    </w:r>
    <w:r w:rsidRPr="007B173A">
      <w:rPr>
        <w:rStyle w:val="Numrodepage"/>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1B2D970C" w:rsidR="0042042E" w:rsidRPr="007B173A" w:rsidRDefault="0042042E" w:rsidP="00E0494C">
    <w:pPr>
      <w:pStyle w:val="Pieddepage"/>
      <w:tabs>
        <w:tab w:val="clear" w:pos="4153"/>
        <w:tab w:val="clear" w:pos="8306"/>
      </w:tabs>
      <w:spacing w:before="40"/>
      <w:jc w:val="both"/>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700EB8">
      <w:rPr>
        <w:rStyle w:val="Numrodepage"/>
        <w:rFonts w:ascii="Times New Roman" w:hAnsi="Times New Roman" w:cs="Times New Roman"/>
      </w:rPr>
      <w:t>5</w:t>
    </w:r>
    <w:r w:rsidRPr="007B173A">
      <w:rPr>
        <w:rStyle w:val="Numrodepage"/>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0F47688E" w:rsidR="0042042E" w:rsidRPr="00D80FA4" w:rsidRDefault="0010467B" w:rsidP="006E1D97">
    <w:pPr>
      <w:pStyle w:val="Pieddepage"/>
      <w:tabs>
        <w:tab w:val="clear" w:pos="4153"/>
        <w:tab w:val="clear" w:pos="8306"/>
      </w:tabs>
      <w:bidi/>
      <w:jc w:val="left"/>
      <w:rPr>
        <w:rFonts w:asciiTheme="majorBidi" w:hAnsiTheme="majorBidi" w:cstheme="majorBidi"/>
        <w:szCs w:val="20"/>
      </w:rPr>
    </w:pPr>
    <w:r w:rsidRPr="00D80FA4">
      <w:rPr>
        <w:rStyle w:val="Numrodepage"/>
        <w:rFonts w:asciiTheme="majorBidi" w:hAnsiTheme="majorBidi" w:cstheme="majorBidi"/>
        <w:szCs w:val="20"/>
      </w:rPr>
      <w:t>K1</w:t>
    </w:r>
    <w:r>
      <w:rPr>
        <w:rStyle w:val="Numrodepage"/>
        <w:rFonts w:asciiTheme="majorBidi" w:hAnsiTheme="majorBidi" w:cstheme="majorBidi"/>
        <w:szCs w:val="20"/>
      </w:rPr>
      <w:t>8</w:t>
    </w:r>
    <w:r w:rsidRPr="00D80FA4">
      <w:rPr>
        <w:rStyle w:val="Numrodepage"/>
        <w:rFonts w:asciiTheme="majorBidi" w:hAnsiTheme="majorBidi" w:cstheme="majorBidi"/>
        <w:szCs w:val="20"/>
      </w:rPr>
      <w:t>0</w:t>
    </w:r>
    <w:r>
      <w:rPr>
        <w:rStyle w:val="Numrodepage"/>
        <w:rFonts w:asciiTheme="majorBidi" w:hAnsiTheme="majorBidi" w:cstheme="majorBidi"/>
        <w:szCs w:val="20"/>
      </w:rPr>
      <w:t>3261</w:t>
    </w:r>
    <w:r w:rsidR="006E1D97">
      <w:rPr>
        <w:rStyle w:val="Numrodepage"/>
        <w:rFonts w:asciiTheme="majorBidi" w:hAnsiTheme="majorBidi" w:cstheme="majorBidi" w:hint="cs"/>
        <w:szCs w:val="20"/>
        <w:rtl/>
      </w:rPr>
      <w:tab/>
    </w:r>
    <w:r>
      <w:rPr>
        <w:rStyle w:val="Numrodepage"/>
        <w:rFonts w:asciiTheme="majorBidi" w:hAnsiTheme="majorBidi" w:cstheme="majorBidi"/>
        <w:szCs w:val="20"/>
      </w:rPr>
      <w:t>1511</w:t>
    </w:r>
    <w:r w:rsidRPr="00D80FA4">
      <w:rPr>
        <w:rStyle w:val="Numrodepage"/>
        <w:rFonts w:asciiTheme="majorBidi" w:hAnsiTheme="majorBidi" w:cstheme="majorBidi"/>
        <w:szCs w:val="20"/>
      </w:rPr>
      <w:t>1</w:t>
    </w:r>
    <w:r>
      <w:rPr>
        <w:rStyle w:val="Numrodepage"/>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E7B7A" w14:textId="77777777" w:rsidR="00210ED7" w:rsidRDefault="00210ED7" w:rsidP="008A79DC">
      <w:pPr>
        <w:bidi/>
        <w:ind w:left="720"/>
      </w:pPr>
      <w:r>
        <w:separator/>
      </w:r>
    </w:p>
  </w:footnote>
  <w:footnote w:type="continuationSeparator" w:id="0">
    <w:p w14:paraId="67DB52DB" w14:textId="77777777" w:rsidR="00210ED7" w:rsidRDefault="00210ED7">
      <w:r>
        <w:continuationSeparator/>
      </w:r>
    </w:p>
  </w:footnote>
  <w:footnote w:id="1">
    <w:p w14:paraId="7762F4BF" w14:textId="2DD51344" w:rsidR="0010467B" w:rsidRPr="001527E0" w:rsidRDefault="0010467B" w:rsidP="00542FA1">
      <w:pPr>
        <w:pStyle w:val="Notedebasdepage"/>
        <w:tabs>
          <w:tab w:val="left" w:pos="624"/>
        </w:tabs>
        <w:bidi/>
        <w:spacing w:after="40" w:line="280" w:lineRule="exact"/>
        <w:ind w:firstLine="1276"/>
        <w:jc w:val="left"/>
        <w:rPr>
          <w:sz w:val="26"/>
          <w:szCs w:val="26"/>
          <w:rtl/>
        </w:rPr>
      </w:pPr>
      <w:r w:rsidRPr="004D5308">
        <w:rPr>
          <w:rStyle w:val="Appelnotedebasdep"/>
          <w:rFonts w:asciiTheme="majorBidi" w:hAnsiTheme="majorBidi" w:cstheme="majorBidi"/>
          <w:vertAlign w:val="baseline"/>
          <w:rtl/>
        </w:rPr>
        <w:t>*</w:t>
      </w:r>
      <w:r w:rsidRPr="001527E0">
        <w:rPr>
          <w:sz w:val="26"/>
          <w:szCs w:val="26"/>
          <w:rtl/>
        </w:rPr>
        <w:t xml:space="preserve"> </w:t>
      </w:r>
      <w:r>
        <w:rPr>
          <w:rFonts w:hint="cs"/>
          <w:sz w:val="26"/>
          <w:szCs w:val="26"/>
          <w:rtl/>
        </w:rPr>
        <w:t xml:space="preserve"> أعيد إصدارها لأسباب فنية في 5 تشرين الثاني/نوفمبر 2018.</w:t>
      </w:r>
    </w:p>
  </w:footnote>
  <w:footnote w:id="2">
    <w:p w14:paraId="5FF151A3" w14:textId="608AAF68" w:rsidR="00BE3C21" w:rsidRPr="004D5308" w:rsidRDefault="00BE3C21" w:rsidP="00BE3C21">
      <w:pPr>
        <w:tabs>
          <w:tab w:val="left" w:pos="624"/>
        </w:tabs>
        <w:bidi/>
        <w:spacing w:before="20" w:after="40"/>
        <w:ind w:left="1247"/>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0010467B">
        <w:rPr>
          <w:rFonts w:asciiTheme="majorBidi" w:hAnsiTheme="majorBidi" w:cstheme="majorBidi"/>
          <w:bCs/>
          <w:szCs w:val="20"/>
        </w:rPr>
        <w:t>*</w:t>
      </w:r>
      <w:r w:rsidRPr="00C762BE">
        <w:rPr>
          <w:rFonts w:asciiTheme="majorBidi" w:hAnsiTheme="majorBidi" w:cstheme="majorBidi"/>
          <w:bCs/>
          <w:szCs w:val="20"/>
        </w:rPr>
        <w:t>*</w:t>
      </w:r>
    </w:p>
  </w:footnote>
  <w:footnote w:id="3">
    <w:p w14:paraId="27058ED0" w14:textId="490B5FFC" w:rsidR="003575B9" w:rsidRPr="00937A2F" w:rsidRDefault="003575B9" w:rsidP="00937A2F">
      <w:pPr>
        <w:pStyle w:val="Notedebasdepage"/>
        <w:bidi/>
        <w:spacing w:after="60" w:line="300" w:lineRule="exact"/>
        <w:ind w:left="1134"/>
        <w:jc w:val="both"/>
        <w:textDirection w:val="tbRlV"/>
        <w:rPr>
          <w:rFonts w:ascii="Times New Roman" w:hAnsi="Times New Roman"/>
          <w:sz w:val="18"/>
          <w:szCs w:val="26"/>
          <w:rtl/>
          <w:lang w:val="en-GB" w:eastAsia="zh-TW"/>
        </w:rPr>
      </w:pPr>
      <w:r w:rsidRPr="00937A2F">
        <w:rPr>
          <w:rFonts w:ascii="Times New Roman" w:hAnsi="Times New Roman"/>
          <w:sz w:val="18"/>
          <w:szCs w:val="26"/>
          <w:rtl/>
        </w:rPr>
        <w:t>(</w:t>
      </w:r>
      <w:r w:rsidRPr="00937A2F">
        <w:rPr>
          <w:rStyle w:val="Appelnotedebasdep"/>
          <w:rFonts w:ascii="Times New Roman" w:hAnsi="Times New Roman"/>
          <w:sz w:val="18"/>
          <w:szCs w:val="26"/>
          <w:vertAlign w:val="baseline"/>
          <w:rtl/>
        </w:rPr>
        <w:footnoteRef/>
      </w:r>
      <w:r w:rsidRPr="00937A2F">
        <w:rPr>
          <w:rFonts w:ascii="Times New Roman" w:hAnsi="Times New Roman"/>
          <w:sz w:val="18"/>
          <w:szCs w:val="26"/>
          <w:rtl/>
        </w:rPr>
        <w:t>)</w:t>
      </w:r>
      <w:r w:rsidRPr="00937A2F">
        <w:rPr>
          <w:rFonts w:ascii="Times New Roman" w:hAnsi="Times New Roman" w:hint="cs"/>
          <w:sz w:val="18"/>
          <w:szCs w:val="26"/>
          <w:rtl/>
        </w:rPr>
        <w:t xml:space="preserve">  </w:t>
      </w:r>
      <w:r w:rsidRPr="00937A2F">
        <w:rPr>
          <w:rFonts w:ascii="Times New Roman" w:hAnsi="Times New Roman"/>
          <w:sz w:val="18"/>
          <w:szCs w:val="26"/>
          <w:rtl/>
          <w:lang w:val="en-GB" w:eastAsia="zh-TW"/>
        </w:rPr>
        <w:t xml:space="preserve">تجدر الإشارة إلى أن مرفق البيئة العالمية يبدو أكثر اختصاصاً بالتمويل من البرنامج الدولي المحدد، على الرغم من أنه من الممكن أن يحدد بلد ما أنشطة رصد تمثل أولوية وطنية عالية مع تقديم حجج توضح كيفية دعم </w:t>
      </w:r>
      <w:r w:rsidRPr="00937A2F">
        <w:rPr>
          <w:rFonts w:ascii="Times New Roman" w:hAnsi="Times New Roman" w:hint="cs"/>
          <w:sz w:val="18"/>
          <w:szCs w:val="26"/>
          <w:rtl/>
          <w:lang w:val="en-GB" w:eastAsia="zh-TW"/>
        </w:rPr>
        <w:t>أ</w:t>
      </w:r>
      <w:r w:rsidRPr="00937A2F">
        <w:rPr>
          <w:rFonts w:ascii="Times New Roman" w:hAnsi="Times New Roman"/>
          <w:sz w:val="18"/>
          <w:szCs w:val="26"/>
          <w:rtl/>
          <w:lang w:val="en-GB" w:eastAsia="zh-TW"/>
        </w:rPr>
        <w:t>نشطة الرصد للتنفيذ المستدام لالتزاماته بموجب الاتفاقية.</w:t>
      </w:r>
    </w:p>
  </w:footnote>
  <w:footnote w:id="4">
    <w:p w14:paraId="083D7D5B" w14:textId="6371F991" w:rsidR="003575B9" w:rsidRPr="00937A2F" w:rsidRDefault="003575B9" w:rsidP="0011441C">
      <w:pPr>
        <w:pStyle w:val="Notedebasdepage"/>
        <w:bidi/>
        <w:spacing w:line="300" w:lineRule="exact"/>
        <w:ind w:left="1134"/>
        <w:jc w:val="both"/>
        <w:textDirection w:val="tbRlV"/>
        <w:rPr>
          <w:rFonts w:ascii="Times New Roman" w:hAnsi="Times New Roman"/>
          <w:sz w:val="18"/>
          <w:szCs w:val="26"/>
          <w:rtl/>
          <w:lang w:val="en-GB" w:eastAsia="zh-TW"/>
        </w:rPr>
      </w:pPr>
      <w:r w:rsidRPr="00937A2F">
        <w:rPr>
          <w:rFonts w:ascii="Times New Roman" w:hAnsi="Times New Roman"/>
          <w:sz w:val="18"/>
          <w:szCs w:val="26"/>
          <w:rtl/>
        </w:rPr>
        <w:t>(</w:t>
      </w:r>
      <w:r w:rsidRPr="00937A2F">
        <w:rPr>
          <w:rStyle w:val="Appelnotedebasdep"/>
          <w:rFonts w:ascii="Times New Roman" w:hAnsi="Times New Roman"/>
          <w:sz w:val="18"/>
          <w:szCs w:val="26"/>
          <w:vertAlign w:val="baseline"/>
          <w:rtl/>
        </w:rPr>
        <w:footnoteRef/>
      </w:r>
      <w:r w:rsidRPr="00937A2F">
        <w:rPr>
          <w:rFonts w:ascii="Times New Roman" w:hAnsi="Times New Roman"/>
          <w:sz w:val="18"/>
          <w:szCs w:val="26"/>
          <w:rtl/>
        </w:rPr>
        <w:t>)</w:t>
      </w:r>
      <w:r w:rsidRPr="00937A2F">
        <w:rPr>
          <w:rFonts w:ascii="Times New Roman" w:hAnsi="Times New Roman" w:hint="cs"/>
          <w:sz w:val="18"/>
          <w:szCs w:val="26"/>
          <w:rtl/>
        </w:rPr>
        <w:t xml:space="preserve">  </w:t>
      </w:r>
      <w:r w:rsidRPr="00937A2F">
        <w:rPr>
          <w:rFonts w:ascii="Times New Roman" w:hAnsi="Times New Roman"/>
          <w:sz w:val="18"/>
          <w:szCs w:val="26"/>
          <w:rtl/>
          <w:lang w:val="en-GB" w:eastAsia="zh-TW"/>
        </w:rPr>
        <w:t>للاطلاع على المزيد من التفاصيل في مشروع الخطة انظر</w:t>
      </w:r>
      <w:r w:rsidRPr="00937A2F">
        <w:rPr>
          <w:rFonts w:ascii="Times New Roman" w:hAnsi="Times New Roman" w:hint="cs"/>
          <w:sz w:val="18"/>
          <w:szCs w:val="26"/>
          <w:rtl/>
          <w:lang w:val="en-GB" w:eastAsia="zh-TW"/>
        </w:rPr>
        <w:t xml:space="preserve"> </w:t>
      </w:r>
      <w:r w:rsidRPr="00937A2F">
        <w:rPr>
          <w:rFonts w:ascii="Times New Roman" w:hAnsi="Times New Roman"/>
          <w:sz w:val="18"/>
          <w:szCs w:val="26"/>
        </w:rPr>
        <w:t>UNEP/MC/COP.2/INF/8</w:t>
      </w:r>
      <w:r w:rsidRPr="00937A2F">
        <w:rPr>
          <w:rFonts w:ascii="Times New Roman" w:hAnsi="Times New Roman"/>
          <w:sz w:val="18"/>
          <w:szCs w:val="26"/>
          <w:rtl/>
          <w:lang w:val="en-GB" w:eastAsia="zh-TW"/>
        </w:rPr>
        <w:t>.</w:t>
      </w:r>
    </w:p>
  </w:footnote>
  <w:footnote w:id="5">
    <w:p w14:paraId="2FFAFC44" w14:textId="6A242EBE" w:rsidR="003575B9" w:rsidRPr="00937A2F" w:rsidRDefault="003575B9" w:rsidP="002A222A">
      <w:pPr>
        <w:pStyle w:val="Notedebasdepage"/>
        <w:bidi/>
        <w:spacing w:line="300" w:lineRule="exact"/>
        <w:ind w:left="1134"/>
        <w:jc w:val="both"/>
        <w:textDirection w:val="tbRlV"/>
        <w:rPr>
          <w:rFonts w:ascii="Times New Roman" w:hAnsi="Times New Roman"/>
          <w:sz w:val="18"/>
          <w:szCs w:val="26"/>
          <w:rtl/>
          <w:lang w:val="en-GB" w:eastAsia="zh-TW"/>
        </w:rPr>
      </w:pPr>
      <w:r w:rsidRPr="00937A2F">
        <w:rPr>
          <w:rFonts w:ascii="Times New Roman" w:hAnsi="Times New Roman"/>
          <w:sz w:val="18"/>
          <w:szCs w:val="26"/>
          <w:rtl/>
        </w:rPr>
        <w:t>(</w:t>
      </w:r>
      <w:r w:rsidRPr="00937A2F">
        <w:rPr>
          <w:rStyle w:val="Appelnotedebasdep"/>
          <w:rFonts w:ascii="Times New Roman" w:hAnsi="Times New Roman"/>
          <w:sz w:val="18"/>
          <w:szCs w:val="26"/>
          <w:vertAlign w:val="baseline"/>
          <w:rtl/>
        </w:rPr>
        <w:footnoteRef/>
      </w:r>
      <w:r w:rsidRPr="00937A2F">
        <w:rPr>
          <w:rFonts w:ascii="Times New Roman" w:hAnsi="Times New Roman"/>
          <w:sz w:val="18"/>
          <w:szCs w:val="26"/>
          <w:rtl/>
        </w:rPr>
        <w:t>)</w:t>
      </w:r>
      <w:r w:rsidRPr="00937A2F">
        <w:rPr>
          <w:rFonts w:ascii="Times New Roman" w:hAnsi="Times New Roman" w:hint="cs"/>
          <w:sz w:val="18"/>
          <w:szCs w:val="26"/>
          <w:rtl/>
        </w:rPr>
        <w:t xml:space="preserve">  </w:t>
      </w:r>
      <w:r w:rsidRPr="00937A2F">
        <w:rPr>
          <w:rFonts w:ascii="Times New Roman" w:hAnsi="Times New Roman"/>
          <w:sz w:val="18"/>
          <w:szCs w:val="26"/>
          <w:rtl/>
          <w:lang w:val="en-GB" w:eastAsia="zh-TW"/>
        </w:rPr>
        <w:t>يتضمن تقرير فريق الخبراء المخصص اقتراحا</w:t>
      </w:r>
      <w:r w:rsidR="00DF19DD">
        <w:rPr>
          <w:rFonts w:ascii="Times New Roman" w:hAnsi="Times New Roman" w:hint="cs"/>
          <w:sz w:val="18"/>
          <w:szCs w:val="26"/>
          <w:rtl/>
          <w:lang w:val="en-GB" w:eastAsia="zh-TW"/>
        </w:rPr>
        <w:t>ً</w:t>
      </w:r>
      <w:r w:rsidRPr="00937A2F">
        <w:rPr>
          <w:rFonts w:ascii="Times New Roman" w:hAnsi="Times New Roman"/>
          <w:sz w:val="18"/>
          <w:szCs w:val="26"/>
          <w:rtl/>
          <w:lang w:val="en-GB" w:eastAsia="zh-TW"/>
        </w:rPr>
        <w:t xml:space="preserve"> بوضع تقرير رصد عالمي من أجل تقييم الفعالية</w:t>
      </w:r>
      <w:r w:rsidRPr="00937A2F">
        <w:rPr>
          <w:rFonts w:ascii="Times New Roman" w:hAnsi="Times New Roman" w:hint="cs"/>
          <w:sz w:val="18"/>
          <w:szCs w:val="26"/>
          <w:rtl/>
          <w:lang w:val="en-GB" w:eastAsia="zh-TW"/>
        </w:rPr>
        <w:t xml:space="preserve"> </w:t>
      </w:r>
      <w:r w:rsidR="00AD3630" w:rsidRPr="00937A2F">
        <w:rPr>
          <w:rFonts w:ascii="Times New Roman" w:hAnsi="Times New Roman"/>
          <w:sz w:val="18"/>
          <w:szCs w:val="26"/>
          <w:rtl/>
          <w:lang w:val="en-GB" w:eastAsia="zh-TW"/>
        </w:rPr>
        <w:t xml:space="preserve">(انظر </w:t>
      </w:r>
      <w:r w:rsidR="00AD3630" w:rsidRPr="000855C4">
        <w:rPr>
          <w:rFonts w:ascii="Times New Roman" w:hAnsi="Times New Roman"/>
          <w:sz w:val="16"/>
          <w:szCs w:val="16"/>
        </w:rPr>
        <w:t>UNEP/MC/COP.2/INF/8</w:t>
      </w:r>
      <w:r w:rsidR="00AD3630" w:rsidRPr="00937A2F">
        <w:rPr>
          <w:rFonts w:ascii="Times New Roman" w:hAnsi="Times New Roman"/>
          <w:sz w:val="18"/>
          <w:szCs w:val="26"/>
          <w:rtl/>
          <w:lang w:val="en-GB" w:eastAsia="zh-TW"/>
        </w:rPr>
        <w:t>)</w:t>
      </w:r>
      <w:r w:rsidRPr="00937A2F">
        <w:rPr>
          <w:rFonts w:ascii="Times New Roman" w:hAnsi="Times New Roman" w:hint="cs"/>
          <w:sz w:val="18"/>
          <w:szCs w:val="26"/>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4458B7C4" w:rsidR="0042042E" w:rsidRPr="009D4EBB" w:rsidRDefault="00934FB6" w:rsidP="00D113A9">
    <w:pPr>
      <w:pBdr>
        <w:bottom w:val="single" w:sz="4" w:space="0" w:color="auto"/>
      </w:pBdr>
      <w:spacing w:before="20" w:after="40"/>
      <w:jc w:val="right"/>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271E29">
      <w:rPr>
        <w:b/>
        <w:bCs/>
        <w:sz w:val="17"/>
        <w:szCs w:val="17"/>
        <w:lang w:val="fr-FR"/>
      </w:rPr>
      <w:t>1</w:t>
    </w:r>
    <w:r w:rsidR="00C902F2">
      <w:rPr>
        <w:b/>
        <w:bCs/>
        <w:sz w:val="17"/>
        <w:szCs w:val="17"/>
        <w:lang w:val="fr-F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49F92086" w:rsidR="0042042E" w:rsidRPr="00EC3A5F" w:rsidRDefault="00934FB6" w:rsidP="00D113A9">
    <w:pPr>
      <w:pBdr>
        <w:bottom w:val="single" w:sz="4" w:space="0" w:color="auto"/>
      </w:pBdr>
      <w:spacing w:before="20" w:after="40"/>
      <w:jc w:val="both"/>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C902F2">
      <w:rPr>
        <w:rFonts w:cs="Times New Roman"/>
        <w:b/>
        <w:bCs/>
        <w:sz w:val="17"/>
        <w:szCs w:val="17"/>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F42CD"/>
    <w:multiLevelType w:val="hybridMultilevel"/>
    <w:tmpl w:val="754E9E50"/>
    <w:lvl w:ilvl="0" w:tplc="EE887156">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0E8E09F3"/>
    <w:multiLevelType w:val="hybridMultilevel"/>
    <w:tmpl w:val="D5468B48"/>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A77E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E6584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6FC5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F6930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FAD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6397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9CC9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823E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C2E3A54"/>
    <w:multiLevelType w:val="hybridMultilevel"/>
    <w:tmpl w:val="C5386D02"/>
    <w:lvl w:ilvl="0" w:tplc="32B6D372">
      <w:start w:val="1"/>
      <w:numFmt w:val="decimal"/>
      <w:lvlText w:val="%1-"/>
      <w:lvlJc w:val="left"/>
      <w:pPr>
        <w:ind w:left="1817" w:hanging="570"/>
      </w:pPr>
      <w:rPr>
        <w:rFonts w:ascii="Traditional Arabic" w:hAnsi="Traditional Arabic" w:cs="Traditional Arabic" w:hint="default"/>
        <w:b/>
        <w:bCs w:val="0"/>
        <w:i w:val="0"/>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F4352"/>
    <w:multiLevelType w:val="hybridMultilevel"/>
    <w:tmpl w:val="DF729F70"/>
    <w:numStyleLink w:val="Importovanstyl7"/>
  </w:abstractNum>
  <w:abstractNum w:abstractNumId="5" w15:restartNumberingAfterBreak="0">
    <w:nsid w:val="21514C8A"/>
    <w:multiLevelType w:val="hybridMultilevel"/>
    <w:tmpl w:val="3EF80074"/>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0012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093D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EE3A9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E4A3D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BA81F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AA559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3AB02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8CBBD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1BF52AC"/>
    <w:multiLevelType w:val="hybridMultilevel"/>
    <w:tmpl w:val="B060D2F6"/>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052F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801C5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267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C97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7835C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E96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20D99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E2344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2A261B2"/>
    <w:multiLevelType w:val="hybridMultilevel"/>
    <w:tmpl w:val="5CD6EBFC"/>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CE6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6ACC3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1EBB2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6EB0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DEA02C">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CA2AB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486EC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4EDE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3F76167"/>
    <w:multiLevelType w:val="hybridMultilevel"/>
    <w:tmpl w:val="0D6C65CA"/>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E22DF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B41A2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DC999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2A9DC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ECB58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8A098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FC5B1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D21C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0" w15:restartNumberingAfterBreak="0">
    <w:nsid w:val="34C64D83"/>
    <w:multiLevelType w:val="hybridMultilevel"/>
    <w:tmpl w:val="B7D85028"/>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041A2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96E166">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EADF5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569A4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455A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C80C2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3A08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E05F8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A8703FD"/>
    <w:multiLevelType w:val="hybridMultilevel"/>
    <w:tmpl w:val="3BAEEDAE"/>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0EF7B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C62FB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3C786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6AF62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162DC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62E21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6AD6B4">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169B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F670F7E"/>
    <w:multiLevelType w:val="hybridMultilevel"/>
    <w:tmpl w:val="2B4A41AE"/>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6871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DA11E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F226E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6AB40">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34ED1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5E4E6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587AF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D0EC0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8935F2"/>
    <w:multiLevelType w:val="hybridMultilevel"/>
    <w:tmpl w:val="85743B7A"/>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54CC9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300D3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8A726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B29A3C">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B6ADF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4C43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875F6">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DAF6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2EC0F27"/>
    <w:multiLevelType w:val="hybridMultilevel"/>
    <w:tmpl w:val="E31076B4"/>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60751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328A8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0E62A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1697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EC7F3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62EC8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FE296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50AA1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5F45A20"/>
    <w:multiLevelType w:val="hybridMultilevel"/>
    <w:tmpl w:val="AA586C72"/>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62564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E217D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60CB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FA1B0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4A2A9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9AA2D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D8ADC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2765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69504B8"/>
    <w:multiLevelType w:val="hybridMultilevel"/>
    <w:tmpl w:val="844614DA"/>
    <w:lvl w:ilvl="0" w:tplc="3E4EC85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C4EC4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E2209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9AA0F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D692B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D836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E88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C0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9E1B1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A4B6597"/>
    <w:multiLevelType w:val="hybridMultilevel"/>
    <w:tmpl w:val="00BCA536"/>
    <w:lvl w:ilvl="0" w:tplc="0809000F">
      <w:start w:val="1"/>
      <w:numFmt w:val="decimal"/>
      <w:lvlText w:val="%1."/>
      <w:lvlJc w:val="left"/>
      <w:pPr>
        <w:ind w:left="2591" w:hanging="360"/>
      </w:pPr>
    </w:lvl>
    <w:lvl w:ilvl="1" w:tplc="B6FEC604">
      <w:start w:val="1"/>
      <w:numFmt w:val="arabicAbjad"/>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8" w15:restartNumberingAfterBreak="0">
    <w:nsid w:val="4D7419B4"/>
    <w:multiLevelType w:val="hybridMultilevel"/>
    <w:tmpl w:val="7AC8B5D4"/>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12A5A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30898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88D54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5AD35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8464D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8616D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C8ABA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0E1FD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E77717A"/>
    <w:multiLevelType w:val="hybridMultilevel"/>
    <w:tmpl w:val="888A865C"/>
    <w:lvl w:ilvl="0" w:tplc="18549C0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345C6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018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140D4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64EC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7ECE4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B2521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F27A0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560F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08A1294"/>
    <w:multiLevelType w:val="hybridMultilevel"/>
    <w:tmpl w:val="E0EEC8F2"/>
    <w:lvl w:ilvl="0" w:tplc="96E8BE1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2" w15:restartNumberingAfterBreak="0">
    <w:nsid w:val="588B1DCE"/>
    <w:multiLevelType w:val="hybridMultilevel"/>
    <w:tmpl w:val="5FBAD34E"/>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48F85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2E85A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6982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86E9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D84F6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2A9C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40B87C">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EAA5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3C58D8"/>
    <w:multiLevelType w:val="hybridMultilevel"/>
    <w:tmpl w:val="8B0CC8CC"/>
    <w:lvl w:ilvl="0" w:tplc="C6BA585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704A0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961C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E270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41CB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827E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DCB95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EFB1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28524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D82567C"/>
    <w:multiLevelType w:val="hybridMultilevel"/>
    <w:tmpl w:val="2E7E1682"/>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C406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C23B9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263A88">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B6E38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A6D63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04D8C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6C139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8A62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F597DC7"/>
    <w:multiLevelType w:val="hybridMultilevel"/>
    <w:tmpl w:val="BBA65360"/>
    <w:lvl w:ilvl="0" w:tplc="128C0D3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EB2EA2"/>
    <w:multiLevelType w:val="hybridMultilevel"/>
    <w:tmpl w:val="64E082C8"/>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4DE3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E48FE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771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CA8E4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E6FEB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90EE">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F8AC7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E89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8CC7D91"/>
    <w:multiLevelType w:val="hybridMultilevel"/>
    <w:tmpl w:val="DBD88C76"/>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22DF3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F0361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F89A2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26DCF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46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E702A">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38CC3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32BCF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21"/>
  </w:num>
  <w:num w:numId="3">
    <w:abstractNumId w:val="1"/>
  </w:num>
  <w:num w:numId="4">
    <w:abstractNumId w:val="9"/>
  </w:num>
  <w:num w:numId="5">
    <w:abstractNumId w:val="24"/>
    <w:lvlOverride w:ilvl="0">
      <w:lvl w:ilvl="0" w:tplc="C6BA585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sz w:val="44"/>
          <w:szCs w:val="44"/>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6">
    <w:abstractNumId w:val="16"/>
    <w:lvlOverride w:ilvl="0">
      <w:lvl w:ilvl="0" w:tplc="3E4EC852">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perscript"/>
          <w14:shadow w14:blurRad="0" w14:dist="0" w14:dir="0" w14:sx="0" w14:sy="0" w14:kx="0" w14:ky="0" w14:algn="none">
            <w14:srgbClr w14:val="000000"/>
          </w14:shadow>
          <w14:textOutline w14:w="0" w14:cap="rnd" w14:cmpd="sng" w14:algn="ctr">
            <w14:noFill/>
            <w14:prstDash w14:val="solid"/>
            <w14:bevel/>
          </w14:textOutline>
        </w:rPr>
      </w:lvl>
    </w:lvlOverride>
  </w:num>
  <w:num w:numId="7">
    <w:abstractNumId w:val="19"/>
    <w:lvlOverride w:ilvl="0">
      <w:lvl w:ilvl="0" w:tplc="18549C04">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8">
    <w:abstractNumId w:val="26"/>
    <w:lvlOverride w:ilvl="0">
      <w:lvl w:ilvl="0" w:tplc="128C0D36">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subscript"/>
          <w14:shadow w14:blurRad="0" w14:dist="0" w14:dir="0" w14:sx="0" w14:sy="0" w14:kx="0" w14:ky="0" w14:algn="none">
            <w14:srgbClr w14:val="000000"/>
          </w14:shadow>
          <w14:textOutline w14:w="0" w14:cap="rnd" w14:cmpd="sng" w14:algn="ctr">
            <w14:noFill/>
            <w14:prstDash w14:val="solid"/>
            <w14:bevel/>
          </w14:textOutline>
        </w:rPr>
      </w:lvl>
    </w:lvlOverride>
  </w:num>
  <w:num w:numId="9">
    <w:abstractNumId w:val="20"/>
    <w:lvlOverride w:ilvl="0">
      <w:lvl w:ilvl="0" w:tplc="96E8BE16">
        <w:start w:val="1"/>
        <w:numFmt w:val="bullet"/>
        <w:lvlText w:val=""/>
        <w:lvlJc w:val="left"/>
        <w:pPr>
          <w:ind w:left="1440" w:hanging="360"/>
        </w:pPr>
        <w:rPr>
          <w:rFonts w:ascii="Symbol" w:hAnsi="Symbol" w:hint="default"/>
          <w:sz w:val="18"/>
          <w:szCs w:val="18"/>
        </w:rPr>
      </w:lvl>
    </w:lvlOverride>
  </w:num>
  <w:num w:numId="10">
    <w:abstractNumId w:val="23"/>
  </w:num>
  <w:num w:numId="11">
    <w:abstractNumId w:val="4"/>
    <w:lvlOverride w:ilvl="0">
      <w:lvl w:ilvl="0" w:tplc="43AC925C">
        <w:start w:val="1"/>
        <w:numFmt w:val="bullet"/>
        <w:lvlText w:val="➢"/>
        <w:lvlJc w:val="left"/>
        <w:pPr>
          <w:tabs>
            <w:tab w:val="left" w:pos="477"/>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DBEC180">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D102AE0">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7AE87EC">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FE642E2">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A0CE9DE">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88A0804">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D428C32">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2ACBF18">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2"/>
    <w:lvlOverride w:ilvl="0">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27"/>
    <w:lvlOverride w:ilvl="0">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10"/>
    <w:lvlOverride w:ilvl="0">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13"/>
    <w:lvlOverride w:ilvl="0">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6">
    <w:abstractNumId w:val="11"/>
    <w:lvlOverride w:ilvl="0">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7">
    <w:abstractNumId w:val="28"/>
    <w:lvlOverride w:ilvl="0">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15"/>
    <w:lvlOverride w:ilvl="0">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9">
    <w:abstractNumId w:val="22"/>
    <w:lvlOverride w:ilvl="0">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0">
    <w:abstractNumId w:val="12"/>
    <w:lvlOverride w:ilvl="0">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1">
    <w:abstractNumId w:val="18"/>
    <w:lvlOverride w:ilvl="0">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2">
    <w:abstractNumId w:val="7"/>
    <w:lvlOverride w:ilvl="0">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3">
    <w:abstractNumId w:val="7"/>
    <w:lvlOverride w:ilvl="0">
      <w:lvl w:ilvl="0" w:tplc="B874CC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A4CE6A6">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6ACC3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A1EBB2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6EB014">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DEA02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ECA2A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486EC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4EDEA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5"/>
    <w:lvlOverride w:ilvl="0">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5">
    <w:abstractNumId w:val="25"/>
    <w:lvlOverride w:ilvl="0">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6">
    <w:abstractNumId w:val="25"/>
    <w:lvlOverride w:ilvl="0">
      <w:lvl w:ilvl="0" w:tplc="F01634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BAC406C">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C23B9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263A8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E388">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A6D63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04D8C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6C139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8A620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7">
    <w:abstractNumId w:val="8"/>
    <w:lvlOverride w:ilvl="0">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8">
    <w:abstractNumId w:val="14"/>
    <w:lvlOverride w:ilvl="0">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9">
    <w:abstractNumId w:val="6"/>
    <w:lvlOverride w:ilvl="0">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0">
    <w:abstractNumId w:val="17"/>
  </w:num>
  <w:num w:numId="31">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71"/>
  <w:drawingGridVerticalSpacing w:val="233"/>
  <w:displayHorizontalDrawingGridEvery w:val="0"/>
  <w:noPunctuationKerning/>
  <w:characterSpacingControl w:val="doNotCompress"/>
  <w:hdrShapeDefaults>
    <o:shapedefaults v:ext="edit" spidmax="921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855C4"/>
    <w:rsid w:val="0008748F"/>
    <w:rsid w:val="000A33B7"/>
    <w:rsid w:val="000A7260"/>
    <w:rsid w:val="000B1AA7"/>
    <w:rsid w:val="000B41E8"/>
    <w:rsid w:val="000C042E"/>
    <w:rsid w:val="000C35BD"/>
    <w:rsid w:val="000C6AF1"/>
    <w:rsid w:val="000C72D5"/>
    <w:rsid w:val="000C79BA"/>
    <w:rsid w:val="000D775A"/>
    <w:rsid w:val="000E3644"/>
    <w:rsid w:val="000E594B"/>
    <w:rsid w:val="000F083C"/>
    <w:rsid w:val="000F39C0"/>
    <w:rsid w:val="000F712A"/>
    <w:rsid w:val="00102A11"/>
    <w:rsid w:val="0010467B"/>
    <w:rsid w:val="0011120E"/>
    <w:rsid w:val="00111DDA"/>
    <w:rsid w:val="001122CD"/>
    <w:rsid w:val="0011441C"/>
    <w:rsid w:val="00115715"/>
    <w:rsid w:val="0012040B"/>
    <w:rsid w:val="001223A2"/>
    <w:rsid w:val="00124CC4"/>
    <w:rsid w:val="00126215"/>
    <w:rsid w:val="00131860"/>
    <w:rsid w:val="00131CE1"/>
    <w:rsid w:val="00134EB1"/>
    <w:rsid w:val="001367EA"/>
    <w:rsid w:val="001368B8"/>
    <w:rsid w:val="0014278C"/>
    <w:rsid w:val="001437D9"/>
    <w:rsid w:val="00143EB4"/>
    <w:rsid w:val="001527E0"/>
    <w:rsid w:val="00153644"/>
    <w:rsid w:val="001536B1"/>
    <w:rsid w:val="00154323"/>
    <w:rsid w:val="00154CC2"/>
    <w:rsid w:val="001640DB"/>
    <w:rsid w:val="00164904"/>
    <w:rsid w:val="00165BE3"/>
    <w:rsid w:val="0017427B"/>
    <w:rsid w:val="00174BBC"/>
    <w:rsid w:val="00177C0C"/>
    <w:rsid w:val="001841AD"/>
    <w:rsid w:val="001844E3"/>
    <w:rsid w:val="00186DE2"/>
    <w:rsid w:val="001A0F83"/>
    <w:rsid w:val="001A6258"/>
    <w:rsid w:val="001B03D9"/>
    <w:rsid w:val="001C1DD1"/>
    <w:rsid w:val="001C513F"/>
    <w:rsid w:val="001D3A25"/>
    <w:rsid w:val="001D46F1"/>
    <w:rsid w:val="001D6BA5"/>
    <w:rsid w:val="001E1443"/>
    <w:rsid w:val="001E4795"/>
    <w:rsid w:val="001E67D8"/>
    <w:rsid w:val="001E6E8E"/>
    <w:rsid w:val="001F0C9C"/>
    <w:rsid w:val="001F171C"/>
    <w:rsid w:val="001F390D"/>
    <w:rsid w:val="00206B55"/>
    <w:rsid w:val="002079F8"/>
    <w:rsid w:val="00210ED7"/>
    <w:rsid w:val="002243E8"/>
    <w:rsid w:val="002300EA"/>
    <w:rsid w:val="0023160B"/>
    <w:rsid w:val="00231C59"/>
    <w:rsid w:val="002323CD"/>
    <w:rsid w:val="002361BF"/>
    <w:rsid w:val="00252FE5"/>
    <w:rsid w:val="00255F00"/>
    <w:rsid w:val="00260A65"/>
    <w:rsid w:val="00260C3B"/>
    <w:rsid w:val="00261436"/>
    <w:rsid w:val="00261451"/>
    <w:rsid w:val="0026779B"/>
    <w:rsid w:val="00267DA8"/>
    <w:rsid w:val="0027071F"/>
    <w:rsid w:val="00271E29"/>
    <w:rsid w:val="00276330"/>
    <w:rsid w:val="002772B3"/>
    <w:rsid w:val="00291EAE"/>
    <w:rsid w:val="00295F25"/>
    <w:rsid w:val="002962A4"/>
    <w:rsid w:val="002A222A"/>
    <w:rsid w:val="002A2BDE"/>
    <w:rsid w:val="002A5EBF"/>
    <w:rsid w:val="002B14DB"/>
    <w:rsid w:val="002B20F8"/>
    <w:rsid w:val="002C1EE1"/>
    <w:rsid w:val="002C46F7"/>
    <w:rsid w:val="002C60AD"/>
    <w:rsid w:val="002C7F76"/>
    <w:rsid w:val="002D07C5"/>
    <w:rsid w:val="002D57DB"/>
    <w:rsid w:val="002E7390"/>
    <w:rsid w:val="002F11C2"/>
    <w:rsid w:val="002F74A0"/>
    <w:rsid w:val="00304FAF"/>
    <w:rsid w:val="00306618"/>
    <w:rsid w:val="00310BFE"/>
    <w:rsid w:val="00317398"/>
    <w:rsid w:val="00317E61"/>
    <w:rsid w:val="00317EFB"/>
    <w:rsid w:val="00323929"/>
    <w:rsid w:val="0034266E"/>
    <w:rsid w:val="003501E1"/>
    <w:rsid w:val="003511A7"/>
    <w:rsid w:val="00351FDC"/>
    <w:rsid w:val="003553DB"/>
    <w:rsid w:val="003575B9"/>
    <w:rsid w:val="0036154E"/>
    <w:rsid w:val="0036250E"/>
    <w:rsid w:val="003640BE"/>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E0E95"/>
    <w:rsid w:val="003E1210"/>
    <w:rsid w:val="003E33BA"/>
    <w:rsid w:val="003E4E41"/>
    <w:rsid w:val="003F77FF"/>
    <w:rsid w:val="0040218B"/>
    <w:rsid w:val="00403B93"/>
    <w:rsid w:val="00405211"/>
    <w:rsid w:val="004112CD"/>
    <w:rsid w:val="0042042E"/>
    <w:rsid w:val="00420706"/>
    <w:rsid w:val="00423AEE"/>
    <w:rsid w:val="004336F1"/>
    <w:rsid w:val="00450466"/>
    <w:rsid w:val="00451081"/>
    <w:rsid w:val="00451ABD"/>
    <w:rsid w:val="004524AB"/>
    <w:rsid w:val="00453411"/>
    <w:rsid w:val="004547E5"/>
    <w:rsid w:val="004606CA"/>
    <w:rsid w:val="00461F27"/>
    <w:rsid w:val="00472C66"/>
    <w:rsid w:val="0047425F"/>
    <w:rsid w:val="00485260"/>
    <w:rsid w:val="00486A9F"/>
    <w:rsid w:val="004916B5"/>
    <w:rsid w:val="0049251D"/>
    <w:rsid w:val="00495361"/>
    <w:rsid w:val="004A1FC4"/>
    <w:rsid w:val="004A5B2C"/>
    <w:rsid w:val="004B0A17"/>
    <w:rsid w:val="004C7C51"/>
    <w:rsid w:val="004D0F9A"/>
    <w:rsid w:val="004D2B12"/>
    <w:rsid w:val="004D5308"/>
    <w:rsid w:val="004D567F"/>
    <w:rsid w:val="004D7ABD"/>
    <w:rsid w:val="004E001B"/>
    <w:rsid w:val="004E1EDE"/>
    <w:rsid w:val="004E4EB2"/>
    <w:rsid w:val="004E5370"/>
    <w:rsid w:val="004E7B30"/>
    <w:rsid w:val="004F26CB"/>
    <w:rsid w:val="005003EA"/>
    <w:rsid w:val="005023EE"/>
    <w:rsid w:val="00505660"/>
    <w:rsid w:val="005064C3"/>
    <w:rsid w:val="00520D7B"/>
    <w:rsid w:val="00522932"/>
    <w:rsid w:val="005234DB"/>
    <w:rsid w:val="0052405D"/>
    <w:rsid w:val="00530F46"/>
    <w:rsid w:val="00540949"/>
    <w:rsid w:val="00542FA1"/>
    <w:rsid w:val="005435B2"/>
    <w:rsid w:val="005663A6"/>
    <w:rsid w:val="005668AB"/>
    <w:rsid w:val="00590B41"/>
    <w:rsid w:val="00591B8E"/>
    <w:rsid w:val="00594173"/>
    <w:rsid w:val="005945AA"/>
    <w:rsid w:val="00597815"/>
    <w:rsid w:val="005A6A53"/>
    <w:rsid w:val="005B198D"/>
    <w:rsid w:val="005B25B0"/>
    <w:rsid w:val="005B3616"/>
    <w:rsid w:val="005C1DB0"/>
    <w:rsid w:val="005C55FF"/>
    <w:rsid w:val="005C7119"/>
    <w:rsid w:val="005D23EF"/>
    <w:rsid w:val="005E06C5"/>
    <w:rsid w:val="005E2737"/>
    <w:rsid w:val="005E35EA"/>
    <w:rsid w:val="005E37BD"/>
    <w:rsid w:val="005E6B63"/>
    <w:rsid w:val="005F3809"/>
    <w:rsid w:val="005F5925"/>
    <w:rsid w:val="00601018"/>
    <w:rsid w:val="0060188A"/>
    <w:rsid w:val="00605E36"/>
    <w:rsid w:val="0060772E"/>
    <w:rsid w:val="0061395F"/>
    <w:rsid w:val="00614BE8"/>
    <w:rsid w:val="0061516F"/>
    <w:rsid w:val="00615461"/>
    <w:rsid w:val="006160A4"/>
    <w:rsid w:val="006227F4"/>
    <w:rsid w:val="00632CDF"/>
    <w:rsid w:val="0063365A"/>
    <w:rsid w:val="0063685D"/>
    <w:rsid w:val="00643398"/>
    <w:rsid w:val="006569BD"/>
    <w:rsid w:val="00664FFC"/>
    <w:rsid w:val="00671875"/>
    <w:rsid w:val="00684004"/>
    <w:rsid w:val="00684243"/>
    <w:rsid w:val="00684B7A"/>
    <w:rsid w:val="00696059"/>
    <w:rsid w:val="006A7E4F"/>
    <w:rsid w:val="006B05FA"/>
    <w:rsid w:val="006B54B1"/>
    <w:rsid w:val="006C028B"/>
    <w:rsid w:val="006C560D"/>
    <w:rsid w:val="006D0402"/>
    <w:rsid w:val="006D598B"/>
    <w:rsid w:val="006E1D97"/>
    <w:rsid w:val="006E4BE0"/>
    <w:rsid w:val="006F036C"/>
    <w:rsid w:val="006F765A"/>
    <w:rsid w:val="006F7F31"/>
    <w:rsid w:val="00700EB8"/>
    <w:rsid w:val="00702586"/>
    <w:rsid w:val="00703DCD"/>
    <w:rsid w:val="00706852"/>
    <w:rsid w:val="00712158"/>
    <w:rsid w:val="00720D77"/>
    <w:rsid w:val="00726240"/>
    <w:rsid w:val="007275EE"/>
    <w:rsid w:val="00732613"/>
    <w:rsid w:val="00734EE4"/>
    <w:rsid w:val="007418BE"/>
    <w:rsid w:val="00744D3B"/>
    <w:rsid w:val="00751096"/>
    <w:rsid w:val="0075378C"/>
    <w:rsid w:val="00764B71"/>
    <w:rsid w:val="0077392C"/>
    <w:rsid w:val="007775CF"/>
    <w:rsid w:val="00783165"/>
    <w:rsid w:val="007878A7"/>
    <w:rsid w:val="007A671B"/>
    <w:rsid w:val="007B173A"/>
    <w:rsid w:val="007B431F"/>
    <w:rsid w:val="007B5F59"/>
    <w:rsid w:val="007B7061"/>
    <w:rsid w:val="007B75A1"/>
    <w:rsid w:val="007C62EE"/>
    <w:rsid w:val="007C73F5"/>
    <w:rsid w:val="007D019B"/>
    <w:rsid w:val="007D3018"/>
    <w:rsid w:val="007E0C9A"/>
    <w:rsid w:val="007F304D"/>
    <w:rsid w:val="007F766D"/>
    <w:rsid w:val="00802B63"/>
    <w:rsid w:val="00805014"/>
    <w:rsid w:val="00811602"/>
    <w:rsid w:val="008216EB"/>
    <w:rsid w:val="00822614"/>
    <w:rsid w:val="008321C1"/>
    <w:rsid w:val="008323B3"/>
    <w:rsid w:val="008405B2"/>
    <w:rsid w:val="008500FB"/>
    <w:rsid w:val="00852F12"/>
    <w:rsid w:val="00873A40"/>
    <w:rsid w:val="00880C90"/>
    <w:rsid w:val="00882C45"/>
    <w:rsid w:val="00887CE8"/>
    <w:rsid w:val="0089216B"/>
    <w:rsid w:val="0089620E"/>
    <w:rsid w:val="008A5EBB"/>
    <w:rsid w:val="008A79DC"/>
    <w:rsid w:val="008B6A62"/>
    <w:rsid w:val="008C23F0"/>
    <w:rsid w:val="008D4693"/>
    <w:rsid w:val="008F144F"/>
    <w:rsid w:val="008F1B77"/>
    <w:rsid w:val="008F4416"/>
    <w:rsid w:val="008F4866"/>
    <w:rsid w:val="0090002B"/>
    <w:rsid w:val="009017E0"/>
    <w:rsid w:val="0092522D"/>
    <w:rsid w:val="00926C1F"/>
    <w:rsid w:val="00931CC7"/>
    <w:rsid w:val="00933976"/>
    <w:rsid w:val="00934EBC"/>
    <w:rsid w:val="00934FB6"/>
    <w:rsid w:val="00937A2F"/>
    <w:rsid w:val="00952DAB"/>
    <w:rsid w:val="00955980"/>
    <w:rsid w:val="0096449B"/>
    <w:rsid w:val="00973307"/>
    <w:rsid w:val="00980B82"/>
    <w:rsid w:val="009819E2"/>
    <w:rsid w:val="00983518"/>
    <w:rsid w:val="00984DB0"/>
    <w:rsid w:val="0099049A"/>
    <w:rsid w:val="009A052E"/>
    <w:rsid w:val="009A0564"/>
    <w:rsid w:val="009A11E7"/>
    <w:rsid w:val="009A142B"/>
    <w:rsid w:val="009A1FDF"/>
    <w:rsid w:val="009A4A67"/>
    <w:rsid w:val="009A6C71"/>
    <w:rsid w:val="009B2A75"/>
    <w:rsid w:val="009B63E9"/>
    <w:rsid w:val="009C40AA"/>
    <w:rsid w:val="009C41FF"/>
    <w:rsid w:val="009C5B71"/>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397"/>
    <w:rsid w:val="00A34C1A"/>
    <w:rsid w:val="00A579D1"/>
    <w:rsid w:val="00A57F44"/>
    <w:rsid w:val="00A67825"/>
    <w:rsid w:val="00A76446"/>
    <w:rsid w:val="00A76B59"/>
    <w:rsid w:val="00A969A0"/>
    <w:rsid w:val="00AA32A0"/>
    <w:rsid w:val="00AB1E5D"/>
    <w:rsid w:val="00AC1D74"/>
    <w:rsid w:val="00AC5F19"/>
    <w:rsid w:val="00AD3630"/>
    <w:rsid w:val="00AE4729"/>
    <w:rsid w:val="00AF0DF6"/>
    <w:rsid w:val="00AF585D"/>
    <w:rsid w:val="00B0033E"/>
    <w:rsid w:val="00B110B0"/>
    <w:rsid w:val="00B179A4"/>
    <w:rsid w:val="00B302F6"/>
    <w:rsid w:val="00B3054B"/>
    <w:rsid w:val="00B336C3"/>
    <w:rsid w:val="00B34901"/>
    <w:rsid w:val="00B42C89"/>
    <w:rsid w:val="00B512FE"/>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E3C21"/>
    <w:rsid w:val="00BF64C6"/>
    <w:rsid w:val="00BF7F42"/>
    <w:rsid w:val="00C0594F"/>
    <w:rsid w:val="00C1200F"/>
    <w:rsid w:val="00C1297E"/>
    <w:rsid w:val="00C2111C"/>
    <w:rsid w:val="00C33F5C"/>
    <w:rsid w:val="00C34FDE"/>
    <w:rsid w:val="00C36378"/>
    <w:rsid w:val="00C37B3A"/>
    <w:rsid w:val="00C47E78"/>
    <w:rsid w:val="00C51931"/>
    <w:rsid w:val="00C56205"/>
    <w:rsid w:val="00C60C8B"/>
    <w:rsid w:val="00C712BF"/>
    <w:rsid w:val="00C7529E"/>
    <w:rsid w:val="00C75C0B"/>
    <w:rsid w:val="00C762BE"/>
    <w:rsid w:val="00C85728"/>
    <w:rsid w:val="00C86BDC"/>
    <w:rsid w:val="00C902F2"/>
    <w:rsid w:val="00C90A4C"/>
    <w:rsid w:val="00C91665"/>
    <w:rsid w:val="00C94729"/>
    <w:rsid w:val="00CA3707"/>
    <w:rsid w:val="00CA4F8C"/>
    <w:rsid w:val="00CB4C6E"/>
    <w:rsid w:val="00CB79F1"/>
    <w:rsid w:val="00CC16CF"/>
    <w:rsid w:val="00CC6739"/>
    <w:rsid w:val="00CD25C4"/>
    <w:rsid w:val="00CD399B"/>
    <w:rsid w:val="00CD4572"/>
    <w:rsid w:val="00CD5653"/>
    <w:rsid w:val="00CD6E59"/>
    <w:rsid w:val="00D00EE5"/>
    <w:rsid w:val="00D05640"/>
    <w:rsid w:val="00D0655D"/>
    <w:rsid w:val="00D113A9"/>
    <w:rsid w:val="00D12FDA"/>
    <w:rsid w:val="00D15263"/>
    <w:rsid w:val="00D21049"/>
    <w:rsid w:val="00D444E7"/>
    <w:rsid w:val="00D44CE3"/>
    <w:rsid w:val="00D52B4F"/>
    <w:rsid w:val="00D5364C"/>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B7158"/>
    <w:rsid w:val="00DC4E2F"/>
    <w:rsid w:val="00DC590D"/>
    <w:rsid w:val="00DD2F15"/>
    <w:rsid w:val="00DE44A3"/>
    <w:rsid w:val="00DE796A"/>
    <w:rsid w:val="00DF19DD"/>
    <w:rsid w:val="00DF652B"/>
    <w:rsid w:val="00E015AC"/>
    <w:rsid w:val="00E0494C"/>
    <w:rsid w:val="00E1515A"/>
    <w:rsid w:val="00E176E7"/>
    <w:rsid w:val="00E2101B"/>
    <w:rsid w:val="00E323C0"/>
    <w:rsid w:val="00E369DB"/>
    <w:rsid w:val="00E36EB2"/>
    <w:rsid w:val="00E37644"/>
    <w:rsid w:val="00E51BAF"/>
    <w:rsid w:val="00E63CFD"/>
    <w:rsid w:val="00E642AB"/>
    <w:rsid w:val="00E74A34"/>
    <w:rsid w:val="00E760C7"/>
    <w:rsid w:val="00E8191C"/>
    <w:rsid w:val="00E90558"/>
    <w:rsid w:val="00E91B61"/>
    <w:rsid w:val="00E96DEF"/>
    <w:rsid w:val="00EA0788"/>
    <w:rsid w:val="00EA0F41"/>
    <w:rsid w:val="00EA14B6"/>
    <w:rsid w:val="00EA4B86"/>
    <w:rsid w:val="00EB2A61"/>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46C9"/>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2122821"/>
  <w15:docId w15:val="{FF9B6A83-4220-4902-9439-936EA867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Titre1">
    <w:name w:val="heading 1"/>
    <w:basedOn w:val="Normal"/>
    <w:next w:val="Normal"/>
    <w:qFormat/>
    <w:pPr>
      <w:keepNext/>
      <w:spacing w:before="120" w:after="120" w:line="360" w:lineRule="exact"/>
      <w:jc w:val="center"/>
      <w:outlineLvl w:val="0"/>
    </w:pPr>
    <w:rPr>
      <w:u w:val="single"/>
    </w:rPr>
  </w:style>
  <w:style w:type="paragraph" w:styleId="Titre2">
    <w:name w:val="heading 2"/>
    <w:basedOn w:val="Normal"/>
    <w:next w:val="Normal"/>
    <w:qFormat/>
    <w:pPr>
      <w:keepNext/>
      <w:spacing w:before="120" w:after="120" w:line="360" w:lineRule="exact"/>
      <w:jc w:val="center"/>
      <w:outlineLvl w:val="1"/>
    </w:pPr>
    <w:rPr>
      <w:u w:val="single"/>
    </w:rPr>
  </w:style>
  <w:style w:type="paragraph" w:styleId="Titre3">
    <w:name w:val="heading 3"/>
    <w:basedOn w:val="Normal"/>
    <w:next w:val="Normal"/>
    <w:qFormat/>
    <w:pPr>
      <w:keepNext/>
      <w:spacing w:before="120" w:after="120" w:line="360" w:lineRule="exact"/>
      <w:jc w:val="both"/>
      <w:outlineLvl w:val="2"/>
    </w:pPr>
    <w:rPr>
      <w:u w:val="single"/>
    </w:rPr>
  </w:style>
  <w:style w:type="paragraph" w:styleId="Titre4">
    <w:name w:val="heading 4"/>
    <w:basedOn w:val="Normal"/>
    <w:next w:val="Normal"/>
    <w:qFormat/>
    <w:pPr>
      <w:keepNext/>
      <w:spacing w:before="120" w:after="120" w:line="360" w:lineRule="exact"/>
      <w:jc w:val="both"/>
      <w:outlineLvl w:val="3"/>
    </w:pPr>
  </w:style>
  <w:style w:type="paragraph" w:styleId="Titre5">
    <w:name w:val="heading 5"/>
    <w:basedOn w:val="Normal"/>
    <w:next w:val="Normal"/>
    <w:qFormat/>
    <w:pPr>
      <w:keepNext/>
      <w:jc w:val="right"/>
      <w:outlineLvl w:val="4"/>
    </w:pPr>
    <w:rPr>
      <w:rFonts w:ascii="Times" w:hAnsi="Times" w:cs="Arabic Transparent"/>
      <w:b/>
      <w:bCs/>
      <w:noProof/>
      <w:szCs w:val="44"/>
    </w:rPr>
  </w:style>
  <w:style w:type="paragraph" w:styleId="Titre6">
    <w:name w:val="heading 6"/>
    <w:basedOn w:val="Normal"/>
    <w:next w:val="Normal"/>
    <w:qFormat/>
    <w:pPr>
      <w:keepNext/>
      <w:spacing w:before="120" w:after="120" w:line="360" w:lineRule="exact"/>
      <w:jc w:val="both"/>
      <w:outlineLvl w:val="5"/>
    </w:pPr>
    <w:rPr>
      <w:u w:val="single"/>
    </w:rPr>
  </w:style>
  <w:style w:type="paragraph" w:styleId="Titre7">
    <w:name w:val="heading 7"/>
    <w:basedOn w:val="Normal"/>
    <w:next w:val="Normal"/>
    <w:qFormat/>
    <w:pPr>
      <w:keepNext/>
      <w:jc w:val="center"/>
      <w:outlineLvl w:val="6"/>
    </w:pPr>
    <w:rPr>
      <w:rFonts w:ascii="Times" w:hAnsi="Times"/>
      <w:b/>
      <w:bCs/>
      <w:noProof/>
    </w:rPr>
  </w:style>
  <w:style w:type="paragraph" w:styleId="Titre8">
    <w:name w:val="heading 8"/>
    <w:basedOn w:val="Normal"/>
    <w:next w:val="Normal"/>
    <w:qFormat/>
    <w:pPr>
      <w:keepNext/>
      <w:jc w:val="center"/>
      <w:outlineLvl w:val="7"/>
    </w:pPr>
    <w:rPr>
      <w:b/>
      <w:bCs/>
      <w:sz w:val="30"/>
    </w:rPr>
  </w:style>
  <w:style w:type="paragraph" w:styleId="Titre9">
    <w:name w:val="heading 9"/>
    <w:basedOn w:val="Normal"/>
    <w:next w:val="Normal"/>
    <w:qFormat/>
    <w:pPr>
      <w:keepNext/>
      <w:spacing w:line="360" w:lineRule="exact"/>
      <w:jc w:val="center"/>
      <w:outlineLvl w:val="8"/>
    </w:pPr>
    <w:rPr>
      <w:rFonts w:ascii="Times" w:hAnsi="Times"/>
      <w:b/>
      <w:bCs/>
      <w:noProo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jc w:val="right"/>
    </w:pPr>
    <w:rPr>
      <w:rFonts w:ascii="Times" w:hAnsi="Times"/>
      <w:noProof/>
      <w:szCs w:val="24"/>
    </w:rPr>
  </w:style>
  <w:style w:type="character" w:styleId="Numrodepage">
    <w:name w:val="page number"/>
    <w:basedOn w:val="Policepardfaut"/>
  </w:style>
  <w:style w:type="paragraph" w:styleId="Pieddepage">
    <w:name w:val="footer"/>
    <w:basedOn w:val="Normal"/>
    <w:pPr>
      <w:tabs>
        <w:tab w:val="center" w:pos="4153"/>
        <w:tab w:val="right" w:pos="8306"/>
      </w:tabs>
      <w:jc w:val="right"/>
    </w:pPr>
    <w:rPr>
      <w:rFonts w:ascii="Times" w:hAnsi="Times"/>
      <w:noProof/>
      <w:szCs w:val="24"/>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
    <w:link w:val="NotedebasdepageCar"/>
    <w:qFormat/>
    <w:pPr>
      <w:jc w:val="right"/>
    </w:pPr>
    <w:rPr>
      <w:rFonts w:ascii="Times" w:hAnsi="Times"/>
      <w:noProof/>
      <w:szCs w:val="20"/>
    </w:rPr>
  </w:style>
  <w:style w:type="character" w:styleId="Appelnotedebasdep">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Corpsdetexte">
    <w:name w:val="Body Text"/>
    <w:basedOn w:val="Normal"/>
    <w:rPr>
      <w:rFonts w:ascii="Times" w:hAnsi="Times"/>
    </w:rPr>
  </w:style>
  <w:style w:type="paragraph" w:styleId="Corpsdetexte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E1443"/>
    <w:rPr>
      <w:rFonts w:ascii="Times" w:hAnsi="Times"/>
      <w:noProof/>
    </w:rPr>
  </w:style>
  <w:style w:type="paragraph" w:styleId="Textedebulles">
    <w:name w:val="Balloon Text"/>
    <w:basedOn w:val="Normal"/>
    <w:link w:val="TextedebullesCar"/>
    <w:rsid w:val="004F26CB"/>
    <w:rPr>
      <w:rFonts w:ascii="Tahoma" w:hAnsi="Tahoma" w:cs="Tahoma"/>
      <w:sz w:val="16"/>
      <w:szCs w:val="16"/>
    </w:rPr>
  </w:style>
  <w:style w:type="character" w:customStyle="1" w:styleId="TextedebullesCar">
    <w:name w:val="Texte de bulles Car"/>
    <w:link w:val="Textedebulles"/>
    <w:rsid w:val="004F26CB"/>
    <w:rPr>
      <w:rFonts w:ascii="Tahoma" w:hAnsi="Tahoma" w:cs="Tahoma"/>
      <w:sz w:val="16"/>
      <w:szCs w:val="16"/>
    </w:rPr>
  </w:style>
  <w:style w:type="paragraph" w:styleId="Normalcentr">
    <w:name w:val="Block Text"/>
    <w:basedOn w:val="Normal"/>
    <w:rsid w:val="00E176E7"/>
    <w:pPr>
      <w:bidi/>
      <w:ind w:left="720" w:hanging="720"/>
      <w:jc w:val="lowKashida"/>
    </w:pPr>
    <w:rPr>
      <w:rFonts w:ascii="Times" w:hAnsi="Times" w:cs="Mudir MT"/>
      <w:noProof/>
      <w:szCs w:val="24"/>
    </w:rPr>
  </w:style>
  <w:style w:type="paragraph" w:styleId="Corpsdetexte3">
    <w:name w:val="Body Text 3"/>
    <w:basedOn w:val="Normal"/>
    <w:link w:val="Corpsdetexte3Car"/>
    <w:rsid w:val="00E176E7"/>
    <w:pPr>
      <w:bidi/>
      <w:spacing w:before="240" w:line="360" w:lineRule="auto"/>
      <w:jc w:val="both"/>
    </w:pPr>
    <w:rPr>
      <w:rFonts w:ascii="Times" w:hAnsi="Times" w:cs="Simplified Arabic"/>
      <w:szCs w:val="28"/>
    </w:rPr>
  </w:style>
  <w:style w:type="character" w:customStyle="1" w:styleId="Corpsdetexte3Car">
    <w:name w:val="Corps de texte 3 Car"/>
    <w:basedOn w:val="Policepardfaut"/>
    <w:link w:val="Corpsdetexte3"/>
    <w:rsid w:val="00E176E7"/>
    <w:rPr>
      <w:rFonts w:ascii="Times" w:hAnsi="Times" w:cs="Simplified Arabic"/>
      <w:szCs w:val="28"/>
    </w:rPr>
  </w:style>
  <w:style w:type="character" w:styleId="Lienhypertexte">
    <w:name w:val="Hyperlink"/>
    <w:uiPriority w:val="99"/>
    <w:rsid w:val="00E176E7"/>
    <w:rPr>
      <w:color w:val="0000FF"/>
      <w:u w:val="single"/>
    </w:rPr>
  </w:style>
  <w:style w:type="paragraph" w:styleId="Retraitcorpsdetexte">
    <w:name w:val="Body Text Indent"/>
    <w:basedOn w:val="Normal"/>
    <w:link w:val="RetraitcorpsdetexteCar"/>
    <w:rsid w:val="00E176E7"/>
    <w:pPr>
      <w:bidi/>
      <w:spacing w:line="360" w:lineRule="exact"/>
      <w:ind w:left="13" w:firstLine="707"/>
      <w:jc w:val="both"/>
    </w:pPr>
    <w:rPr>
      <w:rFonts w:ascii="Times" w:hAnsi="Times" w:cs="Simplified Arabic"/>
      <w:szCs w:val="28"/>
    </w:rPr>
  </w:style>
  <w:style w:type="character" w:customStyle="1" w:styleId="RetraitcorpsdetexteCar">
    <w:name w:val="Retrait corps de texte Car"/>
    <w:basedOn w:val="Policepardfaut"/>
    <w:link w:val="Retraitcorpsdetexte"/>
    <w:rsid w:val="00E176E7"/>
    <w:rPr>
      <w:rFonts w:ascii="Times" w:hAnsi="Times" w:cs="Simplified Arabic"/>
      <w:szCs w:val="28"/>
    </w:rPr>
  </w:style>
  <w:style w:type="character" w:styleId="Lienhypertextesuivivisit">
    <w:name w:val="FollowedHyperlink"/>
    <w:rsid w:val="00E176E7"/>
    <w:rPr>
      <w:color w:val="800080"/>
      <w:u w:val="single"/>
    </w:rPr>
  </w:style>
  <w:style w:type="paragraph" w:styleId="Notedefin">
    <w:name w:val="endnote text"/>
    <w:basedOn w:val="Normal"/>
    <w:link w:val="NotedefinCar"/>
    <w:rsid w:val="00E176E7"/>
    <w:pPr>
      <w:bidi/>
    </w:pPr>
    <w:rPr>
      <w:rFonts w:ascii="Times" w:hAnsi="Times" w:cs="Simplified Arabic"/>
      <w:noProof/>
      <w:szCs w:val="20"/>
    </w:rPr>
  </w:style>
  <w:style w:type="character" w:customStyle="1" w:styleId="NotedefinCar">
    <w:name w:val="Note de fin Car"/>
    <w:basedOn w:val="Policepardfaut"/>
    <w:link w:val="Notedefin"/>
    <w:rsid w:val="00E176E7"/>
    <w:rPr>
      <w:rFonts w:ascii="Times" w:hAnsi="Times" w:cs="Simplified Arabic"/>
      <w:noProof/>
    </w:rPr>
  </w:style>
  <w:style w:type="character" w:styleId="Appeldenotedefin">
    <w:name w:val="endnote reference"/>
    <w:rsid w:val="00E176E7"/>
    <w:rPr>
      <w:vertAlign w:val="superscript"/>
    </w:rPr>
  </w:style>
  <w:style w:type="paragraph" w:styleId="Titre">
    <w:name w:val="Title"/>
    <w:basedOn w:val="Normal"/>
    <w:link w:val="TitreCar"/>
    <w:qFormat/>
    <w:rsid w:val="00E176E7"/>
    <w:pPr>
      <w:bidi/>
      <w:jc w:val="center"/>
    </w:pPr>
    <w:rPr>
      <w:rFonts w:cs="Simplified Arabic"/>
      <w:sz w:val="22"/>
      <w:szCs w:val="28"/>
      <w:u w:val="single"/>
    </w:rPr>
  </w:style>
  <w:style w:type="character" w:customStyle="1" w:styleId="TitreCar">
    <w:name w:val="Titre Car"/>
    <w:basedOn w:val="Policepardfaut"/>
    <w:link w:val="Titre"/>
    <w:rsid w:val="00E176E7"/>
    <w:rPr>
      <w:rFonts w:cs="Simplified Arabic"/>
      <w:sz w:val="22"/>
      <w:szCs w:val="28"/>
      <w:u w:val="single"/>
    </w:rPr>
  </w:style>
  <w:style w:type="paragraph" w:styleId="Sous-titre">
    <w:name w:val="Subtitle"/>
    <w:basedOn w:val="Normal"/>
    <w:link w:val="Sous-titreCar"/>
    <w:qFormat/>
    <w:rsid w:val="00E176E7"/>
    <w:pPr>
      <w:bidi/>
      <w:jc w:val="center"/>
    </w:pPr>
    <w:rPr>
      <w:rFonts w:cs="Simplified Arabic"/>
      <w:sz w:val="22"/>
      <w:szCs w:val="28"/>
      <w:u w:val="single"/>
    </w:rPr>
  </w:style>
  <w:style w:type="character" w:customStyle="1" w:styleId="Sous-titreCar">
    <w:name w:val="Sous-titre Car"/>
    <w:basedOn w:val="Policepardfaut"/>
    <w:link w:val="Sous-titre"/>
    <w:rsid w:val="00E176E7"/>
    <w:rPr>
      <w:rFonts w:cs="Simplified Arabic"/>
      <w:sz w:val="22"/>
      <w:szCs w:val="28"/>
      <w:u w:val="single"/>
    </w:rPr>
  </w:style>
  <w:style w:type="paragraph" w:styleId="Retraitcorpsdetexte2">
    <w:name w:val="Body Text Indent 2"/>
    <w:basedOn w:val="Normal"/>
    <w:link w:val="Retraitcorpsdetexte2Car"/>
    <w:rsid w:val="00E176E7"/>
    <w:pPr>
      <w:bidi/>
      <w:spacing w:line="360" w:lineRule="exact"/>
      <w:ind w:left="70" w:firstLine="600"/>
      <w:jc w:val="both"/>
    </w:pPr>
    <w:rPr>
      <w:rFonts w:cs="Simplified Arabic"/>
      <w:sz w:val="22"/>
      <w:szCs w:val="28"/>
    </w:rPr>
  </w:style>
  <w:style w:type="character" w:customStyle="1" w:styleId="Retraitcorpsdetexte2Car">
    <w:name w:val="Retrait corps de texte 2 Car"/>
    <w:basedOn w:val="Policepardfaut"/>
    <w:link w:val="Retraitcorpsdetexte2"/>
    <w:rsid w:val="00E176E7"/>
    <w:rPr>
      <w:rFonts w:cs="Simplified Arabic"/>
      <w:sz w:val="22"/>
      <w:szCs w:val="28"/>
    </w:rPr>
  </w:style>
  <w:style w:type="paragraph" w:styleId="Retraitcorpsdetexte3">
    <w:name w:val="Body Text Indent 3"/>
    <w:basedOn w:val="Normal"/>
    <w:link w:val="Retraitcorpsdetexte3Car"/>
    <w:rsid w:val="00E176E7"/>
    <w:pPr>
      <w:bidi/>
      <w:spacing w:line="360" w:lineRule="exact"/>
      <w:ind w:left="70" w:firstLine="600"/>
      <w:jc w:val="both"/>
    </w:pPr>
    <w:rPr>
      <w:rFonts w:cs="Simplified Arabic"/>
      <w:sz w:val="22"/>
      <w:szCs w:val="28"/>
    </w:rPr>
  </w:style>
  <w:style w:type="character" w:customStyle="1" w:styleId="Retraitcorpsdetexte3Car">
    <w:name w:val="Retrait corps de texte 3 Car"/>
    <w:basedOn w:val="Policepardfaut"/>
    <w:link w:val="Retraitcorpsdetexte3"/>
    <w:rsid w:val="00E176E7"/>
    <w:rPr>
      <w:rFonts w:cs="Simplified Arabic"/>
      <w:sz w:val="22"/>
      <w:szCs w:val="28"/>
    </w:rPr>
  </w:style>
  <w:style w:type="paragraph" w:styleId="Lgende">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Paragraphedeliste">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Grilledutableau">
    <w:name w:val="Table Grid"/>
    <w:basedOn w:val="Tableau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numbering" w:customStyle="1" w:styleId="WWNum25">
    <w:name w:val="WWNum25"/>
    <w:basedOn w:val="Aucuneliste"/>
    <w:rsid w:val="00DB7158"/>
    <w:pPr>
      <w:numPr>
        <w:numId w:val="4"/>
      </w:numPr>
    </w:pPr>
  </w:style>
  <w:style w:type="character" w:customStyle="1" w:styleId="UnresolvedMention1">
    <w:name w:val="Unresolved Mention1"/>
    <w:basedOn w:val="Policepardfaut"/>
    <w:uiPriority w:val="99"/>
    <w:semiHidden/>
    <w:unhideWhenUsed/>
    <w:rsid w:val="00486A9F"/>
    <w:rPr>
      <w:color w:val="605E5C"/>
      <w:shd w:val="clear" w:color="auto" w:fill="E1DFDD"/>
    </w:rPr>
  </w:style>
  <w:style w:type="numbering" w:customStyle="1" w:styleId="Importovanstyl7">
    <w:name w:val="Importovaný styl 7"/>
    <w:rsid w:val="00E8191C"/>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11221-D5F8-4B43-9B5F-080C8A5D0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1937</Words>
  <Characters>10657</Characters>
  <Application>Microsoft Office Word</Application>
  <DocSecurity>0</DocSecurity>
  <Lines>88</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UNEP/GC/25/00</vt:lpstr>
      <vt:lpstr>UNEP/GC/25/00</vt:lpstr>
    </vt:vector>
  </TitlesOfParts>
  <Company>UNON</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cp:lastModifiedBy>Stephanie Laruelle</cp:lastModifiedBy>
  <cp:revision>2</cp:revision>
  <cp:lastPrinted>2018-10-09T10:25:00Z</cp:lastPrinted>
  <dcterms:created xsi:type="dcterms:W3CDTF">2018-11-16T11:37:00Z</dcterms:created>
  <dcterms:modified xsi:type="dcterms:W3CDTF">2018-11-16T11:37:00Z</dcterms:modified>
</cp:coreProperties>
</file>