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40" w:type="dxa"/>
        <w:tblInd w:w="-34" w:type="dxa"/>
        <w:tblBorders>
          <w:bottom w:val="single" w:sz="24" w:space="0" w:color="auto"/>
          <w:insideH w:val="single" w:sz="8" w:space="0" w:color="auto"/>
        </w:tblBorders>
        <w:tblLayout w:type="fixed"/>
        <w:tblLook w:val="0000" w:firstRow="0" w:lastRow="0" w:firstColumn="0" w:lastColumn="0" w:noHBand="0" w:noVBand="0"/>
      </w:tblPr>
      <w:tblGrid>
        <w:gridCol w:w="3403"/>
        <w:gridCol w:w="4536"/>
        <w:gridCol w:w="1701"/>
      </w:tblGrid>
      <w:tr w:rsidR="00DE796A" w:rsidTr="001E1443">
        <w:trPr>
          <w:cantSplit/>
          <w:trHeight w:val="624"/>
        </w:trPr>
        <w:tc>
          <w:tcPr>
            <w:tcW w:w="3403" w:type="dxa"/>
            <w:tcBorders>
              <w:bottom w:val="nil"/>
            </w:tcBorders>
          </w:tcPr>
          <w:p w:rsidR="00DE796A" w:rsidRPr="00934FB6" w:rsidRDefault="00934FB6" w:rsidP="000B1AA7">
            <w:pPr>
              <w:spacing w:after="120" w:line="640" w:lineRule="exact"/>
              <w:rPr>
                <w:rFonts w:ascii="Arial" w:hAnsi="Arial" w:cs="Arial"/>
                <w:b/>
                <w:bCs/>
                <w:sz w:val="64"/>
                <w:szCs w:val="64"/>
                <w:rtl/>
              </w:rPr>
            </w:pPr>
            <w:r w:rsidRPr="00934FB6">
              <w:rPr>
                <w:rFonts w:ascii="Arial" w:hAnsi="Arial" w:cs="Arial"/>
                <w:b/>
                <w:bCs/>
                <w:sz w:val="64"/>
                <w:szCs w:val="64"/>
              </w:rPr>
              <w:t>MC</w:t>
            </w:r>
          </w:p>
        </w:tc>
        <w:tc>
          <w:tcPr>
            <w:tcW w:w="6237" w:type="dxa"/>
            <w:gridSpan w:val="2"/>
            <w:tcBorders>
              <w:bottom w:val="nil"/>
            </w:tcBorders>
          </w:tcPr>
          <w:p w:rsidR="00DE796A" w:rsidRPr="000844F9" w:rsidRDefault="00DE796A" w:rsidP="00614BE8">
            <w:pPr>
              <w:bidi/>
              <w:spacing w:line="640" w:lineRule="exact"/>
              <w:jc w:val="both"/>
              <w:rPr>
                <w:b/>
                <w:bCs/>
                <w:sz w:val="44"/>
                <w:szCs w:val="44"/>
                <w:rtl/>
              </w:rPr>
            </w:pPr>
            <w:proofErr w:type="gramStart"/>
            <w:r w:rsidRPr="000844F9">
              <w:rPr>
                <w:rFonts w:hint="cs"/>
                <w:b/>
                <w:bCs/>
                <w:sz w:val="44"/>
                <w:szCs w:val="44"/>
                <w:rtl/>
              </w:rPr>
              <w:t>الأمم</w:t>
            </w:r>
            <w:proofErr w:type="gramEnd"/>
            <w:r w:rsidRPr="000844F9">
              <w:rPr>
                <w:rFonts w:hint="cs"/>
                <w:b/>
                <w:bCs/>
                <w:sz w:val="44"/>
                <w:szCs w:val="44"/>
                <w:rtl/>
              </w:rPr>
              <w:t xml:space="preserve"> المتحدة</w:t>
            </w:r>
          </w:p>
        </w:tc>
      </w:tr>
      <w:tr w:rsidR="004B0A17" w:rsidTr="001E1443">
        <w:trPr>
          <w:cantSplit/>
          <w:trHeight w:val="254"/>
        </w:trPr>
        <w:tc>
          <w:tcPr>
            <w:tcW w:w="3403" w:type="dxa"/>
            <w:tcBorders>
              <w:top w:val="nil"/>
              <w:bottom w:val="single" w:sz="4" w:space="0" w:color="auto"/>
            </w:tcBorders>
          </w:tcPr>
          <w:p w:rsidR="004B0A17" w:rsidRPr="004B0A17" w:rsidRDefault="00115715" w:rsidP="001424BE">
            <w:pPr>
              <w:rPr>
                <w:rFonts w:cs="Times New Roman"/>
                <w:b/>
                <w:bCs/>
                <w:szCs w:val="20"/>
              </w:rPr>
            </w:pPr>
            <w:r w:rsidRPr="00AB507F">
              <w:rPr>
                <w:rFonts w:cs="Times New Roman"/>
                <w:b/>
                <w:bCs/>
                <w:sz w:val="28"/>
              </w:rPr>
              <w:t>UNEP</w:t>
            </w:r>
            <w:r>
              <w:rPr>
                <w:rFonts w:cs="Times New Roman"/>
              </w:rPr>
              <w:t>/</w:t>
            </w:r>
            <w:r w:rsidR="00934FB6">
              <w:rPr>
                <w:rFonts w:cs="Times New Roman"/>
                <w:szCs w:val="20"/>
              </w:rPr>
              <w:t xml:space="preserve"> MC/COP.1/</w:t>
            </w:r>
            <w:r w:rsidR="001424BE">
              <w:rPr>
                <w:rFonts w:cs="Times New Roman"/>
                <w:szCs w:val="20"/>
              </w:rPr>
              <w:t>24</w:t>
            </w:r>
          </w:p>
        </w:tc>
        <w:tc>
          <w:tcPr>
            <w:tcW w:w="6237" w:type="dxa"/>
            <w:gridSpan w:val="2"/>
            <w:tcBorders>
              <w:top w:val="nil"/>
              <w:bottom w:val="single" w:sz="4" w:space="0" w:color="auto"/>
            </w:tcBorders>
          </w:tcPr>
          <w:p w:rsidR="004B0A17" w:rsidRPr="004B0A17" w:rsidRDefault="004B0A17" w:rsidP="004B0A17">
            <w:pPr>
              <w:jc w:val="both"/>
              <w:rPr>
                <w:rFonts w:cs="Times New Roman"/>
                <w:b/>
                <w:bCs/>
                <w:szCs w:val="20"/>
                <w:rtl/>
              </w:rPr>
            </w:pPr>
          </w:p>
        </w:tc>
      </w:tr>
      <w:tr w:rsidR="00DE796A" w:rsidTr="00D0655D">
        <w:trPr>
          <w:cantSplit/>
          <w:trHeight w:val="2288"/>
        </w:trPr>
        <w:tc>
          <w:tcPr>
            <w:tcW w:w="3403" w:type="dxa"/>
            <w:tcBorders>
              <w:top w:val="single" w:sz="4" w:space="0" w:color="auto"/>
            </w:tcBorders>
          </w:tcPr>
          <w:p w:rsidR="00934FB6" w:rsidRPr="00A969A0" w:rsidRDefault="00934FB6" w:rsidP="00B42C89">
            <w:pPr>
              <w:spacing w:before="120"/>
              <w:jc w:val="both"/>
              <w:rPr>
                <w:rFonts w:cs="Times New Roman"/>
                <w:szCs w:val="20"/>
                <w:lang w:val="en-GB"/>
              </w:rPr>
            </w:pPr>
            <w:r w:rsidRPr="00A969A0">
              <w:rPr>
                <w:rFonts w:cs="Times New Roman"/>
                <w:szCs w:val="20"/>
              </w:rPr>
              <w:t>Distr.</w:t>
            </w:r>
            <w:r w:rsidRPr="00A969A0">
              <w:rPr>
                <w:rFonts w:cs="Times New Roman"/>
                <w:szCs w:val="20"/>
                <w:lang w:val="en-GB"/>
              </w:rPr>
              <w:t>: General</w:t>
            </w:r>
          </w:p>
          <w:p w:rsidR="00934FB6" w:rsidRPr="00A969A0" w:rsidRDefault="001424BE" w:rsidP="00934FB6">
            <w:pPr>
              <w:jc w:val="both"/>
              <w:rPr>
                <w:rFonts w:cs="Times New Roman"/>
                <w:szCs w:val="20"/>
              </w:rPr>
            </w:pPr>
            <w:r>
              <w:rPr>
                <w:rFonts w:cs="Times New Roman"/>
                <w:szCs w:val="20"/>
              </w:rPr>
              <w:t>21 April</w:t>
            </w:r>
            <w:r w:rsidR="00934FB6" w:rsidRPr="00A969A0">
              <w:rPr>
                <w:rFonts w:cs="Times New Roman"/>
                <w:szCs w:val="20"/>
              </w:rPr>
              <w:t xml:space="preserve"> 20</w:t>
            </w:r>
            <w:r w:rsidR="00934FB6">
              <w:rPr>
                <w:rFonts w:cs="Times New Roman"/>
                <w:szCs w:val="20"/>
              </w:rPr>
              <w:t>17</w:t>
            </w:r>
          </w:p>
          <w:p w:rsidR="00934FB6" w:rsidRPr="00A969A0" w:rsidRDefault="00934FB6" w:rsidP="00934FB6">
            <w:pPr>
              <w:pStyle w:val="Heading5"/>
              <w:spacing w:before="240"/>
              <w:ind w:left="34" w:right="34"/>
              <w:jc w:val="both"/>
              <w:rPr>
                <w:rFonts w:ascii="Times New Roman" w:hAnsi="Times New Roman" w:cs="Times New Roman"/>
                <w:b w:val="0"/>
                <w:bCs w:val="0"/>
                <w:noProof w:val="0"/>
                <w:szCs w:val="20"/>
                <w:rtl/>
              </w:rPr>
            </w:pPr>
            <w:r w:rsidRPr="00A969A0">
              <w:rPr>
                <w:rFonts w:ascii="Times New Roman" w:hAnsi="Times New Roman" w:cs="Times New Roman"/>
                <w:b w:val="0"/>
                <w:bCs w:val="0"/>
                <w:noProof w:val="0"/>
                <w:szCs w:val="20"/>
              </w:rPr>
              <w:t>Arabic</w:t>
            </w:r>
          </w:p>
          <w:p w:rsidR="00DE796A" w:rsidRDefault="00934FB6" w:rsidP="00934FB6">
            <w:pPr>
              <w:ind w:right="34"/>
              <w:jc w:val="both"/>
            </w:pPr>
            <w:r w:rsidRPr="00A969A0">
              <w:rPr>
                <w:rFonts w:cs="Times New Roman"/>
                <w:szCs w:val="20"/>
              </w:rPr>
              <w:t>Original: English</w:t>
            </w:r>
          </w:p>
        </w:tc>
        <w:tc>
          <w:tcPr>
            <w:tcW w:w="4536" w:type="dxa"/>
            <w:tcBorders>
              <w:top w:val="single" w:sz="4" w:space="0" w:color="auto"/>
            </w:tcBorders>
          </w:tcPr>
          <w:p w:rsidR="00DE796A" w:rsidRDefault="00DE796A" w:rsidP="00B42C89">
            <w:pPr>
              <w:bidi/>
              <w:spacing w:before="840" w:line="700" w:lineRule="exact"/>
              <w:ind w:left="34" w:hanging="17"/>
              <w:rPr>
                <w:rtl/>
              </w:rPr>
            </w:pPr>
            <w:r w:rsidRPr="00E760C7">
              <w:rPr>
                <w:rFonts w:hint="cs"/>
                <w:b/>
                <w:bCs/>
                <w:sz w:val="52"/>
                <w:szCs w:val="52"/>
                <w:rtl/>
              </w:rPr>
              <w:t>برنامج الأمم</w:t>
            </w:r>
            <w:r w:rsidR="00CD25C4">
              <w:rPr>
                <w:b/>
                <w:bCs/>
                <w:sz w:val="52"/>
                <w:szCs w:val="52"/>
              </w:rPr>
              <w:t xml:space="preserve"> </w:t>
            </w:r>
            <w:r w:rsidRPr="00E760C7">
              <w:rPr>
                <w:rFonts w:hint="cs"/>
                <w:b/>
                <w:bCs/>
                <w:sz w:val="52"/>
                <w:szCs w:val="52"/>
                <w:rtl/>
              </w:rPr>
              <w:t>المتحدة للبيئة</w:t>
            </w:r>
          </w:p>
        </w:tc>
        <w:tc>
          <w:tcPr>
            <w:tcW w:w="1701" w:type="dxa"/>
            <w:tcBorders>
              <w:top w:val="single" w:sz="4" w:space="0" w:color="auto"/>
            </w:tcBorders>
          </w:tcPr>
          <w:p w:rsidR="00DE796A" w:rsidRDefault="000B1AA7" w:rsidP="007B173A">
            <w:pPr>
              <w:spacing w:line="20" w:lineRule="exact"/>
              <w:jc w:val="right"/>
              <w:rPr>
                <w:rtl/>
              </w:rPr>
            </w:pPr>
            <w:r>
              <w:rPr>
                <w:noProof/>
              </w:rPr>
              <w:drawing>
                <wp:anchor distT="0" distB="0" distL="114300" distR="114300" simplePos="0" relativeHeight="251658240" behindDoc="0" locked="0" layoutInCell="1" allowOverlap="1" wp14:anchorId="2E146EBE" wp14:editId="60E92D5D">
                  <wp:simplePos x="0" y="0"/>
                  <wp:positionH relativeFrom="column">
                    <wp:posOffset>75565</wp:posOffset>
                  </wp:positionH>
                  <wp:positionV relativeFrom="paragraph">
                    <wp:posOffset>716915</wp:posOffset>
                  </wp:positionV>
                  <wp:extent cx="819150" cy="76517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b="9727"/>
                          <a:stretch>
                            <a:fillRect/>
                          </a:stretch>
                        </pic:blipFill>
                        <pic:spPr bwMode="auto">
                          <a:xfrm>
                            <a:off x="0" y="0"/>
                            <a:ext cx="819150" cy="765175"/>
                          </a:xfrm>
                          <a:prstGeom prst="rect">
                            <a:avLst/>
                          </a:prstGeom>
                          <a:noFill/>
                          <a:ln>
                            <a:noFill/>
                          </a:ln>
                        </pic:spPr>
                      </pic:pic>
                    </a:graphicData>
                  </a:graphic>
                  <wp14:sizeRelH relativeFrom="page">
                    <wp14:pctWidth>0</wp14:pctWidth>
                  </wp14:sizeRelH>
                  <wp14:sizeRelV relativeFrom="page">
                    <wp14:pctHeight>0</wp14:pctHeight>
                  </wp14:sizeRelV>
                </wp:anchor>
              </w:drawing>
            </w:r>
            <w:r w:rsidR="004A1FC4">
              <w:rPr>
                <w:noProof/>
              </w:rPr>
              <w:drawing>
                <wp:anchor distT="0" distB="0" distL="114300" distR="114300" simplePos="0" relativeHeight="251657216" behindDoc="1" locked="0" layoutInCell="1" allowOverlap="1" wp14:anchorId="6A854403" wp14:editId="158F1B3B">
                  <wp:simplePos x="0" y="0"/>
                  <wp:positionH relativeFrom="column">
                    <wp:posOffset>73025</wp:posOffset>
                  </wp:positionH>
                  <wp:positionV relativeFrom="paragraph">
                    <wp:posOffset>0</wp:posOffset>
                  </wp:positionV>
                  <wp:extent cx="763270" cy="718820"/>
                  <wp:effectExtent l="0" t="0" r="0" b="5080"/>
                  <wp:wrapTight wrapText="bothSides">
                    <wp:wrapPolygon edited="0">
                      <wp:start x="0" y="0"/>
                      <wp:lineTo x="0" y="21180"/>
                      <wp:lineTo x="21025" y="21180"/>
                      <wp:lineTo x="21025" y="0"/>
                      <wp:lineTo x="0" y="0"/>
                    </wp:wrapPolygon>
                  </wp:wrapTight>
                  <wp:docPr id="2" name="Picture 2" descr="#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63270" cy="7188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E796A" w:rsidRDefault="00DE796A" w:rsidP="007B173A">
            <w:pPr>
              <w:spacing w:line="20" w:lineRule="exact"/>
            </w:pPr>
          </w:p>
        </w:tc>
      </w:tr>
    </w:tbl>
    <w:tbl>
      <w:tblPr>
        <w:bidiVisual/>
        <w:tblW w:w="9640" w:type="dxa"/>
        <w:tblInd w:w="106" w:type="dxa"/>
        <w:tblBorders>
          <w:insideH w:val="single" w:sz="4" w:space="0" w:color="auto"/>
          <w:insideV w:val="single" w:sz="4" w:space="0" w:color="auto"/>
        </w:tblBorders>
        <w:tblLook w:val="0000" w:firstRow="0" w:lastRow="0" w:firstColumn="0" w:lastColumn="0" w:noHBand="0" w:noVBand="0"/>
      </w:tblPr>
      <w:tblGrid>
        <w:gridCol w:w="9640"/>
      </w:tblGrid>
      <w:tr w:rsidR="0090002B" w:rsidTr="00115715">
        <w:tc>
          <w:tcPr>
            <w:tcW w:w="9640" w:type="dxa"/>
          </w:tcPr>
          <w:p w:rsidR="006E1D97" w:rsidRDefault="00934FB6" w:rsidP="00EA5944">
            <w:pPr>
              <w:bidi/>
              <w:spacing w:before="60" w:line="360" w:lineRule="exact"/>
              <w:ind w:left="142" w:right="2019"/>
              <w:jc w:val="both"/>
              <w:rPr>
                <w:b/>
                <w:bCs/>
                <w:sz w:val="30"/>
                <w:rtl/>
              </w:rPr>
            </w:pPr>
            <w:r>
              <w:rPr>
                <w:rFonts w:hint="cs"/>
                <w:b/>
                <w:bCs/>
                <w:sz w:val="30"/>
                <w:rtl/>
              </w:rPr>
              <w:t>مؤتمر الأطراف في اتفاقية ميناماتا</w:t>
            </w:r>
          </w:p>
          <w:p w:rsidR="00934FB6" w:rsidRDefault="00934FB6" w:rsidP="006E1D97">
            <w:pPr>
              <w:bidi/>
              <w:spacing w:line="360" w:lineRule="exact"/>
              <w:ind w:left="142" w:right="2019"/>
              <w:jc w:val="both"/>
              <w:rPr>
                <w:b/>
                <w:bCs/>
                <w:sz w:val="30"/>
                <w:rtl/>
              </w:rPr>
            </w:pPr>
            <w:r>
              <w:rPr>
                <w:rFonts w:hint="cs"/>
                <w:b/>
                <w:bCs/>
                <w:sz w:val="30"/>
                <w:rtl/>
              </w:rPr>
              <w:t>بشأن الزئبق</w:t>
            </w:r>
          </w:p>
          <w:p w:rsidR="00934FB6" w:rsidRPr="00A579D1" w:rsidRDefault="00934FB6" w:rsidP="00934FB6">
            <w:pPr>
              <w:bidi/>
              <w:spacing w:line="360" w:lineRule="exact"/>
              <w:ind w:left="142" w:right="748"/>
              <w:jc w:val="both"/>
              <w:rPr>
                <w:b/>
                <w:bCs/>
                <w:sz w:val="30"/>
                <w:rtl/>
              </w:rPr>
            </w:pPr>
            <w:proofErr w:type="gramStart"/>
            <w:r>
              <w:rPr>
                <w:rFonts w:hint="cs"/>
                <w:b/>
                <w:bCs/>
                <w:sz w:val="30"/>
                <w:rtl/>
              </w:rPr>
              <w:t>الاجتماع</w:t>
            </w:r>
            <w:proofErr w:type="gramEnd"/>
            <w:r>
              <w:rPr>
                <w:rFonts w:hint="cs"/>
                <w:b/>
                <w:bCs/>
                <w:sz w:val="30"/>
                <w:rtl/>
              </w:rPr>
              <w:t xml:space="preserve"> الأول</w:t>
            </w:r>
          </w:p>
          <w:p w:rsidR="00934FB6" w:rsidRDefault="00934FB6" w:rsidP="00934FB6">
            <w:pPr>
              <w:bidi/>
              <w:spacing w:line="360" w:lineRule="exact"/>
              <w:ind w:left="142"/>
              <w:jc w:val="both"/>
              <w:rPr>
                <w:rFonts w:ascii="Traditional Arabic" w:hAnsi="Traditional Arabic"/>
                <w:sz w:val="30"/>
                <w:rtl/>
              </w:rPr>
            </w:pPr>
            <w:r>
              <w:rPr>
                <w:rFonts w:ascii="Traditional Arabic" w:hAnsi="Traditional Arabic" w:hint="cs"/>
                <w:sz w:val="30"/>
                <w:rtl/>
              </w:rPr>
              <w:t>جنيف،</w:t>
            </w:r>
            <w:r w:rsidRPr="00895AF3">
              <w:rPr>
                <w:rFonts w:ascii="Traditional Arabic" w:hAnsi="Traditional Arabic"/>
                <w:sz w:val="30"/>
                <w:rtl/>
              </w:rPr>
              <w:t xml:space="preserve"> </w:t>
            </w:r>
            <w:r>
              <w:rPr>
                <w:rFonts w:ascii="Traditional Arabic" w:hAnsi="Traditional Arabic" w:hint="cs"/>
                <w:sz w:val="30"/>
                <w:rtl/>
              </w:rPr>
              <w:t>24</w:t>
            </w:r>
            <w:r w:rsidRPr="00895AF3">
              <w:rPr>
                <w:rFonts w:ascii="Traditional Arabic" w:hAnsi="Traditional Arabic"/>
                <w:sz w:val="30"/>
                <w:rtl/>
              </w:rPr>
              <w:t>-</w:t>
            </w:r>
            <w:r>
              <w:rPr>
                <w:rFonts w:ascii="Traditional Arabic" w:hAnsi="Traditional Arabic" w:hint="cs"/>
                <w:sz w:val="30"/>
                <w:rtl/>
              </w:rPr>
              <w:t>29</w:t>
            </w:r>
            <w:r w:rsidRPr="00895AF3">
              <w:rPr>
                <w:rFonts w:ascii="Traditional Arabic" w:hAnsi="Traditional Arabic"/>
                <w:sz w:val="30"/>
                <w:rtl/>
              </w:rPr>
              <w:t xml:space="preserve"> </w:t>
            </w:r>
            <w:proofErr w:type="gramStart"/>
            <w:r>
              <w:rPr>
                <w:rFonts w:ascii="Traditional Arabic" w:hAnsi="Traditional Arabic" w:hint="cs"/>
                <w:sz w:val="30"/>
                <w:rtl/>
              </w:rPr>
              <w:t>أيلول</w:t>
            </w:r>
            <w:proofErr w:type="gramEnd"/>
            <w:r>
              <w:rPr>
                <w:rFonts w:ascii="Traditional Arabic" w:hAnsi="Traditional Arabic"/>
                <w:sz w:val="30"/>
                <w:rtl/>
              </w:rPr>
              <w:t>/</w:t>
            </w:r>
            <w:r>
              <w:rPr>
                <w:rFonts w:ascii="Traditional Arabic" w:hAnsi="Traditional Arabic" w:hint="cs"/>
                <w:sz w:val="30"/>
                <w:rtl/>
              </w:rPr>
              <w:t>سبتمبر</w:t>
            </w:r>
            <w:r w:rsidRPr="00895AF3">
              <w:rPr>
                <w:rFonts w:ascii="Traditional Arabic" w:hAnsi="Traditional Arabic"/>
                <w:sz w:val="30"/>
                <w:rtl/>
              </w:rPr>
              <w:t xml:space="preserve"> 201</w:t>
            </w:r>
            <w:r>
              <w:rPr>
                <w:rFonts w:ascii="Traditional Arabic" w:hAnsi="Traditional Arabic" w:hint="cs"/>
                <w:sz w:val="30"/>
                <w:rtl/>
              </w:rPr>
              <w:t>7</w:t>
            </w:r>
          </w:p>
          <w:p w:rsidR="00AA32A0" w:rsidRDefault="00934FB6" w:rsidP="00BE5645">
            <w:pPr>
              <w:bidi/>
              <w:spacing w:line="360" w:lineRule="exact"/>
              <w:ind w:left="142"/>
              <w:jc w:val="both"/>
              <w:rPr>
                <w:rStyle w:val="FootnoteReference"/>
                <w:rFonts w:cs="Times New Roman"/>
                <w:sz w:val="24"/>
                <w:szCs w:val="24"/>
                <w:rtl/>
              </w:rPr>
            </w:pPr>
            <w:r>
              <w:rPr>
                <w:rFonts w:ascii="Traditional Arabic" w:hAnsi="Traditional Arabic" w:hint="cs"/>
                <w:sz w:val="30"/>
                <w:rtl/>
              </w:rPr>
              <w:t xml:space="preserve">البند </w:t>
            </w:r>
            <w:r w:rsidR="00BE5645">
              <w:rPr>
                <w:rFonts w:ascii="Traditional Arabic" w:hAnsi="Traditional Arabic" w:hint="cs"/>
                <w:sz w:val="30"/>
                <w:rtl/>
              </w:rPr>
              <w:t>6</w:t>
            </w:r>
            <w:r>
              <w:rPr>
                <w:rFonts w:ascii="Traditional Arabic" w:hAnsi="Traditional Arabic" w:hint="cs"/>
                <w:sz w:val="30"/>
                <w:rtl/>
              </w:rPr>
              <w:t xml:space="preserve"> (</w:t>
            </w:r>
            <w:r w:rsidR="00BE5645">
              <w:rPr>
                <w:rFonts w:ascii="Traditional Arabic" w:hAnsi="Traditional Arabic" w:hint="cs"/>
                <w:sz w:val="30"/>
                <w:rtl/>
              </w:rPr>
              <w:t>و</w:t>
            </w:r>
            <w:r>
              <w:rPr>
                <w:rFonts w:ascii="Traditional Arabic" w:hAnsi="Traditional Arabic" w:hint="cs"/>
                <w:sz w:val="30"/>
                <w:rtl/>
              </w:rPr>
              <w:t xml:space="preserve">) </w:t>
            </w:r>
            <w:proofErr w:type="gramStart"/>
            <w:r>
              <w:rPr>
                <w:rFonts w:ascii="Traditional Arabic" w:hAnsi="Traditional Arabic" w:hint="cs"/>
                <w:sz w:val="30"/>
                <w:rtl/>
              </w:rPr>
              <w:t>من</w:t>
            </w:r>
            <w:proofErr w:type="gramEnd"/>
            <w:r>
              <w:rPr>
                <w:rFonts w:ascii="Traditional Arabic" w:hAnsi="Traditional Arabic" w:hint="cs"/>
                <w:sz w:val="30"/>
                <w:rtl/>
              </w:rPr>
              <w:t xml:space="preserve"> جدول الأعمال المؤقت</w:t>
            </w:r>
            <w:r w:rsidRPr="00980912">
              <w:rPr>
                <w:rStyle w:val="FootnoteReference"/>
                <w:rFonts w:cs="Times New Roman"/>
                <w:sz w:val="24"/>
                <w:szCs w:val="24"/>
                <w:rtl/>
              </w:rPr>
              <w:footnoteReference w:customMarkFollows="1" w:id="1"/>
              <w:t>*</w:t>
            </w:r>
          </w:p>
          <w:p w:rsidR="00BE5645" w:rsidRPr="00BE5645" w:rsidRDefault="00BE5645" w:rsidP="00BE5645">
            <w:pPr>
              <w:bidi/>
              <w:spacing w:line="360" w:lineRule="exact"/>
              <w:ind w:left="142" w:right="5421"/>
              <w:jc w:val="both"/>
              <w:rPr>
                <w:b/>
                <w:bCs/>
                <w:sz w:val="28"/>
                <w:szCs w:val="28"/>
                <w:rtl/>
              </w:rPr>
            </w:pPr>
            <w:r w:rsidRPr="00BE5645">
              <w:rPr>
                <w:rFonts w:ascii="Traditional Arabic" w:hAnsi="Traditional Arabic"/>
                <w:b/>
                <w:bCs/>
                <w:sz w:val="28"/>
                <w:szCs w:val="28"/>
                <w:rtl/>
              </w:rPr>
              <w:t>مسائل تنص عليها الاتفاقية ويتعين أن يتخذ مؤتمر الأطراف إجراءات بشأنها:</w:t>
            </w:r>
            <w:r w:rsidRPr="00BE5645">
              <w:rPr>
                <w:rFonts w:ascii="Traditional Arabic" w:hAnsi="Traditional Arabic" w:hint="cs"/>
                <w:b/>
                <w:bCs/>
                <w:sz w:val="28"/>
                <w:szCs w:val="28"/>
                <w:rtl/>
              </w:rPr>
              <w:t xml:space="preserve"> </w:t>
            </w:r>
            <w:r w:rsidRPr="00BE5645">
              <w:rPr>
                <w:rFonts w:ascii="Traditional Arabic" w:hAnsi="Traditional Arabic"/>
                <w:b/>
                <w:bCs/>
                <w:sz w:val="28"/>
                <w:szCs w:val="28"/>
                <w:rtl/>
              </w:rPr>
              <w:t>التوجيهات المشار إليها في الفقرات 7 (أ) و7 (ب) من المادة 9</w:t>
            </w:r>
          </w:p>
        </w:tc>
      </w:tr>
    </w:tbl>
    <w:p w:rsidR="00BE5645" w:rsidRPr="00BE5645" w:rsidRDefault="00BE5645" w:rsidP="00BE5645">
      <w:pPr>
        <w:bidi/>
        <w:spacing w:before="360" w:after="120" w:line="400" w:lineRule="exact"/>
        <w:ind w:left="1134"/>
        <w:jc w:val="both"/>
        <w:rPr>
          <w:rFonts w:ascii="Traditional Arabic" w:hAnsi="Traditional Arabic"/>
          <w:bCs/>
          <w:sz w:val="30"/>
          <w:rtl/>
          <w:lang w:eastAsia="zh-TW"/>
        </w:rPr>
      </w:pPr>
      <w:r w:rsidRPr="00BE5645">
        <w:rPr>
          <w:rFonts w:ascii="Traditional Arabic" w:hAnsi="Traditional Arabic" w:hint="cs"/>
          <w:bCs/>
          <w:sz w:val="34"/>
          <w:szCs w:val="34"/>
          <w:rtl/>
          <w:lang w:eastAsia="zh-TW"/>
        </w:rPr>
        <w:t xml:space="preserve">التوجيهات المتعلقة بإطلاقات الزئبق (المادة 9)، </w:t>
      </w:r>
      <w:r w:rsidRPr="00BE5645">
        <w:rPr>
          <w:rFonts w:ascii="Traditional Arabic" w:hAnsi="Traditional Arabic"/>
          <w:bCs/>
          <w:sz w:val="34"/>
          <w:szCs w:val="34"/>
          <w:rtl/>
          <w:lang w:eastAsia="zh-TW"/>
        </w:rPr>
        <w:t>ولا</w:t>
      </w:r>
      <w:r>
        <w:rPr>
          <w:rFonts w:ascii="Traditional Arabic" w:hAnsi="Traditional Arabic" w:hint="cs"/>
          <w:bCs/>
          <w:sz w:val="34"/>
          <w:szCs w:val="34"/>
          <w:rtl/>
          <w:lang w:eastAsia="zh-TW"/>
        </w:rPr>
        <w:t xml:space="preserve"> </w:t>
      </w:r>
      <w:r w:rsidRPr="00BE5645">
        <w:rPr>
          <w:rFonts w:ascii="Traditional Arabic" w:hAnsi="Traditional Arabic"/>
          <w:bCs/>
          <w:sz w:val="34"/>
          <w:szCs w:val="34"/>
          <w:rtl/>
          <w:lang w:eastAsia="zh-TW"/>
        </w:rPr>
        <w:t>سيما فيما يتعلق بأفضل التقنيات المتاحة وأفضل الممارسات البيئية (الفقرة ٧ (أ)</w:t>
      </w:r>
      <w:r w:rsidRPr="00BE5645">
        <w:rPr>
          <w:rFonts w:ascii="Traditional Arabic" w:hAnsi="Traditional Arabic" w:hint="cs"/>
          <w:bCs/>
          <w:sz w:val="34"/>
          <w:szCs w:val="34"/>
          <w:rtl/>
          <w:lang w:eastAsia="zh-TW"/>
        </w:rPr>
        <w:t>)</w:t>
      </w:r>
      <w:r w:rsidRPr="00BE5645">
        <w:rPr>
          <w:rFonts w:ascii="Traditional Arabic" w:hAnsi="Traditional Arabic"/>
          <w:bCs/>
          <w:sz w:val="34"/>
          <w:szCs w:val="34"/>
          <w:rtl/>
          <w:lang w:eastAsia="zh-TW"/>
        </w:rPr>
        <w:t xml:space="preserve"> </w:t>
      </w:r>
      <w:r w:rsidRPr="00BE5645">
        <w:rPr>
          <w:rFonts w:ascii="Traditional Arabic" w:hAnsi="Traditional Arabic" w:hint="cs"/>
          <w:bCs/>
          <w:sz w:val="34"/>
          <w:szCs w:val="34"/>
          <w:rtl/>
          <w:lang w:eastAsia="zh-TW"/>
        </w:rPr>
        <w:t>و</w:t>
      </w:r>
      <w:r w:rsidRPr="00BE5645">
        <w:rPr>
          <w:rFonts w:ascii="Traditional Arabic" w:hAnsi="Traditional Arabic"/>
          <w:bCs/>
          <w:sz w:val="34"/>
          <w:szCs w:val="34"/>
          <w:rtl/>
          <w:lang w:eastAsia="zh-TW"/>
        </w:rPr>
        <w:t xml:space="preserve">منهجية إعداد قوائم جرد </w:t>
      </w:r>
      <w:r w:rsidRPr="00BE5645">
        <w:rPr>
          <w:rFonts w:ascii="Traditional Arabic" w:hAnsi="Traditional Arabic" w:hint="cs"/>
          <w:bCs/>
          <w:sz w:val="34"/>
          <w:szCs w:val="34"/>
          <w:rtl/>
          <w:lang w:eastAsia="zh-TW"/>
        </w:rPr>
        <w:t>الإطلاقات</w:t>
      </w:r>
      <w:r w:rsidRPr="00BE5645">
        <w:rPr>
          <w:rFonts w:ascii="Traditional Arabic" w:hAnsi="Traditional Arabic"/>
          <w:bCs/>
          <w:sz w:val="34"/>
          <w:szCs w:val="34"/>
          <w:rtl/>
          <w:lang w:eastAsia="zh-TW"/>
        </w:rPr>
        <w:t xml:space="preserve"> (الفقرة ٧ (ب))</w:t>
      </w:r>
    </w:p>
    <w:p w:rsidR="00BE5645" w:rsidRPr="00EA5944" w:rsidRDefault="00BE5645" w:rsidP="00BE5645">
      <w:pPr>
        <w:bidi/>
        <w:spacing w:before="240" w:after="120" w:line="400" w:lineRule="exact"/>
        <w:ind w:left="1134"/>
        <w:jc w:val="both"/>
        <w:rPr>
          <w:b/>
          <w:bCs/>
          <w:sz w:val="32"/>
          <w:szCs w:val="32"/>
          <w:rtl/>
        </w:rPr>
      </w:pPr>
      <w:proofErr w:type="gramStart"/>
      <w:r w:rsidRPr="00EA5944">
        <w:rPr>
          <w:rFonts w:ascii="Traditional Arabic" w:hAnsi="Traditional Arabic" w:hint="cs"/>
          <w:bCs/>
          <w:sz w:val="32"/>
          <w:szCs w:val="32"/>
          <w:rtl/>
          <w:lang w:eastAsia="zh-TW"/>
        </w:rPr>
        <w:t>مذكرة</w:t>
      </w:r>
      <w:proofErr w:type="gramEnd"/>
      <w:r w:rsidRPr="00EA5944">
        <w:rPr>
          <w:rFonts w:ascii="Traditional Arabic" w:hAnsi="Traditional Arabic" w:hint="cs"/>
          <w:bCs/>
          <w:sz w:val="32"/>
          <w:szCs w:val="32"/>
          <w:rtl/>
          <w:lang w:eastAsia="zh-TW"/>
        </w:rPr>
        <w:t xml:space="preserve"> من الأمانة</w:t>
      </w:r>
    </w:p>
    <w:p w:rsidR="00BE5645" w:rsidRPr="00BE5645" w:rsidRDefault="00BE5645" w:rsidP="000C37A2">
      <w:pPr>
        <w:pStyle w:val="ListParagraph"/>
        <w:numPr>
          <w:ilvl w:val="0"/>
          <w:numId w:val="19"/>
        </w:numPr>
        <w:tabs>
          <w:tab w:val="left" w:pos="1699"/>
        </w:tabs>
        <w:spacing w:after="120" w:line="400" w:lineRule="exact"/>
        <w:ind w:left="1132" w:firstLine="0"/>
        <w:contextualSpacing w:val="0"/>
        <w:jc w:val="both"/>
        <w:textDirection w:val="tbRlV"/>
        <w:rPr>
          <w:rFonts w:ascii="Times New Roman" w:hAnsi="Times New Roman" w:cs="Traditional Arabic"/>
          <w:sz w:val="16"/>
          <w:szCs w:val="30"/>
          <w:lang w:eastAsia="zh-TW"/>
        </w:rPr>
      </w:pPr>
      <w:r w:rsidRPr="00BE5645">
        <w:rPr>
          <w:rFonts w:ascii="Times New Roman" w:hAnsi="Times New Roman" w:cs="Traditional Arabic"/>
          <w:sz w:val="16"/>
          <w:szCs w:val="30"/>
          <w:rtl/>
          <w:lang w:eastAsia="zh-TW"/>
        </w:rPr>
        <w:t>تنص الفقرة ٧ من المادة ٩ من اتفاقية ميناماتا بشأن الزئبق على أن يقوم مؤتمر الأطراف، في أقرب وقت ممكن، باعتماد توجيهات بشأن أفضل التقنيات المتاحة وأفضل الممارسات البيئية، مع مراعاة أي اختلافات بين المصادر الجديدة والقائمة، والحاجة إلى التقليل إلى أدنى حد ممكن من الآثار الشاملة لعدة أوساط، والتوجيهات بشأن منهجية إعداد قوائم جرد الإطلاقات.</w:t>
      </w:r>
    </w:p>
    <w:p w:rsidR="00BE5645" w:rsidRPr="00BE5645" w:rsidRDefault="00BE5645" w:rsidP="000C37A2">
      <w:pPr>
        <w:pStyle w:val="ListParagraph"/>
        <w:numPr>
          <w:ilvl w:val="0"/>
          <w:numId w:val="19"/>
        </w:numPr>
        <w:tabs>
          <w:tab w:val="left" w:pos="1699"/>
        </w:tabs>
        <w:spacing w:after="120" w:line="400" w:lineRule="exact"/>
        <w:ind w:left="1132" w:firstLine="0"/>
        <w:contextualSpacing w:val="0"/>
        <w:jc w:val="both"/>
        <w:rPr>
          <w:rFonts w:ascii="Times New Roman" w:hAnsi="Times New Roman" w:cs="Traditional Arabic"/>
          <w:sz w:val="16"/>
          <w:szCs w:val="30"/>
          <w:lang w:eastAsia="zh-TW"/>
        </w:rPr>
      </w:pPr>
      <w:r w:rsidRPr="00BE5645">
        <w:rPr>
          <w:rFonts w:ascii="Times New Roman" w:hAnsi="Times New Roman" w:cs="Traditional Arabic"/>
          <w:sz w:val="16"/>
          <w:szCs w:val="30"/>
          <w:rtl/>
          <w:lang w:eastAsia="zh-TW"/>
        </w:rPr>
        <w:t>ولم يبدأ بعد العمل على وضع توجيهات بشأن أفضل التقنيات المتاحة وأفضل الممارسات البيئية من أجل اعتمادها. ويتطلب إعداد هذه التوجيهات معلومات عن فئات المصادر الثابتة ذات الصلة التي يتعين على كل طرف تحديدها، وفقاً للفقرة ٣ من المادة ٩، في موعد لا يتجاوز ثلاث سنوات من تاريخ بدء نفاذ الاتفاقية بالنسبة إلى ذلك الطرف. لذلك سيكون من الممكن بدء العمل بعد تحديد المصادر الثابتة ذات الصلة، ومن المتوقع أن يتطلب ذلك مدخلات من الخبراء التقنيين.</w:t>
      </w:r>
    </w:p>
    <w:p w:rsidR="00BE5645" w:rsidRPr="00BE5645" w:rsidRDefault="00BE5645" w:rsidP="000C37A2">
      <w:pPr>
        <w:pStyle w:val="ListParagraph"/>
        <w:numPr>
          <w:ilvl w:val="0"/>
          <w:numId w:val="19"/>
        </w:numPr>
        <w:tabs>
          <w:tab w:val="left" w:pos="1699"/>
        </w:tabs>
        <w:spacing w:after="120" w:line="400" w:lineRule="exact"/>
        <w:ind w:left="1132" w:firstLine="0"/>
        <w:contextualSpacing w:val="0"/>
        <w:jc w:val="both"/>
        <w:rPr>
          <w:rFonts w:ascii="Times New Roman" w:hAnsi="Times New Roman" w:cs="Traditional Arabic"/>
          <w:sz w:val="16"/>
          <w:szCs w:val="30"/>
          <w:lang w:eastAsia="zh-TW"/>
        </w:rPr>
      </w:pPr>
      <w:r w:rsidRPr="00BE5645">
        <w:rPr>
          <w:rFonts w:ascii="Times New Roman" w:hAnsi="Times New Roman" w:cs="Traditional Arabic"/>
          <w:sz w:val="16"/>
          <w:szCs w:val="30"/>
          <w:rtl/>
          <w:lang w:eastAsia="zh-TW"/>
        </w:rPr>
        <w:t xml:space="preserve">أما فيما يتعلق بوضع توجيهات بشأن منهجية إعداد قوائم جرد الإطلاقات فقد نظرت لجنة التفاوض الحكومية الدولية لإعداد صك عالمي ملزم قانوناً بشأن الزئبق في هذه المسألة، في دورتها السادسة، ولاحظت أن العمل الجاري في الوقت الحالي من جانب فريق الخبراء التقنيين الذي أنشأه مؤتمر المفوضين من أجل وضع </w:t>
      </w:r>
      <w:r w:rsidRPr="00BE5645">
        <w:rPr>
          <w:rFonts w:ascii="Times New Roman" w:hAnsi="Times New Roman" w:cs="Traditional Arabic"/>
          <w:sz w:val="16"/>
          <w:szCs w:val="30"/>
          <w:rtl/>
          <w:lang w:eastAsia="zh-TW"/>
        </w:rPr>
        <w:lastRenderedPageBreak/>
        <w:t xml:space="preserve">التوجيهات المطلوبة بمقتضى المادة ٨، بشأن الانبعاثات، ذو صلة بالمسائل المتعلقة بالإطلاقات. وأشير كذلك إلى أن مجموعة أدوات برنامج الأمم المتحدة للبيئة لتحديد وقياس كمية إطلاقات الزئبق ساعدت البلدان في تقييم إطلاقاتها، وستساعدها على تحديد مصادر الإطلاقات التي قد تعتبر ذات صلة وتتطلب اتخاذ إجراء بموجب الاتفاقية. </w:t>
      </w:r>
      <w:dir w:val="rtl">
        <w:r w:rsidRPr="00BE5645">
          <w:rPr>
            <w:rFonts w:ascii="Times New Roman" w:hAnsi="Times New Roman" w:cs="Traditional Arabic"/>
            <w:sz w:val="16"/>
            <w:szCs w:val="30"/>
            <w:rtl/>
            <w:lang w:eastAsia="zh-TW"/>
          </w:rPr>
          <w:t>وأحاطت اللجنة علماً بالتقرير الذي يتضمن معلومات أولية عن مصادر الإطلاقات ومنهجية إعداد قوائم الجرد (</w:t>
        </w:r>
        <w:r w:rsidRPr="00CA4CA7">
          <w:rPr>
            <w:rFonts w:asciiTheme="majorBidi" w:hAnsiTheme="majorBidi" w:cstheme="majorBidi"/>
            <w:szCs w:val="20"/>
            <w:lang w:eastAsia="zh-TW"/>
          </w:rPr>
          <w:t>UNEP(DTIE)/Hg/INC.6/15</w:t>
        </w:r>
        <w:r w:rsidRPr="00BE5645">
          <w:rPr>
            <w:rFonts w:ascii="Times New Roman" w:hAnsi="Times New Roman" w:cs="Traditional Arabic"/>
            <w:sz w:val="16"/>
            <w:szCs w:val="30"/>
            <w:rtl/>
            <w:lang w:eastAsia="zh-TW"/>
          </w:rPr>
          <w:t>)، وقالت إنها تنتظر نتائج الأعمال الإضافية لفريق الخبراء التقنيين بشأن هذه المسألة.</w:t>
        </w:r>
        <w:r w:rsidRPr="00BE5645">
          <w:rPr>
            <w:rFonts w:ascii="MS Mincho" w:eastAsia="MS Mincho" w:hAnsi="MS Mincho" w:cs="MS Mincho" w:hint="eastAsia"/>
            <w:sz w:val="16"/>
            <w:szCs w:val="30"/>
            <w:rtl/>
            <w:lang w:eastAsia="zh-TW"/>
          </w:rPr>
          <w:t>‬</w:t>
        </w:r>
        <w:r w:rsidRPr="00BE5645">
          <w:rPr>
            <w:rFonts w:ascii="Times New Roman" w:eastAsia="MS Mincho" w:hAnsi="Times New Roman" w:cs="Traditional Arabic" w:hint="eastAsia"/>
            <w:sz w:val="16"/>
            <w:szCs w:val="30"/>
            <w:lang w:eastAsia="zh-TW"/>
          </w:rPr>
          <w:t>‬</w:t>
        </w:r>
        <w:r w:rsidRPr="00BE5645">
          <w:rPr>
            <w:rFonts w:ascii="Times New Roman" w:eastAsia="MS Mincho" w:hAnsi="Times New Roman" w:cs="Traditional Arabic" w:hint="eastAsia"/>
            <w:sz w:val="16"/>
            <w:szCs w:val="30"/>
            <w:lang w:eastAsia="zh-TW"/>
          </w:rPr>
          <w:t>‬</w:t>
        </w:r>
        <w:r w:rsidRPr="00BE5645">
          <w:rPr>
            <w:rFonts w:ascii="Times New Roman" w:eastAsia="MS Mincho" w:hAnsi="Times New Roman" w:cs="Traditional Arabic" w:hint="eastAsia"/>
            <w:sz w:val="16"/>
            <w:szCs w:val="30"/>
            <w:lang w:eastAsia="zh-TW"/>
          </w:rPr>
          <w:t>‬</w:t>
        </w:r>
        <w:r w:rsidRPr="00BE5645">
          <w:rPr>
            <w:rFonts w:ascii="Times New Roman" w:eastAsia="MS Mincho" w:hAnsi="Times New Roman" w:cs="Traditional Arabic" w:hint="eastAsia"/>
            <w:sz w:val="16"/>
            <w:szCs w:val="30"/>
            <w:lang w:eastAsia="zh-TW"/>
          </w:rPr>
          <w:t>‬</w:t>
        </w:r>
        <w:r w:rsidRPr="00BE5645">
          <w:rPr>
            <w:rFonts w:ascii="Times New Roman" w:eastAsia="MS Mincho" w:hAnsi="Times New Roman" w:cs="Traditional Arabic" w:hint="eastAsia"/>
            <w:sz w:val="16"/>
            <w:szCs w:val="30"/>
            <w:lang w:eastAsia="zh-TW"/>
          </w:rPr>
          <w:t>‬</w:t>
        </w:r>
        <w:r w:rsidRPr="00BE5645">
          <w:rPr>
            <w:rFonts w:ascii="Times New Roman" w:eastAsia="MS Mincho" w:hAnsi="Times New Roman" w:cs="Traditional Arabic" w:hint="eastAsia"/>
            <w:sz w:val="16"/>
            <w:szCs w:val="30"/>
            <w:lang w:eastAsia="zh-TW"/>
          </w:rPr>
          <w:t>‬</w:t>
        </w:r>
        <w:r w:rsidR="005066BC">
          <w:t>‬</w:t>
        </w:r>
        <w:r w:rsidR="005B5412">
          <w:t>‬</w:t>
        </w:r>
      </w:dir>
    </w:p>
    <w:p w:rsidR="00BE5645" w:rsidRPr="00BE5645" w:rsidRDefault="00BE5645" w:rsidP="00CA4CA7">
      <w:pPr>
        <w:pStyle w:val="ListParagraph"/>
        <w:numPr>
          <w:ilvl w:val="0"/>
          <w:numId w:val="19"/>
        </w:numPr>
        <w:tabs>
          <w:tab w:val="left" w:pos="1699"/>
        </w:tabs>
        <w:spacing w:after="120" w:line="400" w:lineRule="exact"/>
        <w:ind w:left="1132" w:firstLine="0"/>
        <w:contextualSpacing w:val="0"/>
        <w:jc w:val="both"/>
        <w:rPr>
          <w:rFonts w:ascii="Times New Roman" w:hAnsi="Times New Roman" w:cs="Traditional Arabic"/>
          <w:sz w:val="16"/>
          <w:szCs w:val="30"/>
          <w:lang w:eastAsia="zh-TW"/>
        </w:rPr>
      </w:pPr>
      <w:r w:rsidRPr="00BE5645">
        <w:rPr>
          <w:rFonts w:ascii="Times New Roman" w:hAnsi="Times New Roman" w:cs="Traditional Arabic"/>
          <w:sz w:val="16"/>
          <w:szCs w:val="30"/>
          <w:rtl/>
          <w:lang w:eastAsia="zh-TW"/>
        </w:rPr>
        <w:t>واعتمدت لجنة التفاوض الحكومية الدولية، في دورتها السابعة، على أساس مؤقت، في انتظار الاعتماد الرسمي من جانب مؤتمر الأطراف في اجتماعه الأول، التوجيهات إلى الأطراف بشأن منهجية إعداد قوائم جرد الانبعاثات عملاً بالمادة ٨. وتحدد التوجيهات منهجية متدرجة يمكن اتباعها عند إعداد قائمة جرد، وتحيل إلى مجموعة أدوات الجرد الصادرة عن برنامج الأمم المتحدة للبيئة. إن هذه المنهجية هي منهجية عامة، رغم أنها صُممت مع وضع مصادر الانبعاثات في الاعتبار، ولذلك فقد يكون من الممكن تطبيقها على نطاق أوسع فيما يتعلق بمصادر الإطلاقات.</w:t>
      </w:r>
    </w:p>
    <w:p w:rsidR="00BE5645" w:rsidRPr="00BE5645" w:rsidRDefault="00BE5645" w:rsidP="00CA4CA7">
      <w:pPr>
        <w:pStyle w:val="ListParagraph"/>
        <w:numPr>
          <w:ilvl w:val="0"/>
          <w:numId w:val="19"/>
        </w:numPr>
        <w:tabs>
          <w:tab w:val="left" w:pos="1699"/>
        </w:tabs>
        <w:spacing w:after="120" w:line="400" w:lineRule="exact"/>
        <w:ind w:left="1132" w:firstLine="0"/>
        <w:contextualSpacing w:val="0"/>
        <w:jc w:val="both"/>
        <w:rPr>
          <w:rFonts w:ascii="Times New Roman" w:hAnsi="Times New Roman" w:cs="Traditional Arabic"/>
          <w:sz w:val="16"/>
          <w:szCs w:val="30"/>
          <w:lang w:eastAsia="zh-TW"/>
        </w:rPr>
      </w:pPr>
      <w:r w:rsidRPr="00BE5645">
        <w:rPr>
          <w:rFonts w:ascii="Times New Roman" w:hAnsi="Times New Roman" w:cs="Traditional Arabic"/>
          <w:sz w:val="16"/>
          <w:szCs w:val="30"/>
          <w:rtl/>
          <w:lang w:eastAsia="zh-TW"/>
        </w:rPr>
        <w:t>وتجدر الإشارة إلى أن البلدان التي تتهيأ لتنفيذ الاتفاقية، ولا</w:t>
      </w:r>
      <w:r w:rsidR="00CA4CA7">
        <w:rPr>
          <w:rFonts w:ascii="Times New Roman" w:hAnsi="Times New Roman" w:cs="Traditional Arabic" w:hint="cs"/>
          <w:sz w:val="16"/>
          <w:szCs w:val="30"/>
          <w:rtl/>
          <w:lang w:eastAsia="zh-TW"/>
        </w:rPr>
        <w:t xml:space="preserve"> </w:t>
      </w:r>
      <w:r w:rsidRPr="00BE5645">
        <w:rPr>
          <w:rFonts w:ascii="Times New Roman" w:hAnsi="Times New Roman" w:cs="Traditional Arabic"/>
          <w:sz w:val="16"/>
          <w:szCs w:val="30"/>
          <w:rtl/>
          <w:lang w:eastAsia="zh-TW"/>
        </w:rPr>
        <w:t>سيما تلك البلدان التي تتلقى دعماً من خلال تقييمات ميناماتا الأولية التي يمولها مرفق البيئة العالمية، تعكف على إعداد قوائم جرد لجميع انبعاثات وإطلاقات الزئبق على الصعيد الوطني. وتساعد قوائم الجرد البلدان في تحديد مسائل الزئبق الخاصة بها وتوفر معلومات لعملية الاستعراض القانوني والمقررات بشأن الضوابط الفعالة المتعلقة بالزئبق. وتضطلع الكثير</w:t>
      </w:r>
      <w:r w:rsidR="00CA4CA7">
        <w:rPr>
          <w:rFonts w:ascii="Times New Roman" w:hAnsi="Times New Roman" w:cs="Traditional Arabic"/>
          <w:sz w:val="16"/>
          <w:szCs w:val="30"/>
          <w:rtl/>
          <w:lang w:eastAsia="zh-TW"/>
        </w:rPr>
        <w:t xml:space="preserve"> من البلدان بتقيي</w:t>
      </w:r>
      <w:r w:rsidR="00CA4CA7">
        <w:rPr>
          <w:rFonts w:ascii="Times New Roman" w:hAnsi="Times New Roman" w:cs="Traditional Arabic" w:hint="cs"/>
          <w:sz w:val="16"/>
          <w:szCs w:val="30"/>
          <w:rtl/>
          <w:lang w:eastAsia="zh-TW"/>
        </w:rPr>
        <w:t>م</w:t>
      </w:r>
      <w:r w:rsidRPr="00BE5645">
        <w:rPr>
          <w:rFonts w:ascii="Times New Roman" w:hAnsi="Times New Roman" w:cs="Traditional Arabic"/>
          <w:sz w:val="16"/>
          <w:szCs w:val="30"/>
          <w:rtl/>
          <w:lang w:eastAsia="zh-TW"/>
        </w:rPr>
        <w:t xml:space="preserve"> على المستوى 1 باستخدام مجموعة أدوات الجرد الصادرة عن </w:t>
      </w:r>
      <w:bookmarkStart w:id="0" w:name="_GoBack"/>
      <w:bookmarkEnd w:id="0"/>
      <w:r w:rsidRPr="00BE5645">
        <w:rPr>
          <w:rFonts w:ascii="Times New Roman" w:hAnsi="Times New Roman" w:cs="Traditional Arabic"/>
          <w:sz w:val="16"/>
          <w:szCs w:val="30"/>
          <w:rtl/>
          <w:lang w:eastAsia="zh-TW"/>
        </w:rPr>
        <w:t>برنامج الأمم المتحدة للبيئة، مما يتيح تحديد مصادر دون تحديد كميات إطلاقاتها، بيد أن بعض البلدان تجري تقييماً أكثر تفصيلاً على المستوى 2، الذي يشمل تقييماً أكثر تفصيلاً ويأخذ في الاعتبار الإطلاقات الفعلية (وليس التقديرية).</w:t>
      </w:r>
    </w:p>
    <w:p w:rsidR="00BE5645" w:rsidRPr="00CA4CA7" w:rsidRDefault="00BE5645" w:rsidP="000C37A2">
      <w:pPr>
        <w:pStyle w:val="ListParagraph"/>
        <w:tabs>
          <w:tab w:val="left" w:pos="1699"/>
        </w:tabs>
        <w:spacing w:after="120" w:line="400" w:lineRule="exact"/>
        <w:ind w:left="1132"/>
        <w:contextualSpacing w:val="0"/>
        <w:jc w:val="both"/>
        <w:rPr>
          <w:rFonts w:ascii="Times New Roman" w:hAnsi="Times New Roman" w:cs="Traditional Arabic"/>
          <w:b/>
          <w:bCs/>
          <w:sz w:val="32"/>
          <w:szCs w:val="32"/>
          <w:lang w:eastAsia="zh-TW"/>
        </w:rPr>
      </w:pPr>
      <w:r w:rsidRPr="00CA4CA7">
        <w:rPr>
          <w:rFonts w:ascii="Times New Roman" w:hAnsi="Times New Roman" w:cs="Traditional Arabic"/>
          <w:b/>
          <w:bCs/>
          <w:sz w:val="32"/>
          <w:szCs w:val="32"/>
          <w:rtl/>
          <w:lang w:eastAsia="zh-TW"/>
        </w:rPr>
        <w:t>الإجراء المقترح اتخاذه من جانب مؤتمر الأطراف</w:t>
      </w:r>
    </w:p>
    <w:p w:rsidR="00D113A9" w:rsidRPr="00BE5645" w:rsidRDefault="00BE5645" w:rsidP="005066BC">
      <w:pPr>
        <w:pStyle w:val="ListParagraph"/>
        <w:numPr>
          <w:ilvl w:val="0"/>
          <w:numId w:val="19"/>
        </w:numPr>
        <w:tabs>
          <w:tab w:val="left" w:pos="1699"/>
        </w:tabs>
        <w:spacing w:line="400" w:lineRule="exact"/>
        <w:ind w:left="1134" w:firstLine="0"/>
        <w:contextualSpacing w:val="0"/>
        <w:jc w:val="both"/>
        <w:rPr>
          <w:rFonts w:ascii="Times New Roman" w:hAnsi="Times New Roman" w:cs="Traditional Arabic"/>
          <w:sz w:val="16"/>
          <w:szCs w:val="30"/>
          <w:rtl/>
          <w:lang w:eastAsia="zh-TW"/>
        </w:rPr>
      </w:pPr>
      <w:r w:rsidRPr="00BE5645">
        <w:rPr>
          <w:rFonts w:ascii="Times New Roman" w:hAnsi="Times New Roman" w:cs="Traditional Arabic"/>
          <w:sz w:val="16"/>
          <w:szCs w:val="30"/>
          <w:rtl/>
          <w:lang w:eastAsia="zh-TW"/>
        </w:rPr>
        <w:t>قد يرغب مؤتمر</w:t>
      </w:r>
      <w:r w:rsidR="005066BC">
        <w:rPr>
          <w:rFonts w:ascii="Times New Roman" w:hAnsi="Times New Roman" w:cs="Traditional Arabic" w:hint="cs"/>
          <w:sz w:val="16"/>
          <w:szCs w:val="30"/>
          <w:rtl/>
          <w:lang w:eastAsia="zh-TW"/>
        </w:rPr>
        <w:t xml:space="preserve"> الأطراف</w:t>
      </w:r>
      <w:r w:rsidRPr="00BE5645">
        <w:rPr>
          <w:rFonts w:ascii="Times New Roman" w:hAnsi="Times New Roman" w:cs="Traditional Arabic"/>
          <w:sz w:val="16"/>
          <w:szCs w:val="30"/>
          <w:rtl/>
          <w:lang w:eastAsia="zh-TW"/>
        </w:rPr>
        <w:t xml:space="preserve"> في أن يشجع الأطراف والبلدان على تحديد المصادر الثابتة ذات الصلة على الصعيد الوطني عملاً بالفقرة ٣ من المادة ٩ في أقرب وقت ممكن </w:t>
      </w:r>
      <w:r w:rsidR="00CA4CA7">
        <w:rPr>
          <w:rFonts w:ascii="Times New Roman" w:hAnsi="Times New Roman" w:cs="Traditional Arabic" w:hint="cs"/>
          <w:sz w:val="16"/>
          <w:szCs w:val="30"/>
          <w:rtl/>
          <w:lang w:eastAsia="zh-TW"/>
        </w:rPr>
        <w:t>-</w:t>
      </w:r>
      <w:r w:rsidRPr="00BE5645">
        <w:rPr>
          <w:rFonts w:ascii="Times New Roman" w:hAnsi="Times New Roman" w:cs="Traditional Arabic"/>
          <w:sz w:val="16"/>
          <w:szCs w:val="30"/>
          <w:rtl/>
          <w:lang w:eastAsia="zh-TW"/>
        </w:rPr>
        <w:t xml:space="preserve"> أي قبل الموعد النهائي </w:t>
      </w:r>
      <w:r w:rsidR="00CA4CA7">
        <w:rPr>
          <w:rFonts w:ascii="Times New Roman" w:hAnsi="Times New Roman" w:cs="Traditional Arabic" w:hint="cs"/>
          <w:sz w:val="16"/>
          <w:szCs w:val="30"/>
          <w:rtl/>
          <w:lang w:eastAsia="zh-TW"/>
        </w:rPr>
        <w:t>-</w:t>
      </w:r>
      <w:r w:rsidRPr="00BE5645">
        <w:rPr>
          <w:rFonts w:ascii="Times New Roman" w:hAnsi="Times New Roman" w:cs="Traditional Arabic"/>
          <w:sz w:val="16"/>
          <w:szCs w:val="30"/>
          <w:rtl/>
          <w:lang w:eastAsia="zh-TW"/>
        </w:rPr>
        <w:t xml:space="preserve"> وتقديم معلومات إلى الأمانة عن تحديد المصادر التي حُددت وعن كمية الإطلاقات السنوية من هذه المصادر. وقد يرغب مؤتمر</w:t>
      </w:r>
      <w:r w:rsidR="005066BC">
        <w:rPr>
          <w:rFonts w:ascii="Times New Roman" w:hAnsi="Times New Roman" w:cs="Traditional Arabic" w:hint="cs"/>
          <w:sz w:val="16"/>
          <w:szCs w:val="30"/>
          <w:rtl/>
          <w:lang w:eastAsia="zh-TW"/>
        </w:rPr>
        <w:t xml:space="preserve"> الأطراف</w:t>
      </w:r>
      <w:r w:rsidRPr="00BE5645">
        <w:rPr>
          <w:rFonts w:ascii="Times New Roman" w:hAnsi="Times New Roman" w:cs="Traditional Arabic"/>
          <w:sz w:val="16"/>
          <w:szCs w:val="30"/>
          <w:rtl/>
          <w:lang w:eastAsia="zh-TW"/>
        </w:rPr>
        <w:t xml:space="preserve"> في أن يطلب إلى الأمانة تجميع وتحليل المعلومات المقدمة من الأطراف وتقديم هذه المعلومات إلى المؤتمر في اجتماعه الثاني.</w:t>
      </w:r>
    </w:p>
    <w:p w:rsidR="00451ABD" w:rsidRPr="000C37A2" w:rsidRDefault="000C37A2" w:rsidP="00CA4CA7">
      <w:pPr>
        <w:pStyle w:val="ListParagraph"/>
        <w:tabs>
          <w:tab w:val="left" w:pos="1699"/>
        </w:tabs>
        <w:spacing w:line="400" w:lineRule="exact"/>
        <w:ind w:left="1134"/>
        <w:jc w:val="center"/>
        <w:rPr>
          <w:sz w:val="30"/>
          <w:rtl/>
        </w:rPr>
      </w:pPr>
      <w:r>
        <w:rPr>
          <w:rFonts w:ascii="Times New Roman" w:hAnsi="Times New Roman" w:cs="Traditional Arabic" w:hint="cs"/>
          <w:sz w:val="16"/>
          <w:szCs w:val="30"/>
          <w:rtl/>
          <w:lang w:eastAsia="zh-TW"/>
        </w:rPr>
        <w:t>__________</w:t>
      </w:r>
    </w:p>
    <w:sectPr w:rsidR="00451ABD" w:rsidRPr="000C37A2" w:rsidSect="00ED0538">
      <w:headerReference w:type="even" r:id="rId11"/>
      <w:headerReference w:type="default" r:id="rId12"/>
      <w:footerReference w:type="even" r:id="rId13"/>
      <w:footerReference w:type="default" r:id="rId14"/>
      <w:footerReference w:type="first" r:id="rId15"/>
      <w:endnotePr>
        <w:numFmt w:val="lowerLetter"/>
      </w:endnotePr>
      <w:type w:val="continuous"/>
      <w:pgSz w:w="11906" w:h="16838" w:code="9"/>
      <w:pgMar w:top="907" w:right="1418" w:bottom="1350" w:left="992" w:header="539" w:footer="975" w:gutter="0"/>
      <w:cols w:space="720"/>
      <w:titlePg/>
      <w:bidi/>
      <w:rtlGutter/>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042E" w:rsidRDefault="0042042E">
      <w:r>
        <w:separator/>
      </w:r>
    </w:p>
  </w:endnote>
  <w:endnote w:type="continuationSeparator" w:id="0">
    <w:p w:rsidR="0042042E" w:rsidRDefault="004204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aditional Arabic">
    <w:panose1 w:val="02020603050405020304"/>
    <w:charset w:val="00"/>
    <w:family w:val="roman"/>
    <w:pitch w:val="variable"/>
    <w:sig w:usb0="00002003" w:usb1="80000000" w:usb2="00000008" w:usb3="00000000" w:csb0="00000041" w:csb1="00000000"/>
  </w:font>
  <w:font w:name="Agency FB">
    <w:panose1 w:val="020B0503020202020204"/>
    <w:charset w:val="00"/>
    <w:family w:val="swiss"/>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Arabic Transparent">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udir MT">
    <w:panose1 w:val="00000000000000000000"/>
    <w:charset w:val="B2"/>
    <w:family w:val="auto"/>
    <w:pitch w:val="variable"/>
    <w:sig w:usb0="00002001" w:usb1="00000000" w:usb2="00000000" w:usb3="00000000" w:csb0="00000040" w:csb1="00000000"/>
  </w:font>
  <w:font w:name="Simplified Arabic">
    <w:panose1 w:val="02020603050405020304"/>
    <w:charset w:val="00"/>
    <w:family w:val="roman"/>
    <w:pitch w:val="variable"/>
    <w:sig w:usb0="00002003" w:usb1="00000000" w:usb2="00000000"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042E" w:rsidRPr="007B173A" w:rsidRDefault="0042042E" w:rsidP="00E0494C">
    <w:pPr>
      <w:pStyle w:val="Footer"/>
      <w:tabs>
        <w:tab w:val="clear" w:pos="4153"/>
        <w:tab w:val="clear" w:pos="8306"/>
      </w:tabs>
      <w:rPr>
        <w:rFonts w:ascii="Times New Roman" w:hAnsi="Times New Roman" w:cs="Times New Roman"/>
        <w:sz w:val="22"/>
        <w:szCs w:val="20"/>
        <w:rtl/>
      </w:rPr>
    </w:pPr>
    <w:r w:rsidRPr="007B173A">
      <w:rPr>
        <w:rStyle w:val="PageNumber"/>
        <w:rFonts w:ascii="Times New Roman" w:hAnsi="Times New Roman" w:cs="Times New Roman"/>
      </w:rPr>
      <w:fldChar w:fldCharType="begin"/>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instrText>PAGE</w:instrText>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fldChar w:fldCharType="separate"/>
    </w:r>
    <w:r w:rsidR="00522921">
      <w:rPr>
        <w:rStyle w:val="PageNumber"/>
        <w:rFonts w:ascii="Times New Roman" w:hAnsi="Times New Roman" w:cs="Times New Roman"/>
      </w:rPr>
      <w:t>2</w:t>
    </w:r>
    <w:r w:rsidRPr="007B173A">
      <w:rPr>
        <w:rStyle w:val="PageNumber"/>
        <w:rFonts w:ascii="Times New Roman" w:hAnsi="Times New Roman" w:cs="Times New Roman"/>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042E" w:rsidRPr="007B173A" w:rsidRDefault="0042042E" w:rsidP="00E0494C">
    <w:pPr>
      <w:pStyle w:val="Footer"/>
      <w:tabs>
        <w:tab w:val="clear" w:pos="4153"/>
        <w:tab w:val="clear" w:pos="8306"/>
      </w:tabs>
      <w:spacing w:before="40"/>
      <w:jc w:val="both"/>
      <w:rPr>
        <w:rFonts w:ascii="Times New Roman" w:hAnsi="Times New Roman" w:cs="Times New Roman"/>
        <w:sz w:val="22"/>
        <w:szCs w:val="20"/>
        <w:rtl/>
      </w:rPr>
    </w:pPr>
    <w:r w:rsidRPr="007B173A">
      <w:rPr>
        <w:rStyle w:val="PageNumber"/>
        <w:rFonts w:ascii="Times New Roman" w:hAnsi="Times New Roman" w:cs="Times New Roman"/>
      </w:rPr>
      <w:fldChar w:fldCharType="begin"/>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instrText>PAGE</w:instrText>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fldChar w:fldCharType="separate"/>
    </w:r>
    <w:r w:rsidR="00BE5645">
      <w:rPr>
        <w:rStyle w:val="PageNumber"/>
        <w:rFonts w:ascii="Times New Roman" w:hAnsi="Times New Roman" w:cs="Times New Roman"/>
      </w:rPr>
      <w:t>3</w:t>
    </w:r>
    <w:r w:rsidRPr="007B173A">
      <w:rPr>
        <w:rStyle w:val="PageNumber"/>
        <w:rFonts w:ascii="Times New Roman" w:hAnsi="Times New Roman" w:cs="Times New Roman"/>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042E" w:rsidRPr="00D80FA4" w:rsidRDefault="00D80FA4" w:rsidP="00522921">
    <w:pPr>
      <w:pStyle w:val="Footer"/>
      <w:tabs>
        <w:tab w:val="clear" w:pos="4153"/>
        <w:tab w:val="clear" w:pos="8306"/>
      </w:tabs>
      <w:bidi/>
      <w:jc w:val="left"/>
      <w:rPr>
        <w:rFonts w:asciiTheme="majorBidi" w:hAnsiTheme="majorBidi" w:cstheme="majorBidi"/>
        <w:szCs w:val="20"/>
      </w:rPr>
    </w:pPr>
    <w:r w:rsidRPr="00D80FA4">
      <w:rPr>
        <w:rStyle w:val="PageNumber"/>
        <w:rFonts w:asciiTheme="majorBidi" w:hAnsiTheme="majorBidi" w:cstheme="majorBidi"/>
        <w:szCs w:val="20"/>
      </w:rPr>
      <w:t>K170</w:t>
    </w:r>
    <w:r w:rsidR="001424BE">
      <w:rPr>
        <w:rStyle w:val="PageNumber"/>
        <w:rFonts w:asciiTheme="majorBidi" w:hAnsiTheme="majorBidi" w:cstheme="majorBidi"/>
        <w:szCs w:val="20"/>
      </w:rPr>
      <w:t>3755</w:t>
    </w:r>
    <w:r w:rsidR="006E1D97">
      <w:rPr>
        <w:rStyle w:val="PageNumber"/>
        <w:rFonts w:asciiTheme="majorBidi" w:hAnsiTheme="majorBidi" w:cstheme="majorBidi" w:hint="cs"/>
        <w:szCs w:val="20"/>
        <w:rtl/>
      </w:rPr>
      <w:tab/>
    </w:r>
    <w:r w:rsidR="00522921">
      <w:rPr>
        <w:rStyle w:val="PageNumber"/>
        <w:rFonts w:asciiTheme="majorBidi" w:hAnsiTheme="majorBidi" w:cstheme="majorBidi"/>
        <w:szCs w:val="20"/>
      </w:rPr>
      <w:t>28</w:t>
    </w:r>
    <w:r w:rsidR="001424BE">
      <w:rPr>
        <w:rStyle w:val="PageNumber"/>
        <w:rFonts w:asciiTheme="majorBidi" w:hAnsiTheme="majorBidi" w:cstheme="majorBidi"/>
        <w:szCs w:val="20"/>
      </w:rPr>
      <w:t>06</w:t>
    </w:r>
    <w:r w:rsidR="006E1D97" w:rsidRPr="00D80FA4">
      <w:rPr>
        <w:rStyle w:val="PageNumber"/>
        <w:rFonts w:asciiTheme="majorBidi" w:hAnsiTheme="majorBidi" w:cstheme="majorBidi"/>
        <w:szCs w:val="20"/>
      </w:rPr>
      <w:t>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042E" w:rsidRDefault="0042042E" w:rsidP="008A79DC">
      <w:pPr>
        <w:bidi/>
        <w:ind w:left="720"/>
      </w:pPr>
      <w:r>
        <w:separator/>
      </w:r>
    </w:p>
  </w:footnote>
  <w:footnote w:type="continuationSeparator" w:id="0">
    <w:p w:rsidR="0042042E" w:rsidRDefault="0042042E">
      <w:r>
        <w:continuationSeparator/>
      </w:r>
    </w:p>
  </w:footnote>
  <w:footnote w:id="1">
    <w:p w:rsidR="00934FB6" w:rsidRPr="007243C3" w:rsidRDefault="00934FB6" w:rsidP="00934FB6">
      <w:pPr>
        <w:pStyle w:val="FootnoteText"/>
        <w:bidi/>
        <w:spacing w:after="60" w:line="300" w:lineRule="exact"/>
        <w:ind w:left="1134"/>
        <w:jc w:val="left"/>
        <w:rPr>
          <w:rFonts w:ascii="Times New Roman" w:hAnsi="Times New Roman" w:cs="Times New Roman"/>
        </w:rPr>
      </w:pPr>
      <w:r w:rsidRPr="005C449A">
        <w:rPr>
          <w:rStyle w:val="FootnoteReference"/>
          <w:rFonts w:ascii="Times New Roman" w:hAnsi="Times New Roman" w:cs="Times New Roman"/>
          <w:sz w:val="18"/>
          <w:szCs w:val="18"/>
          <w:vertAlign w:val="baseline"/>
          <w:rtl/>
        </w:rPr>
        <w:t>*</w:t>
      </w:r>
      <w:r w:rsidRPr="007243C3">
        <w:rPr>
          <w:rFonts w:ascii="Times New Roman" w:hAnsi="Times New Roman" w:cs="Times New Roman"/>
          <w:rtl/>
        </w:rPr>
        <w:t xml:space="preserve"> </w:t>
      </w:r>
      <w:r w:rsidR="005C449A" w:rsidRPr="007243C3">
        <w:rPr>
          <w:rFonts w:ascii="Times New Roman" w:hAnsi="Times New Roman" w:cs="Times New Roman"/>
          <w:rtl/>
        </w:rPr>
        <w:t xml:space="preserve"> </w:t>
      </w:r>
      <w:r w:rsidRPr="00B75CA1">
        <w:rPr>
          <w:rFonts w:ascii="Times New Roman" w:hAnsi="Times New Roman" w:cs="Times New Roman"/>
          <w:sz w:val="18"/>
          <w:szCs w:val="18"/>
        </w:rPr>
        <w:t>UNEP</w:t>
      </w:r>
      <w:r>
        <w:rPr>
          <w:rFonts w:ascii="Times New Roman" w:hAnsi="Times New Roman" w:cs="Times New Roman"/>
          <w:sz w:val="18"/>
          <w:szCs w:val="18"/>
        </w:rPr>
        <w:t>/MC/COP.1</w:t>
      </w:r>
      <w:r w:rsidRPr="00B75CA1">
        <w:rPr>
          <w:rFonts w:ascii="Times New Roman" w:hAnsi="Times New Roman" w:cs="Times New Roman"/>
          <w:sz w:val="18"/>
          <w:szCs w:val="18"/>
        </w:rPr>
        <w:t>/1</w:t>
      </w:r>
      <w:r w:rsidRPr="00043D33">
        <w:rPr>
          <w:rFonts w:ascii="Traditional Arabic" w:hAnsi="Traditional Arabic"/>
          <w:sz w:val="30"/>
          <w:szCs w:val="30"/>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042E" w:rsidRPr="009D4EBB" w:rsidRDefault="00934FB6" w:rsidP="000C6015">
    <w:pPr>
      <w:pBdr>
        <w:bottom w:val="single" w:sz="4" w:space="0" w:color="auto"/>
      </w:pBdr>
      <w:spacing w:before="20" w:after="40"/>
      <w:jc w:val="right"/>
      <w:rPr>
        <w:b/>
        <w:bCs/>
        <w:sz w:val="17"/>
        <w:szCs w:val="17"/>
        <w:rtl/>
        <w:lang w:val="fr-FR"/>
      </w:rPr>
    </w:pPr>
    <w:r w:rsidRPr="00316903">
      <w:rPr>
        <w:rStyle w:val="PageNumber"/>
        <w:b/>
        <w:bCs/>
        <w:sz w:val="17"/>
        <w:szCs w:val="17"/>
        <w:lang w:val="fr-FR"/>
      </w:rPr>
      <w:t>UNEP</w:t>
    </w:r>
    <w:r>
      <w:rPr>
        <w:rStyle w:val="PageNumber"/>
        <w:b/>
        <w:bCs/>
        <w:sz w:val="17"/>
        <w:szCs w:val="17"/>
        <w:lang w:val="fr-FR"/>
      </w:rPr>
      <w:t>/MC</w:t>
    </w:r>
    <w:r>
      <w:rPr>
        <w:rFonts w:cs="Times New Roman"/>
        <w:b/>
        <w:bCs/>
        <w:sz w:val="17"/>
        <w:szCs w:val="17"/>
      </w:rPr>
      <w:t>/COP.1/</w:t>
    </w:r>
    <w:r w:rsidR="001424BE">
      <w:rPr>
        <w:rFonts w:cs="Times New Roman"/>
        <w:b/>
        <w:bCs/>
        <w:sz w:val="17"/>
        <w:szCs w:val="17"/>
      </w:rPr>
      <w:t>2</w:t>
    </w:r>
    <w:r w:rsidR="000C6015">
      <w:rPr>
        <w:rFonts w:cs="Times New Roman"/>
        <w:b/>
        <w:bCs/>
        <w:sz w:val="17"/>
        <w:szCs w:val="17"/>
      </w:rPr>
      <w:t>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042E" w:rsidRPr="00EC3A5F" w:rsidRDefault="00934FB6" w:rsidP="001424BE">
    <w:pPr>
      <w:pBdr>
        <w:bottom w:val="single" w:sz="4" w:space="0" w:color="auto"/>
      </w:pBdr>
      <w:spacing w:before="20" w:after="40"/>
      <w:jc w:val="both"/>
      <w:rPr>
        <w:b/>
        <w:bCs/>
        <w:sz w:val="17"/>
        <w:szCs w:val="17"/>
        <w:rtl/>
        <w:lang w:val="fr-FR"/>
      </w:rPr>
    </w:pPr>
    <w:r w:rsidRPr="00316903">
      <w:rPr>
        <w:rStyle w:val="PageNumber"/>
        <w:b/>
        <w:bCs/>
        <w:sz w:val="17"/>
        <w:szCs w:val="17"/>
        <w:lang w:val="fr-FR"/>
      </w:rPr>
      <w:t>UNEP</w:t>
    </w:r>
    <w:r>
      <w:rPr>
        <w:rStyle w:val="PageNumber"/>
        <w:b/>
        <w:bCs/>
        <w:sz w:val="17"/>
        <w:szCs w:val="17"/>
        <w:lang w:val="fr-FR"/>
      </w:rPr>
      <w:t>/MC</w:t>
    </w:r>
    <w:r>
      <w:rPr>
        <w:rFonts w:cs="Times New Roman"/>
        <w:b/>
        <w:bCs/>
        <w:sz w:val="17"/>
        <w:szCs w:val="17"/>
      </w:rPr>
      <w:t>/COP.1/</w:t>
    </w:r>
    <w:r w:rsidR="001424BE">
      <w:rPr>
        <w:rFonts w:cs="Times New Roman"/>
        <w:b/>
        <w:bCs/>
        <w:sz w:val="17"/>
        <w:szCs w:val="17"/>
      </w:rPr>
      <w:t>26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48241D10"/>
    <w:lvl w:ilvl="0">
      <w:start w:val="1"/>
      <w:numFmt w:val="decimal"/>
      <w:pStyle w:val="Normalnumber"/>
      <w:lvlText w:val="%1."/>
      <w:lvlJc w:val="left"/>
      <w:pPr>
        <w:tabs>
          <w:tab w:val="num" w:pos="567"/>
        </w:tabs>
        <w:ind w:left="1247"/>
      </w:pPr>
      <w:rPr>
        <w:rFonts w:cs="Times New Roman" w:hint="eastAsia"/>
      </w:rPr>
    </w:lvl>
    <w:lvl w:ilvl="1">
      <w:start w:val="1"/>
      <w:numFmt w:val="lowerLetter"/>
      <w:lvlText w:val="(%2)"/>
      <w:lvlJc w:val="left"/>
      <w:pPr>
        <w:tabs>
          <w:tab w:val="num" w:pos="567"/>
        </w:tabs>
        <w:ind w:left="1247" w:firstLine="567"/>
      </w:pPr>
      <w:rPr>
        <w:rFonts w:cs="Times New Roman" w:hint="eastAsia"/>
      </w:rPr>
    </w:lvl>
    <w:lvl w:ilvl="2">
      <w:start w:val="1"/>
      <w:numFmt w:val="lowerRoman"/>
      <w:lvlText w:val="(%3)"/>
      <w:lvlJc w:val="left"/>
      <w:pPr>
        <w:tabs>
          <w:tab w:val="num" w:pos="567"/>
        </w:tabs>
        <w:ind w:left="2948" w:hanging="567"/>
      </w:pPr>
      <w:rPr>
        <w:rFonts w:cs="Times New Roman" w:hint="eastAsia"/>
      </w:rPr>
    </w:lvl>
    <w:lvl w:ilvl="3">
      <w:start w:val="1"/>
      <w:numFmt w:val="lowerLetter"/>
      <w:lvlText w:val="%4."/>
      <w:lvlJc w:val="left"/>
      <w:pPr>
        <w:tabs>
          <w:tab w:val="num" w:pos="567"/>
        </w:tabs>
        <w:ind w:left="3515" w:hanging="567"/>
      </w:pPr>
      <w:rPr>
        <w:rFonts w:cs="Times New Roman" w:hint="eastAsia"/>
      </w:rPr>
    </w:lvl>
    <w:lvl w:ilvl="4">
      <w:start w:val="1"/>
      <w:numFmt w:val="lowerLetter"/>
      <w:lvlText w:val="%5."/>
      <w:lvlJc w:val="left"/>
      <w:pPr>
        <w:tabs>
          <w:tab w:val="num" w:pos="6548"/>
        </w:tabs>
        <w:ind w:left="6548" w:hanging="360"/>
      </w:pPr>
      <w:rPr>
        <w:rFonts w:cs="Times New Roman" w:hint="eastAsia"/>
      </w:rPr>
    </w:lvl>
    <w:lvl w:ilvl="5">
      <w:start w:val="1"/>
      <w:numFmt w:val="lowerRoman"/>
      <w:lvlText w:val="%6."/>
      <w:lvlJc w:val="right"/>
      <w:pPr>
        <w:tabs>
          <w:tab w:val="num" w:pos="7268"/>
        </w:tabs>
        <w:ind w:left="7268" w:hanging="180"/>
      </w:pPr>
      <w:rPr>
        <w:rFonts w:cs="Times New Roman" w:hint="eastAsia"/>
      </w:rPr>
    </w:lvl>
    <w:lvl w:ilvl="6">
      <w:start w:val="1"/>
      <w:numFmt w:val="decimal"/>
      <w:lvlText w:val="%7."/>
      <w:lvlJc w:val="left"/>
      <w:pPr>
        <w:tabs>
          <w:tab w:val="num" w:pos="7988"/>
        </w:tabs>
        <w:ind w:left="7988" w:hanging="360"/>
      </w:pPr>
      <w:rPr>
        <w:rFonts w:cs="Times New Roman" w:hint="eastAsia"/>
      </w:rPr>
    </w:lvl>
    <w:lvl w:ilvl="7">
      <w:start w:val="1"/>
      <w:numFmt w:val="lowerLetter"/>
      <w:lvlText w:val="%8."/>
      <w:lvlJc w:val="left"/>
      <w:pPr>
        <w:tabs>
          <w:tab w:val="num" w:pos="8708"/>
        </w:tabs>
        <w:ind w:left="8708" w:hanging="360"/>
      </w:pPr>
      <w:rPr>
        <w:rFonts w:cs="Times New Roman" w:hint="eastAsia"/>
      </w:rPr>
    </w:lvl>
    <w:lvl w:ilvl="8">
      <w:start w:val="1"/>
      <w:numFmt w:val="lowerRoman"/>
      <w:lvlText w:val="%9."/>
      <w:lvlJc w:val="right"/>
      <w:pPr>
        <w:tabs>
          <w:tab w:val="num" w:pos="9428"/>
        </w:tabs>
        <w:ind w:left="9428" w:hanging="180"/>
      </w:pPr>
      <w:rPr>
        <w:rFonts w:cs="Times New Roman" w:hint="eastAsia"/>
      </w:rPr>
    </w:lvl>
  </w:abstractNum>
  <w:abstractNum w:abstractNumId="1">
    <w:nsid w:val="08AA0772"/>
    <w:multiLevelType w:val="hybridMultilevel"/>
    <w:tmpl w:val="06A41752"/>
    <w:lvl w:ilvl="0" w:tplc="8A160952">
      <w:start w:val="1"/>
      <w:numFmt w:val="decimal"/>
      <w:lvlText w:val="%1-"/>
      <w:lvlJc w:val="left"/>
      <w:pPr>
        <w:ind w:left="1335" w:hanging="43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19FD37BB"/>
    <w:multiLevelType w:val="hybridMultilevel"/>
    <w:tmpl w:val="F334DD8C"/>
    <w:lvl w:ilvl="0" w:tplc="08090003">
      <w:start w:val="1"/>
      <w:numFmt w:val="bullet"/>
      <w:lvlText w:val="o"/>
      <w:lvlJc w:val="left"/>
      <w:pPr>
        <w:ind w:left="720" w:hanging="360"/>
      </w:pPr>
      <w:rPr>
        <w:rFonts w:ascii="Courier New" w:hAnsi="Courier New" w:hint="default"/>
      </w:rPr>
    </w:lvl>
    <w:lvl w:ilvl="1" w:tplc="1D20D234">
      <w:start w:val="1"/>
      <w:numFmt w:val="bullet"/>
      <w:lvlText w:val="-"/>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3">
    <w:nsid w:val="1B3C79D8"/>
    <w:multiLevelType w:val="hybridMultilevel"/>
    <w:tmpl w:val="6FCEC9CE"/>
    <w:lvl w:ilvl="0" w:tplc="57D8643E">
      <w:start w:val="1"/>
      <w:numFmt w:val="decimal"/>
      <w:lvlText w:val="%1-"/>
      <w:lvlJc w:val="left"/>
      <w:pPr>
        <w:ind w:left="1854" w:hanging="360"/>
      </w:pPr>
      <w:rPr>
        <w:rFonts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4">
    <w:nsid w:val="30927E40"/>
    <w:multiLevelType w:val="hybridMultilevel"/>
    <w:tmpl w:val="1D7091DA"/>
    <w:lvl w:ilvl="0" w:tplc="36C81850">
      <w:start w:val="21"/>
      <w:numFmt w:val="decimal"/>
      <w:lvlText w:val="%1-"/>
      <w:lvlJc w:val="left"/>
      <w:pPr>
        <w:ind w:left="1320" w:hanging="4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5">
    <w:nsid w:val="395D64A6"/>
    <w:multiLevelType w:val="hybridMultilevel"/>
    <w:tmpl w:val="4B54480E"/>
    <w:lvl w:ilvl="0" w:tplc="30CC5704">
      <w:start w:val="1"/>
      <w:numFmt w:val="bullet"/>
      <w:lvlText w:val=""/>
      <w:lvlJc w:val="left"/>
      <w:pPr>
        <w:ind w:left="720" w:hanging="360"/>
      </w:pPr>
      <w:rPr>
        <w:rFonts w:ascii="Symbol" w:hAnsi="Symbol" w:hint="default"/>
        <w:sz w:val="20"/>
        <w:szCs w:val="20"/>
      </w:rPr>
    </w:lvl>
    <w:lvl w:ilvl="1" w:tplc="C04E133C">
      <w:start w:val="1"/>
      <w:numFmt w:val="bullet"/>
      <w:lvlText w:val=""/>
      <w:lvlJc w:val="left"/>
      <w:pPr>
        <w:ind w:left="1440" w:hanging="360"/>
      </w:pPr>
      <w:rPr>
        <w:rFonts w:ascii="Symbol" w:hAnsi="Symbol" w:hint="default"/>
        <w:sz w:val="20"/>
        <w:szCs w:val="20"/>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42C831C3"/>
    <w:multiLevelType w:val="hybridMultilevel"/>
    <w:tmpl w:val="8B92FE12"/>
    <w:lvl w:ilvl="0" w:tplc="8F5891F2">
      <w:start w:val="17"/>
      <w:numFmt w:val="decimal"/>
      <w:lvlText w:val="%1-"/>
      <w:lvlJc w:val="left"/>
      <w:pPr>
        <w:ind w:left="1320" w:hanging="4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7">
    <w:nsid w:val="50C8561A"/>
    <w:multiLevelType w:val="singleLevel"/>
    <w:tmpl w:val="779E85D6"/>
    <w:lvl w:ilvl="0">
      <w:numFmt w:val="ganada"/>
      <w:lvlText w:val="%1"/>
      <w:lvlJc w:val="left"/>
      <w:pPr>
        <w:tabs>
          <w:tab w:val="num" w:pos="360"/>
        </w:tabs>
        <w:ind w:right="360" w:hanging="360"/>
      </w:pPr>
      <w:rPr>
        <w:rFonts w:hint="default"/>
      </w:rPr>
    </w:lvl>
  </w:abstractNum>
  <w:abstractNum w:abstractNumId="8">
    <w:nsid w:val="52A66A9D"/>
    <w:multiLevelType w:val="multilevel"/>
    <w:tmpl w:val="48241D10"/>
    <w:styleLink w:val="Normallist"/>
    <w:lvl w:ilvl="0">
      <w:start w:val="1"/>
      <w:numFmt w:val="decimal"/>
      <w:lvlText w:val="%1."/>
      <w:lvlJc w:val="left"/>
      <w:pPr>
        <w:tabs>
          <w:tab w:val="num" w:pos="567"/>
        </w:tabs>
        <w:ind w:left="1247" w:firstLine="0"/>
      </w:pPr>
    </w:lvl>
    <w:lvl w:ilvl="1">
      <w:start w:val="1"/>
      <w:numFmt w:val="lowerLetter"/>
      <w:lvlText w:val="(%2)"/>
      <w:lvlJc w:val="left"/>
      <w:pPr>
        <w:tabs>
          <w:tab w:val="num" w:pos="567"/>
        </w:tabs>
        <w:ind w:left="1247" w:firstLine="567"/>
      </w:pPr>
    </w:lvl>
    <w:lvl w:ilvl="2">
      <w:start w:val="1"/>
      <w:numFmt w:val="lowerRoman"/>
      <w:lvlText w:val="(%3)"/>
      <w:lvlJc w:val="left"/>
      <w:pPr>
        <w:tabs>
          <w:tab w:val="num" w:pos="567"/>
        </w:tabs>
        <w:ind w:left="2948" w:hanging="567"/>
      </w:pPr>
    </w:lvl>
    <w:lvl w:ilvl="3">
      <w:start w:val="1"/>
      <w:numFmt w:val="lowerLetter"/>
      <w:lvlText w:val="%4."/>
      <w:lvlJc w:val="left"/>
      <w:pPr>
        <w:tabs>
          <w:tab w:val="num" w:pos="567"/>
        </w:tabs>
        <w:ind w:left="3515" w:hanging="567"/>
      </w:pPr>
    </w:lvl>
    <w:lvl w:ilvl="4">
      <w:start w:val="1"/>
      <w:numFmt w:val="lowerLetter"/>
      <w:lvlText w:val="%5."/>
      <w:lvlJc w:val="left"/>
      <w:pPr>
        <w:tabs>
          <w:tab w:val="num" w:pos="6548"/>
        </w:tabs>
        <w:ind w:left="6548" w:hanging="360"/>
      </w:pPr>
    </w:lvl>
    <w:lvl w:ilvl="5">
      <w:start w:val="1"/>
      <w:numFmt w:val="lowerRoman"/>
      <w:lvlText w:val="%6."/>
      <w:lvlJc w:val="right"/>
      <w:pPr>
        <w:tabs>
          <w:tab w:val="num" w:pos="7268"/>
        </w:tabs>
        <w:ind w:left="7268" w:hanging="180"/>
      </w:pPr>
    </w:lvl>
    <w:lvl w:ilvl="6">
      <w:start w:val="1"/>
      <w:numFmt w:val="decimal"/>
      <w:lvlText w:val="%7."/>
      <w:lvlJc w:val="left"/>
      <w:pPr>
        <w:tabs>
          <w:tab w:val="num" w:pos="7988"/>
        </w:tabs>
        <w:ind w:left="7988" w:hanging="360"/>
      </w:pPr>
    </w:lvl>
    <w:lvl w:ilvl="7">
      <w:start w:val="1"/>
      <w:numFmt w:val="lowerLetter"/>
      <w:lvlText w:val="%8."/>
      <w:lvlJc w:val="left"/>
      <w:pPr>
        <w:tabs>
          <w:tab w:val="num" w:pos="8708"/>
        </w:tabs>
        <w:ind w:left="8708" w:hanging="360"/>
      </w:pPr>
    </w:lvl>
    <w:lvl w:ilvl="8">
      <w:start w:val="1"/>
      <w:numFmt w:val="lowerRoman"/>
      <w:lvlText w:val="%9."/>
      <w:lvlJc w:val="right"/>
      <w:pPr>
        <w:tabs>
          <w:tab w:val="num" w:pos="9428"/>
        </w:tabs>
        <w:ind w:left="9428" w:hanging="180"/>
      </w:pPr>
    </w:lvl>
  </w:abstractNum>
  <w:abstractNum w:abstractNumId="9">
    <w:nsid w:val="54DA0699"/>
    <w:multiLevelType w:val="hybridMultilevel"/>
    <w:tmpl w:val="33CECC38"/>
    <w:lvl w:ilvl="0" w:tplc="6CD47A02">
      <w:start w:val="1"/>
      <w:numFmt w:val="arabicAlpha"/>
      <w:lvlText w:val="(%1)"/>
      <w:lvlJc w:val="left"/>
      <w:pPr>
        <w:ind w:left="2138" w:hanging="720"/>
      </w:pPr>
      <w:rPr>
        <w:rFonts w:hint="default"/>
        <w:color w:val="auto"/>
      </w:rPr>
    </w:lvl>
    <w:lvl w:ilvl="1" w:tplc="04090019" w:tentative="1">
      <w:start w:val="1"/>
      <w:numFmt w:val="lowerLetter"/>
      <w:lvlText w:val="%2."/>
      <w:lvlJc w:val="left"/>
      <w:pPr>
        <w:ind w:left="2213" w:hanging="360"/>
      </w:pPr>
    </w:lvl>
    <w:lvl w:ilvl="2" w:tplc="0409001B" w:tentative="1">
      <w:start w:val="1"/>
      <w:numFmt w:val="lowerRoman"/>
      <w:lvlText w:val="%3."/>
      <w:lvlJc w:val="right"/>
      <w:pPr>
        <w:ind w:left="2933" w:hanging="180"/>
      </w:pPr>
    </w:lvl>
    <w:lvl w:ilvl="3" w:tplc="0409000F" w:tentative="1">
      <w:start w:val="1"/>
      <w:numFmt w:val="decimal"/>
      <w:lvlText w:val="%4."/>
      <w:lvlJc w:val="left"/>
      <w:pPr>
        <w:ind w:left="3653" w:hanging="360"/>
      </w:pPr>
    </w:lvl>
    <w:lvl w:ilvl="4" w:tplc="04090019" w:tentative="1">
      <w:start w:val="1"/>
      <w:numFmt w:val="lowerLetter"/>
      <w:lvlText w:val="%5."/>
      <w:lvlJc w:val="left"/>
      <w:pPr>
        <w:ind w:left="4373" w:hanging="360"/>
      </w:pPr>
    </w:lvl>
    <w:lvl w:ilvl="5" w:tplc="0409001B" w:tentative="1">
      <w:start w:val="1"/>
      <w:numFmt w:val="lowerRoman"/>
      <w:lvlText w:val="%6."/>
      <w:lvlJc w:val="right"/>
      <w:pPr>
        <w:ind w:left="5093" w:hanging="180"/>
      </w:pPr>
    </w:lvl>
    <w:lvl w:ilvl="6" w:tplc="0409000F" w:tentative="1">
      <w:start w:val="1"/>
      <w:numFmt w:val="decimal"/>
      <w:lvlText w:val="%7."/>
      <w:lvlJc w:val="left"/>
      <w:pPr>
        <w:ind w:left="5813" w:hanging="360"/>
      </w:pPr>
    </w:lvl>
    <w:lvl w:ilvl="7" w:tplc="04090019" w:tentative="1">
      <w:start w:val="1"/>
      <w:numFmt w:val="lowerLetter"/>
      <w:lvlText w:val="%8."/>
      <w:lvlJc w:val="left"/>
      <w:pPr>
        <w:ind w:left="6533" w:hanging="360"/>
      </w:pPr>
    </w:lvl>
    <w:lvl w:ilvl="8" w:tplc="0409001B" w:tentative="1">
      <w:start w:val="1"/>
      <w:numFmt w:val="lowerRoman"/>
      <w:lvlText w:val="%9."/>
      <w:lvlJc w:val="right"/>
      <w:pPr>
        <w:ind w:left="7253" w:hanging="180"/>
      </w:pPr>
    </w:lvl>
  </w:abstractNum>
  <w:abstractNum w:abstractNumId="10">
    <w:nsid w:val="57B346CB"/>
    <w:multiLevelType w:val="hybridMultilevel"/>
    <w:tmpl w:val="69EAD434"/>
    <w:lvl w:ilvl="0" w:tplc="6ED6A31E">
      <w:start w:val="1"/>
      <w:numFmt w:val="bullet"/>
      <w:lvlText w:val=""/>
      <w:lvlJc w:val="left"/>
      <w:pPr>
        <w:ind w:left="2061" w:hanging="360"/>
      </w:pPr>
      <w:rPr>
        <w:rFonts w:ascii="Symbol" w:hAnsi="Symbol" w:hint="default"/>
        <w:sz w:val="20"/>
        <w:szCs w:val="20"/>
      </w:rPr>
    </w:lvl>
    <w:lvl w:ilvl="1" w:tplc="4A9CADDE">
      <w:start w:val="1"/>
      <w:numFmt w:val="bullet"/>
      <w:lvlText w:val="˗"/>
      <w:lvlJc w:val="left"/>
      <w:pPr>
        <w:ind w:left="1494" w:hanging="360"/>
      </w:pPr>
      <w:rPr>
        <w:rFonts w:ascii="Times New Roman" w:hAnsi="Times New Roman" w:cs="Times New Roman" w:hint="default"/>
      </w:r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1">
    <w:nsid w:val="5D717927"/>
    <w:multiLevelType w:val="hybridMultilevel"/>
    <w:tmpl w:val="9E1C1C44"/>
    <w:lvl w:ilvl="0" w:tplc="D5D03EE0">
      <w:start w:val="1"/>
      <w:numFmt w:val="bullet"/>
      <w:lvlText w:val=""/>
      <w:lvlJc w:val="left"/>
      <w:pPr>
        <w:ind w:left="2880" w:hanging="360"/>
      </w:pPr>
      <w:rPr>
        <w:rFonts w:ascii="Symbol" w:eastAsiaTheme="minorHAnsi" w:hAnsi="Symbol" w:cs="Traditional Arabic" w:hint="default"/>
        <w:sz w:val="24"/>
        <w:szCs w:val="24"/>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nsid w:val="5ED2721E"/>
    <w:multiLevelType w:val="hybridMultilevel"/>
    <w:tmpl w:val="4A56294A"/>
    <w:lvl w:ilvl="0" w:tplc="6FD6C01A">
      <w:start w:val="18"/>
      <w:numFmt w:val="decimal"/>
      <w:lvlText w:val="%1-"/>
      <w:lvlJc w:val="left"/>
      <w:pPr>
        <w:ind w:left="1320" w:hanging="4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3">
    <w:nsid w:val="6AA50DB1"/>
    <w:multiLevelType w:val="singleLevel"/>
    <w:tmpl w:val="0C00B568"/>
    <w:lvl w:ilvl="0">
      <w:start w:val="1"/>
      <w:numFmt w:val="decimal"/>
      <w:lvlText w:val="%1."/>
      <w:lvlJc w:val="left"/>
      <w:pPr>
        <w:tabs>
          <w:tab w:val="num" w:pos="360"/>
        </w:tabs>
        <w:ind w:left="0" w:firstLine="0"/>
      </w:pPr>
      <w:rPr>
        <w:rFonts w:ascii="Times New Roman" w:hAnsi="Times New Roman" w:hint="default"/>
        <w:b w:val="0"/>
        <w:i w:val="0"/>
        <w:sz w:val="22"/>
      </w:rPr>
    </w:lvl>
  </w:abstractNum>
  <w:abstractNum w:abstractNumId="14">
    <w:nsid w:val="712B4EA4"/>
    <w:multiLevelType w:val="hybridMultilevel"/>
    <w:tmpl w:val="AC74672A"/>
    <w:lvl w:ilvl="0" w:tplc="49C44DE2">
      <w:start w:val="1"/>
      <w:numFmt w:val="bullet"/>
      <w:lvlText w:val=""/>
      <w:lvlJc w:val="left"/>
      <w:pPr>
        <w:tabs>
          <w:tab w:val="num" w:pos="394"/>
        </w:tabs>
        <w:ind w:left="394" w:hanging="360"/>
      </w:pPr>
      <w:rPr>
        <w:rFonts w:ascii="Symbol" w:hAnsi="Symbol" w:cs="Traditional Arabic" w:hint="default"/>
        <w:sz w:val="24"/>
        <w:szCs w:val="24"/>
      </w:rPr>
    </w:lvl>
    <w:lvl w:ilvl="1" w:tplc="08090003">
      <w:start w:val="1"/>
      <w:numFmt w:val="bullet"/>
      <w:lvlText w:val="o"/>
      <w:lvlJc w:val="left"/>
      <w:pPr>
        <w:tabs>
          <w:tab w:val="num" w:pos="754"/>
        </w:tabs>
        <w:ind w:left="754" w:hanging="360"/>
      </w:pPr>
      <w:rPr>
        <w:rFonts w:ascii="Courier New" w:hAnsi="Courier New" w:cs="Courier New" w:hint="default"/>
      </w:rPr>
    </w:lvl>
    <w:lvl w:ilvl="2" w:tplc="08090005" w:tentative="1">
      <w:start w:val="1"/>
      <w:numFmt w:val="bullet"/>
      <w:lvlText w:val=""/>
      <w:lvlJc w:val="left"/>
      <w:pPr>
        <w:tabs>
          <w:tab w:val="num" w:pos="1474"/>
        </w:tabs>
        <w:ind w:left="1474" w:hanging="360"/>
      </w:pPr>
      <w:rPr>
        <w:rFonts w:ascii="Wingdings" w:hAnsi="Wingdings" w:hint="default"/>
      </w:rPr>
    </w:lvl>
    <w:lvl w:ilvl="3" w:tplc="08090001" w:tentative="1">
      <w:start w:val="1"/>
      <w:numFmt w:val="bullet"/>
      <w:lvlText w:val=""/>
      <w:lvlJc w:val="left"/>
      <w:pPr>
        <w:tabs>
          <w:tab w:val="num" w:pos="2194"/>
        </w:tabs>
        <w:ind w:left="2194" w:hanging="360"/>
      </w:pPr>
      <w:rPr>
        <w:rFonts w:ascii="Symbol" w:hAnsi="Symbol" w:hint="default"/>
      </w:rPr>
    </w:lvl>
    <w:lvl w:ilvl="4" w:tplc="08090003" w:tentative="1">
      <w:start w:val="1"/>
      <w:numFmt w:val="bullet"/>
      <w:lvlText w:val="o"/>
      <w:lvlJc w:val="left"/>
      <w:pPr>
        <w:tabs>
          <w:tab w:val="num" w:pos="2914"/>
        </w:tabs>
        <w:ind w:left="2914" w:hanging="360"/>
      </w:pPr>
      <w:rPr>
        <w:rFonts w:ascii="Courier New" w:hAnsi="Courier New" w:cs="Courier New" w:hint="default"/>
      </w:rPr>
    </w:lvl>
    <w:lvl w:ilvl="5" w:tplc="08090005" w:tentative="1">
      <w:start w:val="1"/>
      <w:numFmt w:val="bullet"/>
      <w:lvlText w:val=""/>
      <w:lvlJc w:val="left"/>
      <w:pPr>
        <w:tabs>
          <w:tab w:val="num" w:pos="3634"/>
        </w:tabs>
        <w:ind w:left="3634" w:hanging="360"/>
      </w:pPr>
      <w:rPr>
        <w:rFonts w:ascii="Wingdings" w:hAnsi="Wingdings" w:hint="default"/>
      </w:rPr>
    </w:lvl>
    <w:lvl w:ilvl="6" w:tplc="08090001" w:tentative="1">
      <w:start w:val="1"/>
      <w:numFmt w:val="bullet"/>
      <w:lvlText w:val=""/>
      <w:lvlJc w:val="left"/>
      <w:pPr>
        <w:tabs>
          <w:tab w:val="num" w:pos="4354"/>
        </w:tabs>
        <w:ind w:left="4354" w:hanging="360"/>
      </w:pPr>
      <w:rPr>
        <w:rFonts w:ascii="Symbol" w:hAnsi="Symbol" w:hint="default"/>
      </w:rPr>
    </w:lvl>
    <w:lvl w:ilvl="7" w:tplc="08090003" w:tentative="1">
      <w:start w:val="1"/>
      <w:numFmt w:val="bullet"/>
      <w:lvlText w:val="o"/>
      <w:lvlJc w:val="left"/>
      <w:pPr>
        <w:tabs>
          <w:tab w:val="num" w:pos="5074"/>
        </w:tabs>
        <w:ind w:left="5074" w:hanging="360"/>
      </w:pPr>
      <w:rPr>
        <w:rFonts w:ascii="Courier New" w:hAnsi="Courier New" w:cs="Courier New" w:hint="default"/>
      </w:rPr>
    </w:lvl>
    <w:lvl w:ilvl="8" w:tplc="08090005" w:tentative="1">
      <w:start w:val="1"/>
      <w:numFmt w:val="bullet"/>
      <w:lvlText w:val=""/>
      <w:lvlJc w:val="left"/>
      <w:pPr>
        <w:tabs>
          <w:tab w:val="num" w:pos="5794"/>
        </w:tabs>
        <w:ind w:left="5794" w:hanging="360"/>
      </w:pPr>
      <w:rPr>
        <w:rFonts w:ascii="Wingdings" w:hAnsi="Wingdings" w:hint="default"/>
      </w:rPr>
    </w:lvl>
  </w:abstractNum>
  <w:abstractNum w:abstractNumId="15">
    <w:nsid w:val="7EF71EF0"/>
    <w:multiLevelType w:val="hybridMultilevel"/>
    <w:tmpl w:val="3D381B26"/>
    <w:lvl w:ilvl="0" w:tplc="8F260EEE">
      <w:start w:val="1"/>
      <w:numFmt w:val="bullet"/>
      <w:lvlText w:val="-"/>
      <w:lvlJc w:val="left"/>
      <w:pPr>
        <w:tabs>
          <w:tab w:val="num" w:pos="1080"/>
        </w:tabs>
        <w:ind w:left="1080" w:hanging="360"/>
      </w:pPr>
      <w:rPr>
        <w:rFonts w:ascii="Agency FB" w:hAnsi="Agency FB"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2"/>
  </w:num>
  <w:num w:numId="3">
    <w:abstractNumId w:val="15"/>
  </w:num>
  <w:num w:numId="4">
    <w:abstractNumId w:val="14"/>
  </w:num>
  <w:num w:numId="5">
    <w:abstractNumId w:val="7"/>
  </w:num>
  <w:num w:numId="6">
    <w:abstractNumId w:val="9"/>
  </w:num>
  <w:num w:numId="7">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8">
    <w:abstractNumId w:val="11"/>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2"/>
  </w:num>
  <w:num w:numId="12">
    <w:abstractNumId w:val="4"/>
  </w:num>
  <w:num w:numId="13">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
  </w:num>
  <w:num w:numId="18">
    <w:abstractNumId w:val="8"/>
    <w:lvlOverride w:ilvl="0">
      <w:lvl w:ilvl="0">
        <w:start w:val="1"/>
        <w:numFmt w:val="decimal"/>
        <w:lvlText w:val="%1-"/>
        <w:lvlJc w:val="left"/>
        <w:pPr>
          <w:tabs>
            <w:tab w:val="num" w:pos="1305"/>
          </w:tabs>
          <w:ind w:left="1418" w:firstLine="0"/>
        </w:pPr>
        <w:rPr>
          <w:rFonts w:hint="default"/>
        </w:rPr>
      </w:lvl>
    </w:lvlOverride>
  </w:num>
  <w:num w:numId="19">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9"/>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71"/>
  <w:drawingGridVerticalSpacing w:val="233"/>
  <w:displayHorizontalDrawingGridEvery w:val="0"/>
  <w:noPunctuationKerning/>
  <w:characterSpacingControl w:val="doNotCompress"/>
  <w:hdrShapeDefaults>
    <o:shapedefaults v:ext="edit" spidmax="32769"/>
  </w:hdrShapeDefaults>
  <w:footnotePr>
    <w:footnote w:id="-1"/>
    <w:footnote w:id="0"/>
  </w:footnotePr>
  <w:endnotePr>
    <w:numFmt w:val="lowerLette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002B"/>
    <w:rsid w:val="000114A9"/>
    <w:rsid w:val="000242CB"/>
    <w:rsid w:val="00024566"/>
    <w:rsid w:val="00024D2B"/>
    <w:rsid w:val="0003131F"/>
    <w:rsid w:val="00033595"/>
    <w:rsid w:val="00033A5C"/>
    <w:rsid w:val="00037D52"/>
    <w:rsid w:val="0004010A"/>
    <w:rsid w:val="00051665"/>
    <w:rsid w:val="0006021A"/>
    <w:rsid w:val="000668FE"/>
    <w:rsid w:val="00071F69"/>
    <w:rsid w:val="00072F5D"/>
    <w:rsid w:val="0008088A"/>
    <w:rsid w:val="000844F9"/>
    <w:rsid w:val="000A33B7"/>
    <w:rsid w:val="000B1AA7"/>
    <w:rsid w:val="000B41E8"/>
    <w:rsid w:val="000C042E"/>
    <w:rsid w:val="000C37A2"/>
    <w:rsid w:val="000C6015"/>
    <w:rsid w:val="000C6AF1"/>
    <w:rsid w:val="000C72D5"/>
    <w:rsid w:val="000F083C"/>
    <w:rsid w:val="000F39C0"/>
    <w:rsid w:val="000F712A"/>
    <w:rsid w:val="00102A11"/>
    <w:rsid w:val="00111DDA"/>
    <w:rsid w:val="001122CD"/>
    <w:rsid w:val="00115715"/>
    <w:rsid w:val="0012040B"/>
    <w:rsid w:val="001223A2"/>
    <w:rsid w:val="00124CC4"/>
    <w:rsid w:val="00131860"/>
    <w:rsid w:val="00131CE1"/>
    <w:rsid w:val="00134EB1"/>
    <w:rsid w:val="001367EA"/>
    <w:rsid w:val="001368B8"/>
    <w:rsid w:val="001424BE"/>
    <w:rsid w:val="0014278C"/>
    <w:rsid w:val="00143EB4"/>
    <w:rsid w:val="00153644"/>
    <w:rsid w:val="001536B1"/>
    <w:rsid w:val="00154323"/>
    <w:rsid w:val="00154CC2"/>
    <w:rsid w:val="001640DB"/>
    <w:rsid w:val="00165BE3"/>
    <w:rsid w:val="0017427B"/>
    <w:rsid w:val="00174BBC"/>
    <w:rsid w:val="00177C0C"/>
    <w:rsid w:val="001841AD"/>
    <w:rsid w:val="001844E3"/>
    <w:rsid w:val="00186DE2"/>
    <w:rsid w:val="00195B00"/>
    <w:rsid w:val="001A0F83"/>
    <w:rsid w:val="001A6258"/>
    <w:rsid w:val="001B03D9"/>
    <w:rsid w:val="001C1DD1"/>
    <w:rsid w:val="001C513F"/>
    <w:rsid w:val="001D3A25"/>
    <w:rsid w:val="001D6BA5"/>
    <w:rsid w:val="001E1443"/>
    <w:rsid w:val="001E4795"/>
    <w:rsid w:val="001E6E8E"/>
    <w:rsid w:val="001F0C9C"/>
    <w:rsid w:val="001F171C"/>
    <w:rsid w:val="001F390D"/>
    <w:rsid w:val="002079F8"/>
    <w:rsid w:val="002300EA"/>
    <w:rsid w:val="0023160B"/>
    <w:rsid w:val="002323CD"/>
    <w:rsid w:val="00252FE5"/>
    <w:rsid w:val="00255F00"/>
    <w:rsid w:val="00260A65"/>
    <w:rsid w:val="00260C3B"/>
    <w:rsid w:val="00261436"/>
    <w:rsid w:val="00261451"/>
    <w:rsid w:val="00267DA8"/>
    <w:rsid w:val="0027071F"/>
    <w:rsid w:val="00291EAE"/>
    <w:rsid w:val="00295F25"/>
    <w:rsid w:val="002962A4"/>
    <w:rsid w:val="002A2BDE"/>
    <w:rsid w:val="002B14DB"/>
    <w:rsid w:val="002C1EE1"/>
    <w:rsid w:val="002C46F7"/>
    <w:rsid w:val="002C60AD"/>
    <w:rsid w:val="002D07C5"/>
    <w:rsid w:val="002D57DB"/>
    <w:rsid w:val="002E7390"/>
    <w:rsid w:val="002F11C2"/>
    <w:rsid w:val="002F74A0"/>
    <w:rsid w:val="00304FAF"/>
    <w:rsid w:val="00306618"/>
    <w:rsid w:val="00310BFE"/>
    <w:rsid w:val="00317E61"/>
    <w:rsid w:val="00323929"/>
    <w:rsid w:val="003501E1"/>
    <w:rsid w:val="003511A7"/>
    <w:rsid w:val="00351FDC"/>
    <w:rsid w:val="003553DB"/>
    <w:rsid w:val="0036154E"/>
    <w:rsid w:val="0036250E"/>
    <w:rsid w:val="003821A4"/>
    <w:rsid w:val="0038322E"/>
    <w:rsid w:val="00386BD3"/>
    <w:rsid w:val="00390CD8"/>
    <w:rsid w:val="003923ED"/>
    <w:rsid w:val="00397363"/>
    <w:rsid w:val="003B1437"/>
    <w:rsid w:val="003B507C"/>
    <w:rsid w:val="003C3E04"/>
    <w:rsid w:val="003C42E1"/>
    <w:rsid w:val="003C6409"/>
    <w:rsid w:val="003C6718"/>
    <w:rsid w:val="003D355A"/>
    <w:rsid w:val="003E0E95"/>
    <w:rsid w:val="003E1210"/>
    <w:rsid w:val="003E4E41"/>
    <w:rsid w:val="003F77FF"/>
    <w:rsid w:val="0040218B"/>
    <w:rsid w:val="00403B93"/>
    <w:rsid w:val="00405211"/>
    <w:rsid w:val="004112CD"/>
    <w:rsid w:val="0042042E"/>
    <w:rsid w:val="00423AEE"/>
    <w:rsid w:val="00451081"/>
    <w:rsid w:val="00451ABD"/>
    <w:rsid w:val="004524AB"/>
    <w:rsid w:val="004547E5"/>
    <w:rsid w:val="004606CA"/>
    <w:rsid w:val="00472C66"/>
    <w:rsid w:val="00485260"/>
    <w:rsid w:val="004916B5"/>
    <w:rsid w:val="0049251D"/>
    <w:rsid w:val="00495361"/>
    <w:rsid w:val="004A1FC4"/>
    <w:rsid w:val="004B0A17"/>
    <w:rsid w:val="004B26E0"/>
    <w:rsid w:val="004D0F9A"/>
    <w:rsid w:val="004D2B12"/>
    <w:rsid w:val="004D567F"/>
    <w:rsid w:val="004E001B"/>
    <w:rsid w:val="004E1EDE"/>
    <w:rsid w:val="004E4EB2"/>
    <w:rsid w:val="004E5370"/>
    <w:rsid w:val="004E7B30"/>
    <w:rsid w:val="004F26CB"/>
    <w:rsid w:val="005023EE"/>
    <w:rsid w:val="00505660"/>
    <w:rsid w:val="005064C3"/>
    <w:rsid w:val="005066BC"/>
    <w:rsid w:val="00522921"/>
    <w:rsid w:val="00522932"/>
    <w:rsid w:val="005234DB"/>
    <w:rsid w:val="00530F46"/>
    <w:rsid w:val="00540949"/>
    <w:rsid w:val="005435B2"/>
    <w:rsid w:val="005668AB"/>
    <w:rsid w:val="00590B41"/>
    <w:rsid w:val="00591B8E"/>
    <w:rsid w:val="00594173"/>
    <w:rsid w:val="005945AA"/>
    <w:rsid w:val="00597815"/>
    <w:rsid w:val="005A6A53"/>
    <w:rsid w:val="005B198D"/>
    <w:rsid w:val="005B25B0"/>
    <w:rsid w:val="005B3616"/>
    <w:rsid w:val="005B5412"/>
    <w:rsid w:val="005C1DB0"/>
    <w:rsid w:val="005C449A"/>
    <w:rsid w:val="005C55FF"/>
    <w:rsid w:val="005D23EF"/>
    <w:rsid w:val="005E06C5"/>
    <w:rsid w:val="005E2737"/>
    <w:rsid w:val="005E35EA"/>
    <w:rsid w:val="005E6B63"/>
    <w:rsid w:val="005F3809"/>
    <w:rsid w:val="005F5925"/>
    <w:rsid w:val="00601018"/>
    <w:rsid w:val="0060188A"/>
    <w:rsid w:val="0060772E"/>
    <w:rsid w:val="00614BE8"/>
    <w:rsid w:val="00615461"/>
    <w:rsid w:val="006160A4"/>
    <w:rsid w:val="006227F4"/>
    <w:rsid w:val="00632CDF"/>
    <w:rsid w:val="0063365A"/>
    <w:rsid w:val="0063685D"/>
    <w:rsid w:val="00671875"/>
    <w:rsid w:val="00684004"/>
    <w:rsid w:val="00684243"/>
    <w:rsid w:val="00696059"/>
    <w:rsid w:val="006A7E4F"/>
    <w:rsid w:val="006B54B1"/>
    <w:rsid w:val="006C028B"/>
    <w:rsid w:val="006C560D"/>
    <w:rsid w:val="006D598B"/>
    <w:rsid w:val="006E1D97"/>
    <w:rsid w:val="006E4BE0"/>
    <w:rsid w:val="006F036C"/>
    <w:rsid w:val="006F7F31"/>
    <w:rsid w:val="00706852"/>
    <w:rsid w:val="00712158"/>
    <w:rsid w:val="00720D77"/>
    <w:rsid w:val="00726240"/>
    <w:rsid w:val="007275EE"/>
    <w:rsid w:val="00734EE4"/>
    <w:rsid w:val="00744D3B"/>
    <w:rsid w:val="00751096"/>
    <w:rsid w:val="0075378C"/>
    <w:rsid w:val="00764B71"/>
    <w:rsid w:val="0077392C"/>
    <w:rsid w:val="007775CF"/>
    <w:rsid w:val="00783165"/>
    <w:rsid w:val="007878A7"/>
    <w:rsid w:val="007A671B"/>
    <w:rsid w:val="007B173A"/>
    <w:rsid w:val="007B5F59"/>
    <w:rsid w:val="007B7061"/>
    <w:rsid w:val="007C62EE"/>
    <w:rsid w:val="007C73F5"/>
    <w:rsid w:val="007D3018"/>
    <w:rsid w:val="007E0C9A"/>
    <w:rsid w:val="007F304D"/>
    <w:rsid w:val="00802B63"/>
    <w:rsid w:val="00805014"/>
    <w:rsid w:val="00811602"/>
    <w:rsid w:val="00822614"/>
    <w:rsid w:val="008321C1"/>
    <w:rsid w:val="008323B3"/>
    <w:rsid w:val="008500FB"/>
    <w:rsid w:val="00852F12"/>
    <w:rsid w:val="00873A40"/>
    <w:rsid w:val="00880C90"/>
    <w:rsid w:val="00887CE8"/>
    <w:rsid w:val="0089216B"/>
    <w:rsid w:val="0089620E"/>
    <w:rsid w:val="008A5EBB"/>
    <w:rsid w:val="008A79DC"/>
    <w:rsid w:val="008B6A62"/>
    <w:rsid w:val="008C23F0"/>
    <w:rsid w:val="008F4416"/>
    <w:rsid w:val="0090002B"/>
    <w:rsid w:val="009017E0"/>
    <w:rsid w:val="0092522D"/>
    <w:rsid w:val="00926C1F"/>
    <w:rsid w:val="00931CC7"/>
    <w:rsid w:val="00934EBC"/>
    <w:rsid w:val="00934FB6"/>
    <w:rsid w:val="00952DAB"/>
    <w:rsid w:val="00955980"/>
    <w:rsid w:val="0096449B"/>
    <w:rsid w:val="00980B82"/>
    <w:rsid w:val="009819E2"/>
    <w:rsid w:val="00983518"/>
    <w:rsid w:val="0099049A"/>
    <w:rsid w:val="009A052E"/>
    <w:rsid w:val="009A0564"/>
    <w:rsid w:val="009A11E7"/>
    <w:rsid w:val="009A1FDF"/>
    <w:rsid w:val="009A6C71"/>
    <w:rsid w:val="009B2A75"/>
    <w:rsid w:val="009C40AA"/>
    <w:rsid w:val="009C5B87"/>
    <w:rsid w:val="009D06F9"/>
    <w:rsid w:val="009D28AB"/>
    <w:rsid w:val="009D4EBB"/>
    <w:rsid w:val="009D58E8"/>
    <w:rsid w:val="009E2CE5"/>
    <w:rsid w:val="009E4569"/>
    <w:rsid w:val="009E46DF"/>
    <w:rsid w:val="009E6EAB"/>
    <w:rsid w:val="009F7025"/>
    <w:rsid w:val="00A02D05"/>
    <w:rsid w:val="00A108BD"/>
    <w:rsid w:val="00A1283A"/>
    <w:rsid w:val="00A178E1"/>
    <w:rsid w:val="00A23B72"/>
    <w:rsid w:val="00A26E11"/>
    <w:rsid w:val="00A34C1A"/>
    <w:rsid w:val="00A579D1"/>
    <w:rsid w:val="00A57F44"/>
    <w:rsid w:val="00A67825"/>
    <w:rsid w:val="00A76B59"/>
    <w:rsid w:val="00A969A0"/>
    <w:rsid w:val="00AA32A0"/>
    <w:rsid w:val="00AB1E5D"/>
    <w:rsid w:val="00AC5F19"/>
    <w:rsid w:val="00AE4729"/>
    <w:rsid w:val="00AF0DF6"/>
    <w:rsid w:val="00B0033E"/>
    <w:rsid w:val="00B110B0"/>
    <w:rsid w:val="00B179A4"/>
    <w:rsid w:val="00B336C3"/>
    <w:rsid w:val="00B42C89"/>
    <w:rsid w:val="00B602AD"/>
    <w:rsid w:val="00B65469"/>
    <w:rsid w:val="00B66D5F"/>
    <w:rsid w:val="00B762F2"/>
    <w:rsid w:val="00B77EDA"/>
    <w:rsid w:val="00B83776"/>
    <w:rsid w:val="00B87B65"/>
    <w:rsid w:val="00B87FDB"/>
    <w:rsid w:val="00B913B6"/>
    <w:rsid w:val="00B945ED"/>
    <w:rsid w:val="00B97A52"/>
    <w:rsid w:val="00BA25F3"/>
    <w:rsid w:val="00BA5B08"/>
    <w:rsid w:val="00BA66F1"/>
    <w:rsid w:val="00BA6ED1"/>
    <w:rsid w:val="00BB0629"/>
    <w:rsid w:val="00BB4CA4"/>
    <w:rsid w:val="00BD1906"/>
    <w:rsid w:val="00BD4A65"/>
    <w:rsid w:val="00BE20CA"/>
    <w:rsid w:val="00BE5645"/>
    <w:rsid w:val="00BF64C6"/>
    <w:rsid w:val="00BF7F42"/>
    <w:rsid w:val="00C0594F"/>
    <w:rsid w:val="00C1200F"/>
    <w:rsid w:val="00C1297E"/>
    <w:rsid w:val="00C2111C"/>
    <w:rsid w:val="00C33F5C"/>
    <w:rsid w:val="00C34FDE"/>
    <w:rsid w:val="00C36378"/>
    <w:rsid w:val="00C37B3A"/>
    <w:rsid w:val="00C47E78"/>
    <w:rsid w:val="00C56205"/>
    <w:rsid w:val="00C712BF"/>
    <w:rsid w:val="00C7529E"/>
    <w:rsid w:val="00C75C0B"/>
    <w:rsid w:val="00C85728"/>
    <w:rsid w:val="00C86BDC"/>
    <w:rsid w:val="00C90A4C"/>
    <w:rsid w:val="00C91665"/>
    <w:rsid w:val="00C94729"/>
    <w:rsid w:val="00CA4CA7"/>
    <w:rsid w:val="00CA4F8C"/>
    <w:rsid w:val="00CB79F1"/>
    <w:rsid w:val="00CC16CF"/>
    <w:rsid w:val="00CD25C4"/>
    <w:rsid w:val="00CD399B"/>
    <w:rsid w:val="00CD4572"/>
    <w:rsid w:val="00CD5653"/>
    <w:rsid w:val="00D0655D"/>
    <w:rsid w:val="00D113A9"/>
    <w:rsid w:val="00D12FDA"/>
    <w:rsid w:val="00D15263"/>
    <w:rsid w:val="00D21049"/>
    <w:rsid w:val="00D444E7"/>
    <w:rsid w:val="00D44CE3"/>
    <w:rsid w:val="00D52B4F"/>
    <w:rsid w:val="00D55934"/>
    <w:rsid w:val="00D569AA"/>
    <w:rsid w:val="00D578BF"/>
    <w:rsid w:val="00D66C66"/>
    <w:rsid w:val="00D70490"/>
    <w:rsid w:val="00D71822"/>
    <w:rsid w:val="00D80FA4"/>
    <w:rsid w:val="00D90EDD"/>
    <w:rsid w:val="00D9173E"/>
    <w:rsid w:val="00D91942"/>
    <w:rsid w:val="00D958DE"/>
    <w:rsid w:val="00DA14CC"/>
    <w:rsid w:val="00DA1588"/>
    <w:rsid w:val="00DA494E"/>
    <w:rsid w:val="00DB686B"/>
    <w:rsid w:val="00DB6958"/>
    <w:rsid w:val="00DC4E2F"/>
    <w:rsid w:val="00DC590D"/>
    <w:rsid w:val="00DD2F15"/>
    <w:rsid w:val="00DE44A3"/>
    <w:rsid w:val="00DE796A"/>
    <w:rsid w:val="00E015AC"/>
    <w:rsid w:val="00E0494C"/>
    <w:rsid w:val="00E1515A"/>
    <w:rsid w:val="00E176E7"/>
    <w:rsid w:val="00E323C0"/>
    <w:rsid w:val="00E369DB"/>
    <w:rsid w:val="00E36EB2"/>
    <w:rsid w:val="00E51BAF"/>
    <w:rsid w:val="00E63CFD"/>
    <w:rsid w:val="00E642AB"/>
    <w:rsid w:val="00E760C7"/>
    <w:rsid w:val="00E90558"/>
    <w:rsid w:val="00E96DEF"/>
    <w:rsid w:val="00EA0788"/>
    <w:rsid w:val="00EA0F41"/>
    <w:rsid w:val="00EA14B6"/>
    <w:rsid w:val="00EA5944"/>
    <w:rsid w:val="00EB63CF"/>
    <w:rsid w:val="00EC35F9"/>
    <w:rsid w:val="00EC3A5F"/>
    <w:rsid w:val="00ED0538"/>
    <w:rsid w:val="00ED77A3"/>
    <w:rsid w:val="00EE026C"/>
    <w:rsid w:val="00EE48F0"/>
    <w:rsid w:val="00EF0793"/>
    <w:rsid w:val="00F12DD6"/>
    <w:rsid w:val="00F1601D"/>
    <w:rsid w:val="00F240DC"/>
    <w:rsid w:val="00F26CD0"/>
    <w:rsid w:val="00F47390"/>
    <w:rsid w:val="00F50135"/>
    <w:rsid w:val="00F61AB5"/>
    <w:rsid w:val="00F64BB3"/>
    <w:rsid w:val="00F70C3F"/>
    <w:rsid w:val="00F7639B"/>
    <w:rsid w:val="00F93241"/>
    <w:rsid w:val="00FB59A6"/>
    <w:rsid w:val="00FC5790"/>
    <w:rsid w:val="00FD576F"/>
    <w:rsid w:val="00FD7BCB"/>
    <w:rsid w:val="00FD7F76"/>
    <w:rsid w:val="00FE21C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Cs w:val="30"/>
    </w:rPr>
  </w:style>
  <w:style w:type="paragraph" w:styleId="Heading1">
    <w:name w:val="heading 1"/>
    <w:basedOn w:val="Normal"/>
    <w:next w:val="Normal"/>
    <w:qFormat/>
    <w:pPr>
      <w:keepNext/>
      <w:spacing w:before="120" w:after="120" w:line="360" w:lineRule="exact"/>
      <w:jc w:val="center"/>
      <w:outlineLvl w:val="0"/>
    </w:pPr>
    <w:rPr>
      <w:u w:val="single"/>
    </w:rPr>
  </w:style>
  <w:style w:type="paragraph" w:styleId="Heading2">
    <w:name w:val="heading 2"/>
    <w:basedOn w:val="Normal"/>
    <w:next w:val="Normal"/>
    <w:qFormat/>
    <w:pPr>
      <w:keepNext/>
      <w:spacing w:before="120" w:after="120" w:line="360" w:lineRule="exact"/>
      <w:jc w:val="center"/>
      <w:outlineLvl w:val="1"/>
    </w:pPr>
    <w:rPr>
      <w:u w:val="single"/>
    </w:rPr>
  </w:style>
  <w:style w:type="paragraph" w:styleId="Heading3">
    <w:name w:val="heading 3"/>
    <w:basedOn w:val="Normal"/>
    <w:next w:val="Normal"/>
    <w:qFormat/>
    <w:pPr>
      <w:keepNext/>
      <w:spacing w:before="120" w:after="120" w:line="360" w:lineRule="exact"/>
      <w:jc w:val="both"/>
      <w:outlineLvl w:val="2"/>
    </w:pPr>
    <w:rPr>
      <w:u w:val="single"/>
    </w:rPr>
  </w:style>
  <w:style w:type="paragraph" w:styleId="Heading4">
    <w:name w:val="heading 4"/>
    <w:basedOn w:val="Normal"/>
    <w:next w:val="Normal"/>
    <w:qFormat/>
    <w:pPr>
      <w:keepNext/>
      <w:spacing w:before="120" w:after="120" w:line="360" w:lineRule="exact"/>
      <w:jc w:val="both"/>
      <w:outlineLvl w:val="3"/>
    </w:pPr>
  </w:style>
  <w:style w:type="paragraph" w:styleId="Heading5">
    <w:name w:val="heading 5"/>
    <w:basedOn w:val="Normal"/>
    <w:next w:val="Normal"/>
    <w:qFormat/>
    <w:pPr>
      <w:keepNext/>
      <w:jc w:val="right"/>
      <w:outlineLvl w:val="4"/>
    </w:pPr>
    <w:rPr>
      <w:rFonts w:ascii="Times" w:hAnsi="Times" w:cs="Arabic Transparent"/>
      <w:b/>
      <w:bCs/>
      <w:noProof/>
      <w:szCs w:val="44"/>
    </w:rPr>
  </w:style>
  <w:style w:type="paragraph" w:styleId="Heading6">
    <w:name w:val="heading 6"/>
    <w:basedOn w:val="Normal"/>
    <w:next w:val="Normal"/>
    <w:qFormat/>
    <w:pPr>
      <w:keepNext/>
      <w:spacing w:before="120" w:after="120" w:line="360" w:lineRule="exact"/>
      <w:jc w:val="both"/>
      <w:outlineLvl w:val="5"/>
    </w:pPr>
    <w:rPr>
      <w:u w:val="single"/>
    </w:rPr>
  </w:style>
  <w:style w:type="paragraph" w:styleId="Heading7">
    <w:name w:val="heading 7"/>
    <w:basedOn w:val="Normal"/>
    <w:next w:val="Normal"/>
    <w:qFormat/>
    <w:pPr>
      <w:keepNext/>
      <w:jc w:val="center"/>
      <w:outlineLvl w:val="6"/>
    </w:pPr>
    <w:rPr>
      <w:rFonts w:ascii="Times" w:hAnsi="Times"/>
      <w:b/>
      <w:bCs/>
      <w:noProof/>
    </w:rPr>
  </w:style>
  <w:style w:type="paragraph" w:styleId="Heading8">
    <w:name w:val="heading 8"/>
    <w:basedOn w:val="Normal"/>
    <w:next w:val="Normal"/>
    <w:qFormat/>
    <w:pPr>
      <w:keepNext/>
      <w:jc w:val="center"/>
      <w:outlineLvl w:val="7"/>
    </w:pPr>
    <w:rPr>
      <w:b/>
      <w:bCs/>
      <w:sz w:val="30"/>
    </w:rPr>
  </w:style>
  <w:style w:type="paragraph" w:styleId="Heading9">
    <w:name w:val="heading 9"/>
    <w:basedOn w:val="Normal"/>
    <w:next w:val="Normal"/>
    <w:qFormat/>
    <w:pPr>
      <w:keepNext/>
      <w:spacing w:line="360" w:lineRule="exact"/>
      <w:jc w:val="center"/>
      <w:outlineLvl w:val="8"/>
    </w:pPr>
    <w:rPr>
      <w:rFonts w:ascii="Times" w:hAnsi="Times"/>
      <w:b/>
      <w:bCs/>
      <w:noProof/>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jc w:val="right"/>
    </w:pPr>
    <w:rPr>
      <w:rFonts w:ascii="Times" w:hAnsi="Times"/>
      <w:noProof/>
      <w:szCs w:val="24"/>
    </w:rPr>
  </w:style>
  <w:style w:type="character" w:styleId="PageNumber">
    <w:name w:val="page number"/>
    <w:basedOn w:val="DefaultParagraphFont"/>
  </w:style>
  <w:style w:type="paragraph" w:styleId="Footer">
    <w:name w:val="footer"/>
    <w:basedOn w:val="Normal"/>
    <w:pPr>
      <w:tabs>
        <w:tab w:val="center" w:pos="4153"/>
        <w:tab w:val="right" w:pos="8306"/>
      </w:tabs>
      <w:jc w:val="right"/>
    </w:pPr>
    <w:rPr>
      <w:rFonts w:ascii="Times" w:hAnsi="Times"/>
      <w:noProof/>
      <w:szCs w:val="24"/>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
    <w:link w:val="FootnoteTextChar"/>
    <w:qFormat/>
    <w:pPr>
      <w:jc w:val="right"/>
    </w:pPr>
    <w:rPr>
      <w:rFonts w:ascii="Times" w:hAnsi="Times"/>
      <w:noProof/>
      <w:szCs w:val="20"/>
    </w:rPr>
  </w:style>
  <w:style w:type="character" w:styleId="FootnoteReference">
    <w:name w:val="footnote reference"/>
    <w:aliases w:val="16 Point,Superscript 6 Point,ftref,(Ref. de nota al pie),number,SUPERS,Footnote Reference Superscript,Footnote text,Footnote Text1,Footnote Text2"/>
    <w:rPr>
      <w:vertAlign w:val="superscript"/>
    </w:rPr>
  </w:style>
  <w:style w:type="paragraph" w:customStyle="1" w:styleId="Level1">
    <w:name w:val="Level1"/>
    <w:basedOn w:val="Normal"/>
    <w:pPr>
      <w:tabs>
        <w:tab w:val="left" w:pos="578"/>
        <w:tab w:val="left" w:pos="1157"/>
      </w:tabs>
      <w:spacing w:after="240"/>
    </w:pPr>
    <w:rPr>
      <w:rFonts w:cs="Times New Roman"/>
      <w:szCs w:val="22"/>
      <w:lang w:val="en-GB" w:eastAsia="fr-FR"/>
    </w:rPr>
  </w:style>
  <w:style w:type="paragraph" w:customStyle="1" w:styleId="font6">
    <w:name w:val="font6"/>
    <w:basedOn w:val="Normal"/>
    <w:pPr>
      <w:spacing w:before="100" w:beforeAutospacing="1" w:after="100" w:afterAutospacing="1"/>
    </w:pPr>
    <w:rPr>
      <w:rFonts w:ascii="Arial" w:eastAsia="Arial Unicode MS" w:hAnsi="Arial" w:cs="Arial"/>
      <w:szCs w:val="20"/>
      <w:lang w:val="fr-FR" w:eastAsia="fr-FR"/>
    </w:rPr>
  </w:style>
  <w:style w:type="paragraph" w:styleId="BodyText">
    <w:name w:val="Body Text"/>
    <w:basedOn w:val="Normal"/>
    <w:rPr>
      <w:rFonts w:ascii="Times" w:hAnsi="Times"/>
    </w:rPr>
  </w:style>
  <w:style w:type="paragraph" w:styleId="BodyText2">
    <w:name w:val="Body Text 2"/>
    <w:basedOn w:val="Normal"/>
    <w:pPr>
      <w:jc w:val="both"/>
    </w:pPr>
    <w:rPr>
      <w:rFonts w:ascii="Times" w:hAnsi="Times"/>
      <w:noProof/>
      <w:sz w:val="28"/>
    </w:rPr>
  </w:style>
  <w:style w:type="paragraph" w:customStyle="1" w:styleId="SingleTxt">
    <w:name w:val="__Single Txt"/>
    <w:basedOn w:val="Normal"/>
    <w:rsid w:val="007E0C9A"/>
    <w:pPr>
      <w:tabs>
        <w:tab w:val="left" w:pos="1267"/>
        <w:tab w:val="left" w:pos="1930"/>
        <w:tab w:val="left" w:pos="2592"/>
        <w:tab w:val="left" w:pos="3254"/>
        <w:tab w:val="left" w:pos="3917"/>
        <w:tab w:val="left" w:pos="4579"/>
        <w:tab w:val="left" w:pos="5242"/>
        <w:tab w:val="left" w:pos="5904"/>
        <w:tab w:val="left" w:pos="6566"/>
      </w:tabs>
      <w:spacing w:after="120" w:line="400" w:lineRule="exact"/>
      <w:ind w:left="1267" w:right="1267"/>
      <w:jc w:val="lowKashida"/>
    </w:pPr>
    <w:rPr>
      <w:w w:val="103"/>
      <w:kern w:val="14"/>
    </w:rPr>
  </w:style>
  <w:style w:type="paragraph" w:customStyle="1" w:styleId="Normal-pool">
    <w:name w:val="Normal-pool"/>
    <w:link w:val="Normal-poolChar"/>
    <w:uiPriority w:val="99"/>
    <w:rsid w:val="00317E61"/>
    <w:pPr>
      <w:tabs>
        <w:tab w:val="left" w:pos="1247"/>
        <w:tab w:val="left" w:pos="1814"/>
        <w:tab w:val="left" w:pos="2381"/>
        <w:tab w:val="left" w:pos="2948"/>
        <w:tab w:val="left" w:pos="3515"/>
      </w:tabs>
    </w:pPr>
    <w:rPr>
      <w:rFonts w:cs="Times New Roman"/>
      <w:szCs w:val="30"/>
      <w:lang w:val="en-GB"/>
    </w:rPr>
  </w:style>
  <w:style w:type="character" w:customStyle="1" w:styleId="Normal-poolChar">
    <w:name w:val="Normal-pool Char"/>
    <w:link w:val="Normal-pool"/>
    <w:uiPriority w:val="99"/>
    <w:rsid w:val="00317E61"/>
    <w:rPr>
      <w:lang w:val="en-GB" w:eastAsia="en-US" w:bidi="ar-SA"/>
    </w:rPr>
  </w:style>
  <w:style w:type="paragraph" w:customStyle="1" w:styleId="ListParagraph1">
    <w:name w:val="List Paragraph1"/>
    <w:basedOn w:val="Normal"/>
    <w:rsid w:val="00317E61"/>
    <w:pPr>
      <w:spacing w:after="120"/>
      <w:ind w:left="720"/>
      <w:contextualSpacing/>
      <w:jc w:val="both"/>
    </w:pPr>
    <w:rPr>
      <w:rFonts w:ascii="Cambria" w:eastAsia="MS Mincho" w:hAnsi="Cambria" w:cs="Times New Roman"/>
      <w:sz w:val="24"/>
      <w:szCs w:val="20"/>
      <w:lang w:val="de-DE"/>
    </w:rPr>
  </w:style>
  <w:style w:type="paragraph" w:customStyle="1" w:styleId="ZZAnxheader">
    <w:name w:val="ZZ_Anx_header"/>
    <w:basedOn w:val="Normal-pool"/>
    <w:rsid w:val="00317E61"/>
    <w:rPr>
      <w:b/>
      <w:bCs/>
      <w:sz w:val="28"/>
      <w:szCs w:val="22"/>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E1443"/>
    <w:rPr>
      <w:rFonts w:ascii="Times" w:hAnsi="Times"/>
      <w:noProof/>
    </w:rPr>
  </w:style>
  <w:style w:type="paragraph" w:styleId="BalloonText">
    <w:name w:val="Balloon Text"/>
    <w:basedOn w:val="Normal"/>
    <w:link w:val="BalloonTextChar"/>
    <w:rsid w:val="004F26CB"/>
    <w:rPr>
      <w:rFonts w:ascii="Tahoma" w:hAnsi="Tahoma" w:cs="Tahoma"/>
      <w:sz w:val="16"/>
      <w:szCs w:val="16"/>
    </w:rPr>
  </w:style>
  <w:style w:type="character" w:customStyle="1" w:styleId="BalloonTextChar">
    <w:name w:val="Balloon Text Char"/>
    <w:link w:val="BalloonText"/>
    <w:rsid w:val="004F26CB"/>
    <w:rPr>
      <w:rFonts w:ascii="Tahoma" w:hAnsi="Tahoma" w:cs="Tahoma"/>
      <w:sz w:val="16"/>
      <w:szCs w:val="16"/>
    </w:rPr>
  </w:style>
  <w:style w:type="paragraph" w:styleId="BlockText">
    <w:name w:val="Block Text"/>
    <w:basedOn w:val="Normal"/>
    <w:rsid w:val="00E176E7"/>
    <w:pPr>
      <w:bidi/>
      <w:ind w:left="720" w:hanging="720"/>
      <w:jc w:val="lowKashida"/>
    </w:pPr>
    <w:rPr>
      <w:rFonts w:ascii="Times" w:hAnsi="Times" w:cs="Mudir MT"/>
      <w:noProof/>
      <w:szCs w:val="24"/>
    </w:rPr>
  </w:style>
  <w:style w:type="paragraph" w:styleId="BodyText3">
    <w:name w:val="Body Text 3"/>
    <w:basedOn w:val="Normal"/>
    <w:link w:val="BodyText3Char"/>
    <w:rsid w:val="00E176E7"/>
    <w:pPr>
      <w:bidi/>
      <w:spacing w:before="240" w:line="360" w:lineRule="auto"/>
      <w:jc w:val="both"/>
    </w:pPr>
    <w:rPr>
      <w:rFonts w:ascii="Times" w:hAnsi="Times" w:cs="Simplified Arabic"/>
      <w:szCs w:val="28"/>
    </w:rPr>
  </w:style>
  <w:style w:type="character" w:customStyle="1" w:styleId="BodyText3Char">
    <w:name w:val="Body Text 3 Char"/>
    <w:basedOn w:val="DefaultParagraphFont"/>
    <w:link w:val="BodyText3"/>
    <w:rsid w:val="00E176E7"/>
    <w:rPr>
      <w:rFonts w:ascii="Times" w:hAnsi="Times" w:cs="Simplified Arabic"/>
      <w:szCs w:val="28"/>
    </w:rPr>
  </w:style>
  <w:style w:type="character" w:styleId="Hyperlink">
    <w:name w:val="Hyperlink"/>
    <w:uiPriority w:val="99"/>
    <w:rsid w:val="00E176E7"/>
    <w:rPr>
      <w:color w:val="0000FF"/>
      <w:u w:val="single"/>
    </w:rPr>
  </w:style>
  <w:style w:type="paragraph" w:styleId="BodyTextIndent">
    <w:name w:val="Body Text Indent"/>
    <w:basedOn w:val="Normal"/>
    <w:link w:val="BodyTextIndentChar"/>
    <w:rsid w:val="00E176E7"/>
    <w:pPr>
      <w:bidi/>
      <w:spacing w:line="360" w:lineRule="exact"/>
      <w:ind w:left="13" w:firstLine="707"/>
      <w:jc w:val="both"/>
    </w:pPr>
    <w:rPr>
      <w:rFonts w:ascii="Times" w:hAnsi="Times" w:cs="Simplified Arabic"/>
      <w:szCs w:val="28"/>
    </w:rPr>
  </w:style>
  <w:style w:type="character" w:customStyle="1" w:styleId="BodyTextIndentChar">
    <w:name w:val="Body Text Indent Char"/>
    <w:basedOn w:val="DefaultParagraphFont"/>
    <w:link w:val="BodyTextIndent"/>
    <w:rsid w:val="00E176E7"/>
    <w:rPr>
      <w:rFonts w:ascii="Times" w:hAnsi="Times" w:cs="Simplified Arabic"/>
      <w:szCs w:val="28"/>
    </w:rPr>
  </w:style>
  <w:style w:type="character" w:styleId="FollowedHyperlink">
    <w:name w:val="FollowedHyperlink"/>
    <w:rsid w:val="00E176E7"/>
    <w:rPr>
      <w:color w:val="800080"/>
      <w:u w:val="single"/>
    </w:rPr>
  </w:style>
  <w:style w:type="paragraph" w:styleId="EndnoteText">
    <w:name w:val="endnote text"/>
    <w:basedOn w:val="Normal"/>
    <w:link w:val="EndnoteTextChar"/>
    <w:rsid w:val="00E176E7"/>
    <w:pPr>
      <w:bidi/>
    </w:pPr>
    <w:rPr>
      <w:rFonts w:ascii="Times" w:hAnsi="Times" w:cs="Simplified Arabic"/>
      <w:noProof/>
      <w:szCs w:val="20"/>
    </w:rPr>
  </w:style>
  <w:style w:type="character" w:customStyle="1" w:styleId="EndnoteTextChar">
    <w:name w:val="Endnote Text Char"/>
    <w:basedOn w:val="DefaultParagraphFont"/>
    <w:link w:val="EndnoteText"/>
    <w:rsid w:val="00E176E7"/>
    <w:rPr>
      <w:rFonts w:ascii="Times" w:hAnsi="Times" w:cs="Simplified Arabic"/>
      <w:noProof/>
    </w:rPr>
  </w:style>
  <w:style w:type="character" w:styleId="EndnoteReference">
    <w:name w:val="endnote reference"/>
    <w:rsid w:val="00E176E7"/>
    <w:rPr>
      <w:vertAlign w:val="superscript"/>
    </w:rPr>
  </w:style>
  <w:style w:type="paragraph" w:styleId="Title">
    <w:name w:val="Title"/>
    <w:basedOn w:val="Normal"/>
    <w:link w:val="TitleChar"/>
    <w:qFormat/>
    <w:rsid w:val="00E176E7"/>
    <w:pPr>
      <w:bidi/>
      <w:jc w:val="center"/>
    </w:pPr>
    <w:rPr>
      <w:rFonts w:cs="Simplified Arabic"/>
      <w:sz w:val="22"/>
      <w:szCs w:val="28"/>
      <w:u w:val="single"/>
    </w:rPr>
  </w:style>
  <w:style w:type="character" w:customStyle="1" w:styleId="TitleChar">
    <w:name w:val="Title Char"/>
    <w:basedOn w:val="DefaultParagraphFont"/>
    <w:link w:val="Title"/>
    <w:rsid w:val="00E176E7"/>
    <w:rPr>
      <w:rFonts w:cs="Simplified Arabic"/>
      <w:sz w:val="22"/>
      <w:szCs w:val="28"/>
      <w:u w:val="single"/>
    </w:rPr>
  </w:style>
  <w:style w:type="paragraph" w:styleId="Subtitle">
    <w:name w:val="Subtitle"/>
    <w:basedOn w:val="Normal"/>
    <w:link w:val="SubtitleChar"/>
    <w:qFormat/>
    <w:rsid w:val="00E176E7"/>
    <w:pPr>
      <w:bidi/>
      <w:jc w:val="center"/>
    </w:pPr>
    <w:rPr>
      <w:rFonts w:cs="Simplified Arabic"/>
      <w:sz w:val="22"/>
      <w:szCs w:val="28"/>
      <w:u w:val="single"/>
    </w:rPr>
  </w:style>
  <w:style w:type="character" w:customStyle="1" w:styleId="SubtitleChar">
    <w:name w:val="Subtitle Char"/>
    <w:basedOn w:val="DefaultParagraphFont"/>
    <w:link w:val="Subtitle"/>
    <w:rsid w:val="00E176E7"/>
    <w:rPr>
      <w:rFonts w:cs="Simplified Arabic"/>
      <w:sz w:val="22"/>
      <w:szCs w:val="28"/>
      <w:u w:val="single"/>
    </w:rPr>
  </w:style>
  <w:style w:type="paragraph" w:styleId="BodyTextIndent2">
    <w:name w:val="Body Text Indent 2"/>
    <w:basedOn w:val="Normal"/>
    <w:link w:val="BodyTextIndent2Char"/>
    <w:rsid w:val="00E176E7"/>
    <w:pPr>
      <w:bidi/>
      <w:spacing w:line="360" w:lineRule="exact"/>
      <w:ind w:left="70" w:firstLine="600"/>
      <w:jc w:val="both"/>
    </w:pPr>
    <w:rPr>
      <w:rFonts w:cs="Simplified Arabic"/>
      <w:sz w:val="22"/>
      <w:szCs w:val="28"/>
    </w:rPr>
  </w:style>
  <w:style w:type="character" w:customStyle="1" w:styleId="BodyTextIndent2Char">
    <w:name w:val="Body Text Indent 2 Char"/>
    <w:basedOn w:val="DefaultParagraphFont"/>
    <w:link w:val="BodyTextIndent2"/>
    <w:rsid w:val="00E176E7"/>
    <w:rPr>
      <w:rFonts w:cs="Simplified Arabic"/>
      <w:sz w:val="22"/>
      <w:szCs w:val="28"/>
    </w:rPr>
  </w:style>
  <w:style w:type="paragraph" w:styleId="BodyTextIndent3">
    <w:name w:val="Body Text Indent 3"/>
    <w:basedOn w:val="Normal"/>
    <w:link w:val="BodyTextIndent3Char"/>
    <w:rsid w:val="00E176E7"/>
    <w:pPr>
      <w:bidi/>
      <w:spacing w:line="360" w:lineRule="exact"/>
      <w:ind w:left="70" w:firstLine="600"/>
      <w:jc w:val="both"/>
    </w:pPr>
    <w:rPr>
      <w:rFonts w:cs="Simplified Arabic"/>
      <w:sz w:val="22"/>
      <w:szCs w:val="28"/>
    </w:rPr>
  </w:style>
  <w:style w:type="character" w:customStyle="1" w:styleId="BodyTextIndent3Char">
    <w:name w:val="Body Text Indent 3 Char"/>
    <w:basedOn w:val="DefaultParagraphFont"/>
    <w:link w:val="BodyTextIndent3"/>
    <w:rsid w:val="00E176E7"/>
    <w:rPr>
      <w:rFonts w:cs="Simplified Arabic"/>
      <w:sz w:val="22"/>
      <w:szCs w:val="28"/>
    </w:rPr>
  </w:style>
  <w:style w:type="paragraph" w:styleId="Caption">
    <w:name w:val="caption"/>
    <w:basedOn w:val="Normal"/>
    <w:next w:val="Normal"/>
    <w:qFormat/>
    <w:rsid w:val="00E176E7"/>
    <w:pPr>
      <w:bidi/>
      <w:spacing w:after="360" w:line="360" w:lineRule="exact"/>
      <w:jc w:val="both"/>
    </w:pPr>
    <w:rPr>
      <w:rFonts w:ascii="Times" w:hAnsi="Times"/>
      <w:b/>
      <w:bCs/>
    </w:rPr>
  </w:style>
  <w:style w:type="paragraph" w:customStyle="1" w:styleId="Normal-num">
    <w:name w:val="Normal-num"/>
    <w:basedOn w:val="Normal"/>
    <w:next w:val="Normal"/>
    <w:rsid w:val="00E176E7"/>
    <w:pPr>
      <w:tabs>
        <w:tab w:val="num" w:pos="360"/>
      </w:tabs>
      <w:suppressAutoHyphens/>
      <w:ind w:right="360" w:hanging="360"/>
    </w:pPr>
    <w:rPr>
      <w:rFonts w:cs="Times New Roman"/>
      <w:snapToGrid w:val="0"/>
      <w:sz w:val="22"/>
      <w:szCs w:val="22"/>
      <w:lang w:val="en-GB"/>
    </w:rPr>
  </w:style>
  <w:style w:type="character" w:customStyle="1" w:styleId="DeltaViewInsertion">
    <w:name w:val="DeltaView Insertion"/>
    <w:uiPriority w:val="99"/>
    <w:rsid w:val="00E176E7"/>
    <w:rPr>
      <w:color w:val="0000FF"/>
      <w:u w:val="double"/>
    </w:rPr>
  </w:style>
  <w:style w:type="paragraph" w:customStyle="1" w:styleId="Normalnumber">
    <w:name w:val="Normal_number"/>
    <w:basedOn w:val="Normal"/>
    <w:link w:val="NormalnumberChar"/>
    <w:rsid w:val="00E176E7"/>
    <w:pPr>
      <w:numPr>
        <w:numId w:val="7"/>
      </w:numPr>
      <w:autoSpaceDE w:val="0"/>
      <w:autoSpaceDN w:val="0"/>
      <w:adjustRightInd w:val="0"/>
      <w:spacing w:after="120"/>
    </w:pPr>
    <w:rPr>
      <w:rFonts w:eastAsiaTheme="minorEastAsia" w:cs="Times New Roman"/>
      <w:szCs w:val="24"/>
    </w:rPr>
  </w:style>
  <w:style w:type="paragraph" w:styleId="ListParagraph">
    <w:name w:val="List Paragraph"/>
    <w:basedOn w:val="Normal"/>
    <w:uiPriority w:val="34"/>
    <w:qFormat/>
    <w:rsid w:val="00D113A9"/>
    <w:pPr>
      <w:bidi/>
      <w:ind w:left="720"/>
      <w:contextualSpacing/>
    </w:pPr>
    <w:rPr>
      <w:rFonts w:ascii="Times" w:hAnsi="Times" w:cs="Simplified Arabic"/>
      <w:noProof/>
      <w:szCs w:val="28"/>
    </w:rPr>
  </w:style>
  <w:style w:type="paragraph" w:customStyle="1" w:styleId="Normalpool">
    <w:name w:val="Normal_pool"/>
    <w:link w:val="NormalpoolChar"/>
    <w:rsid w:val="00D113A9"/>
    <w:pPr>
      <w:tabs>
        <w:tab w:val="left" w:pos="1253"/>
        <w:tab w:val="left" w:pos="1814"/>
        <w:tab w:val="left" w:pos="2376"/>
        <w:tab w:val="left" w:pos="2952"/>
        <w:tab w:val="left" w:pos="3514"/>
      </w:tabs>
    </w:pPr>
    <w:rPr>
      <w:rFonts w:eastAsiaTheme="minorHAnsi" w:cs="Times New Roman"/>
      <w:sz w:val="22"/>
      <w:szCs w:val="22"/>
      <w:lang w:val="en-GB"/>
    </w:rPr>
  </w:style>
  <w:style w:type="character" w:customStyle="1" w:styleId="NormalnumberChar">
    <w:name w:val="Normal_number Char"/>
    <w:link w:val="Normalnumber"/>
    <w:locked/>
    <w:rsid w:val="00D113A9"/>
    <w:rPr>
      <w:rFonts w:eastAsiaTheme="minorEastAsia" w:cs="Times New Roman"/>
      <w:szCs w:val="24"/>
    </w:rPr>
  </w:style>
  <w:style w:type="numbering" w:customStyle="1" w:styleId="Normallist">
    <w:name w:val="Normal_list"/>
    <w:rsid w:val="00D113A9"/>
    <w:pPr>
      <w:numPr>
        <w:numId w:val="14"/>
      </w:numPr>
    </w:pPr>
  </w:style>
  <w:style w:type="character" w:customStyle="1" w:styleId="NormalpoolChar">
    <w:name w:val="Normal_pool Char"/>
    <w:link w:val="Normalpool"/>
    <w:locked/>
    <w:rsid w:val="00D113A9"/>
    <w:rPr>
      <w:rFonts w:eastAsiaTheme="minorHAnsi" w:cs="Times New Roman"/>
      <w:sz w:val="22"/>
      <w:szCs w:val="22"/>
      <w:lang w:val="en-GB"/>
    </w:rPr>
  </w:style>
  <w:style w:type="table" w:styleId="TableGrid">
    <w:name w:val="Table Grid"/>
    <w:basedOn w:val="TableNormal"/>
    <w:uiPriority w:val="39"/>
    <w:rsid w:val="00D113A9"/>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CharCharCharCharCharChar">
    <w:name w:val="Char1 Char Char Char Char Char Char"/>
    <w:basedOn w:val="Normal"/>
    <w:rsid w:val="00C2111C"/>
    <w:pPr>
      <w:spacing w:after="160" w:line="240" w:lineRule="exact"/>
    </w:pPr>
    <w:rPr>
      <w:rFonts w:ascii="Tahoma" w:hAnsi="Tahoma" w:cs="Times New Roman"/>
      <w:szCs w:val="20"/>
    </w:rPr>
  </w:style>
  <w:style w:type="character" w:customStyle="1" w:styleId="hps">
    <w:name w:val="hps"/>
    <w:rsid w:val="00C2111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Cs w:val="30"/>
    </w:rPr>
  </w:style>
  <w:style w:type="paragraph" w:styleId="Heading1">
    <w:name w:val="heading 1"/>
    <w:basedOn w:val="Normal"/>
    <w:next w:val="Normal"/>
    <w:qFormat/>
    <w:pPr>
      <w:keepNext/>
      <w:spacing w:before="120" w:after="120" w:line="360" w:lineRule="exact"/>
      <w:jc w:val="center"/>
      <w:outlineLvl w:val="0"/>
    </w:pPr>
    <w:rPr>
      <w:u w:val="single"/>
    </w:rPr>
  </w:style>
  <w:style w:type="paragraph" w:styleId="Heading2">
    <w:name w:val="heading 2"/>
    <w:basedOn w:val="Normal"/>
    <w:next w:val="Normal"/>
    <w:qFormat/>
    <w:pPr>
      <w:keepNext/>
      <w:spacing w:before="120" w:after="120" w:line="360" w:lineRule="exact"/>
      <w:jc w:val="center"/>
      <w:outlineLvl w:val="1"/>
    </w:pPr>
    <w:rPr>
      <w:u w:val="single"/>
    </w:rPr>
  </w:style>
  <w:style w:type="paragraph" w:styleId="Heading3">
    <w:name w:val="heading 3"/>
    <w:basedOn w:val="Normal"/>
    <w:next w:val="Normal"/>
    <w:qFormat/>
    <w:pPr>
      <w:keepNext/>
      <w:spacing w:before="120" w:after="120" w:line="360" w:lineRule="exact"/>
      <w:jc w:val="both"/>
      <w:outlineLvl w:val="2"/>
    </w:pPr>
    <w:rPr>
      <w:u w:val="single"/>
    </w:rPr>
  </w:style>
  <w:style w:type="paragraph" w:styleId="Heading4">
    <w:name w:val="heading 4"/>
    <w:basedOn w:val="Normal"/>
    <w:next w:val="Normal"/>
    <w:qFormat/>
    <w:pPr>
      <w:keepNext/>
      <w:spacing w:before="120" w:after="120" w:line="360" w:lineRule="exact"/>
      <w:jc w:val="both"/>
      <w:outlineLvl w:val="3"/>
    </w:pPr>
  </w:style>
  <w:style w:type="paragraph" w:styleId="Heading5">
    <w:name w:val="heading 5"/>
    <w:basedOn w:val="Normal"/>
    <w:next w:val="Normal"/>
    <w:qFormat/>
    <w:pPr>
      <w:keepNext/>
      <w:jc w:val="right"/>
      <w:outlineLvl w:val="4"/>
    </w:pPr>
    <w:rPr>
      <w:rFonts w:ascii="Times" w:hAnsi="Times" w:cs="Arabic Transparent"/>
      <w:b/>
      <w:bCs/>
      <w:noProof/>
      <w:szCs w:val="44"/>
    </w:rPr>
  </w:style>
  <w:style w:type="paragraph" w:styleId="Heading6">
    <w:name w:val="heading 6"/>
    <w:basedOn w:val="Normal"/>
    <w:next w:val="Normal"/>
    <w:qFormat/>
    <w:pPr>
      <w:keepNext/>
      <w:spacing w:before="120" w:after="120" w:line="360" w:lineRule="exact"/>
      <w:jc w:val="both"/>
      <w:outlineLvl w:val="5"/>
    </w:pPr>
    <w:rPr>
      <w:u w:val="single"/>
    </w:rPr>
  </w:style>
  <w:style w:type="paragraph" w:styleId="Heading7">
    <w:name w:val="heading 7"/>
    <w:basedOn w:val="Normal"/>
    <w:next w:val="Normal"/>
    <w:qFormat/>
    <w:pPr>
      <w:keepNext/>
      <w:jc w:val="center"/>
      <w:outlineLvl w:val="6"/>
    </w:pPr>
    <w:rPr>
      <w:rFonts w:ascii="Times" w:hAnsi="Times"/>
      <w:b/>
      <w:bCs/>
      <w:noProof/>
    </w:rPr>
  </w:style>
  <w:style w:type="paragraph" w:styleId="Heading8">
    <w:name w:val="heading 8"/>
    <w:basedOn w:val="Normal"/>
    <w:next w:val="Normal"/>
    <w:qFormat/>
    <w:pPr>
      <w:keepNext/>
      <w:jc w:val="center"/>
      <w:outlineLvl w:val="7"/>
    </w:pPr>
    <w:rPr>
      <w:b/>
      <w:bCs/>
      <w:sz w:val="30"/>
    </w:rPr>
  </w:style>
  <w:style w:type="paragraph" w:styleId="Heading9">
    <w:name w:val="heading 9"/>
    <w:basedOn w:val="Normal"/>
    <w:next w:val="Normal"/>
    <w:qFormat/>
    <w:pPr>
      <w:keepNext/>
      <w:spacing w:line="360" w:lineRule="exact"/>
      <w:jc w:val="center"/>
      <w:outlineLvl w:val="8"/>
    </w:pPr>
    <w:rPr>
      <w:rFonts w:ascii="Times" w:hAnsi="Times"/>
      <w:b/>
      <w:bCs/>
      <w:noProof/>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jc w:val="right"/>
    </w:pPr>
    <w:rPr>
      <w:rFonts w:ascii="Times" w:hAnsi="Times"/>
      <w:noProof/>
      <w:szCs w:val="24"/>
    </w:rPr>
  </w:style>
  <w:style w:type="character" w:styleId="PageNumber">
    <w:name w:val="page number"/>
    <w:basedOn w:val="DefaultParagraphFont"/>
  </w:style>
  <w:style w:type="paragraph" w:styleId="Footer">
    <w:name w:val="footer"/>
    <w:basedOn w:val="Normal"/>
    <w:pPr>
      <w:tabs>
        <w:tab w:val="center" w:pos="4153"/>
        <w:tab w:val="right" w:pos="8306"/>
      </w:tabs>
      <w:jc w:val="right"/>
    </w:pPr>
    <w:rPr>
      <w:rFonts w:ascii="Times" w:hAnsi="Times"/>
      <w:noProof/>
      <w:szCs w:val="24"/>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
    <w:link w:val="FootnoteTextChar"/>
    <w:qFormat/>
    <w:pPr>
      <w:jc w:val="right"/>
    </w:pPr>
    <w:rPr>
      <w:rFonts w:ascii="Times" w:hAnsi="Times"/>
      <w:noProof/>
      <w:szCs w:val="20"/>
    </w:rPr>
  </w:style>
  <w:style w:type="character" w:styleId="FootnoteReference">
    <w:name w:val="footnote reference"/>
    <w:aliases w:val="16 Point,Superscript 6 Point,ftref,(Ref. de nota al pie),number,SUPERS,Footnote Reference Superscript,Footnote text,Footnote Text1,Footnote Text2"/>
    <w:rPr>
      <w:vertAlign w:val="superscript"/>
    </w:rPr>
  </w:style>
  <w:style w:type="paragraph" w:customStyle="1" w:styleId="Level1">
    <w:name w:val="Level1"/>
    <w:basedOn w:val="Normal"/>
    <w:pPr>
      <w:tabs>
        <w:tab w:val="left" w:pos="578"/>
        <w:tab w:val="left" w:pos="1157"/>
      </w:tabs>
      <w:spacing w:after="240"/>
    </w:pPr>
    <w:rPr>
      <w:rFonts w:cs="Times New Roman"/>
      <w:szCs w:val="22"/>
      <w:lang w:val="en-GB" w:eastAsia="fr-FR"/>
    </w:rPr>
  </w:style>
  <w:style w:type="paragraph" w:customStyle="1" w:styleId="font6">
    <w:name w:val="font6"/>
    <w:basedOn w:val="Normal"/>
    <w:pPr>
      <w:spacing w:before="100" w:beforeAutospacing="1" w:after="100" w:afterAutospacing="1"/>
    </w:pPr>
    <w:rPr>
      <w:rFonts w:ascii="Arial" w:eastAsia="Arial Unicode MS" w:hAnsi="Arial" w:cs="Arial"/>
      <w:szCs w:val="20"/>
      <w:lang w:val="fr-FR" w:eastAsia="fr-FR"/>
    </w:rPr>
  </w:style>
  <w:style w:type="paragraph" w:styleId="BodyText">
    <w:name w:val="Body Text"/>
    <w:basedOn w:val="Normal"/>
    <w:rPr>
      <w:rFonts w:ascii="Times" w:hAnsi="Times"/>
    </w:rPr>
  </w:style>
  <w:style w:type="paragraph" w:styleId="BodyText2">
    <w:name w:val="Body Text 2"/>
    <w:basedOn w:val="Normal"/>
    <w:pPr>
      <w:jc w:val="both"/>
    </w:pPr>
    <w:rPr>
      <w:rFonts w:ascii="Times" w:hAnsi="Times"/>
      <w:noProof/>
      <w:sz w:val="28"/>
    </w:rPr>
  </w:style>
  <w:style w:type="paragraph" w:customStyle="1" w:styleId="SingleTxt">
    <w:name w:val="__Single Txt"/>
    <w:basedOn w:val="Normal"/>
    <w:rsid w:val="007E0C9A"/>
    <w:pPr>
      <w:tabs>
        <w:tab w:val="left" w:pos="1267"/>
        <w:tab w:val="left" w:pos="1930"/>
        <w:tab w:val="left" w:pos="2592"/>
        <w:tab w:val="left" w:pos="3254"/>
        <w:tab w:val="left" w:pos="3917"/>
        <w:tab w:val="left" w:pos="4579"/>
        <w:tab w:val="left" w:pos="5242"/>
        <w:tab w:val="left" w:pos="5904"/>
        <w:tab w:val="left" w:pos="6566"/>
      </w:tabs>
      <w:spacing w:after="120" w:line="400" w:lineRule="exact"/>
      <w:ind w:left="1267" w:right="1267"/>
      <w:jc w:val="lowKashida"/>
    </w:pPr>
    <w:rPr>
      <w:w w:val="103"/>
      <w:kern w:val="14"/>
    </w:rPr>
  </w:style>
  <w:style w:type="paragraph" w:customStyle="1" w:styleId="Normal-pool">
    <w:name w:val="Normal-pool"/>
    <w:link w:val="Normal-poolChar"/>
    <w:uiPriority w:val="99"/>
    <w:rsid w:val="00317E61"/>
    <w:pPr>
      <w:tabs>
        <w:tab w:val="left" w:pos="1247"/>
        <w:tab w:val="left" w:pos="1814"/>
        <w:tab w:val="left" w:pos="2381"/>
        <w:tab w:val="left" w:pos="2948"/>
        <w:tab w:val="left" w:pos="3515"/>
      </w:tabs>
    </w:pPr>
    <w:rPr>
      <w:rFonts w:cs="Times New Roman"/>
      <w:szCs w:val="30"/>
      <w:lang w:val="en-GB"/>
    </w:rPr>
  </w:style>
  <w:style w:type="character" w:customStyle="1" w:styleId="Normal-poolChar">
    <w:name w:val="Normal-pool Char"/>
    <w:link w:val="Normal-pool"/>
    <w:uiPriority w:val="99"/>
    <w:rsid w:val="00317E61"/>
    <w:rPr>
      <w:lang w:val="en-GB" w:eastAsia="en-US" w:bidi="ar-SA"/>
    </w:rPr>
  </w:style>
  <w:style w:type="paragraph" w:customStyle="1" w:styleId="ListParagraph1">
    <w:name w:val="List Paragraph1"/>
    <w:basedOn w:val="Normal"/>
    <w:rsid w:val="00317E61"/>
    <w:pPr>
      <w:spacing w:after="120"/>
      <w:ind w:left="720"/>
      <w:contextualSpacing/>
      <w:jc w:val="both"/>
    </w:pPr>
    <w:rPr>
      <w:rFonts w:ascii="Cambria" w:eastAsia="MS Mincho" w:hAnsi="Cambria" w:cs="Times New Roman"/>
      <w:sz w:val="24"/>
      <w:szCs w:val="20"/>
      <w:lang w:val="de-DE"/>
    </w:rPr>
  </w:style>
  <w:style w:type="paragraph" w:customStyle="1" w:styleId="ZZAnxheader">
    <w:name w:val="ZZ_Anx_header"/>
    <w:basedOn w:val="Normal-pool"/>
    <w:rsid w:val="00317E61"/>
    <w:rPr>
      <w:b/>
      <w:bCs/>
      <w:sz w:val="28"/>
      <w:szCs w:val="22"/>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E1443"/>
    <w:rPr>
      <w:rFonts w:ascii="Times" w:hAnsi="Times"/>
      <w:noProof/>
    </w:rPr>
  </w:style>
  <w:style w:type="paragraph" w:styleId="BalloonText">
    <w:name w:val="Balloon Text"/>
    <w:basedOn w:val="Normal"/>
    <w:link w:val="BalloonTextChar"/>
    <w:rsid w:val="004F26CB"/>
    <w:rPr>
      <w:rFonts w:ascii="Tahoma" w:hAnsi="Tahoma" w:cs="Tahoma"/>
      <w:sz w:val="16"/>
      <w:szCs w:val="16"/>
    </w:rPr>
  </w:style>
  <w:style w:type="character" w:customStyle="1" w:styleId="BalloonTextChar">
    <w:name w:val="Balloon Text Char"/>
    <w:link w:val="BalloonText"/>
    <w:rsid w:val="004F26CB"/>
    <w:rPr>
      <w:rFonts w:ascii="Tahoma" w:hAnsi="Tahoma" w:cs="Tahoma"/>
      <w:sz w:val="16"/>
      <w:szCs w:val="16"/>
    </w:rPr>
  </w:style>
  <w:style w:type="paragraph" w:styleId="BlockText">
    <w:name w:val="Block Text"/>
    <w:basedOn w:val="Normal"/>
    <w:rsid w:val="00E176E7"/>
    <w:pPr>
      <w:bidi/>
      <w:ind w:left="720" w:hanging="720"/>
      <w:jc w:val="lowKashida"/>
    </w:pPr>
    <w:rPr>
      <w:rFonts w:ascii="Times" w:hAnsi="Times" w:cs="Mudir MT"/>
      <w:noProof/>
      <w:szCs w:val="24"/>
    </w:rPr>
  </w:style>
  <w:style w:type="paragraph" w:styleId="BodyText3">
    <w:name w:val="Body Text 3"/>
    <w:basedOn w:val="Normal"/>
    <w:link w:val="BodyText3Char"/>
    <w:rsid w:val="00E176E7"/>
    <w:pPr>
      <w:bidi/>
      <w:spacing w:before="240" w:line="360" w:lineRule="auto"/>
      <w:jc w:val="both"/>
    </w:pPr>
    <w:rPr>
      <w:rFonts w:ascii="Times" w:hAnsi="Times" w:cs="Simplified Arabic"/>
      <w:szCs w:val="28"/>
    </w:rPr>
  </w:style>
  <w:style w:type="character" w:customStyle="1" w:styleId="BodyText3Char">
    <w:name w:val="Body Text 3 Char"/>
    <w:basedOn w:val="DefaultParagraphFont"/>
    <w:link w:val="BodyText3"/>
    <w:rsid w:val="00E176E7"/>
    <w:rPr>
      <w:rFonts w:ascii="Times" w:hAnsi="Times" w:cs="Simplified Arabic"/>
      <w:szCs w:val="28"/>
    </w:rPr>
  </w:style>
  <w:style w:type="character" w:styleId="Hyperlink">
    <w:name w:val="Hyperlink"/>
    <w:uiPriority w:val="99"/>
    <w:rsid w:val="00E176E7"/>
    <w:rPr>
      <w:color w:val="0000FF"/>
      <w:u w:val="single"/>
    </w:rPr>
  </w:style>
  <w:style w:type="paragraph" w:styleId="BodyTextIndent">
    <w:name w:val="Body Text Indent"/>
    <w:basedOn w:val="Normal"/>
    <w:link w:val="BodyTextIndentChar"/>
    <w:rsid w:val="00E176E7"/>
    <w:pPr>
      <w:bidi/>
      <w:spacing w:line="360" w:lineRule="exact"/>
      <w:ind w:left="13" w:firstLine="707"/>
      <w:jc w:val="both"/>
    </w:pPr>
    <w:rPr>
      <w:rFonts w:ascii="Times" w:hAnsi="Times" w:cs="Simplified Arabic"/>
      <w:szCs w:val="28"/>
    </w:rPr>
  </w:style>
  <w:style w:type="character" w:customStyle="1" w:styleId="BodyTextIndentChar">
    <w:name w:val="Body Text Indent Char"/>
    <w:basedOn w:val="DefaultParagraphFont"/>
    <w:link w:val="BodyTextIndent"/>
    <w:rsid w:val="00E176E7"/>
    <w:rPr>
      <w:rFonts w:ascii="Times" w:hAnsi="Times" w:cs="Simplified Arabic"/>
      <w:szCs w:val="28"/>
    </w:rPr>
  </w:style>
  <w:style w:type="character" w:styleId="FollowedHyperlink">
    <w:name w:val="FollowedHyperlink"/>
    <w:rsid w:val="00E176E7"/>
    <w:rPr>
      <w:color w:val="800080"/>
      <w:u w:val="single"/>
    </w:rPr>
  </w:style>
  <w:style w:type="paragraph" w:styleId="EndnoteText">
    <w:name w:val="endnote text"/>
    <w:basedOn w:val="Normal"/>
    <w:link w:val="EndnoteTextChar"/>
    <w:rsid w:val="00E176E7"/>
    <w:pPr>
      <w:bidi/>
    </w:pPr>
    <w:rPr>
      <w:rFonts w:ascii="Times" w:hAnsi="Times" w:cs="Simplified Arabic"/>
      <w:noProof/>
      <w:szCs w:val="20"/>
    </w:rPr>
  </w:style>
  <w:style w:type="character" w:customStyle="1" w:styleId="EndnoteTextChar">
    <w:name w:val="Endnote Text Char"/>
    <w:basedOn w:val="DefaultParagraphFont"/>
    <w:link w:val="EndnoteText"/>
    <w:rsid w:val="00E176E7"/>
    <w:rPr>
      <w:rFonts w:ascii="Times" w:hAnsi="Times" w:cs="Simplified Arabic"/>
      <w:noProof/>
    </w:rPr>
  </w:style>
  <w:style w:type="character" w:styleId="EndnoteReference">
    <w:name w:val="endnote reference"/>
    <w:rsid w:val="00E176E7"/>
    <w:rPr>
      <w:vertAlign w:val="superscript"/>
    </w:rPr>
  </w:style>
  <w:style w:type="paragraph" w:styleId="Title">
    <w:name w:val="Title"/>
    <w:basedOn w:val="Normal"/>
    <w:link w:val="TitleChar"/>
    <w:qFormat/>
    <w:rsid w:val="00E176E7"/>
    <w:pPr>
      <w:bidi/>
      <w:jc w:val="center"/>
    </w:pPr>
    <w:rPr>
      <w:rFonts w:cs="Simplified Arabic"/>
      <w:sz w:val="22"/>
      <w:szCs w:val="28"/>
      <w:u w:val="single"/>
    </w:rPr>
  </w:style>
  <w:style w:type="character" w:customStyle="1" w:styleId="TitleChar">
    <w:name w:val="Title Char"/>
    <w:basedOn w:val="DefaultParagraphFont"/>
    <w:link w:val="Title"/>
    <w:rsid w:val="00E176E7"/>
    <w:rPr>
      <w:rFonts w:cs="Simplified Arabic"/>
      <w:sz w:val="22"/>
      <w:szCs w:val="28"/>
      <w:u w:val="single"/>
    </w:rPr>
  </w:style>
  <w:style w:type="paragraph" w:styleId="Subtitle">
    <w:name w:val="Subtitle"/>
    <w:basedOn w:val="Normal"/>
    <w:link w:val="SubtitleChar"/>
    <w:qFormat/>
    <w:rsid w:val="00E176E7"/>
    <w:pPr>
      <w:bidi/>
      <w:jc w:val="center"/>
    </w:pPr>
    <w:rPr>
      <w:rFonts w:cs="Simplified Arabic"/>
      <w:sz w:val="22"/>
      <w:szCs w:val="28"/>
      <w:u w:val="single"/>
    </w:rPr>
  </w:style>
  <w:style w:type="character" w:customStyle="1" w:styleId="SubtitleChar">
    <w:name w:val="Subtitle Char"/>
    <w:basedOn w:val="DefaultParagraphFont"/>
    <w:link w:val="Subtitle"/>
    <w:rsid w:val="00E176E7"/>
    <w:rPr>
      <w:rFonts w:cs="Simplified Arabic"/>
      <w:sz w:val="22"/>
      <w:szCs w:val="28"/>
      <w:u w:val="single"/>
    </w:rPr>
  </w:style>
  <w:style w:type="paragraph" w:styleId="BodyTextIndent2">
    <w:name w:val="Body Text Indent 2"/>
    <w:basedOn w:val="Normal"/>
    <w:link w:val="BodyTextIndent2Char"/>
    <w:rsid w:val="00E176E7"/>
    <w:pPr>
      <w:bidi/>
      <w:spacing w:line="360" w:lineRule="exact"/>
      <w:ind w:left="70" w:firstLine="600"/>
      <w:jc w:val="both"/>
    </w:pPr>
    <w:rPr>
      <w:rFonts w:cs="Simplified Arabic"/>
      <w:sz w:val="22"/>
      <w:szCs w:val="28"/>
    </w:rPr>
  </w:style>
  <w:style w:type="character" w:customStyle="1" w:styleId="BodyTextIndent2Char">
    <w:name w:val="Body Text Indent 2 Char"/>
    <w:basedOn w:val="DefaultParagraphFont"/>
    <w:link w:val="BodyTextIndent2"/>
    <w:rsid w:val="00E176E7"/>
    <w:rPr>
      <w:rFonts w:cs="Simplified Arabic"/>
      <w:sz w:val="22"/>
      <w:szCs w:val="28"/>
    </w:rPr>
  </w:style>
  <w:style w:type="paragraph" w:styleId="BodyTextIndent3">
    <w:name w:val="Body Text Indent 3"/>
    <w:basedOn w:val="Normal"/>
    <w:link w:val="BodyTextIndent3Char"/>
    <w:rsid w:val="00E176E7"/>
    <w:pPr>
      <w:bidi/>
      <w:spacing w:line="360" w:lineRule="exact"/>
      <w:ind w:left="70" w:firstLine="600"/>
      <w:jc w:val="both"/>
    </w:pPr>
    <w:rPr>
      <w:rFonts w:cs="Simplified Arabic"/>
      <w:sz w:val="22"/>
      <w:szCs w:val="28"/>
    </w:rPr>
  </w:style>
  <w:style w:type="character" w:customStyle="1" w:styleId="BodyTextIndent3Char">
    <w:name w:val="Body Text Indent 3 Char"/>
    <w:basedOn w:val="DefaultParagraphFont"/>
    <w:link w:val="BodyTextIndent3"/>
    <w:rsid w:val="00E176E7"/>
    <w:rPr>
      <w:rFonts w:cs="Simplified Arabic"/>
      <w:sz w:val="22"/>
      <w:szCs w:val="28"/>
    </w:rPr>
  </w:style>
  <w:style w:type="paragraph" w:styleId="Caption">
    <w:name w:val="caption"/>
    <w:basedOn w:val="Normal"/>
    <w:next w:val="Normal"/>
    <w:qFormat/>
    <w:rsid w:val="00E176E7"/>
    <w:pPr>
      <w:bidi/>
      <w:spacing w:after="360" w:line="360" w:lineRule="exact"/>
      <w:jc w:val="both"/>
    </w:pPr>
    <w:rPr>
      <w:rFonts w:ascii="Times" w:hAnsi="Times"/>
      <w:b/>
      <w:bCs/>
    </w:rPr>
  </w:style>
  <w:style w:type="paragraph" w:customStyle="1" w:styleId="Normal-num">
    <w:name w:val="Normal-num"/>
    <w:basedOn w:val="Normal"/>
    <w:next w:val="Normal"/>
    <w:rsid w:val="00E176E7"/>
    <w:pPr>
      <w:tabs>
        <w:tab w:val="num" w:pos="360"/>
      </w:tabs>
      <w:suppressAutoHyphens/>
      <w:ind w:right="360" w:hanging="360"/>
    </w:pPr>
    <w:rPr>
      <w:rFonts w:cs="Times New Roman"/>
      <w:snapToGrid w:val="0"/>
      <w:sz w:val="22"/>
      <w:szCs w:val="22"/>
      <w:lang w:val="en-GB"/>
    </w:rPr>
  </w:style>
  <w:style w:type="character" w:customStyle="1" w:styleId="DeltaViewInsertion">
    <w:name w:val="DeltaView Insertion"/>
    <w:uiPriority w:val="99"/>
    <w:rsid w:val="00E176E7"/>
    <w:rPr>
      <w:color w:val="0000FF"/>
      <w:u w:val="double"/>
    </w:rPr>
  </w:style>
  <w:style w:type="paragraph" w:customStyle="1" w:styleId="Normalnumber">
    <w:name w:val="Normal_number"/>
    <w:basedOn w:val="Normal"/>
    <w:link w:val="NormalnumberChar"/>
    <w:rsid w:val="00E176E7"/>
    <w:pPr>
      <w:numPr>
        <w:numId w:val="7"/>
      </w:numPr>
      <w:autoSpaceDE w:val="0"/>
      <w:autoSpaceDN w:val="0"/>
      <w:adjustRightInd w:val="0"/>
      <w:spacing w:after="120"/>
    </w:pPr>
    <w:rPr>
      <w:rFonts w:eastAsiaTheme="minorEastAsia" w:cs="Times New Roman"/>
      <w:szCs w:val="24"/>
    </w:rPr>
  </w:style>
  <w:style w:type="paragraph" w:styleId="ListParagraph">
    <w:name w:val="List Paragraph"/>
    <w:basedOn w:val="Normal"/>
    <w:uiPriority w:val="34"/>
    <w:qFormat/>
    <w:rsid w:val="00D113A9"/>
    <w:pPr>
      <w:bidi/>
      <w:ind w:left="720"/>
      <w:contextualSpacing/>
    </w:pPr>
    <w:rPr>
      <w:rFonts w:ascii="Times" w:hAnsi="Times" w:cs="Simplified Arabic"/>
      <w:noProof/>
      <w:szCs w:val="28"/>
    </w:rPr>
  </w:style>
  <w:style w:type="paragraph" w:customStyle="1" w:styleId="Normalpool">
    <w:name w:val="Normal_pool"/>
    <w:link w:val="NormalpoolChar"/>
    <w:rsid w:val="00D113A9"/>
    <w:pPr>
      <w:tabs>
        <w:tab w:val="left" w:pos="1253"/>
        <w:tab w:val="left" w:pos="1814"/>
        <w:tab w:val="left" w:pos="2376"/>
        <w:tab w:val="left" w:pos="2952"/>
        <w:tab w:val="left" w:pos="3514"/>
      </w:tabs>
    </w:pPr>
    <w:rPr>
      <w:rFonts w:eastAsiaTheme="minorHAnsi" w:cs="Times New Roman"/>
      <w:sz w:val="22"/>
      <w:szCs w:val="22"/>
      <w:lang w:val="en-GB"/>
    </w:rPr>
  </w:style>
  <w:style w:type="character" w:customStyle="1" w:styleId="NormalnumberChar">
    <w:name w:val="Normal_number Char"/>
    <w:link w:val="Normalnumber"/>
    <w:locked/>
    <w:rsid w:val="00D113A9"/>
    <w:rPr>
      <w:rFonts w:eastAsiaTheme="minorEastAsia" w:cs="Times New Roman"/>
      <w:szCs w:val="24"/>
    </w:rPr>
  </w:style>
  <w:style w:type="numbering" w:customStyle="1" w:styleId="Normallist">
    <w:name w:val="Normal_list"/>
    <w:rsid w:val="00D113A9"/>
    <w:pPr>
      <w:numPr>
        <w:numId w:val="14"/>
      </w:numPr>
    </w:pPr>
  </w:style>
  <w:style w:type="character" w:customStyle="1" w:styleId="NormalpoolChar">
    <w:name w:val="Normal_pool Char"/>
    <w:link w:val="Normalpool"/>
    <w:locked/>
    <w:rsid w:val="00D113A9"/>
    <w:rPr>
      <w:rFonts w:eastAsiaTheme="minorHAnsi" w:cs="Times New Roman"/>
      <w:sz w:val="22"/>
      <w:szCs w:val="22"/>
      <w:lang w:val="en-GB"/>
    </w:rPr>
  </w:style>
  <w:style w:type="table" w:styleId="TableGrid">
    <w:name w:val="Table Grid"/>
    <w:basedOn w:val="TableNormal"/>
    <w:uiPriority w:val="39"/>
    <w:rsid w:val="00D113A9"/>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CharCharCharCharCharChar">
    <w:name w:val="Char1 Char Char Char Char Char Char"/>
    <w:basedOn w:val="Normal"/>
    <w:rsid w:val="00C2111C"/>
    <w:pPr>
      <w:spacing w:after="160" w:line="240" w:lineRule="exact"/>
    </w:pPr>
    <w:rPr>
      <w:rFonts w:ascii="Tahoma" w:hAnsi="Tahoma" w:cs="Times New Roman"/>
      <w:szCs w:val="20"/>
    </w:rPr>
  </w:style>
  <w:style w:type="character" w:customStyle="1" w:styleId="hps">
    <w:name w:val="hps"/>
    <w:rsid w:val="00C211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CFAF10-B6B8-44EB-9F3E-ECA8B7EEAC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572</Words>
  <Characters>3264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UNEP/GC/25/00</vt:lpstr>
    </vt:vector>
  </TitlesOfParts>
  <Company>UNON</Company>
  <LinksUpToDate>false</LinksUpToDate>
  <CharactersWithSpaces>3829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UNEP/GC/25/00</dc:title>
  <dc:creator>ARABIC UNIT</dc:creator>
  <cp:lastModifiedBy>Afaf Salih</cp:lastModifiedBy>
  <cp:revision>2</cp:revision>
  <cp:lastPrinted>2016-09-05T13:00:00Z</cp:lastPrinted>
  <dcterms:created xsi:type="dcterms:W3CDTF">2017-06-28T13:58:00Z</dcterms:created>
  <dcterms:modified xsi:type="dcterms:W3CDTF">2017-06-28T13:58:00Z</dcterms:modified>
</cp:coreProperties>
</file>