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  <w:rtl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:rsidR="004B0A17" w:rsidRPr="004B0A17" w:rsidRDefault="00115715" w:rsidP="00D113A9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 xml:space="preserve"> MC/COP.1/</w:t>
            </w:r>
            <w:r w:rsidR="001354C7">
              <w:rPr>
                <w:rFonts w:cs="Times New Roman"/>
                <w:szCs w:val="20"/>
              </w:rPr>
              <w:t>21/Add.4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:rsidTr="00D0655D">
        <w:trPr>
          <w:cantSplit/>
          <w:trHeight w:val="2288"/>
        </w:trPr>
        <w:tc>
          <w:tcPr>
            <w:tcW w:w="3403" w:type="dxa"/>
            <w:tcBorders>
              <w:top w:val="single" w:sz="4" w:space="0" w:color="auto"/>
            </w:tcBorders>
          </w:tcPr>
          <w:p w:rsidR="00C8739B" w:rsidRDefault="00934FB6" w:rsidP="00C8739B">
            <w:pPr>
              <w:spacing w:before="120"/>
              <w:jc w:val="both"/>
              <w:rPr>
                <w:rFonts w:cs="Times New Roman"/>
                <w:szCs w:val="20"/>
                <w:rtl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:rsidR="00934FB6" w:rsidRPr="00C8739B" w:rsidRDefault="00C8739B" w:rsidP="00C8739B">
            <w:pPr>
              <w:jc w:val="both"/>
              <w:rPr>
                <w:rFonts w:cs="Times New Roman"/>
                <w:szCs w:val="20"/>
                <w:lang w:val="en-GB"/>
              </w:rPr>
            </w:pPr>
            <w:r>
              <w:rPr>
                <w:rFonts w:cs="Times New Roman"/>
                <w:szCs w:val="20"/>
              </w:rPr>
              <w:t>25 August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E796A" w:rsidRDefault="00DE796A" w:rsidP="00B42C89">
            <w:pPr>
              <w:bidi/>
              <w:spacing w:before="8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E796A" w:rsidRDefault="000B1AA7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E146EBE" wp14:editId="60E92D5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716915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FC4"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6A854403" wp14:editId="158F1B3B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0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bidiVisual/>
        <w:tblW w:w="9640" w:type="dxa"/>
        <w:tblInd w:w="106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90002B" w:rsidTr="00115715">
        <w:tc>
          <w:tcPr>
            <w:tcW w:w="9640" w:type="dxa"/>
          </w:tcPr>
          <w:p w:rsidR="006E1D97" w:rsidRDefault="00934FB6" w:rsidP="00664FCC">
            <w:pPr>
              <w:bidi/>
              <w:spacing w:before="60" w:line="340" w:lineRule="exact"/>
              <w:ind w:left="142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مؤتمر الأطراف في اتفاقية ميناماتا</w:t>
            </w:r>
          </w:p>
          <w:p w:rsidR="00934FB6" w:rsidRDefault="00934FB6" w:rsidP="00664FCC">
            <w:pPr>
              <w:bidi/>
              <w:spacing w:line="340" w:lineRule="exact"/>
              <w:ind w:left="142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:rsidR="00934FB6" w:rsidRPr="00A579D1" w:rsidRDefault="00934FB6" w:rsidP="00664FCC">
            <w:pPr>
              <w:bidi/>
              <w:spacing w:line="340" w:lineRule="exact"/>
              <w:ind w:left="142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:rsidR="00934FB6" w:rsidRDefault="00934FB6" w:rsidP="00664FCC">
            <w:pPr>
              <w:bidi/>
              <w:spacing w:line="340" w:lineRule="exact"/>
              <w:ind w:left="142"/>
              <w:jc w:val="both"/>
              <w:rPr>
                <w:rFonts w:ascii="Traditional Arabic" w:hAnsi="Traditional Arabic"/>
                <w:sz w:val="30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أيلول</w:t>
            </w:r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7</w:t>
            </w:r>
          </w:p>
          <w:p w:rsidR="00AA32A0" w:rsidRPr="00252FE5" w:rsidRDefault="00934FB6" w:rsidP="00664FCC">
            <w:pPr>
              <w:bidi/>
              <w:spacing w:after="40" w:line="340" w:lineRule="exact"/>
              <w:ind w:left="142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 xml:space="preserve">البند </w:t>
            </w:r>
            <w:r w:rsidR="00664FCC">
              <w:rPr>
                <w:rFonts w:ascii="Traditional Arabic" w:hAnsi="Traditional Arabic" w:hint="cs"/>
                <w:sz w:val="30"/>
                <w:rtl/>
              </w:rPr>
              <w:t>5</w:t>
            </w:r>
            <w:r>
              <w:rPr>
                <w:rFonts w:ascii="Traditional Arabic" w:hAnsi="Traditional Arabic" w:hint="cs"/>
                <w:sz w:val="30"/>
                <w:rtl/>
              </w:rPr>
              <w:t xml:space="preserve"> (</w:t>
            </w:r>
            <w:r w:rsidR="00664FCC">
              <w:rPr>
                <w:rFonts w:ascii="Traditional Arabic" w:hAnsi="Traditional Arabic" w:hint="cs"/>
                <w:sz w:val="30"/>
                <w:rtl/>
              </w:rPr>
              <w:t>د</w:t>
            </w:r>
            <w:r>
              <w:rPr>
                <w:rFonts w:ascii="Traditional Arabic" w:hAnsi="Traditional Arabic" w:hint="cs"/>
                <w:sz w:val="30"/>
                <w:rtl/>
              </w:rPr>
              <w:t>) من جدول الأعمال المؤقت</w:t>
            </w:r>
            <w:r w:rsidRPr="00980912">
              <w:rPr>
                <w:rStyle w:val="FootnoteReference"/>
                <w:rFonts w:cs="Times New Roman"/>
                <w:sz w:val="24"/>
                <w:szCs w:val="24"/>
                <w:rtl/>
              </w:rPr>
              <w:footnoteReference w:customMarkFollows="1" w:id="1"/>
              <w:t>*</w:t>
            </w:r>
          </w:p>
        </w:tc>
      </w:tr>
    </w:tbl>
    <w:p w:rsidR="001354C7" w:rsidRPr="001354C7" w:rsidRDefault="001354C7" w:rsidP="00050247">
      <w:pPr>
        <w:pStyle w:val="AATitle2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after="120" w:line="340" w:lineRule="exact"/>
        <w:ind w:left="282" w:right="6096"/>
        <w:jc w:val="both"/>
        <w:textDirection w:val="tbRlV"/>
        <w:rPr>
          <w:rFonts w:hint="default"/>
          <w:b w:val="0"/>
          <w:bCs/>
          <w:sz w:val="28"/>
          <w:szCs w:val="28"/>
          <w:rtl/>
          <w:lang w:eastAsia="zh-TW"/>
        </w:rPr>
      </w:pPr>
      <w:r w:rsidRPr="001354C7">
        <w:rPr>
          <w:b w:val="0"/>
          <w:bCs/>
          <w:sz w:val="28"/>
          <w:szCs w:val="28"/>
          <w:rtl/>
          <w:lang w:eastAsia="zh-TW"/>
        </w:rPr>
        <w:t>مسائل تُعرض على مؤتمر الأطراف لكي يتخذ إجراءً بشأنها في اجتماعه الأول: برنامج عمل الأمانة وميزانيتها لفترة السنتين ٢٠١٨-2019</w:t>
      </w:r>
    </w:p>
    <w:p w:rsidR="001354C7" w:rsidRDefault="00056A55" w:rsidP="004952B0">
      <w:pPr>
        <w:pStyle w:val="CH2"/>
        <w:bidi/>
        <w:spacing w:before="360" w:line="400" w:lineRule="exact"/>
        <w:ind w:left="1134" w:firstLine="0"/>
        <w:jc w:val="both"/>
        <w:textDirection w:val="tbRlV"/>
        <w:rPr>
          <w:rFonts w:hAnsi="Times New Roman"/>
          <w:b w:val="0"/>
          <w:sz w:val="20"/>
          <w:szCs w:val="30"/>
          <w:rtl/>
          <w:lang w:eastAsia="zh-TW"/>
        </w:rPr>
      </w:pPr>
      <w:proofErr w:type="gramStart"/>
      <w:r w:rsidRPr="009815AD">
        <w:rPr>
          <w:rFonts w:ascii="Traditional Arabic" w:hAnsi="Traditional Arabic"/>
          <w:b w:val="0"/>
          <w:bCs/>
          <w:sz w:val="34"/>
          <w:szCs w:val="34"/>
          <w:rtl/>
          <w:lang w:eastAsia="zh-TW"/>
        </w:rPr>
        <w:t>برنامج</w:t>
      </w:r>
      <w:proofErr w:type="gramEnd"/>
      <w:r w:rsidRPr="009815AD">
        <w:rPr>
          <w:rFonts w:ascii="Traditional Arabic" w:hAnsi="Traditional Arabic"/>
          <w:b w:val="0"/>
          <w:bCs/>
          <w:sz w:val="34"/>
          <w:szCs w:val="34"/>
          <w:rtl/>
          <w:lang w:eastAsia="zh-TW"/>
        </w:rPr>
        <w:t xml:space="preserve"> عمل الأمانة وميزانيتها ل</w:t>
      </w:r>
      <w:r w:rsidR="004952B0">
        <w:rPr>
          <w:rFonts w:ascii="Traditional Arabic" w:hAnsi="Traditional Arabic" w:hint="cs"/>
          <w:b w:val="0"/>
          <w:bCs/>
          <w:sz w:val="34"/>
          <w:szCs w:val="34"/>
          <w:rtl/>
          <w:lang w:eastAsia="zh-TW"/>
        </w:rPr>
        <w:t>ل</w:t>
      </w:r>
      <w:r w:rsidRPr="009815AD">
        <w:rPr>
          <w:rFonts w:ascii="Traditional Arabic" w:hAnsi="Traditional Arabic"/>
          <w:b w:val="0"/>
          <w:bCs/>
          <w:sz w:val="34"/>
          <w:szCs w:val="34"/>
          <w:rtl/>
          <w:lang w:eastAsia="zh-TW"/>
        </w:rPr>
        <w:t>فترة ٢٠١٨-2019</w:t>
      </w:r>
    </w:p>
    <w:p w:rsidR="001354C7" w:rsidRPr="001354C7" w:rsidRDefault="001354C7" w:rsidP="001354C7">
      <w:pPr>
        <w:pStyle w:val="CH2"/>
        <w:bidi/>
        <w:spacing w:before="0" w:line="400" w:lineRule="exact"/>
        <w:ind w:left="1134" w:firstLine="0"/>
        <w:jc w:val="both"/>
        <w:textDirection w:val="tbRlV"/>
        <w:rPr>
          <w:rFonts w:hAnsi="Times New Roman"/>
          <w:bCs/>
          <w:sz w:val="32"/>
          <w:szCs w:val="32"/>
          <w:rtl/>
          <w:lang w:eastAsia="zh-TW"/>
        </w:rPr>
      </w:pPr>
      <w:r w:rsidRPr="001354C7">
        <w:rPr>
          <w:rFonts w:hAnsi="Times New Roman"/>
          <w:bCs/>
          <w:sz w:val="32"/>
          <w:szCs w:val="32"/>
          <w:rtl/>
          <w:lang w:eastAsia="zh-TW"/>
        </w:rPr>
        <w:t>إضافة</w:t>
      </w:r>
    </w:p>
    <w:p w:rsidR="001354C7" w:rsidRPr="001354C7" w:rsidRDefault="001354C7" w:rsidP="001354C7">
      <w:pPr>
        <w:pStyle w:val="CH2"/>
        <w:bidi/>
        <w:spacing w:before="0" w:line="400" w:lineRule="exact"/>
        <w:ind w:left="1134" w:firstLine="0"/>
        <w:jc w:val="both"/>
        <w:textDirection w:val="tbRlV"/>
        <w:rPr>
          <w:rFonts w:hAnsi="Times New Roman"/>
          <w:bCs/>
          <w:sz w:val="32"/>
          <w:szCs w:val="32"/>
          <w:rtl/>
          <w:lang w:eastAsia="zh-TW"/>
        </w:rPr>
      </w:pPr>
      <w:r w:rsidRPr="001354C7">
        <w:rPr>
          <w:rFonts w:hAnsi="Times New Roman"/>
          <w:bCs/>
          <w:sz w:val="32"/>
          <w:szCs w:val="32"/>
          <w:rtl/>
          <w:lang w:eastAsia="zh-TW"/>
        </w:rPr>
        <w:t>لمحة عامة عن الموارد المطلوبة لكل من الخيارات المقترحة لأمانة اتفاقية ميناماتا</w:t>
      </w:r>
    </w:p>
    <w:p w:rsidR="001354C7" w:rsidRPr="001354C7" w:rsidRDefault="001354C7" w:rsidP="001354C7">
      <w:pPr>
        <w:pStyle w:val="CH1"/>
        <w:bidi/>
        <w:spacing w:before="0" w:line="400" w:lineRule="exact"/>
        <w:ind w:left="1134" w:firstLine="0"/>
        <w:jc w:val="both"/>
        <w:textDirection w:val="tbRlV"/>
        <w:rPr>
          <w:rFonts w:hAnsi="Times New Roman" w:hint="default"/>
          <w:b w:val="0"/>
          <w:sz w:val="20"/>
          <w:szCs w:val="30"/>
          <w:rtl/>
          <w:lang w:eastAsia="zh-TW"/>
        </w:rPr>
      </w:pPr>
      <w:r w:rsidRPr="001354C7">
        <w:rPr>
          <w:rFonts w:hAnsi="Times New Roman"/>
          <w:bCs/>
          <w:sz w:val="32"/>
          <w:szCs w:val="32"/>
          <w:rtl/>
          <w:lang w:eastAsia="zh-TW"/>
        </w:rPr>
        <w:t>مذكرة من الأمانة</w:t>
      </w:r>
    </w:p>
    <w:p w:rsidR="001354C7" w:rsidRPr="001354C7" w:rsidRDefault="001354C7" w:rsidP="004952B0">
      <w:pPr>
        <w:bidi/>
        <w:spacing w:after="120" w:line="400" w:lineRule="exact"/>
        <w:ind w:left="1134" w:firstLine="565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 w:rsidRPr="001354C7">
        <w:rPr>
          <w:rFonts w:ascii="Traditional Arabic" w:hAnsi="Traditional Arabic"/>
          <w:sz w:val="30"/>
          <w:rtl/>
          <w:lang w:val="en-GB" w:eastAsia="zh-TW"/>
        </w:rPr>
        <w:t>تتضمن هذه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المذكرة جدو</w:t>
      </w:r>
      <w:r w:rsidR="004952B0">
        <w:rPr>
          <w:rFonts w:ascii="Traditional Arabic" w:hAnsi="Traditional Arabic" w:hint="cs"/>
          <w:sz w:val="30"/>
          <w:rtl/>
          <w:lang w:val="en-GB" w:eastAsia="zh-TW"/>
        </w:rPr>
        <w:t xml:space="preserve">لاً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يقدم لمحة عامة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عن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الموارد اللازمة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لأنشطة أمانة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ميناماتا (انظر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الوثيقة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Theme="majorBidi" w:hAnsiTheme="majorBidi" w:cstheme="majorBidi"/>
          <w:szCs w:val="20"/>
          <w:lang w:val="en-GB"/>
        </w:rPr>
        <w:t>UNEP/MC/COP.1/21/Add.1</w:t>
      </w:r>
      <w:r w:rsidRPr="001354C7">
        <w:rPr>
          <w:rFonts w:asciiTheme="majorBidi" w:hAnsiTheme="majorBidi" w:cstheme="majorBidi"/>
          <w:szCs w:val="20"/>
          <w:lang w:val="en-GB" w:eastAsia="zh-TW"/>
        </w:rPr>
        <w:t>)</w:t>
      </w:r>
      <w:r w:rsidRPr="001354C7">
        <w:rPr>
          <w:rFonts w:asciiTheme="majorBidi" w:hAnsiTheme="majorBidi" w:cstheme="majorBidi"/>
          <w:szCs w:val="20"/>
          <w:rtl/>
          <w:lang w:val="en-GB" w:eastAsia="zh-TW"/>
        </w:rPr>
        <w:t>)</w:t>
      </w:r>
      <w:r w:rsidRPr="001354C7">
        <w:rPr>
          <w:rFonts w:ascii="Traditional Arabic" w:hAnsi="Traditional Arabic"/>
          <w:sz w:val="30"/>
          <w:rtl/>
          <w:lang w:val="en-GB" w:eastAsia="zh-TW"/>
        </w:rPr>
        <w:t xml:space="preserve"> وللخيارات المقترحة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للأمانة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في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جنيف (الدمج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أو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الأمانة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الفرعية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أو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الأمانة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القائمة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بذاتها</w:t>
      </w:r>
      <w:proofErr w:type="gramStart"/>
      <w:r w:rsidRPr="001354C7">
        <w:rPr>
          <w:rFonts w:ascii="Traditional Arabic" w:hAnsi="Traditional Arabic"/>
          <w:sz w:val="30"/>
          <w:rtl/>
          <w:lang w:val="en-GB" w:eastAsia="zh-TW"/>
        </w:rPr>
        <w:t>)،</w:t>
      </w:r>
      <w:proofErr w:type="gramEnd"/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ولأغراض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إقامة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أمانة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مستقلة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(قائمة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بذاتها)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في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المواقع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الخمسة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الأخرى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المقترحة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(انظر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الوثيقة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Theme="majorBidi" w:hAnsiTheme="majorBidi" w:cstheme="majorBidi"/>
          <w:szCs w:val="20"/>
          <w:lang w:val="en-GB"/>
        </w:rPr>
        <w:t>UNEP/MC/COP.1/21/Add.2)</w:t>
      </w:r>
      <w:r w:rsidRPr="001354C7">
        <w:rPr>
          <w:rFonts w:asciiTheme="majorBidi" w:hAnsiTheme="majorBidi" w:cstheme="majorBidi"/>
          <w:szCs w:val="20"/>
          <w:rtl/>
          <w:lang w:val="en-GB"/>
        </w:rPr>
        <w:t>)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. وقد أوردت هذه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الأرقام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لغرض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الإيضاح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فقط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.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وهي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تشمل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تكاليف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دعم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البرامج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البالغة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13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في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 xml:space="preserve">المائة. 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ولا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تشمل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المساهمة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المحتملة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للبلد</w:t>
      </w:r>
      <w:r w:rsidRPr="001354C7">
        <w:rPr>
          <w:rFonts w:ascii="Traditional Arabic" w:hAnsi="Traditional Arabic"/>
          <w:sz w:val="30"/>
          <w:lang w:val="en-GB" w:eastAsia="zh-TW"/>
        </w:rPr>
        <w:t xml:space="preserve"> </w:t>
      </w:r>
      <w:r w:rsidRPr="001354C7">
        <w:rPr>
          <w:rFonts w:ascii="Traditional Arabic" w:hAnsi="Traditional Arabic"/>
          <w:sz w:val="30"/>
          <w:rtl/>
          <w:lang w:val="en-GB" w:eastAsia="zh-TW"/>
        </w:rPr>
        <w:t>المضيف.</w:t>
      </w:r>
    </w:p>
    <w:p w:rsidR="001354C7" w:rsidRDefault="001354C7">
      <w:pPr>
        <w:rPr>
          <w:rFonts w:ascii="Traditional Arabic" w:eastAsiaTheme="minorHAnsi" w:hAnsi="Traditional Arabic"/>
          <w:sz w:val="30"/>
          <w:rtl/>
          <w:lang w:val="en-GB" w:eastAsia="zh-TW"/>
        </w:rPr>
      </w:pPr>
      <w:r>
        <w:rPr>
          <w:rFonts w:ascii="Traditional Arabic" w:hAnsi="Traditional Arabic"/>
          <w:b/>
          <w:sz w:val="30"/>
          <w:rtl/>
          <w:lang w:eastAsia="zh-TW"/>
        </w:rPr>
        <w:br w:type="page"/>
      </w:r>
    </w:p>
    <w:p w:rsidR="001354C7" w:rsidRPr="00664FCC" w:rsidRDefault="001354C7" w:rsidP="007B3246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after="0" w:line="400" w:lineRule="exact"/>
        <w:ind w:left="282" w:right="0" w:firstLine="0"/>
        <w:jc w:val="both"/>
        <w:textDirection w:val="tbRlV"/>
        <w:rPr>
          <w:rFonts w:ascii="Traditional Arabic" w:hAnsi="Traditional Arabic" w:hint="default"/>
          <w:bCs/>
          <w:sz w:val="32"/>
          <w:szCs w:val="32"/>
          <w:lang w:eastAsia="zh-TW"/>
        </w:rPr>
      </w:pP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lastRenderedPageBreak/>
        <w:t>لمحة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عامة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عن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الموارد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المطلوبة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لكل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من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الخيارات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المقترحة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لأمانة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اتفاقية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ميناماتا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بشأن</w:t>
      </w:r>
      <w:r w:rsidRPr="00664FCC">
        <w:rPr>
          <w:rFonts w:ascii="Traditional Arabic" w:hAnsi="Traditional Arabic" w:hint="default"/>
          <w:bCs/>
          <w:sz w:val="32"/>
          <w:szCs w:val="32"/>
          <w:lang w:eastAsia="zh-TW"/>
        </w:rPr>
        <w:t xml:space="preserve"> </w:t>
      </w:r>
      <w:r w:rsidRPr="00664FCC">
        <w:rPr>
          <w:rFonts w:ascii="Traditional Arabic" w:hAnsi="Traditional Arabic" w:hint="default"/>
          <w:bCs/>
          <w:sz w:val="32"/>
          <w:szCs w:val="32"/>
          <w:rtl/>
          <w:lang w:eastAsia="zh-TW"/>
        </w:rPr>
        <w:t>الزئبق</w:t>
      </w:r>
    </w:p>
    <w:p w:rsidR="00D113A9" w:rsidRPr="00664FCC" w:rsidRDefault="001354C7" w:rsidP="007B3246">
      <w:pPr>
        <w:pStyle w:val="Title"/>
        <w:spacing w:after="120" w:line="400" w:lineRule="exact"/>
        <w:ind w:left="282"/>
        <w:jc w:val="both"/>
        <w:rPr>
          <w:rFonts w:cs="Traditional Arabic"/>
          <w:sz w:val="20"/>
          <w:szCs w:val="30"/>
          <w:u w:val="none"/>
          <w:rtl/>
        </w:rPr>
      </w:pPr>
      <w:r w:rsidRPr="00664FCC">
        <w:rPr>
          <w:rFonts w:cs="Traditional Arabic"/>
          <w:sz w:val="20"/>
          <w:szCs w:val="30"/>
          <w:u w:val="none"/>
          <w:rtl/>
          <w:lang w:eastAsia="zh-TW"/>
        </w:rPr>
        <w:t>(</w:t>
      </w:r>
      <w:r w:rsidRPr="00664FCC">
        <w:rPr>
          <w:rFonts w:cs="Traditional Arabic"/>
          <w:i/>
          <w:iCs/>
          <w:sz w:val="20"/>
          <w:szCs w:val="30"/>
          <w:u w:val="none"/>
          <w:rtl/>
          <w:lang w:eastAsia="zh-TW"/>
        </w:rPr>
        <w:t>بدولارات</w:t>
      </w:r>
      <w:r w:rsidRPr="00664FCC">
        <w:rPr>
          <w:rFonts w:cs="Traditional Arabic"/>
          <w:i/>
          <w:iCs/>
          <w:sz w:val="20"/>
          <w:szCs w:val="30"/>
          <w:u w:val="none"/>
          <w:lang w:eastAsia="zh-TW"/>
        </w:rPr>
        <w:t xml:space="preserve"> </w:t>
      </w:r>
      <w:r w:rsidRPr="00664FCC">
        <w:rPr>
          <w:rFonts w:cs="Traditional Arabic"/>
          <w:i/>
          <w:iCs/>
          <w:sz w:val="20"/>
          <w:szCs w:val="30"/>
          <w:u w:val="none"/>
          <w:rtl/>
          <w:lang w:eastAsia="zh-TW"/>
        </w:rPr>
        <w:t>الولايات</w:t>
      </w:r>
      <w:r w:rsidRPr="00664FCC">
        <w:rPr>
          <w:rFonts w:cs="Traditional Arabic"/>
          <w:i/>
          <w:iCs/>
          <w:sz w:val="20"/>
          <w:szCs w:val="30"/>
          <w:u w:val="none"/>
          <w:lang w:eastAsia="zh-TW"/>
        </w:rPr>
        <w:t xml:space="preserve"> </w:t>
      </w:r>
      <w:r w:rsidRPr="00664FCC">
        <w:rPr>
          <w:rFonts w:cs="Traditional Arabic"/>
          <w:i/>
          <w:iCs/>
          <w:sz w:val="20"/>
          <w:szCs w:val="30"/>
          <w:u w:val="none"/>
          <w:rtl/>
          <w:lang w:eastAsia="zh-TW"/>
        </w:rPr>
        <w:t>المتحدة</w:t>
      </w:r>
      <w:r w:rsidRPr="00664FCC">
        <w:rPr>
          <w:rFonts w:cs="Traditional Arabic"/>
          <w:sz w:val="20"/>
          <w:szCs w:val="30"/>
          <w:u w:val="none"/>
          <w:rtl/>
          <w:lang w:eastAsia="zh-TW"/>
        </w:rPr>
        <w:t>)</w:t>
      </w:r>
    </w:p>
    <w:tbl>
      <w:tblPr>
        <w:tblStyle w:val="TableGrid"/>
        <w:bidiVisual/>
        <w:tblW w:w="9206" w:type="dxa"/>
        <w:tblInd w:w="370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551"/>
        <w:gridCol w:w="1843"/>
        <w:gridCol w:w="1559"/>
        <w:gridCol w:w="1701"/>
        <w:gridCol w:w="1552"/>
      </w:tblGrid>
      <w:tr w:rsidR="001354C7" w:rsidRPr="00664FCC" w:rsidTr="004952B0">
        <w:tc>
          <w:tcPr>
            <w:tcW w:w="2551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١ (أ): الدمج</w:t>
            </w:r>
          </w:p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جنيف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253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1354C7" w:rsidRPr="00664FCC" w:rsidTr="004952B0"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354C7" w:rsidRPr="00664FCC" w:rsidRDefault="001354C7" w:rsidP="007B3246">
            <w:pPr>
              <w:bidi/>
              <w:spacing w:line="340" w:lineRule="exact"/>
              <w:jc w:val="both"/>
              <w:rPr>
                <w:rFonts w:ascii="Traditional Arabic" w:hAnsi="Traditional Arabic" w:cs="Traditional Arabic"/>
                <w:sz w:val="30"/>
                <w:lang w:val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050247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1354C7" w:rsidRPr="00664FCC" w:rsidTr="00236B0A"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٩٥٠ ٣٨٩ ٢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٤٥٠ ٣٣٣ 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236B0A"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٦٢٩ ٧١٨ 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٦٢٩ ٧١٨ 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4C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4C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C82234" w:rsidRPr="00664FCC" w:rsidTr="00D60C18"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الفرعي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٥٧٩ ١٠٨ 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٠٧٩ ٠٥٢ ٥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D60C18"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٦٥٨ ١٦٠ ١٠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</w:tbl>
    <w:p w:rsidR="001354C7" w:rsidRPr="00664FCC" w:rsidRDefault="001354C7" w:rsidP="00C82234">
      <w:pPr>
        <w:bidi/>
        <w:spacing w:after="180" w:line="340" w:lineRule="exact"/>
        <w:ind w:left="425"/>
        <w:jc w:val="both"/>
        <w:rPr>
          <w:rFonts w:ascii="Traditional Arabic" w:hAnsi="Traditional Arabic"/>
          <w:sz w:val="30"/>
          <w:lang w:val="en-GB"/>
        </w:rPr>
      </w:pPr>
    </w:p>
    <w:tbl>
      <w:tblPr>
        <w:tblStyle w:val="TableGrid"/>
        <w:bidiVisual/>
        <w:tblW w:w="9206" w:type="dxa"/>
        <w:tblInd w:w="370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549"/>
        <w:gridCol w:w="1843"/>
        <w:gridCol w:w="1559"/>
        <w:gridCol w:w="1701"/>
        <w:gridCol w:w="1554"/>
      </w:tblGrid>
      <w:tr w:rsidR="001354C7" w:rsidRPr="00664FCC" w:rsidTr="004952B0">
        <w:tc>
          <w:tcPr>
            <w:tcW w:w="2549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١ (ب): الأمانة الفرعية</w:t>
            </w:r>
          </w:p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جنيف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255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236B0A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1354C7" w:rsidRPr="00664FCC" w:rsidTr="004952B0">
        <w:tc>
          <w:tcPr>
            <w:tcW w:w="2549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354C7" w:rsidRPr="00664FCC" w:rsidRDefault="001354C7" w:rsidP="007B3246">
            <w:pPr>
              <w:bidi/>
              <w:spacing w:line="340" w:lineRule="exact"/>
              <w:jc w:val="both"/>
              <w:rPr>
                <w:rFonts w:ascii="Traditional Arabic" w:hAnsi="Traditional Arabic" w:cs="Traditional Arabic"/>
                <w:b/>
                <w:sz w:val="30"/>
                <w:lang w:val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1354C7" w:rsidRPr="00664FCC" w:rsidTr="00AC5FD8">
        <w:tc>
          <w:tcPr>
            <w:tcW w:w="2549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٩٥٠ ٣٨٩ ٢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٤٥٠ ٣٣٣ ٢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4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050247" w:rsidRPr="00664FCC" w:rsidTr="00AC5FD8">
        <w:tc>
          <w:tcPr>
            <w:tcW w:w="2549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٥٠٣ ٧٤٥ 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٥٠٣ ٧٤٥ 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1354C7" w:rsidRPr="00664FCC" w:rsidTr="004952B0">
        <w:trPr>
          <w:trHeight w:val="271"/>
        </w:trPr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الفرعي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٤٥٣ ١٣٥ ٥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٩٥٣ ٠٧٨ ٥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4952B0">
        <w:tc>
          <w:tcPr>
            <w:tcW w:w="2549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٤٠٦ ٢١٤ ١٠</w:t>
            </w:r>
          </w:p>
        </w:tc>
        <w:tc>
          <w:tcPr>
            <w:tcW w:w="3255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236B0A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236B0A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</w:tbl>
    <w:p w:rsidR="001354C7" w:rsidRPr="00664FCC" w:rsidRDefault="001354C7" w:rsidP="00C82234">
      <w:pPr>
        <w:bidi/>
        <w:spacing w:after="180" w:line="340" w:lineRule="exact"/>
        <w:ind w:left="284"/>
        <w:jc w:val="both"/>
        <w:rPr>
          <w:rFonts w:ascii="Traditional Arabic" w:hAnsi="Traditional Arabic"/>
          <w:sz w:val="30"/>
          <w:lang w:val="en-GB"/>
        </w:rPr>
      </w:pPr>
    </w:p>
    <w:tbl>
      <w:tblPr>
        <w:tblStyle w:val="TableGrid"/>
        <w:bidiVisual/>
        <w:tblW w:w="9208" w:type="dxa"/>
        <w:tblInd w:w="368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551"/>
        <w:gridCol w:w="1843"/>
        <w:gridCol w:w="1559"/>
        <w:gridCol w:w="1701"/>
        <w:gridCol w:w="1554"/>
      </w:tblGrid>
      <w:tr w:rsidR="001354C7" w:rsidRPr="00664FCC" w:rsidTr="004952B0">
        <w:tc>
          <w:tcPr>
            <w:tcW w:w="2551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2:</w:t>
            </w:r>
          </w:p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الأمانة القائمة بذاتها</w:t>
            </w:r>
          </w:p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جنيف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255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1354C7" w:rsidRPr="00664FCC" w:rsidTr="004952B0">
        <w:tc>
          <w:tcPr>
            <w:tcW w:w="255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354C7" w:rsidRPr="00664FCC" w:rsidRDefault="001354C7" w:rsidP="007B3246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both"/>
              <w:rPr>
                <w:rFonts w:ascii="Traditional Arabic" w:hAnsi="Traditional Arabic" w:cs="Traditional Arabic"/>
                <w:sz w:val="30"/>
                <w:lang w:val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1354C7" w:rsidRPr="00664FCC" w:rsidTr="00AC5FD8"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٩٥٠ ٣٨٩ ٢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٤٥٠ ٣٣٣ ٢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4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050247" w:rsidRPr="00664FCC" w:rsidTr="00AC5FD8"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١٩٨ ٢٦٦ 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١٩٨ ٢٦٦ 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1354C7" w:rsidRPr="00664FCC" w:rsidTr="00D60C18"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الفرعي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١٤٨ ٦٥٦ ٥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٦٤٨ ٥٩٩ ٥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050247">
        <w:tc>
          <w:tcPr>
            <w:tcW w:w="2551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٧٩٦ ٢٥٥ ١١</w:t>
            </w:r>
          </w:p>
        </w:tc>
        <w:tc>
          <w:tcPr>
            <w:tcW w:w="3255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</w:tbl>
    <w:p w:rsidR="001354C7" w:rsidRPr="00664FCC" w:rsidRDefault="001354C7" w:rsidP="00050247">
      <w:pPr>
        <w:bidi/>
        <w:spacing w:line="300" w:lineRule="exact"/>
        <w:jc w:val="both"/>
        <w:rPr>
          <w:rFonts w:ascii="Traditional Arabic" w:hAnsi="Traditional Arabic"/>
          <w:sz w:val="30"/>
          <w:lang w:val="en-GB"/>
        </w:rPr>
      </w:pPr>
    </w:p>
    <w:tbl>
      <w:tblPr>
        <w:tblStyle w:val="TableGrid"/>
        <w:bidiVisual/>
        <w:tblW w:w="9209" w:type="dxa"/>
        <w:tblInd w:w="367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951"/>
        <w:gridCol w:w="312"/>
        <w:gridCol w:w="288"/>
        <w:gridCol w:w="1555"/>
        <w:gridCol w:w="288"/>
        <w:gridCol w:w="1271"/>
        <w:gridCol w:w="142"/>
        <w:gridCol w:w="146"/>
        <w:gridCol w:w="1555"/>
        <w:gridCol w:w="146"/>
        <w:gridCol w:w="1555"/>
      </w:tblGrid>
      <w:tr w:rsidR="001354C7" w:rsidRPr="00AC5FD8" w:rsidTr="004952B0">
        <w:tc>
          <w:tcPr>
            <w:tcW w:w="2551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2:</w:t>
            </w:r>
          </w:p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الأمانة القائمة بذاتها</w:t>
            </w:r>
          </w:p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بانكوك</w:t>
            </w:r>
          </w:p>
        </w:tc>
        <w:tc>
          <w:tcPr>
            <w:tcW w:w="3402" w:type="dxa"/>
            <w:gridSpan w:val="5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AC5FD8">
            <w:pPr>
              <w:tabs>
                <w:tab w:val="center" w:pos="1695"/>
                <w:tab w:val="right" w:pos="3390"/>
              </w:tabs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256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1354C7" w:rsidRPr="00AC5FD8" w:rsidTr="004952B0"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354C7" w:rsidRPr="00AC5FD8" w:rsidRDefault="001354C7" w:rsidP="007B3246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both"/>
              <w:rPr>
                <w:rFonts w:ascii="Traditional Arabic" w:hAnsi="Traditional Arabic" w:cs="Traditional Arabic"/>
                <w:b/>
                <w:bCs/>
                <w:sz w:val="30"/>
                <w:lang w:val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1354C7" w:rsidRPr="00664FCC" w:rsidTr="00050247">
        <w:tc>
          <w:tcPr>
            <w:tcW w:w="2551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٧٥٠ ٨٩٢ ١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٢٥٠ ٨٣٦ ١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5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050247" w:rsidRPr="00664FCC" w:rsidTr="00050247">
        <w:tc>
          <w:tcPr>
            <w:tcW w:w="2551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٤١٩ ١٦٥ ٢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٤١٩ ١٦٥ ٢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1354C7" w:rsidRPr="00664FCC" w:rsidTr="00050247">
        <w:tc>
          <w:tcPr>
            <w:tcW w:w="255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C82234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الفرعي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C82234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١٦٩ ٠٥٨ ٤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C82234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٦٦٩ ٠٠١ ٤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C82234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C82234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4952B0">
        <w:tc>
          <w:tcPr>
            <w:tcW w:w="2551" w:type="dxa"/>
            <w:gridSpan w:val="3"/>
            <w:tcBorders>
              <w:top w:val="single" w:sz="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1354C7" w:rsidRPr="00C82234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402" w:type="dxa"/>
            <w:gridSpan w:val="5"/>
            <w:tcBorders>
              <w:top w:val="single" w:sz="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1354C7" w:rsidRPr="00C82234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٨٣٨ ٠٥٩ ٨</w:t>
            </w:r>
          </w:p>
        </w:tc>
        <w:tc>
          <w:tcPr>
            <w:tcW w:w="3256" w:type="dxa"/>
            <w:gridSpan w:val="3"/>
            <w:tcBorders>
              <w:top w:val="single" w:sz="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1354C7" w:rsidRPr="00C82234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C82234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  <w:tr w:rsidR="001354C7" w:rsidRPr="00664FCC" w:rsidTr="00050247">
        <w:tc>
          <w:tcPr>
            <w:tcW w:w="1951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354C7" w:rsidRPr="00AC5FD8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2:</w:t>
            </w:r>
          </w:p>
          <w:p w:rsidR="001354C7" w:rsidRPr="00AC5FD8" w:rsidRDefault="001354C7" w:rsidP="00AC5FD8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الأمانة القائمة بذاتها</w:t>
            </w:r>
          </w:p>
          <w:p w:rsidR="001354C7" w:rsidRPr="00AC5FD8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نيروبي</w:t>
            </w:r>
          </w:p>
        </w:tc>
        <w:tc>
          <w:tcPr>
            <w:tcW w:w="3714" w:type="dxa"/>
            <w:gridSpan w:val="5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354C7" w:rsidRPr="00AC5FD8" w:rsidRDefault="001354C7" w:rsidP="00AC5FD8">
            <w:pPr>
              <w:keepNext/>
              <w:keepLines/>
              <w:tabs>
                <w:tab w:val="center" w:pos="1695"/>
                <w:tab w:val="right" w:pos="3390"/>
              </w:tabs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354C7" w:rsidRPr="00AC5FD8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1354C7" w:rsidRPr="00664FCC" w:rsidTr="00050247">
        <w:tc>
          <w:tcPr>
            <w:tcW w:w="226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354C7" w:rsidRPr="00664FCC" w:rsidRDefault="001354C7" w:rsidP="007B3246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both"/>
              <w:rPr>
                <w:rFonts w:ascii="Traditional Arabic" w:hAnsi="Traditional Arabic" w:cs="Traditional Arabic"/>
                <w:sz w:val="30"/>
                <w:lang w:val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1354C7" w:rsidRPr="00050247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1354C7" w:rsidRPr="00050247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354C7" w:rsidRPr="00050247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1354C7" w:rsidRPr="00050247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1354C7" w:rsidRPr="00664FCC" w:rsidTr="00C82234"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٢٣٠ ٦٦٢ ١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٧٣٠ ٦٠٥ 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050247" w:rsidRPr="00664FCC" w:rsidTr="00C82234">
        <w:tc>
          <w:tcPr>
            <w:tcW w:w="226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٥٦٣ ١٠٧ ٢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٥٦٣ ١٠٧ ٢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1354C7" w:rsidRPr="00664FCC" w:rsidTr="00D60C18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الفرعي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٧٩٣ ٧٦٩ ٣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٢٩٣ ٧١٣ ٣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AC5FD8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D60C18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7B3246">
            <w:pPr>
              <w:keepNext/>
              <w:keepLines/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544" w:type="dxa"/>
            <w:gridSpan w:val="5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C82234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٠٨٦ ٤٨٣ ٧</w:t>
            </w:r>
          </w:p>
        </w:tc>
        <w:tc>
          <w:tcPr>
            <w:tcW w:w="3402" w:type="dxa"/>
            <w:gridSpan w:val="4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C82234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</w:tbl>
    <w:p w:rsidR="001354C7" w:rsidRPr="00664FCC" w:rsidRDefault="001354C7" w:rsidP="00C82234">
      <w:pPr>
        <w:bidi/>
        <w:spacing w:after="240" w:line="340" w:lineRule="exact"/>
        <w:jc w:val="both"/>
        <w:rPr>
          <w:rFonts w:ascii="Traditional Arabic" w:hAnsi="Traditional Arabic"/>
          <w:sz w:val="30"/>
          <w:lang w:val="en-GB"/>
        </w:rPr>
      </w:pPr>
    </w:p>
    <w:tbl>
      <w:tblPr>
        <w:tblStyle w:val="TableGrid"/>
        <w:bidiVisual/>
        <w:tblW w:w="9209" w:type="dxa"/>
        <w:tblInd w:w="367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983"/>
        <w:gridCol w:w="138"/>
        <w:gridCol w:w="1843"/>
        <w:gridCol w:w="1563"/>
        <w:gridCol w:w="138"/>
        <w:gridCol w:w="1843"/>
        <w:gridCol w:w="1701"/>
      </w:tblGrid>
      <w:tr w:rsidR="001354C7" w:rsidRPr="00664FCC" w:rsidTr="00F84546">
        <w:tc>
          <w:tcPr>
            <w:tcW w:w="1983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2:</w:t>
            </w:r>
          </w:p>
          <w:p w:rsidR="001354C7" w:rsidRPr="00FF368E" w:rsidRDefault="001354C7" w:rsidP="00FF368E">
            <w:pPr>
              <w:keepNext/>
              <w:keepLines/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الأمانة القائمة بذاتها</w:t>
            </w:r>
          </w:p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أوساكا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682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FF368E" w:rsidRPr="00664FCC" w:rsidTr="00F84546">
        <w:tc>
          <w:tcPr>
            <w:tcW w:w="2121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354C7" w:rsidRPr="00664FCC" w:rsidRDefault="001354C7" w:rsidP="007B3246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both"/>
              <w:rPr>
                <w:rFonts w:ascii="Traditional Arabic" w:hAnsi="Traditional Arabic" w:cs="Traditional Arabic"/>
                <w:sz w:val="30"/>
                <w:lang w:val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FF368E" w:rsidRPr="00664FCC" w:rsidTr="00FF368E">
        <w:tc>
          <w:tcPr>
            <w:tcW w:w="212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٠٠٠ ٩٢١ ١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٨٦٤ ١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050247" w:rsidRPr="00664FCC" w:rsidTr="00FF368E">
        <w:tc>
          <w:tcPr>
            <w:tcW w:w="212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٠٩٨ ٥١٥ ٢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٠٩٨ ٥١٥ 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FF368E" w:rsidRPr="00664FCC" w:rsidTr="00D60C18">
        <w:tc>
          <w:tcPr>
            <w:tcW w:w="212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proofErr w:type="gramStart"/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</w:t>
            </w:r>
            <w:proofErr w:type="gramEnd"/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 xml:space="preserve"> الفرعي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٠٩٨ ٤٣٦ ٤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٥٩٨ ٣٧٩ ٤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D60C18">
        <w:tc>
          <w:tcPr>
            <w:tcW w:w="2121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٦٩٦ ٨١٥ ٨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AC5FD8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AC5FD8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</w:tbl>
    <w:p w:rsidR="001354C7" w:rsidRPr="00664FCC" w:rsidRDefault="00050247" w:rsidP="00050247">
      <w:pPr>
        <w:tabs>
          <w:tab w:val="left" w:pos="421"/>
        </w:tabs>
        <w:bidi/>
        <w:spacing w:line="360" w:lineRule="exact"/>
        <w:jc w:val="both"/>
        <w:rPr>
          <w:rFonts w:ascii="Traditional Arabic" w:hAnsi="Traditional Arabic"/>
          <w:sz w:val="30"/>
          <w:lang w:val="en-GB"/>
        </w:rPr>
      </w:pPr>
      <w:r>
        <w:rPr>
          <w:rFonts w:ascii="Traditional Arabic" w:hAnsi="Traditional Arabic"/>
          <w:sz w:val="30"/>
          <w:rtl/>
          <w:lang w:val="en-GB"/>
        </w:rPr>
        <w:tab/>
      </w:r>
    </w:p>
    <w:tbl>
      <w:tblPr>
        <w:tblStyle w:val="TableGrid"/>
        <w:bidiVisual/>
        <w:tblW w:w="9209" w:type="dxa"/>
        <w:tblInd w:w="367" w:type="dxa"/>
        <w:tblLayout w:type="fixed"/>
        <w:tblLook w:val="04A0" w:firstRow="1" w:lastRow="0" w:firstColumn="1" w:lastColumn="0" w:noHBand="0" w:noVBand="1"/>
      </w:tblPr>
      <w:tblGrid>
        <w:gridCol w:w="1983"/>
        <w:gridCol w:w="280"/>
        <w:gridCol w:w="1843"/>
        <w:gridCol w:w="1421"/>
        <w:gridCol w:w="280"/>
        <w:gridCol w:w="1701"/>
        <w:gridCol w:w="1701"/>
      </w:tblGrid>
      <w:tr w:rsidR="001354C7" w:rsidRPr="00664FCC" w:rsidTr="00050247"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B3246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٢:</w:t>
            </w:r>
          </w:p>
          <w:p w:rsidR="001354C7" w:rsidRPr="00FF368E" w:rsidRDefault="007B3246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الأمانة القائمة بذاتها</w:t>
            </w:r>
          </w:p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فيينا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tabs>
                <w:tab w:val="center" w:pos="1695"/>
                <w:tab w:val="right" w:pos="3390"/>
              </w:tabs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6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FF368E" w:rsidRPr="00664FCC" w:rsidTr="00050247">
        <w:tc>
          <w:tcPr>
            <w:tcW w:w="2263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354C7" w:rsidRPr="00664FCC" w:rsidRDefault="001354C7" w:rsidP="007B3246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both"/>
              <w:rPr>
                <w:rFonts w:ascii="Traditional Arabic" w:hAnsi="Traditional Arabic" w:cs="Traditional Arabic"/>
                <w:sz w:val="30"/>
                <w:lang w:val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050247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050247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050247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050247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050247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FF368E" w:rsidRPr="00664FCC" w:rsidTr="00FF368E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١٥٠ ٩٨٣ ١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٦٥٠ ٩٢٦ ١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050247" w:rsidRPr="00664FCC" w:rsidTr="00FF368E">
        <w:tc>
          <w:tcPr>
            <w:tcW w:w="226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٩٨٨ ٣٥٨ ٢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٩٨٨ ٣٥٨ 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FF368E" w:rsidRPr="00664FCC" w:rsidTr="00D60C18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الفرعي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١٣٨ ٣٤٢ ٤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٦٣٨ ٢٨٥ ٤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D60C18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٧٧٦ ٦٢٧ ٨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</w:tbl>
    <w:p w:rsidR="001354C7" w:rsidRPr="00664FCC" w:rsidRDefault="001354C7" w:rsidP="00050247">
      <w:pPr>
        <w:bidi/>
        <w:spacing w:line="400" w:lineRule="exact"/>
        <w:jc w:val="both"/>
        <w:rPr>
          <w:rFonts w:ascii="Traditional Arabic" w:hAnsi="Traditional Arabic"/>
          <w:sz w:val="30"/>
          <w:lang w:val="en-GB"/>
        </w:rPr>
      </w:pPr>
    </w:p>
    <w:tbl>
      <w:tblPr>
        <w:tblStyle w:val="TableGrid"/>
        <w:bidiVisual/>
        <w:tblW w:w="9209" w:type="dxa"/>
        <w:tblInd w:w="367" w:type="dxa"/>
        <w:tblLayout w:type="fixed"/>
        <w:tblLook w:val="04A0" w:firstRow="1" w:lastRow="0" w:firstColumn="1" w:lastColumn="0" w:noHBand="0" w:noVBand="1"/>
      </w:tblPr>
      <w:tblGrid>
        <w:gridCol w:w="1984"/>
        <w:gridCol w:w="279"/>
        <w:gridCol w:w="1843"/>
        <w:gridCol w:w="1421"/>
        <w:gridCol w:w="421"/>
        <w:gridCol w:w="1701"/>
        <w:gridCol w:w="1560"/>
      </w:tblGrid>
      <w:tr w:rsidR="001354C7" w:rsidRPr="00664FCC" w:rsidTr="00F84546">
        <w:tc>
          <w:tcPr>
            <w:tcW w:w="1984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الخيار 2:</w:t>
            </w:r>
          </w:p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Cs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الأمانة القائمة بذاتها</w:t>
            </w:r>
          </w:p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واشنطن ال</w:t>
            </w:r>
            <w:bookmarkStart w:id="0" w:name="_GoBack"/>
            <w:bookmarkEnd w:id="0"/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عاصمة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tabs>
                <w:tab w:val="center" w:pos="1695"/>
                <w:tab w:val="right" w:pos="3390"/>
              </w:tabs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العام</w:t>
            </w:r>
          </w:p>
        </w:tc>
        <w:tc>
          <w:tcPr>
            <w:tcW w:w="3682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i/>
                <w:iCs/>
                <w:sz w:val="30"/>
                <w:rtl/>
                <w:lang w:val="en-GB" w:eastAsia="zh-TW"/>
              </w:rPr>
              <w:t>الصندوق الاستئماني الخاص</w:t>
            </w:r>
          </w:p>
        </w:tc>
      </w:tr>
      <w:tr w:rsidR="00FF368E" w:rsidRPr="00664FCC" w:rsidTr="00F84546">
        <w:tc>
          <w:tcPr>
            <w:tcW w:w="2263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354C7" w:rsidRPr="00664FCC" w:rsidRDefault="001354C7" w:rsidP="007B3246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both"/>
              <w:rPr>
                <w:rFonts w:ascii="Traditional Arabic" w:hAnsi="Traditional Arabic" w:cs="Traditional Arabic"/>
                <w:i/>
                <w:sz w:val="30"/>
                <w:lang w:val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٢٠١٨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FF368E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٢٠١٩</w:t>
            </w:r>
          </w:p>
        </w:tc>
      </w:tr>
      <w:tr w:rsidR="00FF368E" w:rsidRPr="00664FCC" w:rsidTr="00FF368E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الأنشطة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٠٥٠ ٣٥٦ ٢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٥٥٠ ٢٩٩ ٢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1354C7" w:rsidRPr="00664FCC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٤٠٠ ٨١٩ ٣</w:t>
            </w:r>
          </w:p>
        </w:tc>
      </w:tr>
      <w:tr w:rsidR="00050247" w:rsidRPr="00664FCC" w:rsidTr="00FF368E">
        <w:tc>
          <w:tcPr>
            <w:tcW w:w="226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الموظفون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tabs>
                <w:tab w:val="left" w:pos="720"/>
              </w:tabs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٠٩٨ ٥١٥ ٢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050247" w:rsidRPr="00664FCC" w:rsidRDefault="0005024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</w:pPr>
            <w:r w:rsidRPr="00664FCC">
              <w:rPr>
                <w:rFonts w:ascii="Traditional Arabic" w:hAnsi="Traditional Arabic" w:cs="Traditional Arabic"/>
                <w:sz w:val="30"/>
                <w:rtl/>
                <w:lang w:val="en-GB" w:eastAsia="zh-TW"/>
              </w:rPr>
              <w:t>٠٩٨ ٥١٥ 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0247" w:rsidRPr="00664FCC" w:rsidRDefault="00050247" w:rsidP="00050247">
            <w:pPr>
              <w:keepNext/>
              <w:keepLines/>
              <w:tabs>
                <w:tab w:val="left" w:pos="4082"/>
              </w:tabs>
              <w:suppressAutoHyphens/>
              <w:bidi/>
              <w:spacing w:line="340" w:lineRule="exact"/>
              <w:jc w:val="center"/>
              <w:rPr>
                <w:rFonts w:ascii="Traditional Arabic" w:hAnsi="Traditional Arabic" w:cs="Traditional Arabic"/>
                <w:sz w:val="30"/>
                <w:lang w:val="en-GB"/>
              </w:rPr>
            </w:pPr>
            <w:r>
              <w:rPr>
                <w:rFonts w:ascii="Traditional Arabic" w:hAnsi="Traditional Arabic" w:cs="Traditional Arabic"/>
                <w:sz w:val="30"/>
                <w:lang w:val="en-GB"/>
              </w:rPr>
              <w:t>-</w:t>
            </w:r>
          </w:p>
        </w:tc>
      </w:tr>
      <w:tr w:rsidR="00FF368E" w:rsidRPr="00664FCC" w:rsidTr="00050247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الفرعي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 xml:space="preserve">١٤٨ ٨٧١ ٤ 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٦٤٨ ٨١٤ ٤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٥٠٠ ٤٤٦ ٣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٤٠٠ ٨١٩ ٣</w:t>
            </w:r>
          </w:p>
        </w:tc>
      </w:tr>
      <w:tr w:rsidR="001354C7" w:rsidRPr="00664FCC" w:rsidTr="00050247">
        <w:tc>
          <w:tcPr>
            <w:tcW w:w="2263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7B3246">
            <w:pPr>
              <w:bidi/>
              <w:spacing w:line="340" w:lineRule="exact"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المجموع لفترة السنتين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٧٩٦ ٦٨٥ ٩</w:t>
            </w:r>
          </w:p>
        </w:tc>
        <w:tc>
          <w:tcPr>
            <w:tcW w:w="3261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1354C7" w:rsidRPr="00FF368E" w:rsidRDefault="001354C7" w:rsidP="00C82234">
            <w:pPr>
              <w:bidi/>
              <w:spacing w:line="340" w:lineRule="exact"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</w:pPr>
            <w:r w:rsidRPr="00FF368E">
              <w:rPr>
                <w:rFonts w:ascii="Traditional Arabic" w:hAnsi="Traditional Arabic" w:cs="Traditional Arabic"/>
                <w:b/>
                <w:bCs/>
                <w:sz w:val="30"/>
                <w:rtl/>
                <w:lang w:val="en-GB" w:eastAsia="zh-TW"/>
              </w:rPr>
              <w:t>٩٠٠ ٢٦٥ ٧</w:t>
            </w:r>
          </w:p>
        </w:tc>
      </w:tr>
    </w:tbl>
    <w:p w:rsidR="00451ABD" w:rsidRDefault="004952B0" w:rsidP="00B66D5F">
      <w:pPr>
        <w:bidi/>
        <w:spacing w:after="120" w:line="400" w:lineRule="exact"/>
        <w:ind w:left="1134"/>
        <w:jc w:val="center"/>
        <w:rPr>
          <w:sz w:val="30"/>
          <w:rtl/>
        </w:rPr>
      </w:pPr>
      <w:r>
        <w:rPr>
          <w:rFonts w:hint="cs"/>
          <w:sz w:val="30"/>
          <w:rtl/>
        </w:rPr>
        <w:t>_____________</w:t>
      </w:r>
    </w:p>
    <w:sectPr w:rsidR="00451ABD" w:rsidSect="002361B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247" w:rsidRDefault="00050247">
      <w:r>
        <w:separator/>
      </w:r>
    </w:p>
  </w:endnote>
  <w:endnote w:type="continuationSeparator" w:id="0">
    <w:p w:rsidR="00050247" w:rsidRDefault="0005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47" w:rsidRPr="007B173A" w:rsidRDefault="00050247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60C18">
      <w:rPr>
        <w:rStyle w:val="PageNumber"/>
        <w:rFonts w:ascii="Times New Roman" w:hAnsi="Times New Roman" w:cs="Times New Roman"/>
      </w:rPr>
      <w:t>2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47" w:rsidRPr="007B173A" w:rsidRDefault="00050247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60C18">
      <w:rPr>
        <w:rStyle w:val="PageNumber"/>
        <w:rFonts w:ascii="Times New Roman" w:hAnsi="Times New Roman" w:cs="Times New Roman"/>
      </w:rPr>
      <w:t>3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47" w:rsidRPr="00D80FA4" w:rsidRDefault="00050247" w:rsidP="00050247">
    <w:pPr>
      <w:pStyle w:val="Footer"/>
      <w:tabs>
        <w:tab w:val="clear" w:pos="4153"/>
        <w:tab w:val="clear" w:pos="8306"/>
      </w:tabs>
      <w:bidi/>
      <w:jc w:val="left"/>
      <w:rPr>
        <w:rFonts w:asciiTheme="majorBidi" w:hAnsiTheme="majorBidi" w:cstheme="majorBidi"/>
        <w:szCs w:val="20"/>
      </w:rPr>
    </w:pPr>
    <w:r w:rsidRPr="00D80FA4">
      <w:rPr>
        <w:rStyle w:val="PageNumber"/>
        <w:rFonts w:asciiTheme="majorBidi" w:hAnsiTheme="majorBidi" w:cstheme="majorBidi"/>
        <w:szCs w:val="20"/>
      </w:rPr>
      <w:t>K170</w:t>
    </w:r>
    <w:r>
      <w:rPr>
        <w:rStyle w:val="PageNumber"/>
        <w:rFonts w:asciiTheme="majorBidi" w:hAnsiTheme="majorBidi" w:cstheme="majorBidi"/>
        <w:szCs w:val="20"/>
      </w:rPr>
      <w:t>7569</w:t>
    </w:r>
    <w:r>
      <w:rPr>
        <w:rStyle w:val="PageNumber"/>
        <w:rFonts w:asciiTheme="majorBidi" w:hAnsiTheme="majorBidi" w:cstheme="majorBidi" w:hint="cs"/>
        <w:szCs w:val="20"/>
        <w:rtl/>
      </w:rPr>
      <w:tab/>
    </w:r>
    <w:r>
      <w:rPr>
        <w:rStyle w:val="PageNumber"/>
        <w:rFonts w:asciiTheme="majorBidi" w:hAnsiTheme="majorBidi" w:cstheme="majorBidi"/>
        <w:szCs w:val="20"/>
      </w:rPr>
      <w:t>1209</w:t>
    </w:r>
    <w:r w:rsidRPr="00D80FA4">
      <w:rPr>
        <w:rStyle w:val="PageNumber"/>
        <w:rFonts w:asciiTheme="majorBidi" w:hAnsiTheme="majorBidi" w:cstheme="majorBidi"/>
        <w:szCs w:val="20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247" w:rsidRDefault="00050247" w:rsidP="008A79DC">
      <w:pPr>
        <w:bidi/>
        <w:ind w:left="720"/>
      </w:pPr>
      <w:r>
        <w:separator/>
      </w:r>
    </w:p>
  </w:footnote>
  <w:footnote w:type="continuationSeparator" w:id="0">
    <w:p w:rsidR="00050247" w:rsidRDefault="00050247">
      <w:r>
        <w:continuationSeparator/>
      </w:r>
    </w:p>
  </w:footnote>
  <w:footnote w:id="1">
    <w:p w:rsidR="00050247" w:rsidRPr="007243C3" w:rsidRDefault="00050247" w:rsidP="00934FB6">
      <w:pPr>
        <w:pStyle w:val="FootnoteText"/>
        <w:bidi/>
        <w:spacing w:after="60" w:line="300" w:lineRule="exact"/>
        <w:ind w:left="1134"/>
        <w:jc w:val="left"/>
        <w:rPr>
          <w:rFonts w:ascii="Times New Roman" w:hAnsi="Times New Roman" w:cs="Times New Roman"/>
        </w:rPr>
      </w:pPr>
      <w:r w:rsidRPr="00420706">
        <w:rPr>
          <w:rStyle w:val="FootnoteReference"/>
          <w:rFonts w:ascii="Times New Roman" w:hAnsi="Times New Roman" w:cs="Times New Roman"/>
          <w:sz w:val="18"/>
          <w:szCs w:val="18"/>
          <w:vertAlign w:val="baseline"/>
          <w:rtl/>
        </w:rPr>
        <w:t>*</w:t>
      </w:r>
      <w:r w:rsidRPr="007243C3">
        <w:rPr>
          <w:rFonts w:ascii="Times New Roman" w:hAnsi="Times New Roman" w:cs="Times New Roman"/>
          <w:rtl/>
        </w:rPr>
        <w:t xml:space="preserve">  </w:t>
      </w:r>
      <w:r w:rsidRPr="00B75CA1">
        <w:rPr>
          <w:rFonts w:ascii="Times New Roman" w:hAnsi="Times New Roman" w:cs="Times New Roman"/>
          <w:sz w:val="18"/>
          <w:szCs w:val="18"/>
        </w:rPr>
        <w:t>UNEP</w:t>
      </w:r>
      <w:r>
        <w:rPr>
          <w:rFonts w:ascii="Times New Roman" w:hAnsi="Times New Roman" w:cs="Times New Roman"/>
          <w:sz w:val="18"/>
          <w:szCs w:val="18"/>
        </w:rPr>
        <w:t>/MC/COP.1</w:t>
      </w:r>
      <w:r w:rsidRPr="00B75CA1">
        <w:rPr>
          <w:rFonts w:ascii="Times New Roman" w:hAnsi="Times New Roman" w:cs="Times New Roman"/>
          <w:sz w:val="18"/>
          <w:szCs w:val="18"/>
        </w:rPr>
        <w:t>/1</w:t>
      </w:r>
      <w:r w:rsidRPr="00043D33">
        <w:rPr>
          <w:rFonts w:ascii="Traditional Arabic" w:hAnsi="Traditional Arabic"/>
          <w:sz w:val="30"/>
          <w:szCs w:val="3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47" w:rsidRPr="009D4EBB" w:rsidRDefault="00050247" w:rsidP="00664FCC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/COP.1/21/Add.4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47" w:rsidRPr="00EC3A5F" w:rsidRDefault="00050247" w:rsidP="00D113A9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/COP.1/21/Add.4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>
    <w:nsid w:val="08AA0772"/>
    <w:multiLevelType w:val="hybridMultilevel"/>
    <w:tmpl w:val="06A41752"/>
    <w:lvl w:ilvl="0" w:tplc="8A160952">
      <w:start w:val="1"/>
      <w:numFmt w:val="decimal"/>
      <w:lvlText w:val="%1-"/>
      <w:lvlJc w:val="left"/>
      <w:pPr>
        <w:ind w:left="133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D37BB"/>
    <w:multiLevelType w:val="hybridMultilevel"/>
    <w:tmpl w:val="F334DD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20D2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27E40"/>
    <w:multiLevelType w:val="hybridMultilevel"/>
    <w:tmpl w:val="1D7091DA"/>
    <w:lvl w:ilvl="0" w:tplc="36C81850">
      <w:start w:val="21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95D64A6"/>
    <w:multiLevelType w:val="hybridMultilevel"/>
    <w:tmpl w:val="4B54480E"/>
    <w:lvl w:ilvl="0" w:tplc="30CC5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C04E13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C831C3"/>
    <w:multiLevelType w:val="hybridMultilevel"/>
    <w:tmpl w:val="8B92FE12"/>
    <w:lvl w:ilvl="0" w:tplc="8F5891F2">
      <w:start w:val="17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0C8561A"/>
    <w:multiLevelType w:val="singleLevel"/>
    <w:tmpl w:val="779E85D6"/>
    <w:lvl w:ilvl="0">
      <w:numFmt w:val="ganada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7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8">
    <w:nsid w:val="54DA0699"/>
    <w:multiLevelType w:val="hybridMultilevel"/>
    <w:tmpl w:val="33CECC38"/>
    <w:lvl w:ilvl="0" w:tplc="6CD47A02">
      <w:start w:val="1"/>
      <w:numFmt w:val="arabicAlpha"/>
      <w:lvlText w:val="(%1)"/>
      <w:lvlJc w:val="left"/>
      <w:pPr>
        <w:ind w:left="2138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9">
    <w:nsid w:val="57B346CB"/>
    <w:multiLevelType w:val="hybridMultilevel"/>
    <w:tmpl w:val="69EAD434"/>
    <w:lvl w:ilvl="0" w:tplc="6ED6A31E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0"/>
        <w:szCs w:val="20"/>
      </w:rPr>
    </w:lvl>
    <w:lvl w:ilvl="1" w:tplc="4A9CADDE">
      <w:start w:val="1"/>
      <w:numFmt w:val="bullet"/>
      <w:lvlText w:val="˗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717927"/>
    <w:multiLevelType w:val="hybridMultilevel"/>
    <w:tmpl w:val="9E1C1C44"/>
    <w:lvl w:ilvl="0" w:tplc="D5D03EE0">
      <w:start w:val="1"/>
      <w:numFmt w:val="bullet"/>
      <w:lvlText w:val=""/>
      <w:lvlJc w:val="left"/>
      <w:pPr>
        <w:ind w:left="2880" w:hanging="360"/>
      </w:pPr>
      <w:rPr>
        <w:rFonts w:ascii="Symbol" w:eastAsiaTheme="minorHAnsi" w:hAnsi="Symbol" w:cs="Traditional Arabic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5ED2721E"/>
    <w:multiLevelType w:val="hybridMultilevel"/>
    <w:tmpl w:val="4A56294A"/>
    <w:lvl w:ilvl="0" w:tplc="6FD6C01A">
      <w:start w:val="18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AA50DB1"/>
    <w:multiLevelType w:val="singleLevel"/>
    <w:tmpl w:val="0C00B5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3">
    <w:nsid w:val="712B4EA4"/>
    <w:multiLevelType w:val="hybridMultilevel"/>
    <w:tmpl w:val="AC74672A"/>
    <w:lvl w:ilvl="0" w:tplc="49C44DE2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 w:cs="Traditional Arabic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754"/>
        </w:tabs>
        <w:ind w:left="7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14"/>
        </w:tabs>
        <w:ind w:left="29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</w:abstractNum>
  <w:abstractNum w:abstractNumId="14">
    <w:nsid w:val="7EF71EF0"/>
    <w:multiLevelType w:val="hybridMultilevel"/>
    <w:tmpl w:val="3D381B26"/>
    <w:lvl w:ilvl="0" w:tplc="8F260E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1"/>
  </w:num>
  <w:num w:numId="12">
    <w:abstractNumId w:val="3"/>
  </w:num>
  <w:num w:numId="1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2B"/>
    <w:rsid w:val="000242CB"/>
    <w:rsid w:val="00024566"/>
    <w:rsid w:val="00024D2B"/>
    <w:rsid w:val="0003131F"/>
    <w:rsid w:val="00033595"/>
    <w:rsid w:val="00033A5C"/>
    <w:rsid w:val="00037D52"/>
    <w:rsid w:val="0004010A"/>
    <w:rsid w:val="00050247"/>
    <w:rsid w:val="00051665"/>
    <w:rsid w:val="00056A55"/>
    <w:rsid w:val="0006021A"/>
    <w:rsid w:val="000668FE"/>
    <w:rsid w:val="00071F69"/>
    <w:rsid w:val="00072F5D"/>
    <w:rsid w:val="0008088A"/>
    <w:rsid w:val="000844F9"/>
    <w:rsid w:val="000A33B7"/>
    <w:rsid w:val="000B1AA7"/>
    <w:rsid w:val="000B41E8"/>
    <w:rsid w:val="000C042E"/>
    <w:rsid w:val="000C6AF1"/>
    <w:rsid w:val="000C72D5"/>
    <w:rsid w:val="000D1F97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54C7"/>
    <w:rsid w:val="001367EA"/>
    <w:rsid w:val="001368B8"/>
    <w:rsid w:val="0014278C"/>
    <w:rsid w:val="00143EB4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A0F83"/>
    <w:rsid w:val="001A6258"/>
    <w:rsid w:val="001B03D9"/>
    <w:rsid w:val="001C1DD1"/>
    <w:rsid w:val="001C513F"/>
    <w:rsid w:val="001D3A25"/>
    <w:rsid w:val="001D6BA5"/>
    <w:rsid w:val="001E1443"/>
    <w:rsid w:val="001E4795"/>
    <w:rsid w:val="001E6E8E"/>
    <w:rsid w:val="001F0C9C"/>
    <w:rsid w:val="001F171C"/>
    <w:rsid w:val="001F1C23"/>
    <w:rsid w:val="001F390D"/>
    <w:rsid w:val="002079F8"/>
    <w:rsid w:val="002300EA"/>
    <w:rsid w:val="0023160B"/>
    <w:rsid w:val="002323CD"/>
    <w:rsid w:val="002361BF"/>
    <w:rsid w:val="00236B0A"/>
    <w:rsid w:val="00252FE5"/>
    <w:rsid w:val="00255F00"/>
    <w:rsid w:val="00260A65"/>
    <w:rsid w:val="00260C3B"/>
    <w:rsid w:val="00261436"/>
    <w:rsid w:val="00261451"/>
    <w:rsid w:val="00267DA8"/>
    <w:rsid w:val="0027071F"/>
    <w:rsid w:val="00276330"/>
    <w:rsid w:val="00291EAE"/>
    <w:rsid w:val="00295F25"/>
    <w:rsid w:val="002962A4"/>
    <w:rsid w:val="002A2BDE"/>
    <w:rsid w:val="002B14DB"/>
    <w:rsid w:val="002C1EE1"/>
    <w:rsid w:val="002C46F7"/>
    <w:rsid w:val="002C60AD"/>
    <w:rsid w:val="002D07C5"/>
    <w:rsid w:val="002D57DB"/>
    <w:rsid w:val="002E7390"/>
    <w:rsid w:val="002F11C2"/>
    <w:rsid w:val="002F74A0"/>
    <w:rsid w:val="00304FAF"/>
    <w:rsid w:val="00306618"/>
    <w:rsid w:val="00310BFE"/>
    <w:rsid w:val="00317E61"/>
    <w:rsid w:val="00323929"/>
    <w:rsid w:val="003501E1"/>
    <w:rsid w:val="003511A7"/>
    <w:rsid w:val="00351FDC"/>
    <w:rsid w:val="003553DB"/>
    <w:rsid w:val="0036154E"/>
    <w:rsid w:val="0036250E"/>
    <w:rsid w:val="003821A4"/>
    <w:rsid w:val="0038322E"/>
    <w:rsid w:val="00386BD3"/>
    <w:rsid w:val="00390CD8"/>
    <w:rsid w:val="003923ED"/>
    <w:rsid w:val="00397363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2042E"/>
    <w:rsid w:val="00420706"/>
    <w:rsid w:val="00423AEE"/>
    <w:rsid w:val="00451081"/>
    <w:rsid w:val="00451ABD"/>
    <w:rsid w:val="004524AB"/>
    <w:rsid w:val="004547E5"/>
    <w:rsid w:val="004606CA"/>
    <w:rsid w:val="00472C66"/>
    <w:rsid w:val="00485260"/>
    <w:rsid w:val="004916B5"/>
    <w:rsid w:val="0049251D"/>
    <w:rsid w:val="004952B0"/>
    <w:rsid w:val="00495361"/>
    <w:rsid w:val="004A1FC4"/>
    <w:rsid w:val="004B0A17"/>
    <w:rsid w:val="004D0F9A"/>
    <w:rsid w:val="004D2B12"/>
    <w:rsid w:val="004D567F"/>
    <w:rsid w:val="004E001B"/>
    <w:rsid w:val="004E1EDE"/>
    <w:rsid w:val="004E4EB2"/>
    <w:rsid w:val="004E5370"/>
    <w:rsid w:val="004E7B30"/>
    <w:rsid w:val="004F26CB"/>
    <w:rsid w:val="005023EE"/>
    <w:rsid w:val="00505660"/>
    <w:rsid w:val="005064C3"/>
    <w:rsid w:val="00522932"/>
    <w:rsid w:val="005234DB"/>
    <w:rsid w:val="00530F46"/>
    <w:rsid w:val="00540949"/>
    <w:rsid w:val="005435B2"/>
    <w:rsid w:val="005668AB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55FF"/>
    <w:rsid w:val="005D23EF"/>
    <w:rsid w:val="005E06C5"/>
    <w:rsid w:val="005E2737"/>
    <w:rsid w:val="005E35EA"/>
    <w:rsid w:val="005E6B63"/>
    <w:rsid w:val="005F3809"/>
    <w:rsid w:val="005F5925"/>
    <w:rsid w:val="00601018"/>
    <w:rsid w:val="0060188A"/>
    <w:rsid w:val="0060772E"/>
    <w:rsid w:val="00614BE8"/>
    <w:rsid w:val="00615461"/>
    <w:rsid w:val="006160A4"/>
    <w:rsid w:val="006227F4"/>
    <w:rsid w:val="00632CDF"/>
    <w:rsid w:val="0063365A"/>
    <w:rsid w:val="0063685D"/>
    <w:rsid w:val="00664FCC"/>
    <w:rsid w:val="00671875"/>
    <w:rsid w:val="00684004"/>
    <w:rsid w:val="00684243"/>
    <w:rsid w:val="00696059"/>
    <w:rsid w:val="006A7E4F"/>
    <w:rsid w:val="006B05FA"/>
    <w:rsid w:val="006B54B1"/>
    <w:rsid w:val="006C028B"/>
    <w:rsid w:val="006C560D"/>
    <w:rsid w:val="006D598B"/>
    <w:rsid w:val="006E1D97"/>
    <w:rsid w:val="006E4BE0"/>
    <w:rsid w:val="006F036C"/>
    <w:rsid w:val="006F7F31"/>
    <w:rsid w:val="00706852"/>
    <w:rsid w:val="00712158"/>
    <w:rsid w:val="00720D77"/>
    <w:rsid w:val="00726240"/>
    <w:rsid w:val="007275EE"/>
    <w:rsid w:val="00734EE4"/>
    <w:rsid w:val="00744D3B"/>
    <w:rsid w:val="00751096"/>
    <w:rsid w:val="0075378C"/>
    <w:rsid w:val="007617C7"/>
    <w:rsid w:val="00764B71"/>
    <w:rsid w:val="00767D0A"/>
    <w:rsid w:val="0077392C"/>
    <w:rsid w:val="007775CF"/>
    <w:rsid w:val="00783165"/>
    <w:rsid w:val="007878A7"/>
    <w:rsid w:val="007A671B"/>
    <w:rsid w:val="007B173A"/>
    <w:rsid w:val="007B3246"/>
    <w:rsid w:val="007B5F59"/>
    <w:rsid w:val="007B7061"/>
    <w:rsid w:val="007C62EE"/>
    <w:rsid w:val="007C73F5"/>
    <w:rsid w:val="007D019B"/>
    <w:rsid w:val="007D3018"/>
    <w:rsid w:val="007E0C9A"/>
    <w:rsid w:val="007F304D"/>
    <w:rsid w:val="00802B63"/>
    <w:rsid w:val="00805014"/>
    <w:rsid w:val="00811602"/>
    <w:rsid w:val="00822614"/>
    <w:rsid w:val="008321C1"/>
    <w:rsid w:val="008323B3"/>
    <w:rsid w:val="008500FB"/>
    <w:rsid w:val="00852F12"/>
    <w:rsid w:val="00873A40"/>
    <w:rsid w:val="00880C90"/>
    <w:rsid w:val="00887CE8"/>
    <w:rsid w:val="0089216B"/>
    <w:rsid w:val="0089620E"/>
    <w:rsid w:val="008A5EBB"/>
    <w:rsid w:val="008A79DC"/>
    <w:rsid w:val="008B6A62"/>
    <w:rsid w:val="008C23F0"/>
    <w:rsid w:val="008F4416"/>
    <w:rsid w:val="0090002B"/>
    <w:rsid w:val="009017E0"/>
    <w:rsid w:val="0090328F"/>
    <w:rsid w:val="0092522D"/>
    <w:rsid w:val="00926C1F"/>
    <w:rsid w:val="00931CC7"/>
    <w:rsid w:val="00934EBC"/>
    <w:rsid w:val="00934FB6"/>
    <w:rsid w:val="00952DAB"/>
    <w:rsid w:val="00955980"/>
    <w:rsid w:val="0096449B"/>
    <w:rsid w:val="00980B82"/>
    <w:rsid w:val="009819E2"/>
    <w:rsid w:val="00983518"/>
    <w:rsid w:val="0099049A"/>
    <w:rsid w:val="009A052E"/>
    <w:rsid w:val="009A0564"/>
    <w:rsid w:val="009A11E7"/>
    <w:rsid w:val="009A1FDF"/>
    <w:rsid w:val="009A6C71"/>
    <w:rsid w:val="009B2A75"/>
    <w:rsid w:val="009C40AA"/>
    <w:rsid w:val="009C5B87"/>
    <w:rsid w:val="009D06F9"/>
    <w:rsid w:val="009D28AB"/>
    <w:rsid w:val="009D4EBB"/>
    <w:rsid w:val="009D58E8"/>
    <w:rsid w:val="009E2CE5"/>
    <w:rsid w:val="009E4569"/>
    <w:rsid w:val="009E46DF"/>
    <w:rsid w:val="009E6EAB"/>
    <w:rsid w:val="009F7025"/>
    <w:rsid w:val="00A02D05"/>
    <w:rsid w:val="00A108BD"/>
    <w:rsid w:val="00A178E1"/>
    <w:rsid w:val="00A23B72"/>
    <w:rsid w:val="00A26E11"/>
    <w:rsid w:val="00A34C1A"/>
    <w:rsid w:val="00A579D1"/>
    <w:rsid w:val="00A57F44"/>
    <w:rsid w:val="00A67825"/>
    <w:rsid w:val="00A76B59"/>
    <w:rsid w:val="00A969A0"/>
    <w:rsid w:val="00AA32A0"/>
    <w:rsid w:val="00AB1E5D"/>
    <w:rsid w:val="00AC5F19"/>
    <w:rsid w:val="00AC5FD8"/>
    <w:rsid w:val="00AE4729"/>
    <w:rsid w:val="00AF0DF6"/>
    <w:rsid w:val="00B0033E"/>
    <w:rsid w:val="00B110B0"/>
    <w:rsid w:val="00B179A4"/>
    <w:rsid w:val="00B336C3"/>
    <w:rsid w:val="00B42C89"/>
    <w:rsid w:val="00B602AD"/>
    <w:rsid w:val="00B65469"/>
    <w:rsid w:val="00B66D5F"/>
    <w:rsid w:val="00B762F2"/>
    <w:rsid w:val="00B77EDA"/>
    <w:rsid w:val="00B83776"/>
    <w:rsid w:val="00B87B65"/>
    <w:rsid w:val="00B87FDB"/>
    <w:rsid w:val="00B913B6"/>
    <w:rsid w:val="00B945ED"/>
    <w:rsid w:val="00B97A52"/>
    <w:rsid w:val="00BA25F3"/>
    <w:rsid w:val="00BA5B08"/>
    <w:rsid w:val="00BA66F1"/>
    <w:rsid w:val="00BA6ED1"/>
    <w:rsid w:val="00BB0629"/>
    <w:rsid w:val="00BB4CA4"/>
    <w:rsid w:val="00BD1906"/>
    <w:rsid w:val="00BD4A65"/>
    <w:rsid w:val="00BE20CA"/>
    <w:rsid w:val="00BE2ADF"/>
    <w:rsid w:val="00BF64C6"/>
    <w:rsid w:val="00BF7F42"/>
    <w:rsid w:val="00C0594F"/>
    <w:rsid w:val="00C1200F"/>
    <w:rsid w:val="00C1297E"/>
    <w:rsid w:val="00C2111C"/>
    <w:rsid w:val="00C33F5C"/>
    <w:rsid w:val="00C34FDE"/>
    <w:rsid w:val="00C36378"/>
    <w:rsid w:val="00C37B3A"/>
    <w:rsid w:val="00C47E78"/>
    <w:rsid w:val="00C56205"/>
    <w:rsid w:val="00C712BF"/>
    <w:rsid w:val="00C7529E"/>
    <w:rsid w:val="00C75C0B"/>
    <w:rsid w:val="00C82234"/>
    <w:rsid w:val="00C85728"/>
    <w:rsid w:val="00C86BDC"/>
    <w:rsid w:val="00C8739B"/>
    <w:rsid w:val="00C90A4C"/>
    <w:rsid w:val="00C91665"/>
    <w:rsid w:val="00C94729"/>
    <w:rsid w:val="00CA4F8C"/>
    <w:rsid w:val="00CB79F1"/>
    <w:rsid w:val="00CC16CF"/>
    <w:rsid w:val="00CD25C4"/>
    <w:rsid w:val="00CD399B"/>
    <w:rsid w:val="00CD4572"/>
    <w:rsid w:val="00CD5653"/>
    <w:rsid w:val="00D0655D"/>
    <w:rsid w:val="00D113A9"/>
    <w:rsid w:val="00D12FDA"/>
    <w:rsid w:val="00D15263"/>
    <w:rsid w:val="00D21049"/>
    <w:rsid w:val="00D444E7"/>
    <w:rsid w:val="00D44CE3"/>
    <w:rsid w:val="00D52B4F"/>
    <w:rsid w:val="00D55934"/>
    <w:rsid w:val="00D569AA"/>
    <w:rsid w:val="00D578BF"/>
    <w:rsid w:val="00D60C18"/>
    <w:rsid w:val="00D66C66"/>
    <w:rsid w:val="00D70490"/>
    <w:rsid w:val="00D71822"/>
    <w:rsid w:val="00D80FA4"/>
    <w:rsid w:val="00D90EDD"/>
    <w:rsid w:val="00D9173E"/>
    <w:rsid w:val="00D91942"/>
    <w:rsid w:val="00D958DE"/>
    <w:rsid w:val="00DA14CC"/>
    <w:rsid w:val="00DA1588"/>
    <w:rsid w:val="00DA494E"/>
    <w:rsid w:val="00DB686B"/>
    <w:rsid w:val="00DB6958"/>
    <w:rsid w:val="00DC4E2F"/>
    <w:rsid w:val="00DC590D"/>
    <w:rsid w:val="00DD2F15"/>
    <w:rsid w:val="00DE44A3"/>
    <w:rsid w:val="00DE796A"/>
    <w:rsid w:val="00E015AC"/>
    <w:rsid w:val="00E0494C"/>
    <w:rsid w:val="00E1515A"/>
    <w:rsid w:val="00E176E7"/>
    <w:rsid w:val="00E323C0"/>
    <w:rsid w:val="00E369DB"/>
    <w:rsid w:val="00E36EB2"/>
    <w:rsid w:val="00E51BAF"/>
    <w:rsid w:val="00E63CFD"/>
    <w:rsid w:val="00E642AB"/>
    <w:rsid w:val="00E760C7"/>
    <w:rsid w:val="00E90558"/>
    <w:rsid w:val="00E96DEF"/>
    <w:rsid w:val="00EA0788"/>
    <w:rsid w:val="00EA0F41"/>
    <w:rsid w:val="00EA14B6"/>
    <w:rsid w:val="00EB63CF"/>
    <w:rsid w:val="00EC35F9"/>
    <w:rsid w:val="00EC3A5F"/>
    <w:rsid w:val="00ED0538"/>
    <w:rsid w:val="00ED77A3"/>
    <w:rsid w:val="00EE026C"/>
    <w:rsid w:val="00EE48F0"/>
    <w:rsid w:val="00EF0793"/>
    <w:rsid w:val="00F01C3F"/>
    <w:rsid w:val="00F12DD6"/>
    <w:rsid w:val="00F1601D"/>
    <w:rsid w:val="00F240DC"/>
    <w:rsid w:val="00F26CD0"/>
    <w:rsid w:val="00F47390"/>
    <w:rsid w:val="00F50135"/>
    <w:rsid w:val="00F61AB5"/>
    <w:rsid w:val="00F64BB3"/>
    <w:rsid w:val="00F70C3F"/>
    <w:rsid w:val="00F748A2"/>
    <w:rsid w:val="00F7639B"/>
    <w:rsid w:val="00F84546"/>
    <w:rsid w:val="00F93241"/>
    <w:rsid w:val="00FB59A6"/>
    <w:rsid w:val="00FC5790"/>
    <w:rsid w:val="00FD576F"/>
    <w:rsid w:val="00FD7BCB"/>
    <w:rsid w:val="00FD7F76"/>
    <w:rsid w:val="00FE21C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"/>
    <w:link w:val="CH2Char"/>
    <w:rsid w:val="001354C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eastAsiaTheme="minorHAnsi" w:hAnsiTheme="minorHAnsi"/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1354C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 w:hint="cs"/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1354C7"/>
    <w:rPr>
      <w:rFonts w:eastAsiaTheme="minorHAnsi" w:hAnsiTheme="minorHAnsi"/>
      <w:b/>
      <w:sz w:val="24"/>
      <w:szCs w:val="24"/>
      <w:lang w:val="en-GB"/>
    </w:rPr>
  </w:style>
  <w:style w:type="paragraph" w:customStyle="1" w:styleId="AATitle">
    <w:name w:val="AA_Title"/>
    <w:basedOn w:val="Normal"/>
    <w:rsid w:val="001354C7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Theme="minorHAnsi" w:hAnsiTheme="minorHAnsi" w:hint="cs"/>
      <w:b/>
      <w:lang w:val="en-GB"/>
    </w:rPr>
  </w:style>
  <w:style w:type="paragraph" w:customStyle="1" w:styleId="AATitle2">
    <w:name w:val="AA_Title2"/>
    <w:basedOn w:val="AATitle"/>
    <w:rsid w:val="001354C7"/>
  </w:style>
  <w:style w:type="paragraph" w:styleId="TOC7">
    <w:name w:val="toc 7"/>
    <w:basedOn w:val="Normal"/>
    <w:next w:val="Normal"/>
    <w:autoRedefine/>
    <w:semiHidden/>
    <w:rsid w:val="001354C7"/>
    <w:pPr>
      <w:tabs>
        <w:tab w:val="left" w:pos="1247"/>
      </w:tabs>
      <w:ind w:left="1200"/>
    </w:pPr>
    <w:rPr>
      <w:rFonts w:eastAsiaTheme="minorHAnsi" w:hAnsiTheme="minorHAnsi" w:hint="cs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"/>
    <w:link w:val="CH2Char"/>
    <w:rsid w:val="001354C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eastAsiaTheme="minorHAnsi" w:hAnsiTheme="minorHAnsi"/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1354C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 w:hint="cs"/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1354C7"/>
    <w:rPr>
      <w:rFonts w:eastAsiaTheme="minorHAnsi" w:hAnsiTheme="minorHAnsi"/>
      <w:b/>
      <w:sz w:val="24"/>
      <w:szCs w:val="24"/>
      <w:lang w:val="en-GB"/>
    </w:rPr>
  </w:style>
  <w:style w:type="paragraph" w:customStyle="1" w:styleId="AATitle">
    <w:name w:val="AA_Title"/>
    <w:basedOn w:val="Normal"/>
    <w:rsid w:val="001354C7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Theme="minorHAnsi" w:hAnsiTheme="minorHAnsi" w:hint="cs"/>
      <w:b/>
      <w:lang w:val="en-GB"/>
    </w:rPr>
  </w:style>
  <w:style w:type="paragraph" w:customStyle="1" w:styleId="AATitle2">
    <w:name w:val="AA_Title2"/>
    <w:basedOn w:val="AATitle"/>
    <w:rsid w:val="001354C7"/>
  </w:style>
  <w:style w:type="paragraph" w:styleId="TOC7">
    <w:name w:val="toc 7"/>
    <w:basedOn w:val="Normal"/>
    <w:next w:val="Normal"/>
    <w:autoRedefine/>
    <w:semiHidden/>
    <w:rsid w:val="001354C7"/>
    <w:pPr>
      <w:tabs>
        <w:tab w:val="left" w:pos="1247"/>
      </w:tabs>
      <w:ind w:left="1200"/>
    </w:pPr>
    <w:rPr>
      <w:rFonts w:eastAsiaTheme="minorHAnsi" w:hAnsiTheme="minorHAnsi" w:hint="cs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E4CAB-AF65-4B8A-940A-65D9174B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Afaf Salih</cp:lastModifiedBy>
  <cp:revision>2</cp:revision>
  <cp:lastPrinted>2017-09-12T11:54:00Z</cp:lastPrinted>
  <dcterms:created xsi:type="dcterms:W3CDTF">2017-09-12T11:58:00Z</dcterms:created>
  <dcterms:modified xsi:type="dcterms:W3CDTF">2017-09-12T11:58:00Z</dcterms:modified>
</cp:coreProperties>
</file>