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50"/>
        <w:gridCol w:w="4751"/>
        <w:gridCol w:w="3411"/>
      </w:tblGrid>
      <w:tr w:rsidR="00032E4E" w:rsidRPr="00FD27BC" w14:paraId="4B9F0F9B" w14:textId="77777777" w:rsidTr="00E976AB">
        <w:trPr>
          <w:cantSplit/>
          <w:trHeight w:val="850"/>
          <w:jc w:val="right"/>
        </w:trPr>
        <w:tc>
          <w:tcPr>
            <w:tcW w:w="1560" w:type="dxa"/>
          </w:tcPr>
          <w:p w14:paraId="2A9B9F9D" w14:textId="43799AB8" w:rsidR="00032E4E" w:rsidRPr="00FD27BC" w:rsidRDefault="00032E4E" w:rsidP="00023DA9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r w:rsidRPr="00FD27BC">
              <w:rPr>
                <w:rFonts w:ascii="Arial" w:hAnsi="Arial" w:cs="Arial"/>
                <w:b/>
                <w:noProof/>
                <w:sz w:val="27"/>
                <w:szCs w:val="27"/>
              </w:rPr>
              <w:t>NATIONS</w:t>
            </w:r>
            <w:r w:rsidR="00FD27BC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UNIES</w:t>
            </w:r>
          </w:p>
        </w:tc>
        <w:tc>
          <w:tcPr>
            <w:tcW w:w="4785" w:type="dxa"/>
          </w:tcPr>
          <w:p w14:paraId="2F47229A" w14:textId="77777777" w:rsidR="00032E4E" w:rsidRPr="00FD27BC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35" w:type="dxa"/>
          </w:tcPr>
          <w:p w14:paraId="57073C3F" w14:textId="77777777" w:rsidR="00032E4E" w:rsidRPr="00FD27BC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FD27BC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FD27BC" w14:paraId="0DEAC680" w14:textId="77777777" w:rsidTr="00E976AB">
        <w:trPr>
          <w:cantSplit/>
          <w:trHeight w:val="281"/>
          <w:jc w:val="right"/>
        </w:trPr>
        <w:tc>
          <w:tcPr>
            <w:tcW w:w="1560" w:type="dxa"/>
            <w:tcBorders>
              <w:bottom w:val="single" w:sz="4" w:space="0" w:color="auto"/>
            </w:tcBorders>
          </w:tcPr>
          <w:p w14:paraId="30269B88" w14:textId="77777777" w:rsidR="00032E4E" w:rsidRPr="00FD27BC" w:rsidRDefault="00032E4E" w:rsidP="00023DA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14:paraId="54296B4D" w14:textId="77777777" w:rsidR="00032E4E" w:rsidRPr="00FD27BC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35" w:type="dxa"/>
            <w:tcBorders>
              <w:bottom w:val="single" w:sz="4" w:space="0" w:color="auto"/>
            </w:tcBorders>
          </w:tcPr>
          <w:p w14:paraId="540639F8" w14:textId="4307E328" w:rsidR="00032E4E" w:rsidRPr="00FD27BC" w:rsidRDefault="00032E4E" w:rsidP="00787688">
            <w:pPr>
              <w:rPr>
                <w:noProof/>
                <w:sz w:val="18"/>
                <w:szCs w:val="18"/>
              </w:rPr>
            </w:pPr>
            <w:r w:rsidRPr="00FD27BC"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 w:rsidR="00787688" w:rsidRPr="00FD27BC">
              <w:rPr>
                <w:b/>
                <w:bCs/>
                <w:sz w:val="28"/>
              </w:rPr>
              <w:t>/</w:t>
            </w:r>
            <w:r w:rsidR="00787688" w:rsidRPr="00FD27BC">
              <w:t>MC</w:t>
            </w:r>
            <w:r w:rsidRPr="00FD27BC">
              <w:t>/</w:t>
            </w:r>
            <w:bookmarkEnd w:id="0"/>
            <w:bookmarkEnd w:id="1"/>
            <w:r w:rsidR="00787688" w:rsidRPr="00FD27BC">
              <w:t>COP.1</w:t>
            </w:r>
            <w:r w:rsidRPr="00FD27BC">
              <w:t>/</w:t>
            </w:r>
            <w:r w:rsidR="00D013F5" w:rsidRPr="00FD27BC">
              <w:t>1</w:t>
            </w:r>
            <w:r w:rsidR="005272ED" w:rsidRPr="008B446F">
              <w:rPr>
                <w:rStyle w:val="FootnoteReference"/>
                <w:vertAlign w:val="baseline"/>
              </w:rPr>
              <w:footnoteReference w:customMarkFollows="1" w:id="1"/>
              <w:t>*</w:t>
            </w:r>
          </w:p>
        </w:tc>
      </w:tr>
      <w:bookmarkStart w:id="2" w:name="_MON_1021710482"/>
      <w:bookmarkEnd w:id="2"/>
      <w:bookmarkStart w:id="3" w:name="_MON_1021710510"/>
      <w:bookmarkEnd w:id="3"/>
      <w:tr w:rsidR="00032E4E" w:rsidRPr="00921098" w14:paraId="34AA74B4" w14:textId="77777777" w:rsidTr="00E976AB">
        <w:trPr>
          <w:cantSplit/>
          <w:trHeight w:val="2549"/>
          <w:jc w:val="right"/>
        </w:trPr>
        <w:tc>
          <w:tcPr>
            <w:tcW w:w="1560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FD27BC" w:rsidRDefault="00032E4E" w:rsidP="00023DA9">
            <w:pPr>
              <w:rPr>
                <w:noProof/>
              </w:rPr>
            </w:pPr>
            <w:r w:rsidRPr="00FD27BC">
              <w:rPr>
                <w:noProof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4pt;height:60.6pt" o:ole="" fillcolor="window">
                  <v:imagedata r:id="rId9" o:title=""/>
                </v:shape>
                <o:OLEObject Type="Embed" ProgID="Word.Picture.8" ShapeID="_x0000_i1025" DrawAspect="Content" ObjectID="_1561213797" r:id="rId10"/>
              </w:object>
            </w:r>
            <w:r w:rsidR="00011A16" w:rsidRPr="00FD27BC">
              <w:rPr>
                <w:noProof/>
                <w:lang w:val="en-GB" w:eastAsia="zh-CN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6F459969" w:rsidR="00032E4E" w:rsidRPr="00FD27BC" w:rsidRDefault="00032E4E" w:rsidP="00023DA9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FD27BC">
              <w:rPr>
                <w:rFonts w:ascii="Arial" w:hAnsi="Arial" w:cs="Arial"/>
                <w:b/>
                <w:sz w:val="32"/>
                <w:szCs w:val="32"/>
              </w:rPr>
              <w:t>Programme</w:t>
            </w:r>
            <w:r w:rsidR="00FD27BC">
              <w:rPr>
                <w:rFonts w:ascii="Arial" w:hAnsi="Arial" w:cs="Arial"/>
                <w:b/>
                <w:sz w:val="32"/>
                <w:szCs w:val="32"/>
              </w:rPr>
              <w:br/>
              <w:t>des Nations Unies</w:t>
            </w:r>
            <w:r w:rsidR="00FD27BC">
              <w:rPr>
                <w:rFonts w:ascii="Arial" w:hAnsi="Arial" w:cs="Arial"/>
                <w:b/>
                <w:sz w:val="32"/>
                <w:szCs w:val="32"/>
              </w:rPr>
              <w:br/>
              <w:t>pour l</w:t>
            </w:r>
            <w:r w:rsidR="00086E40">
              <w:rPr>
                <w:rFonts w:ascii="Arial" w:hAnsi="Arial" w:cs="Arial"/>
                <w:b/>
                <w:sz w:val="32"/>
                <w:szCs w:val="32"/>
              </w:rPr>
              <w:t>’</w:t>
            </w:r>
            <w:r w:rsidR="00FD27BC">
              <w:rPr>
                <w:rFonts w:ascii="Arial" w:hAnsi="Arial" w:cs="Arial"/>
                <w:b/>
                <w:sz w:val="32"/>
                <w:szCs w:val="32"/>
              </w:rPr>
              <w:t>environnement</w:t>
            </w:r>
          </w:p>
        </w:tc>
        <w:tc>
          <w:tcPr>
            <w:tcW w:w="3435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6FEF1289" w:rsidR="00032E4E" w:rsidRPr="00FD27BC" w:rsidRDefault="00FD27BC" w:rsidP="00787688">
            <w:pPr>
              <w:spacing w:before="120"/>
            </w:pPr>
            <w:proofErr w:type="spellStart"/>
            <w:r w:rsidRPr="00FD27BC">
              <w:t>Distr</w:t>
            </w:r>
            <w:proofErr w:type="spellEnd"/>
            <w:r w:rsidRPr="00FD27BC">
              <w:t>. </w:t>
            </w:r>
            <w:r w:rsidR="008B446F">
              <w:t>g</w:t>
            </w:r>
            <w:r w:rsidRPr="00FD27BC">
              <w:t>énérale</w:t>
            </w:r>
            <w:r w:rsidR="009F4431">
              <w:t xml:space="preserve"> </w:t>
            </w:r>
            <w:r w:rsidR="009F4431">
              <w:br/>
            </w:r>
            <w:r w:rsidRPr="00FD27BC">
              <w:t xml:space="preserve">27 février </w:t>
            </w:r>
            <w:r w:rsidR="0042266F" w:rsidRPr="00FD27BC">
              <w:t>2017</w:t>
            </w:r>
          </w:p>
          <w:p w14:paraId="1A75CF9D" w14:textId="62397744" w:rsidR="00032E4E" w:rsidRPr="00FD27BC" w:rsidRDefault="00FD27BC" w:rsidP="00FD27BC">
            <w:pPr>
              <w:spacing w:before="240"/>
            </w:pPr>
            <w:r w:rsidRPr="00FD27BC">
              <w:t>Français</w:t>
            </w:r>
            <w:r w:rsidRPr="00FD27BC">
              <w:br/>
            </w:r>
            <w:r w:rsidR="00032E4E" w:rsidRPr="00FD27BC">
              <w:t>Original</w:t>
            </w:r>
            <w:r w:rsidRPr="00FD27BC">
              <w:t> : anglais</w:t>
            </w:r>
          </w:p>
        </w:tc>
      </w:tr>
    </w:tbl>
    <w:p w14:paraId="0A4BFFDA" w14:textId="7418D6DC" w:rsidR="00E976AB" w:rsidRPr="00086E40" w:rsidRDefault="00FD27BC" w:rsidP="00086E40">
      <w:pPr>
        <w:pStyle w:val="AATitle"/>
      </w:pPr>
      <w:r w:rsidRPr="00086E40">
        <w:t>C</w:t>
      </w:r>
      <w:r w:rsidR="00921098" w:rsidRPr="00086E40">
        <w:t xml:space="preserve">onférence des Parties à la </w:t>
      </w:r>
      <w:r w:rsidR="009F4431">
        <w:br/>
      </w:r>
      <w:r w:rsidR="00921098" w:rsidRPr="00086E40">
        <w:t>C</w:t>
      </w:r>
      <w:r w:rsidRPr="00086E40">
        <w:t xml:space="preserve">onvention de </w:t>
      </w:r>
      <w:r w:rsidR="00787688" w:rsidRPr="00086E40">
        <w:t xml:space="preserve">Minamata </w:t>
      </w:r>
      <w:r w:rsidRPr="00086E40">
        <w:t>sur le mercure</w:t>
      </w:r>
    </w:p>
    <w:p w14:paraId="26A6CAA0" w14:textId="7102D31E" w:rsidR="00E976AB" w:rsidRPr="008B446F" w:rsidRDefault="00FD27BC" w:rsidP="00086E40">
      <w:pPr>
        <w:pStyle w:val="AATitle"/>
      </w:pPr>
      <w:r w:rsidRPr="008B446F">
        <w:t>Première réunion</w:t>
      </w:r>
    </w:p>
    <w:p w14:paraId="67B82F12" w14:textId="4F5EEE18" w:rsidR="00787688" w:rsidRPr="00086E40" w:rsidRDefault="00FD27BC" w:rsidP="00086E40">
      <w:pPr>
        <w:pStyle w:val="AATitle"/>
        <w:rPr>
          <w:b w:val="0"/>
        </w:rPr>
      </w:pPr>
      <w:r w:rsidRPr="00086E40">
        <w:rPr>
          <w:b w:val="0"/>
        </w:rPr>
        <w:t>Genève</w:t>
      </w:r>
      <w:r w:rsidR="00E976AB" w:rsidRPr="00086E40">
        <w:rPr>
          <w:b w:val="0"/>
        </w:rPr>
        <w:t xml:space="preserve">, </w:t>
      </w:r>
      <w:r w:rsidRPr="00086E40">
        <w:rPr>
          <w:b w:val="0"/>
        </w:rPr>
        <w:t>24–29 septembre</w:t>
      </w:r>
      <w:r w:rsidR="00325D38" w:rsidRPr="00086E40">
        <w:rPr>
          <w:b w:val="0"/>
        </w:rPr>
        <w:t xml:space="preserve"> </w:t>
      </w:r>
      <w:r w:rsidR="00787688" w:rsidRPr="00086E40">
        <w:rPr>
          <w:b w:val="0"/>
        </w:rPr>
        <w:t>2017</w:t>
      </w:r>
    </w:p>
    <w:p w14:paraId="1FF2A24D" w14:textId="150D6C76" w:rsidR="00D013F5" w:rsidRPr="00086E40" w:rsidRDefault="00FD27BC" w:rsidP="00086E40">
      <w:pPr>
        <w:pStyle w:val="BBTitle"/>
      </w:pPr>
      <w:r>
        <w:rPr>
          <w:lang w:val="fr-FR"/>
        </w:rPr>
        <w:t>Ordre du jour provisoire</w:t>
      </w:r>
    </w:p>
    <w:p w14:paraId="3A4938DE" w14:textId="3DF52567" w:rsidR="00D013F5" w:rsidRPr="00FD27BC" w:rsidRDefault="00086E40" w:rsidP="00086E40">
      <w:pPr>
        <w:pStyle w:val="NormalNonumber"/>
      </w:pPr>
      <w:r>
        <w:t>1.</w:t>
      </w:r>
      <w:r>
        <w:tab/>
      </w:r>
      <w:r w:rsidR="00FD27BC">
        <w:t>Ouverture de la réunion</w:t>
      </w:r>
      <w:r w:rsidR="00D013F5" w:rsidRPr="00FD27BC">
        <w:t>.</w:t>
      </w:r>
    </w:p>
    <w:p w14:paraId="26176EC6" w14:textId="1E7CDB8C" w:rsidR="00D013F5" w:rsidRPr="00FD27BC" w:rsidRDefault="00086E40" w:rsidP="00086E40">
      <w:pPr>
        <w:pStyle w:val="NormalNonumber"/>
        <w:rPr>
          <w:lang w:val="fr-FR"/>
        </w:rPr>
      </w:pPr>
      <w:r>
        <w:rPr>
          <w:lang w:val="fr-FR"/>
        </w:rPr>
        <w:t>2.</w:t>
      </w:r>
      <w:r>
        <w:rPr>
          <w:lang w:val="fr-FR"/>
        </w:rPr>
        <w:tab/>
      </w:r>
      <w:r w:rsidR="00FD27BC">
        <w:rPr>
          <w:lang w:val="fr-FR"/>
        </w:rPr>
        <w:t>Questions d</w:t>
      </w:r>
      <w:r>
        <w:rPr>
          <w:lang w:val="fr-FR"/>
        </w:rPr>
        <w:t>’</w:t>
      </w:r>
      <w:r w:rsidR="00FD27BC">
        <w:rPr>
          <w:lang w:val="fr-FR"/>
        </w:rPr>
        <w:t>organisation </w:t>
      </w:r>
      <w:r w:rsidR="00D013F5" w:rsidRPr="00FD27BC">
        <w:rPr>
          <w:lang w:val="fr-FR"/>
        </w:rPr>
        <w:t>:</w:t>
      </w:r>
    </w:p>
    <w:p w14:paraId="6C015866" w14:textId="135C90E8" w:rsidR="00787688" w:rsidRPr="00FD27BC" w:rsidRDefault="00086E40" w:rsidP="00086E40">
      <w:pPr>
        <w:pStyle w:val="NormalNonumber"/>
        <w:rPr>
          <w:lang w:val="fr-FR"/>
        </w:rPr>
      </w:pPr>
      <w:r>
        <w:rPr>
          <w:lang w:val="fr-FR"/>
        </w:rPr>
        <w:tab/>
        <w:t>a)</w:t>
      </w:r>
      <w:r>
        <w:rPr>
          <w:lang w:val="fr-FR"/>
        </w:rPr>
        <w:tab/>
      </w:r>
      <w:r w:rsidR="00787688" w:rsidRPr="00FD27BC">
        <w:rPr>
          <w:lang w:val="fr-FR"/>
        </w:rPr>
        <w:t xml:space="preserve">Adoption </w:t>
      </w:r>
      <w:r w:rsidR="00D23804">
        <w:rPr>
          <w:lang w:val="fr-FR"/>
        </w:rPr>
        <w:t>du règlement intérieur</w:t>
      </w:r>
      <w:r w:rsidR="00152B6B" w:rsidRPr="00FD27BC">
        <w:rPr>
          <w:lang w:val="fr-FR"/>
        </w:rPr>
        <w:t>;</w:t>
      </w:r>
    </w:p>
    <w:p w14:paraId="0AA94349" w14:textId="01EF6511" w:rsidR="00787688" w:rsidRPr="00FD27BC" w:rsidRDefault="00086E40" w:rsidP="00086E40">
      <w:pPr>
        <w:pStyle w:val="NormalNonumber"/>
        <w:rPr>
          <w:lang w:val="fr-FR"/>
        </w:rPr>
      </w:pPr>
      <w:r>
        <w:rPr>
          <w:lang w:val="fr-FR"/>
        </w:rPr>
        <w:tab/>
        <w:t>b)</w:t>
      </w:r>
      <w:r>
        <w:rPr>
          <w:lang w:val="fr-FR"/>
        </w:rPr>
        <w:tab/>
      </w:r>
      <w:r w:rsidR="00D23804">
        <w:rPr>
          <w:lang w:val="fr-FR"/>
        </w:rPr>
        <w:t>É</w:t>
      </w:r>
      <w:r w:rsidR="00787688" w:rsidRPr="00FD27BC">
        <w:rPr>
          <w:lang w:val="fr-FR"/>
        </w:rPr>
        <w:t xml:space="preserve">lection </w:t>
      </w:r>
      <w:r w:rsidR="00D23804">
        <w:rPr>
          <w:lang w:val="fr-FR"/>
        </w:rPr>
        <w:t>du Bureau</w:t>
      </w:r>
      <w:r w:rsidR="00152B6B" w:rsidRPr="00FD27BC">
        <w:rPr>
          <w:lang w:val="fr-FR"/>
        </w:rPr>
        <w:t>;</w:t>
      </w:r>
    </w:p>
    <w:p w14:paraId="1A86EF4F" w14:textId="7BFD1A16" w:rsidR="00D013F5" w:rsidRPr="00FD27BC" w:rsidRDefault="00086E40" w:rsidP="00086E40">
      <w:pPr>
        <w:pStyle w:val="NormalNonumber"/>
        <w:rPr>
          <w:lang w:val="fr-FR"/>
        </w:rPr>
      </w:pPr>
      <w:r>
        <w:rPr>
          <w:lang w:val="fr-FR"/>
        </w:rPr>
        <w:tab/>
        <w:t>c)</w:t>
      </w:r>
      <w:r>
        <w:rPr>
          <w:lang w:val="fr-FR"/>
        </w:rPr>
        <w:tab/>
      </w:r>
      <w:r w:rsidR="00D013F5" w:rsidRPr="00FD27BC">
        <w:rPr>
          <w:lang w:val="fr-FR"/>
        </w:rPr>
        <w:t xml:space="preserve">Adoption </w:t>
      </w:r>
      <w:r w:rsidR="00D23804">
        <w:rPr>
          <w:lang w:val="fr-FR"/>
        </w:rPr>
        <w:t>de l</w:t>
      </w:r>
      <w:r>
        <w:rPr>
          <w:lang w:val="fr-FR"/>
        </w:rPr>
        <w:t>’</w:t>
      </w:r>
      <w:r w:rsidR="00D23804">
        <w:rPr>
          <w:lang w:val="fr-FR"/>
        </w:rPr>
        <w:t>ordre du jour</w:t>
      </w:r>
      <w:r w:rsidR="00D013F5" w:rsidRPr="00FD27BC">
        <w:rPr>
          <w:lang w:val="fr-FR"/>
        </w:rPr>
        <w:t>;</w:t>
      </w:r>
    </w:p>
    <w:p w14:paraId="45976E7C" w14:textId="1BD0CFBD" w:rsidR="00787688" w:rsidRPr="00FD27BC" w:rsidRDefault="00086E40" w:rsidP="00086E40">
      <w:pPr>
        <w:pStyle w:val="NormalNonumber"/>
        <w:rPr>
          <w:lang w:val="fr-FR"/>
        </w:rPr>
      </w:pPr>
      <w:r>
        <w:rPr>
          <w:lang w:val="fr-FR"/>
        </w:rPr>
        <w:tab/>
        <w:t>d)</w:t>
      </w:r>
      <w:r>
        <w:rPr>
          <w:lang w:val="fr-FR"/>
        </w:rPr>
        <w:tab/>
      </w:r>
      <w:r w:rsidR="008B446F">
        <w:rPr>
          <w:lang w:val="fr-FR"/>
        </w:rPr>
        <w:t>Nomi</w:t>
      </w:r>
      <w:r w:rsidR="00FD27BC" w:rsidRPr="00FD27BC">
        <w:rPr>
          <w:lang w:val="fr-FR"/>
        </w:rPr>
        <w:t>nation des membres d</w:t>
      </w:r>
      <w:r w:rsidR="00312D34">
        <w:rPr>
          <w:lang w:val="fr-FR"/>
        </w:rPr>
        <w:t xml:space="preserve">u Comité </w:t>
      </w:r>
      <w:r w:rsidR="00FD27BC" w:rsidRPr="00FD27BC">
        <w:rPr>
          <w:lang w:val="fr-FR"/>
        </w:rPr>
        <w:t>de vérification des pouvoirs</w:t>
      </w:r>
      <w:r w:rsidR="00152B6B" w:rsidRPr="00FD27BC">
        <w:rPr>
          <w:lang w:val="fr-FR"/>
        </w:rPr>
        <w:t>;</w:t>
      </w:r>
    </w:p>
    <w:p w14:paraId="5D765B25" w14:textId="57CB4C92" w:rsidR="00D013F5" w:rsidRPr="00673471" w:rsidRDefault="00086E40" w:rsidP="00086E40">
      <w:pPr>
        <w:pStyle w:val="NormalNonumber"/>
        <w:rPr>
          <w:lang w:val="fr-FR"/>
        </w:rPr>
      </w:pPr>
      <w:r>
        <w:rPr>
          <w:lang w:val="fr-FR"/>
        </w:rPr>
        <w:tab/>
        <w:t>e)</w:t>
      </w:r>
      <w:r>
        <w:rPr>
          <w:lang w:val="fr-FR"/>
        </w:rPr>
        <w:tab/>
      </w:r>
      <w:r w:rsidR="00D23804" w:rsidRPr="00673471">
        <w:rPr>
          <w:lang w:val="fr-FR"/>
        </w:rPr>
        <w:t>Organisation des travaux</w:t>
      </w:r>
      <w:r w:rsidR="000024A3" w:rsidRPr="00673471">
        <w:rPr>
          <w:lang w:val="fr-FR"/>
        </w:rPr>
        <w:t>.</w:t>
      </w:r>
    </w:p>
    <w:p w14:paraId="20937AF4" w14:textId="597E97C3" w:rsidR="00787688" w:rsidRPr="00673471" w:rsidRDefault="00086E40" w:rsidP="00086E40">
      <w:pPr>
        <w:pStyle w:val="NormalNonumber"/>
        <w:ind w:left="1814" w:hanging="567"/>
        <w:rPr>
          <w:lang w:val="fr-FR"/>
        </w:rPr>
      </w:pPr>
      <w:r>
        <w:rPr>
          <w:lang w:val="fr-FR"/>
        </w:rPr>
        <w:t>3.</w:t>
      </w:r>
      <w:r>
        <w:rPr>
          <w:lang w:val="fr-FR"/>
        </w:rPr>
        <w:tab/>
      </w:r>
      <w:r w:rsidR="00D23804" w:rsidRPr="00673471">
        <w:rPr>
          <w:lang w:val="fr-FR"/>
        </w:rPr>
        <w:t>Rapport du Comité de vérification des pouvoirs</w:t>
      </w:r>
      <w:r w:rsidR="00152B6B" w:rsidRPr="00673471">
        <w:rPr>
          <w:lang w:val="fr-FR"/>
        </w:rPr>
        <w:t>.</w:t>
      </w:r>
    </w:p>
    <w:p w14:paraId="54E09451" w14:textId="78896671" w:rsidR="00787688" w:rsidRPr="00673471" w:rsidRDefault="00086E40" w:rsidP="00086E40">
      <w:pPr>
        <w:pStyle w:val="NormalNonumber"/>
        <w:ind w:left="1814" w:hanging="567"/>
        <w:rPr>
          <w:lang w:val="fr-FR"/>
        </w:rPr>
      </w:pPr>
      <w:r>
        <w:rPr>
          <w:lang w:val="fr-FR"/>
        </w:rPr>
        <w:t>4.</w:t>
      </w:r>
      <w:r>
        <w:rPr>
          <w:lang w:val="fr-FR"/>
        </w:rPr>
        <w:tab/>
      </w:r>
      <w:r w:rsidR="00673471" w:rsidRPr="00673471">
        <w:rPr>
          <w:lang w:val="fr-FR"/>
        </w:rPr>
        <w:t xml:space="preserve">Rapport sur les </w:t>
      </w:r>
      <w:r w:rsidR="00C648D9">
        <w:rPr>
          <w:lang w:val="fr-FR"/>
        </w:rPr>
        <w:t xml:space="preserve">avancées réalisées par le </w:t>
      </w:r>
      <w:r w:rsidR="00C648D9" w:rsidRPr="00C648D9">
        <w:rPr>
          <w:lang w:val="fr-FR"/>
        </w:rPr>
        <w:t>Comité de négociation intergouvernemental chargé d</w:t>
      </w:r>
      <w:r>
        <w:rPr>
          <w:lang w:val="fr-FR"/>
        </w:rPr>
        <w:t>’</w:t>
      </w:r>
      <w:r w:rsidR="00C648D9" w:rsidRPr="00C648D9">
        <w:rPr>
          <w:lang w:val="fr-FR"/>
        </w:rPr>
        <w:t>élaborer un instrument international juridiquement contraignant sur le mercure</w:t>
      </w:r>
      <w:r w:rsidR="00787688" w:rsidRPr="00673471">
        <w:rPr>
          <w:lang w:val="fr-FR"/>
        </w:rPr>
        <w:t>.</w:t>
      </w:r>
    </w:p>
    <w:p w14:paraId="46A6D1AD" w14:textId="464C824B" w:rsidR="00787688" w:rsidRPr="00DC7E4B" w:rsidRDefault="00086E40" w:rsidP="00086E40">
      <w:pPr>
        <w:pStyle w:val="NormalNonumber"/>
        <w:ind w:left="1814" w:hanging="567"/>
        <w:rPr>
          <w:lang w:val="fr-FR"/>
        </w:rPr>
      </w:pPr>
      <w:r>
        <w:rPr>
          <w:lang w:val="fr-FR"/>
        </w:rPr>
        <w:t>5.</w:t>
      </w:r>
      <w:r>
        <w:rPr>
          <w:lang w:val="fr-FR"/>
        </w:rPr>
        <w:tab/>
      </w:r>
      <w:r w:rsidR="00C648D9">
        <w:rPr>
          <w:lang w:val="fr-FR"/>
        </w:rPr>
        <w:t>Questions appelant une décision de</w:t>
      </w:r>
      <w:r w:rsidR="00673471" w:rsidRPr="00DC7E4B">
        <w:rPr>
          <w:lang w:val="fr-FR"/>
        </w:rPr>
        <w:t xml:space="preserve"> la Conférence des Parties à sa </w:t>
      </w:r>
      <w:r w:rsidR="00C648D9">
        <w:rPr>
          <w:lang w:val="fr-FR"/>
        </w:rPr>
        <w:t>première réunion</w:t>
      </w:r>
      <w:r w:rsidR="00673471" w:rsidRPr="00DC7E4B">
        <w:rPr>
          <w:lang w:val="fr-FR"/>
        </w:rPr>
        <w:t> </w:t>
      </w:r>
      <w:r w:rsidR="00FA4972" w:rsidRPr="00DC7E4B">
        <w:rPr>
          <w:lang w:val="fr-FR"/>
        </w:rPr>
        <w:t>:</w:t>
      </w:r>
    </w:p>
    <w:p w14:paraId="08C6A30E" w14:textId="68C865F1" w:rsidR="00BE7993" w:rsidRPr="00FD27BC" w:rsidRDefault="00086E40" w:rsidP="00086E40">
      <w:pPr>
        <w:pStyle w:val="NormalNonumber"/>
        <w:rPr>
          <w:lang w:val="fr-FR"/>
        </w:rPr>
      </w:pPr>
      <w:r>
        <w:rPr>
          <w:lang w:val="fr-FR"/>
        </w:rPr>
        <w:tab/>
        <w:t>a)</w:t>
      </w:r>
      <w:r>
        <w:rPr>
          <w:lang w:val="fr-FR"/>
        </w:rPr>
        <w:tab/>
      </w:r>
      <w:r w:rsidR="007079E7" w:rsidRPr="00DC7E4B">
        <w:rPr>
          <w:lang w:val="fr-FR"/>
        </w:rPr>
        <w:t xml:space="preserve">Questions </w:t>
      </w:r>
      <w:r w:rsidR="00C648D9">
        <w:rPr>
          <w:lang w:val="fr-FR"/>
        </w:rPr>
        <w:t>prévues dans</w:t>
      </w:r>
      <w:r w:rsidR="00673471" w:rsidRPr="00C648D9">
        <w:rPr>
          <w:lang w:val="fr-FR"/>
        </w:rPr>
        <w:t xml:space="preserve"> la Convention </w:t>
      </w:r>
      <w:r w:rsidR="00957EF8" w:rsidRPr="00FD27BC">
        <w:rPr>
          <w:lang w:val="fr-FR"/>
        </w:rPr>
        <w:t>:</w:t>
      </w:r>
    </w:p>
    <w:p w14:paraId="476A1552" w14:textId="7FB7D06D" w:rsidR="00787688" w:rsidRPr="00FD27BC" w:rsidRDefault="00086E40" w:rsidP="00086E40">
      <w:pPr>
        <w:pStyle w:val="NormalNonumber"/>
      </w:pPr>
      <w:r>
        <w:tab/>
      </w:r>
      <w:r>
        <w:tab/>
        <w:t>i)</w:t>
      </w:r>
      <w:r>
        <w:tab/>
      </w:r>
      <w:r w:rsidR="00C648D9">
        <w:t xml:space="preserve">Orientations concernant </w:t>
      </w:r>
      <w:r w:rsidR="00983763" w:rsidRPr="00983763">
        <w:t>l</w:t>
      </w:r>
      <w:r>
        <w:t>’</w:t>
      </w:r>
      <w:r w:rsidR="00983763" w:rsidRPr="00983763">
        <w:t xml:space="preserve">article 3, en particulier </w:t>
      </w:r>
      <w:r w:rsidR="00C648D9">
        <w:t xml:space="preserve">ses </w:t>
      </w:r>
      <w:r w:rsidR="00983763" w:rsidRPr="00983763">
        <w:t>paragraphes 5 a), 6 et 8</w:t>
      </w:r>
      <w:r w:rsidR="00C648D9">
        <w:t>;</w:t>
      </w:r>
    </w:p>
    <w:p w14:paraId="4BC0BE55" w14:textId="58ED3FDE" w:rsidR="00F3037A" w:rsidRPr="00FD27BC" w:rsidRDefault="00086E40" w:rsidP="00086E40">
      <w:pPr>
        <w:pStyle w:val="NormalNonumber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ii)</w:t>
      </w:r>
      <w:r>
        <w:rPr>
          <w:lang w:val="fr-FR"/>
        </w:rPr>
        <w:tab/>
      </w:r>
      <w:r w:rsidR="00C648D9">
        <w:rPr>
          <w:lang w:val="fr-FR"/>
        </w:rPr>
        <w:t>É</w:t>
      </w:r>
      <w:r w:rsidR="00105827" w:rsidRPr="00105827">
        <w:rPr>
          <w:lang w:val="fr-FR"/>
        </w:rPr>
        <w:t xml:space="preserve">léments </w:t>
      </w:r>
      <w:r w:rsidR="00C648D9" w:rsidRPr="00C648D9">
        <w:rPr>
          <w:lang w:val="fr-FR"/>
        </w:rPr>
        <w:t>requis de l</w:t>
      </w:r>
      <w:r>
        <w:rPr>
          <w:lang w:val="fr-FR"/>
        </w:rPr>
        <w:t>’</w:t>
      </w:r>
      <w:r w:rsidR="00C648D9" w:rsidRPr="00C648D9">
        <w:rPr>
          <w:lang w:val="fr-FR"/>
        </w:rPr>
        <w:t xml:space="preserve">attestation </w:t>
      </w:r>
      <w:r w:rsidR="00073EAE">
        <w:rPr>
          <w:lang w:val="fr-FR"/>
        </w:rPr>
        <w:t>(art. 3,</w:t>
      </w:r>
      <w:r w:rsidR="00105827" w:rsidRPr="00105827">
        <w:rPr>
          <w:lang w:val="fr-FR"/>
        </w:rPr>
        <w:t xml:space="preserve"> par</w:t>
      </w:r>
      <w:r w:rsidR="00073EAE">
        <w:rPr>
          <w:lang w:val="fr-FR"/>
        </w:rPr>
        <w:t>.</w:t>
      </w:r>
      <w:r w:rsidR="00105827">
        <w:rPr>
          <w:lang w:val="fr-FR"/>
        </w:rPr>
        <w:t xml:space="preserve"> 6 b) et 8</w:t>
      </w:r>
      <w:r w:rsidR="00073EAE">
        <w:rPr>
          <w:lang w:val="fr-FR"/>
        </w:rPr>
        <w:t>)</w:t>
      </w:r>
      <w:r w:rsidR="003E455D" w:rsidRPr="00FD27BC">
        <w:rPr>
          <w:lang w:val="fr-FR"/>
        </w:rPr>
        <w:t>;</w:t>
      </w:r>
    </w:p>
    <w:p w14:paraId="3C52B106" w14:textId="1637BC11" w:rsidR="00F3037A" w:rsidRPr="00FD27BC" w:rsidRDefault="00086E40" w:rsidP="00086E40">
      <w:pPr>
        <w:pStyle w:val="NormalNonumber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iii)</w:t>
      </w:r>
      <w:r>
        <w:rPr>
          <w:lang w:val="fr-FR"/>
        </w:rPr>
        <w:tab/>
      </w:r>
      <w:r w:rsidR="00C648D9">
        <w:rPr>
          <w:lang w:val="fr-FR"/>
        </w:rPr>
        <w:t>Orientations</w:t>
      </w:r>
      <w:r w:rsidR="00105827" w:rsidRPr="00105827">
        <w:rPr>
          <w:lang w:val="fr-FR"/>
        </w:rPr>
        <w:t xml:space="preserve"> </w:t>
      </w:r>
      <w:r w:rsidR="00C648D9">
        <w:rPr>
          <w:lang w:val="fr-FR"/>
        </w:rPr>
        <w:t xml:space="preserve">prévues </w:t>
      </w:r>
      <w:r w:rsidR="00105827" w:rsidRPr="00105827">
        <w:rPr>
          <w:lang w:val="fr-FR"/>
        </w:rPr>
        <w:t xml:space="preserve">aux </w:t>
      </w:r>
      <w:r w:rsidR="00C648D9">
        <w:rPr>
          <w:lang w:val="fr-FR"/>
        </w:rPr>
        <w:t xml:space="preserve">alinéas </w:t>
      </w:r>
      <w:r w:rsidR="00105827" w:rsidRPr="00105827">
        <w:rPr>
          <w:lang w:val="fr-FR"/>
        </w:rPr>
        <w:t xml:space="preserve">a) et b) </w:t>
      </w:r>
      <w:r w:rsidR="00C648D9">
        <w:rPr>
          <w:lang w:val="fr-FR"/>
        </w:rPr>
        <w:t xml:space="preserve">du paragraphe 8 </w:t>
      </w:r>
      <w:r w:rsidR="00105827" w:rsidRPr="00105827">
        <w:rPr>
          <w:lang w:val="fr-FR"/>
        </w:rPr>
        <w:t>de l</w:t>
      </w:r>
      <w:r>
        <w:rPr>
          <w:lang w:val="fr-FR"/>
        </w:rPr>
        <w:t>’</w:t>
      </w:r>
      <w:r w:rsidR="00105827" w:rsidRPr="00105827">
        <w:rPr>
          <w:lang w:val="fr-FR"/>
        </w:rPr>
        <w:t>article 8</w:t>
      </w:r>
      <w:r w:rsidR="003E455D" w:rsidRPr="00FD27BC">
        <w:rPr>
          <w:lang w:val="fr-FR"/>
        </w:rPr>
        <w:t>;</w:t>
      </w:r>
    </w:p>
    <w:p w14:paraId="4B5E0D78" w14:textId="0B76C9AF" w:rsidR="00F3037A" w:rsidRPr="00FD27BC" w:rsidRDefault="00086E40" w:rsidP="00086E40">
      <w:pPr>
        <w:pStyle w:val="NormalNonumber"/>
        <w:ind w:left="2948" w:hanging="1701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653796">
        <w:rPr>
          <w:lang w:val="fr-FR"/>
        </w:rPr>
        <w:tab/>
      </w:r>
      <w:r>
        <w:rPr>
          <w:lang w:val="fr-FR"/>
        </w:rPr>
        <w:t>iv)</w:t>
      </w:r>
      <w:r>
        <w:rPr>
          <w:lang w:val="fr-FR"/>
        </w:rPr>
        <w:tab/>
      </w:r>
      <w:r w:rsidR="00C648D9">
        <w:rPr>
          <w:lang w:val="fr-FR"/>
        </w:rPr>
        <w:t>M</w:t>
      </w:r>
      <w:r w:rsidR="0027029C" w:rsidRPr="0027029C">
        <w:rPr>
          <w:lang w:val="fr-FR"/>
        </w:rPr>
        <w:t xml:space="preserve">esures visant à </w:t>
      </w:r>
      <w:r w:rsidR="00C648D9">
        <w:rPr>
          <w:lang w:val="fr-FR"/>
        </w:rPr>
        <w:t>donner effet aux</w:t>
      </w:r>
      <w:r w:rsidR="0027029C" w:rsidRPr="0027029C">
        <w:rPr>
          <w:lang w:val="fr-FR"/>
        </w:rPr>
        <w:t xml:space="preserve"> dispositions relatives au mécanisme de financement </w:t>
      </w:r>
      <w:r w:rsidR="00073EAE">
        <w:rPr>
          <w:lang w:val="fr-FR"/>
        </w:rPr>
        <w:t>(</w:t>
      </w:r>
      <w:r w:rsidR="0027029C" w:rsidRPr="0027029C">
        <w:rPr>
          <w:lang w:val="fr-FR"/>
        </w:rPr>
        <w:t>art</w:t>
      </w:r>
      <w:r w:rsidR="00073EAE">
        <w:rPr>
          <w:lang w:val="fr-FR"/>
        </w:rPr>
        <w:t>.</w:t>
      </w:r>
      <w:r w:rsidR="0027029C" w:rsidRPr="0027029C">
        <w:rPr>
          <w:lang w:val="fr-FR"/>
        </w:rPr>
        <w:t xml:space="preserve"> 13</w:t>
      </w:r>
      <w:r w:rsidR="00073EAE">
        <w:rPr>
          <w:lang w:val="fr-FR"/>
        </w:rPr>
        <w:t>)</w:t>
      </w:r>
      <w:r w:rsidR="003E455D" w:rsidRPr="00FD27BC">
        <w:rPr>
          <w:lang w:val="fr-FR"/>
        </w:rPr>
        <w:t>;</w:t>
      </w:r>
    </w:p>
    <w:p w14:paraId="723789B6" w14:textId="6723F4F8" w:rsidR="00F3037A" w:rsidRPr="00FD27BC" w:rsidRDefault="00086E40" w:rsidP="00086E40">
      <w:pPr>
        <w:pStyle w:val="NormalNonumber"/>
        <w:ind w:left="2948" w:hanging="1701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653796">
        <w:rPr>
          <w:lang w:val="fr-FR"/>
        </w:rPr>
        <w:tab/>
      </w:r>
      <w:r>
        <w:rPr>
          <w:lang w:val="fr-FR"/>
        </w:rPr>
        <w:t>v)</w:t>
      </w:r>
      <w:r>
        <w:rPr>
          <w:lang w:val="fr-FR"/>
        </w:rPr>
        <w:tab/>
      </w:r>
      <w:r w:rsidR="00073EAE">
        <w:rPr>
          <w:lang w:val="fr-FR"/>
        </w:rPr>
        <w:t>C</w:t>
      </w:r>
      <w:r w:rsidR="0027029C" w:rsidRPr="0027029C">
        <w:rPr>
          <w:lang w:val="fr-FR"/>
        </w:rPr>
        <w:t xml:space="preserve">omposition du </w:t>
      </w:r>
      <w:r w:rsidR="00073EAE" w:rsidRPr="00073EAE">
        <w:rPr>
          <w:lang w:val="fr-FR"/>
        </w:rPr>
        <w:t>Comité de mise en œuvre et du respect des obligations</w:t>
      </w:r>
      <w:r w:rsidR="0027029C" w:rsidRPr="0027029C">
        <w:rPr>
          <w:lang w:val="fr-FR"/>
        </w:rPr>
        <w:t xml:space="preserve"> </w:t>
      </w:r>
      <w:r w:rsidR="006B4C09">
        <w:rPr>
          <w:lang w:val="fr-FR"/>
        </w:rPr>
        <w:br/>
      </w:r>
      <w:r w:rsidR="00073EAE">
        <w:rPr>
          <w:lang w:val="fr-FR"/>
        </w:rPr>
        <w:t>(art. 15, par.</w:t>
      </w:r>
      <w:r w:rsidR="0027029C" w:rsidRPr="0027029C">
        <w:rPr>
          <w:lang w:val="fr-FR"/>
        </w:rPr>
        <w:t xml:space="preserve"> 3</w:t>
      </w:r>
      <w:r w:rsidR="00073EAE">
        <w:rPr>
          <w:lang w:val="fr-FR"/>
        </w:rPr>
        <w:t>)</w:t>
      </w:r>
      <w:r w:rsidR="003E455D" w:rsidRPr="00FD27BC">
        <w:rPr>
          <w:lang w:val="fr-FR"/>
        </w:rPr>
        <w:t>;</w:t>
      </w:r>
    </w:p>
    <w:p w14:paraId="57AAF224" w14:textId="6979C959" w:rsidR="00F266FC" w:rsidRPr="00FD27BC" w:rsidRDefault="00086E40" w:rsidP="00086E40">
      <w:pPr>
        <w:pStyle w:val="NormalNonumber"/>
        <w:ind w:left="2948" w:hanging="1701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653796">
        <w:rPr>
          <w:lang w:val="fr-FR"/>
        </w:rPr>
        <w:tab/>
      </w:r>
      <w:r>
        <w:rPr>
          <w:lang w:val="fr-FR"/>
        </w:rPr>
        <w:t>vi)</w:t>
      </w:r>
      <w:r>
        <w:rPr>
          <w:lang w:val="fr-FR"/>
        </w:rPr>
        <w:tab/>
      </w:r>
      <w:r w:rsidR="00073EAE">
        <w:rPr>
          <w:lang w:val="fr-FR"/>
        </w:rPr>
        <w:t>P</w:t>
      </w:r>
      <w:r w:rsidR="00073EAE" w:rsidRPr="00073EAE">
        <w:rPr>
          <w:lang w:val="fr-FR"/>
        </w:rPr>
        <w:t>ériodicité et présentation des rapports à respecter par les Parties</w:t>
      </w:r>
      <w:r w:rsidR="00073EAE">
        <w:rPr>
          <w:lang w:val="fr-FR"/>
        </w:rPr>
        <w:t xml:space="preserve"> (art. 21, par. 3)</w:t>
      </w:r>
      <w:r w:rsidR="003E455D" w:rsidRPr="00FD27BC">
        <w:rPr>
          <w:lang w:val="fr-FR"/>
        </w:rPr>
        <w:t>;</w:t>
      </w:r>
      <w:r w:rsidR="00772BD1" w:rsidRPr="00FD27BC">
        <w:rPr>
          <w:lang w:val="fr-FR"/>
        </w:rPr>
        <w:t xml:space="preserve"> </w:t>
      </w:r>
    </w:p>
    <w:p w14:paraId="541845FD" w14:textId="002E53D2" w:rsidR="00F266FC" w:rsidRPr="00FD27BC" w:rsidRDefault="00086E40" w:rsidP="00086E40">
      <w:pPr>
        <w:pStyle w:val="NormalNonumber"/>
        <w:ind w:left="2948" w:hanging="1701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653796">
        <w:rPr>
          <w:lang w:val="fr-FR"/>
        </w:rPr>
        <w:tab/>
      </w:r>
      <w:r>
        <w:rPr>
          <w:lang w:val="fr-FR"/>
        </w:rPr>
        <w:t>vii)</w:t>
      </w:r>
      <w:r>
        <w:rPr>
          <w:lang w:val="fr-FR"/>
        </w:rPr>
        <w:tab/>
      </w:r>
      <w:r w:rsidR="00073EAE">
        <w:rPr>
          <w:lang w:val="fr-FR"/>
        </w:rPr>
        <w:t>M</w:t>
      </w:r>
      <w:r w:rsidR="0027029C" w:rsidRPr="0027029C">
        <w:rPr>
          <w:lang w:val="fr-FR"/>
        </w:rPr>
        <w:t xml:space="preserve">ise en place </w:t>
      </w:r>
      <w:r w:rsidR="00073EAE">
        <w:rPr>
          <w:lang w:val="fr-FR"/>
        </w:rPr>
        <w:t>d</w:t>
      </w:r>
      <w:r>
        <w:rPr>
          <w:lang w:val="fr-FR"/>
        </w:rPr>
        <w:t>’</w:t>
      </w:r>
      <w:r w:rsidR="00073EAE">
        <w:rPr>
          <w:lang w:val="fr-FR"/>
        </w:rPr>
        <w:t>arrangements</w:t>
      </w:r>
      <w:r w:rsidR="0027029C" w:rsidRPr="0027029C">
        <w:rPr>
          <w:lang w:val="fr-FR"/>
        </w:rPr>
        <w:t xml:space="preserve"> en matière d</w:t>
      </w:r>
      <w:r>
        <w:rPr>
          <w:lang w:val="fr-FR"/>
        </w:rPr>
        <w:t>’</w:t>
      </w:r>
      <w:r w:rsidR="0027029C" w:rsidRPr="0027029C">
        <w:rPr>
          <w:lang w:val="fr-FR"/>
        </w:rPr>
        <w:t>évaluation de l</w:t>
      </w:r>
      <w:r>
        <w:rPr>
          <w:lang w:val="fr-FR"/>
        </w:rPr>
        <w:t>’</w:t>
      </w:r>
      <w:r w:rsidR="0027029C" w:rsidRPr="0027029C">
        <w:rPr>
          <w:lang w:val="fr-FR"/>
        </w:rPr>
        <w:t>efficacité</w:t>
      </w:r>
      <w:r w:rsidR="00073EAE">
        <w:rPr>
          <w:lang w:val="fr-FR"/>
        </w:rPr>
        <w:t xml:space="preserve"> </w:t>
      </w:r>
      <w:r w:rsidR="006B4C09">
        <w:rPr>
          <w:lang w:val="fr-FR"/>
        </w:rPr>
        <w:br/>
      </w:r>
      <w:r w:rsidR="00073EAE">
        <w:rPr>
          <w:lang w:val="fr-FR"/>
        </w:rPr>
        <w:t>(</w:t>
      </w:r>
      <w:r w:rsidR="0027029C" w:rsidRPr="0027029C">
        <w:rPr>
          <w:lang w:val="fr-FR"/>
        </w:rPr>
        <w:t>art</w:t>
      </w:r>
      <w:r w:rsidR="00073EAE">
        <w:rPr>
          <w:lang w:val="fr-FR"/>
        </w:rPr>
        <w:t>.</w:t>
      </w:r>
      <w:r w:rsidR="00073EAE" w:rsidRPr="0027029C">
        <w:rPr>
          <w:lang w:val="fr-FR"/>
        </w:rPr>
        <w:t xml:space="preserve"> </w:t>
      </w:r>
      <w:r w:rsidR="0027029C" w:rsidRPr="0027029C">
        <w:rPr>
          <w:lang w:val="fr-FR"/>
        </w:rPr>
        <w:t>22</w:t>
      </w:r>
      <w:r w:rsidR="00073EAE">
        <w:rPr>
          <w:lang w:val="fr-FR"/>
        </w:rPr>
        <w:t>, par. 2)</w:t>
      </w:r>
      <w:r w:rsidR="003E455D" w:rsidRPr="00FD27BC">
        <w:rPr>
          <w:lang w:val="fr-FR"/>
        </w:rPr>
        <w:t>;</w:t>
      </w:r>
    </w:p>
    <w:p w14:paraId="4241DEDD" w14:textId="103C69B6" w:rsidR="00F266FC" w:rsidRPr="00FD27BC" w:rsidRDefault="00086E40" w:rsidP="00086E40">
      <w:pPr>
        <w:pStyle w:val="NormalNonumber"/>
        <w:ind w:left="2948" w:hanging="1701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653796">
        <w:rPr>
          <w:lang w:val="fr-FR"/>
        </w:rPr>
        <w:tab/>
      </w:r>
      <w:r>
        <w:rPr>
          <w:lang w:val="fr-FR"/>
        </w:rPr>
        <w:t>viii)</w:t>
      </w:r>
      <w:r>
        <w:rPr>
          <w:lang w:val="fr-FR"/>
        </w:rPr>
        <w:tab/>
      </w:r>
      <w:r w:rsidR="00A002CD">
        <w:rPr>
          <w:lang w:val="fr-FR"/>
        </w:rPr>
        <w:t>Règles de gestion fi</w:t>
      </w:r>
      <w:r w:rsidR="00A002CD" w:rsidRPr="00A002CD">
        <w:rPr>
          <w:lang w:val="fr-FR"/>
        </w:rPr>
        <w:t xml:space="preserve">nancière </w:t>
      </w:r>
      <w:r w:rsidR="00A002CD">
        <w:rPr>
          <w:lang w:val="fr-FR"/>
        </w:rPr>
        <w:t xml:space="preserve">de la Conférence des Parties </w:t>
      </w:r>
      <w:r w:rsidR="00A002CD" w:rsidRPr="00A002CD">
        <w:rPr>
          <w:lang w:val="fr-FR"/>
        </w:rPr>
        <w:t>et de tout organe subsidiaire</w:t>
      </w:r>
      <w:r w:rsidR="00A002CD">
        <w:rPr>
          <w:lang w:val="fr-FR"/>
        </w:rPr>
        <w:t xml:space="preserve"> et dispositions fi</w:t>
      </w:r>
      <w:r w:rsidR="00A002CD" w:rsidRPr="00A002CD">
        <w:rPr>
          <w:lang w:val="fr-FR"/>
        </w:rPr>
        <w:t xml:space="preserve">nancières régissant le fonctionnement du </w:t>
      </w:r>
      <w:r w:rsidR="008B446F">
        <w:rPr>
          <w:lang w:val="fr-FR"/>
        </w:rPr>
        <w:t>s</w:t>
      </w:r>
      <w:r w:rsidR="00A002CD" w:rsidRPr="00A002CD">
        <w:rPr>
          <w:lang w:val="fr-FR"/>
        </w:rPr>
        <w:t>ecrétariat</w:t>
      </w:r>
      <w:r w:rsidR="00A002CD" w:rsidRPr="0027029C">
        <w:rPr>
          <w:lang w:val="fr-FR"/>
        </w:rPr>
        <w:t xml:space="preserve"> </w:t>
      </w:r>
      <w:r w:rsidR="00073EAE">
        <w:rPr>
          <w:lang w:val="fr-FR"/>
        </w:rPr>
        <w:t>(art. 23, par. 4)</w:t>
      </w:r>
      <w:r w:rsidR="003E455D" w:rsidRPr="00FD27BC">
        <w:rPr>
          <w:lang w:val="fr-FR"/>
        </w:rPr>
        <w:t>;</w:t>
      </w:r>
      <w:r w:rsidR="003E54D3" w:rsidRPr="00FD27BC">
        <w:rPr>
          <w:lang w:val="fr-FR"/>
        </w:rPr>
        <w:t xml:space="preserve"> </w:t>
      </w:r>
    </w:p>
    <w:p w14:paraId="740FA9F6" w14:textId="54DC45F6" w:rsidR="00BE7993" w:rsidRPr="00EA5CE4" w:rsidRDefault="00086E40" w:rsidP="005272ED">
      <w:pPr>
        <w:pStyle w:val="NormalNonumber"/>
        <w:keepNext/>
        <w:keepLines/>
        <w:rPr>
          <w:lang w:val="fr-FR"/>
        </w:rPr>
      </w:pPr>
      <w:r>
        <w:rPr>
          <w:lang w:val="fr-FR"/>
        </w:rPr>
        <w:lastRenderedPageBreak/>
        <w:tab/>
        <w:t>b)</w:t>
      </w:r>
      <w:r>
        <w:rPr>
          <w:lang w:val="fr-FR"/>
        </w:rPr>
        <w:tab/>
      </w:r>
      <w:r w:rsidR="00A002CD">
        <w:rPr>
          <w:lang w:val="fr-FR"/>
        </w:rPr>
        <w:t>Q</w:t>
      </w:r>
      <w:r w:rsidR="00973495" w:rsidRPr="00EA5CE4">
        <w:rPr>
          <w:lang w:val="fr-FR"/>
        </w:rPr>
        <w:t xml:space="preserve">uestions </w:t>
      </w:r>
      <w:r w:rsidR="00A002CD">
        <w:rPr>
          <w:lang w:val="fr-FR"/>
        </w:rPr>
        <w:t>soulevées</w:t>
      </w:r>
      <w:r w:rsidR="00973495" w:rsidRPr="00EA5CE4">
        <w:rPr>
          <w:lang w:val="fr-FR"/>
        </w:rPr>
        <w:t xml:space="preserve"> par la Conférence de plénipotentiaires </w:t>
      </w:r>
      <w:r w:rsidR="000077AD" w:rsidRPr="00EA5CE4">
        <w:rPr>
          <w:lang w:val="fr-FR"/>
        </w:rPr>
        <w:t>:</w:t>
      </w:r>
      <w:r w:rsidR="00BE7993" w:rsidRPr="00EA5CE4">
        <w:rPr>
          <w:lang w:val="fr-FR"/>
        </w:rPr>
        <w:t xml:space="preserve"> </w:t>
      </w:r>
    </w:p>
    <w:p w14:paraId="17F82EDE" w14:textId="4DB0F5B4" w:rsidR="00BE7993" w:rsidRPr="00EA5CE4" w:rsidRDefault="006B4C09" w:rsidP="006B4C09">
      <w:pPr>
        <w:pStyle w:val="NormalNonumber"/>
        <w:ind w:left="2948" w:hanging="1701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653796">
        <w:rPr>
          <w:lang w:val="fr-FR"/>
        </w:rPr>
        <w:tab/>
      </w:r>
      <w:r>
        <w:rPr>
          <w:lang w:val="fr-FR"/>
        </w:rPr>
        <w:t>i)</w:t>
      </w:r>
      <w:r>
        <w:rPr>
          <w:lang w:val="fr-FR"/>
        </w:rPr>
        <w:tab/>
      </w:r>
      <w:r w:rsidR="00973495" w:rsidRPr="00EA5CE4">
        <w:rPr>
          <w:lang w:val="fr-FR"/>
        </w:rPr>
        <w:t xml:space="preserve">Dispositions </w:t>
      </w:r>
      <w:r w:rsidR="006D572B">
        <w:rPr>
          <w:lang w:val="fr-FR"/>
        </w:rPr>
        <w:t>relatives aux</w:t>
      </w:r>
      <w:r w:rsidR="00973495" w:rsidRPr="00EA5CE4">
        <w:rPr>
          <w:lang w:val="fr-FR"/>
        </w:rPr>
        <w:t xml:space="preserve"> fonctions du secrétariat permanent de la Convention</w:t>
      </w:r>
      <w:r>
        <w:rPr>
          <w:lang w:val="fr-FR"/>
        </w:rPr>
        <w:t> </w:t>
      </w:r>
      <w:r w:rsidR="00973495" w:rsidRPr="00EA5CE4">
        <w:rPr>
          <w:lang w:val="fr-FR"/>
        </w:rPr>
        <w:t>de</w:t>
      </w:r>
      <w:r>
        <w:rPr>
          <w:lang w:val="fr-FR"/>
        </w:rPr>
        <w:t> </w:t>
      </w:r>
      <w:r w:rsidR="00973495" w:rsidRPr="00EA5CE4">
        <w:rPr>
          <w:lang w:val="fr-FR"/>
        </w:rPr>
        <w:t>Minamata</w:t>
      </w:r>
      <w:r w:rsidR="000077AD" w:rsidRPr="00EA5CE4">
        <w:rPr>
          <w:lang w:val="fr-FR"/>
        </w:rPr>
        <w:t>;</w:t>
      </w:r>
    </w:p>
    <w:p w14:paraId="272AAEBA" w14:textId="54BF316A" w:rsidR="00BE7993" w:rsidRPr="00FD27BC" w:rsidRDefault="006B4C09" w:rsidP="006B4C09">
      <w:pPr>
        <w:pStyle w:val="NormalNonumber"/>
        <w:ind w:left="2948" w:hanging="1701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653796">
        <w:rPr>
          <w:lang w:val="fr-FR"/>
        </w:rPr>
        <w:tab/>
      </w:r>
      <w:r>
        <w:rPr>
          <w:lang w:val="fr-FR"/>
        </w:rPr>
        <w:t>ii)</w:t>
      </w:r>
      <w:r>
        <w:rPr>
          <w:lang w:val="fr-FR"/>
        </w:rPr>
        <w:tab/>
      </w:r>
      <w:r w:rsidR="00973495">
        <w:rPr>
          <w:lang w:val="fr-FR"/>
        </w:rPr>
        <w:t>Projet de mémorandum d</w:t>
      </w:r>
      <w:r w:rsidR="00086E40">
        <w:rPr>
          <w:lang w:val="fr-FR"/>
        </w:rPr>
        <w:t>’</w:t>
      </w:r>
      <w:r w:rsidR="00973495">
        <w:rPr>
          <w:lang w:val="fr-FR"/>
        </w:rPr>
        <w:t>accord entre la Conférence des Parties à la Convention de</w:t>
      </w:r>
      <w:r w:rsidR="00BE7993" w:rsidRPr="00FD27BC">
        <w:rPr>
          <w:lang w:val="fr-FR"/>
        </w:rPr>
        <w:t xml:space="preserve"> Minamat</w:t>
      </w:r>
      <w:r w:rsidR="000077AD" w:rsidRPr="00FD27BC">
        <w:rPr>
          <w:lang w:val="fr-FR"/>
        </w:rPr>
        <w:t>a</w:t>
      </w:r>
      <w:r w:rsidR="00921098">
        <w:rPr>
          <w:lang w:val="fr-FR"/>
        </w:rPr>
        <w:t xml:space="preserve"> et le Conseil du Fonds pour l</w:t>
      </w:r>
      <w:r w:rsidR="00086E40">
        <w:rPr>
          <w:lang w:val="fr-FR"/>
        </w:rPr>
        <w:t>’</w:t>
      </w:r>
      <w:r w:rsidR="00921098">
        <w:rPr>
          <w:lang w:val="fr-FR"/>
        </w:rPr>
        <w:t>environnement mondial</w:t>
      </w:r>
      <w:r w:rsidR="00DA3663" w:rsidRPr="00FD27BC">
        <w:rPr>
          <w:lang w:val="fr-FR"/>
        </w:rPr>
        <w:t>;</w:t>
      </w:r>
    </w:p>
    <w:p w14:paraId="2B7DD244" w14:textId="1C087EB3" w:rsidR="00B85CFB" w:rsidRPr="00FD27BC" w:rsidRDefault="00086E40" w:rsidP="00086E40">
      <w:pPr>
        <w:pStyle w:val="NormalNonumber"/>
        <w:rPr>
          <w:lang w:val="fr-FR"/>
        </w:rPr>
      </w:pPr>
      <w:r>
        <w:rPr>
          <w:lang w:val="fr-FR"/>
        </w:rPr>
        <w:tab/>
        <w:t>c)</w:t>
      </w:r>
      <w:r>
        <w:rPr>
          <w:lang w:val="fr-FR"/>
        </w:rPr>
        <w:tab/>
      </w:r>
      <w:r w:rsidR="00973495">
        <w:rPr>
          <w:lang w:val="fr-FR"/>
        </w:rPr>
        <w:t>Questions recommandées par le Comité de négociation intergouvernemental </w:t>
      </w:r>
      <w:r w:rsidR="000077AD" w:rsidRPr="00FD27BC">
        <w:rPr>
          <w:lang w:val="fr-FR"/>
        </w:rPr>
        <w:t>:</w:t>
      </w:r>
      <w:r w:rsidR="00B85CFB" w:rsidRPr="00FD27BC">
        <w:rPr>
          <w:lang w:val="fr-FR"/>
        </w:rPr>
        <w:t xml:space="preserve"> </w:t>
      </w:r>
    </w:p>
    <w:p w14:paraId="14F83321" w14:textId="6C8095A7" w:rsidR="00B85CFB" w:rsidRPr="00EA5CE4" w:rsidRDefault="006B4C09" w:rsidP="006B4C09">
      <w:pPr>
        <w:pStyle w:val="NormalNonumber"/>
        <w:ind w:left="2948" w:hanging="1701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653796">
        <w:rPr>
          <w:lang w:val="fr-FR"/>
        </w:rPr>
        <w:tab/>
      </w:r>
      <w:r>
        <w:rPr>
          <w:lang w:val="fr-FR"/>
        </w:rPr>
        <w:t>i)</w:t>
      </w:r>
      <w:r>
        <w:rPr>
          <w:lang w:val="fr-FR"/>
        </w:rPr>
        <w:tab/>
      </w:r>
      <w:r w:rsidR="00B85CFB" w:rsidRPr="00EA5CE4">
        <w:rPr>
          <w:lang w:val="fr-FR"/>
        </w:rPr>
        <w:t xml:space="preserve">Adoption </w:t>
      </w:r>
      <w:r w:rsidR="00973495" w:rsidRPr="00EA5CE4">
        <w:rPr>
          <w:lang w:val="fr-FR"/>
        </w:rPr>
        <w:t xml:space="preserve">des formulaires </w:t>
      </w:r>
      <w:r w:rsidR="006D572B">
        <w:rPr>
          <w:lang w:val="fr-FR"/>
        </w:rPr>
        <w:t>de</w:t>
      </w:r>
      <w:r w:rsidR="00973495" w:rsidRPr="00EA5CE4">
        <w:rPr>
          <w:lang w:val="fr-FR"/>
        </w:rPr>
        <w:t xml:space="preserve"> demande de dérogation aux dates </w:t>
      </w:r>
      <w:r w:rsidR="006D572B">
        <w:rPr>
          <w:lang w:val="fr-FR"/>
        </w:rPr>
        <w:t>d</w:t>
      </w:r>
      <w:r w:rsidR="00086E40">
        <w:rPr>
          <w:lang w:val="fr-FR"/>
        </w:rPr>
        <w:t>’</w:t>
      </w:r>
      <w:r w:rsidR="006D572B">
        <w:rPr>
          <w:lang w:val="fr-FR"/>
        </w:rPr>
        <w:t>abandon définitif figurant dans</w:t>
      </w:r>
      <w:r w:rsidR="00973495" w:rsidRPr="00EA5CE4">
        <w:rPr>
          <w:lang w:val="fr-FR"/>
        </w:rPr>
        <w:t xml:space="preserve"> l</w:t>
      </w:r>
      <w:r w:rsidR="00086E40">
        <w:rPr>
          <w:lang w:val="fr-FR"/>
        </w:rPr>
        <w:t>’</w:t>
      </w:r>
      <w:r w:rsidR="00B85CFB" w:rsidRPr="00EA5CE4">
        <w:rPr>
          <w:lang w:val="fr-FR"/>
        </w:rPr>
        <w:t>Annex</w:t>
      </w:r>
      <w:r w:rsidR="00973495" w:rsidRPr="00EA5CE4">
        <w:rPr>
          <w:lang w:val="fr-FR"/>
        </w:rPr>
        <w:t>e A et</w:t>
      </w:r>
      <w:r w:rsidR="00B85CFB" w:rsidRPr="00EA5CE4">
        <w:rPr>
          <w:lang w:val="fr-FR"/>
        </w:rPr>
        <w:t xml:space="preserve"> </w:t>
      </w:r>
      <w:r w:rsidR="006D572B">
        <w:rPr>
          <w:lang w:val="fr-FR"/>
        </w:rPr>
        <w:t>l</w:t>
      </w:r>
      <w:r w:rsidR="00086E40">
        <w:rPr>
          <w:lang w:val="fr-FR"/>
        </w:rPr>
        <w:t>’</w:t>
      </w:r>
      <w:r w:rsidR="00B85CFB" w:rsidRPr="00EA5CE4">
        <w:rPr>
          <w:lang w:val="fr-FR"/>
        </w:rPr>
        <w:t>Annex</w:t>
      </w:r>
      <w:r w:rsidR="00973495" w:rsidRPr="00EA5CE4">
        <w:rPr>
          <w:lang w:val="fr-FR"/>
        </w:rPr>
        <w:t>e </w:t>
      </w:r>
      <w:r w:rsidR="00B85CFB" w:rsidRPr="00EA5CE4">
        <w:rPr>
          <w:lang w:val="fr-FR"/>
        </w:rPr>
        <w:t>B</w:t>
      </w:r>
      <w:r w:rsidR="000077AD" w:rsidRPr="00EA5CE4">
        <w:rPr>
          <w:lang w:val="fr-FR"/>
        </w:rPr>
        <w:t>;</w:t>
      </w:r>
    </w:p>
    <w:p w14:paraId="10CE23DA" w14:textId="627362D7" w:rsidR="00B85CFB" w:rsidRPr="00EA5CE4" w:rsidRDefault="006B4C09" w:rsidP="006B4C09">
      <w:pPr>
        <w:pStyle w:val="NormalNonumber"/>
        <w:ind w:left="2948" w:hanging="1701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653796">
        <w:rPr>
          <w:lang w:val="fr-FR"/>
        </w:rPr>
        <w:tab/>
      </w:r>
      <w:r>
        <w:rPr>
          <w:lang w:val="fr-FR"/>
        </w:rPr>
        <w:t>ii)</w:t>
      </w:r>
      <w:r>
        <w:rPr>
          <w:lang w:val="fr-FR"/>
        </w:rPr>
        <w:tab/>
      </w:r>
      <w:r w:rsidR="00973495" w:rsidRPr="00EA5CE4">
        <w:rPr>
          <w:lang w:val="fr-FR"/>
        </w:rPr>
        <w:t>Document d</w:t>
      </w:r>
      <w:r w:rsidR="00086E40">
        <w:rPr>
          <w:lang w:val="fr-FR"/>
        </w:rPr>
        <w:t>’</w:t>
      </w:r>
      <w:r w:rsidR="00973495" w:rsidRPr="00EA5CE4">
        <w:rPr>
          <w:lang w:val="fr-FR"/>
        </w:rPr>
        <w:t>orientation sur l</w:t>
      </w:r>
      <w:r w:rsidR="00086E40">
        <w:rPr>
          <w:lang w:val="fr-FR"/>
        </w:rPr>
        <w:t>’</w:t>
      </w:r>
      <w:r w:rsidR="00973495" w:rsidRPr="00EA5CE4">
        <w:rPr>
          <w:lang w:val="fr-FR"/>
        </w:rPr>
        <w:t>élaboration de plans d</w:t>
      </w:r>
      <w:r w:rsidR="00086E40">
        <w:rPr>
          <w:lang w:val="fr-FR"/>
        </w:rPr>
        <w:t>’</w:t>
      </w:r>
      <w:r w:rsidR="00973495" w:rsidRPr="00EA5CE4">
        <w:rPr>
          <w:lang w:val="fr-FR"/>
        </w:rPr>
        <w:t>action nationaux concernant l</w:t>
      </w:r>
      <w:r w:rsidR="00086E40">
        <w:rPr>
          <w:lang w:val="fr-FR"/>
        </w:rPr>
        <w:t>’</w:t>
      </w:r>
      <w:r w:rsidR="006D572B" w:rsidRPr="006D572B">
        <w:rPr>
          <w:lang w:val="fr-FR"/>
        </w:rPr>
        <w:t>extraction minière artisanale et à petite échelle d</w:t>
      </w:r>
      <w:r w:rsidR="00086E40">
        <w:rPr>
          <w:lang w:val="fr-FR"/>
        </w:rPr>
        <w:t>’</w:t>
      </w:r>
      <w:r w:rsidR="006D572B" w:rsidRPr="006D572B">
        <w:rPr>
          <w:lang w:val="fr-FR"/>
        </w:rPr>
        <w:t>or</w:t>
      </w:r>
      <w:r w:rsidR="00B85CFB" w:rsidRPr="00EA5CE4">
        <w:rPr>
          <w:lang w:val="fr-FR"/>
        </w:rPr>
        <w:t>;</w:t>
      </w:r>
    </w:p>
    <w:p w14:paraId="4F4211C6" w14:textId="273E87E7" w:rsidR="00B85CFB" w:rsidRPr="00EA5CE4" w:rsidRDefault="006B4C09" w:rsidP="006B4C09">
      <w:pPr>
        <w:pStyle w:val="NormalNonumber"/>
        <w:ind w:left="2948" w:hanging="1701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653796">
        <w:rPr>
          <w:lang w:val="fr-FR"/>
        </w:rPr>
        <w:tab/>
      </w:r>
      <w:r>
        <w:rPr>
          <w:lang w:val="fr-FR"/>
        </w:rPr>
        <w:t>iii)</w:t>
      </w:r>
      <w:r>
        <w:rPr>
          <w:lang w:val="fr-FR"/>
        </w:rPr>
        <w:tab/>
      </w:r>
      <w:r w:rsidR="00973495" w:rsidRPr="00EA5CE4">
        <w:rPr>
          <w:lang w:val="fr-FR"/>
        </w:rPr>
        <w:t>Emplacement physique du secrétariat permanent</w:t>
      </w:r>
      <w:r w:rsidR="00B85CFB" w:rsidRPr="00EA5CE4">
        <w:rPr>
          <w:lang w:val="fr-FR"/>
        </w:rPr>
        <w:t>;</w:t>
      </w:r>
    </w:p>
    <w:p w14:paraId="34B0BFE2" w14:textId="77B98A43" w:rsidR="00B85CFB" w:rsidRPr="00EA5CE4" w:rsidRDefault="006B4C09" w:rsidP="006B4C09">
      <w:pPr>
        <w:pStyle w:val="NormalNonumber"/>
        <w:ind w:left="2948" w:hanging="1701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653796">
        <w:rPr>
          <w:lang w:val="fr-FR"/>
        </w:rPr>
        <w:tab/>
      </w:r>
      <w:r>
        <w:rPr>
          <w:lang w:val="fr-FR"/>
        </w:rPr>
        <w:t>iv)</w:t>
      </w:r>
      <w:r>
        <w:rPr>
          <w:lang w:val="fr-FR"/>
        </w:rPr>
        <w:tab/>
      </w:r>
      <w:r w:rsidR="006D572B">
        <w:rPr>
          <w:lang w:val="fr-FR"/>
        </w:rPr>
        <w:t xml:space="preserve">Examen du rapport sur le brûlage </w:t>
      </w:r>
      <w:r w:rsidR="00973495" w:rsidRPr="00EA5CE4">
        <w:rPr>
          <w:lang w:val="fr-FR"/>
        </w:rPr>
        <w:t>à l</w:t>
      </w:r>
      <w:r w:rsidR="00086E40">
        <w:rPr>
          <w:lang w:val="fr-FR"/>
        </w:rPr>
        <w:t>’</w:t>
      </w:r>
      <w:r w:rsidR="00973495" w:rsidRPr="00EA5CE4">
        <w:rPr>
          <w:lang w:val="fr-FR"/>
        </w:rPr>
        <w:t>air libre</w:t>
      </w:r>
      <w:r w:rsidR="00DA3663" w:rsidRPr="00EA5CE4">
        <w:rPr>
          <w:lang w:val="fr-FR"/>
        </w:rPr>
        <w:t>;</w:t>
      </w:r>
    </w:p>
    <w:p w14:paraId="7BBE0A9A" w14:textId="2180B1FC" w:rsidR="00B85CFB" w:rsidRPr="00EA5CE4" w:rsidRDefault="00086E40" w:rsidP="00086E40">
      <w:pPr>
        <w:pStyle w:val="NormalNonumber"/>
        <w:rPr>
          <w:lang w:val="fr-FR"/>
        </w:rPr>
      </w:pPr>
      <w:r>
        <w:rPr>
          <w:lang w:val="fr-FR"/>
        </w:rPr>
        <w:tab/>
        <w:t>d)</w:t>
      </w:r>
      <w:r>
        <w:rPr>
          <w:lang w:val="fr-FR"/>
        </w:rPr>
        <w:tab/>
      </w:r>
      <w:r w:rsidR="00973495" w:rsidRPr="00EA5CE4">
        <w:rPr>
          <w:lang w:val="fr-FR"/>
        </w:rPr>
        <w:t>Programme de travail du secrétariat et budget pour la période 2018</w:t>
      </w:r>
      <w:r w:rsidR="006D572B">
        <w:rPr>
          <w:lang w:val="fr-FR"/>
        </w:rPr>
        <w:t>-</w:t>
      </w:r>
      <w:r w:rsidR="00973495" w:rsidRPr="00EA5CE4">
        <w:rPr>
          <w:lang w:val="fr-FR"/>
        </w:rPr>
        <w:t>2019</w:t>
      </w:r>
      <w:r w:rsidR="00011A16" w:rsidRPr="00EA5CE4">
        <w:rPr>
          <w:lang w:val="fr-FR"/>
        </w:rPr>
        <w:t>.</w:t>
      </w:r>
    </w:p>
    <w:p w14:paraId="3ED474EF" w14:textId="5F154369" w:rsidR="00787688" w:rsidRPr="00FD27BC" w:rsidRDefault="003E57B8" w:rsidP="00086E40">
      <w:pPr>
        <w:pStyle w:val="NormalNonumber"/>
        <w:ind w:left="1814" w:hanging="567"/>
        <w:rPr>
          <w:lang w:val="fr-FR"/>
        </w:rPr>
      </w:pPr>
      <w:r>
        <w:rPr>
          <w:lang w:val="fr-FR"/>
        </w:rPr>
        <w:t>6</w:t>
      </w:r>
      <w:r w:rsidR="00086E40">
        <w:rPr>
          <w:lang w:val="fr-FR"/>
        </w:rPr>
        <w:t>.</w:t>
      </w:r>
      <w:r w:rsidR="00086E40">
        <w:rPr>
          <w:lang w:val="fr-FR"/>
        </w:rPr>
        <w:tab/>
      </w:r>
      <w:r w:rsidR="00286BD3">
        <w:rPr>
          <w:lang w:val="fr-FR"/>
        </w:rPr>
        <w:t xml:space="preserve">Questions </w:t>
      </w:r>
      <w:r w:rsidR="006D572B">
        <w:rPr>
          <w:lang w:val="fr-FR"/>
        </w:rPr>
        <w:t>que</w:t>
      </w:r>
      <w:r w:rsidR="00F120E7" w:rsidRPr="00F120E7">
        <w:rPr>
          <w:lang w:val="fr-FR"/>
        </w:rPr>
        <w:t xml:space="preserve"> la Convention </w:t>
      </w:r>
      <w:r w:rsidR="006D572B">
        <w:rPr>
          <w:lang w:val="fr-FR"/>
        </w:rPr>
        <w:t xml:space="preserve">renvoie à </w:t>
      </w:r>
      <w:r w:rsidR="00F120E7" w:rsidRPr="00F120E7">
        <w:rPr>
          <w:lang w:val="fr-FR"/>
        </w:rPr>
        <w:t>la Conférence des Parties</w:t>
      </w:r>
      <w:r w:rsidR="006D572B">
        <w:rPr>
          <w:lang w:val="fr-FR"/>
        </w:rPr>
        <w:t xml:space="preserve"> pour suite à donner </w:t>
      </w:r>
      <w:r w:rsidR="00FA4972" w:rsidRPr="00FD27BC">
        <w:rPr>
          <w:lang w:val="fr-FR"/>
        </w:rPr>
        <w:t>:</w:t>
      </w:r>
    </w:p>
    <w:p w14:paraId="0B3EF734" w14:textId="797A7274" w:rsidR="00A84E43" w:rsidRDefault="00086E40" w:rsidP="00086E40">
      <w:pPr>
        <w:pStyle w:val="NormalNonumber"/>
        <w:ind w:left="2381" w:hanging="1134"/>
        <w:rPr>
          <w:lang w:val="fr-FR"/>
        </w:rPr>
      </w:pPr>
      <w:r>
        <w:rPr>
          <w:lang w:val="fr-FR"/>
        </w:rPr>
        <w:tab/>
        <w:t>a)</w:t>
      </w:r>
      <w:r>
        <w:rPr>
          <w:lang w:val="fr-FR"/>
        </w:rPr>
        <w:tab/>
      </w:r>
      <w:r w:rsidR="00A84E43">
        <w:rPr>
          <w:lang w:val="fr-FR"/>
        </w:rPr>
        <w:t>Examen de la question de savoir</w:t>
      </w:r>
      <w:r w:rsidR="002C1B41" w:rsidRPr="00A84E43">
        <w:rPr>
          <w:lang w:val="fr-FR"/>
        </w:rPr>
        <w:t xml:space="preserve"> si </w:t>
      </w:r>
      <w:r w:rsidR="00A84E43" w:rsidRPr="00A84E43">
        <w:rPr>
          <w:lang w:val="fr-FR"/>
        </w:rPr>
        <w:t>le commerce de certains composés du mercure compromet l</w:t>
      </w:r>
      <w:r>
        <w:rPr>
          <w:lang w:val="fr-FR"/>
        </w:rPr>
        <w:t>’</w:t>
      </w:r>
      <w:r w:rsidR="00A84E43" w:rsidRPr="00A84E43">
        <w:rPr>
          <w:lang w:val="fr-FR"/>
        </w:rPr>
        <w:t>objectif de la Convention et si ces composés du mercure devraient, par leur inscription à une annexe supplémentaire adoptée conformément à l</w:t>
      </w:r>
      <w:r>
        <w:rPr>
          <w:lang w:val="fr-FR"/>
        </w:rPr>
        <w:t>’</w:t>
      </w:r>
      <w:r w:rsidR="00A84E43" w:rsidRPr="00A84E43">
        <w:rPr>
          <w:lang w:val="fr-FR"/>
        </w:rPr>
        <w:t>article 27, être soumis aux paragrap</w:t>
      </w:r>
      <w:r w:rsidR="00A84E43">
        <w:rPr>
          <w:lang w:val="fr-FR"/>
        </w:rPr>
        <w:t>hes 6 et </w:t>
      </w:r>
      <w:r w:rsidR="00A84E43" w:rsidRPr="00A84E43">
        <w:rPr>
          <w:lang w:val="fr-FR"/>
        </w:rPr>
        <w:t>8</w:t>
      </w:r>
      <w:r w:rsidR="00A84E43">
        <w:rPr>
          <w:lang w:val="fr-FR"/>
        </w:rPr>
        <w:t xml:space="preserve"> de l</w:t>
      </w:r>
      <w:r>
        <w:rPr>
          <w:lang w:val="fr-FR"/>
        </w:rPr>
        <w:t>’</w:t>
      </w:r>
      <w:r w:rsidR="00A84E43">
        <w:rPr>
          <w:lang w:val="fr-FR"/>
        </w:rPr>
        <w:t>article 3</w:t>
      </w:r>
      <w:r w:rsidR="00617224" w:rsidRPr="00A84E43">
        <w:rPr>
          <w:lang w:val="fr-FR"/>
        </w:rPr>
        <w:t>;</w:t>
      </w:r>
    </w:p>
    <w:p w14:paraId="6D07DE02" w14:textId="7AC6D49B" w:rsidR="00136187" w:rsidRPr="00A84E43" w:rsidRDefault="00086E40" w:rsidP="00086E40">
      <w:pPr>
        <w:pStyle w:val="NormalNonumber"/>
        <w:ind w:left="2381" w:hanging="1134"/>
        <w:rPr>
          <w:lang w:val="fr-FR"/>
        </w:rPr>
      </w:pPr>
      <w:r>
        <w:rPr>
          <w:lang w:val="fr-FR"/>
        </w:rPr>
        <w:tab/>
        <w:t>b)</w:t>
      </w:r>
      <w:r>
        <w:rPr>
          <w:lang w:val="fr-FR"/>
        </w:rPr>
        <w:tab/>
      </w:r>
      <w:r w:rsidR="00F120E7" w:rsidRPr="00A84E43">
        <w:rPr>
          <w:lang w:val="fr-FR"/>
        </w:rPr>
        <w:t xml:space="preserve">Rapports </w:t>
      </w:r>
      <w:r w:rsidR="00A84E43">
        <w:rPr>
          <w:lang w:val="fr-FR"/>
        </w:rPr>
        <w:t>présentés</w:t>
      </w:r>
      <w:r w:rsidR="00F120E7" w:rsidRPr="00A84E43">
        <w:rPr>
          <w:lang w:val="fr-FR"/>
        </w:rPr>
        <w:t xml:space="preserve"> par les Parties en application du paragraphe</w:t>
      </w:r>
      <w:r w:rsidR="00247D22" w:rsidRPr="00A84E43">
        <w:rPr>
          <w:lang w:val="fr-FR"/>
        </w:rPr>
        <w:t> </w:t>
      </w:r>
      <w:r w:rsidR="00F120E7" w:rsidRPr="00A84E43">
        <w:rPr>
          <w:lang w:val="fr-FR"/>
        </w:rPr>
        <w:t>2 de l</w:t>
      </w:r>
      <w:r>
        <w:rPr>
          <w:lang w:val="fr-FR"/>
        </w:rPr>
        <w:t>’</w:t>
      </w:r>
      <w:r w:rsidR="00F120E7" w:rsidRPr="00A84E43">
        <w:rPr>
          <w:lang w:val="fr-FR"/>
        </w:rPr>
        <w:t>article</w:t>
      </w:r>
      <w:r w:rsidR="00247D22" w:rsidRPr="00A84E43">
        <w:rPr>
          <w:lang w:val="fr-FR"/>
        </w:rPr>
        <w:t> </w:t>
      </w:r>
      <w:r w:rsidR="00F120E7" w:rsidRPr="00A84E43">
        <w:rPr>
          <w:lang w:val="fr-FR"/>
        </w:rPr>
        <w:t>4 et examen de l</w:t>
      </w:r>
      <w:r>
        <w:rPr>
          <w:lang w:val="fr-FR"/>
        </w:rPr>
        <w:t>’</w:t>
      </w:r>
      <w:r w:rsidR="00F120E7" w:rsidRPr="00A84E43">
        <w:rPr>
          <w:lang w:val="fr-FR"/>
        </w:rPr>
        <w:t>efficacité des mesures</w:t>
      </w:r>
      <w:r w:rsidR="00617224" w:rsidRPr="00A84E43">
        <w:rPr>
          <w:lang w:val="fr-FR"/>
        </w:rPr>
        <w:t>;</w:t>
      </w:r>
    </w:p>
    <w:p w14:paraId="61DCE896" w14:textId="35F8C894" w:rsidR="00136187" w:rsidRPr="00FD27BC" w:rsidRDefault="00086E40" w:rsidP="00086E40">
      <w:pPr>
        <w:pStyle w:val="NormalNonumber"/>
        <w:ind w:left="2381" w:hanging="1134"/>
        <w:rPr>
          <w:lang w:val="fr-FR"/>
        </w:rPr>
      </w:pPr>
      <w:r>
        <w:rPr>
          <w:lang w:val="fr-FR"/>
        </w:rPr>
        <w:tab/>
        <w:t>c)</w:t>
      </w:r>
      <w:r>
        <w:rPr>
          <w:lang w:val="fr-FR"/>
        </w:rPr>
        <w:tab/>
      </w:r>
      <w:r w:rsidR="006D572B">
        <w:rPr>
          <w:lang w:val="fr-FR"/>
        </w:rPr>
        <w:t>E</w:t>
      </w:r>
      <w:r w:rsidR="00247D22" w:rsidRPr="00247D22">
        <w:rPr>
          <w:lang w:val="fr-FR"/>
        </w:rPr>
        <w:t xml:space="preserve">xamen de </w:t>
      </w:r>
      <w:r w:rsidR="00921098">
        <w:rPr>
          <w:lang w:val="fr-FR"/>
        </w:rPr>
        <w:t>l</w:t>
      </w:r>
      <w:r>
        <w:rPr>
          <w:lang w:val="fr-FR"/>
        </w:rPr>
        <w:t>’</w:t>
      </w:r>
      <w:r w:rsidR="00921098">
        <w:rPr>
          <w:lang w:val="fr-FR"/>
        </w:rPr>
        <w:t>Annexe A</w:t>
      </w:r>
      <w:r w:rsidR="00247D22" w:rsidRPr="00247D22">
        <w:rPr>
          <w:lang w:val="fr-FR"/>
        </w:rPr>
        <w:t xml:space="preserve"> </w:t>
      </w:r>
      <w:r w:rsidR="00A84E43">
        <w:rPr>
          <w:lang w:val="fr-FR"/>
        </w:rPr>
        <w:t>(art. 4, par. 8)</w:t>
      </w:r>
      <w:r w:rsidR="000077AD" w:rsidRPr="00FD27BC">
        <w:rPr>
          <w:lang w:val="fr-FR"/>
        </w:rPr>
        <w:t>;</w:t>
      </w:r>
    </w:p>
    <w:p w14:paraId="72D3B80D" w14:textId="6EA53650" w:rsidR="00136187" w:rsidRPr="00FD27BC" w:rsidRDefault="00086E40" w:rsidP="00086E40">
      <w:pPr>
        <w:pStyle w:val="NormalNonumber"/>
        <w:ind w:left="2381" w:hanging="1134"/>
        <w:rPr>
          <w:lang w:val="fr-FR"/>
        </w:rPr>
      </w:pPr>
      <w:r>
        <w:rPr>
          <w:lang w:val="fr-FR"/>
        </w:rPr>
        <w:tab/>
        <w:t>d)</w:t>
      </w:r>
      <w:r>
        <w:rPr>
          <w:lang w:val="fr-FR"/>
        </w:rPr>
        <w:tab/>
      </w:r>
      <w:r w:rsidR="006D572B">
        <w:rPr>
          <w:lang w:val="fr-FR"/>
        </w:rPr>
        <w:t>E</w:t>
      </w:r>
      <w:r w:rsidR="00247D22" w:rsidRPr="00247D22">
        <w:rPr>
          <w:lang w:val="fr-FR"/>
        </w:rPr>
        <w:t xml:space="preserve">xamen de </w:t>
      </w:r>
      <w:r w:rsidR="00921098">
        <w:rPr>
          <w:lang w:val="fr-FR"/>
        </w:rPr>
        <w:t>l</w:t>
      </w:r>
      <w:r>
        <w:rPr>
          <w:lang w:val="fr-FR"/>
        </w:rPr>
        <w:t>’</w:t>
      </w:r>
      <w:r w:rsidR="00921098">
        <w:rPr>
          <w:lang w:val="fr-FR"/>
        </w:rPr>
        <w:t>Annexe B</w:t>
      </w:r>
      <w:r w:rsidR="00A84E43">
        <w:rPr>
          <w:lang w:val="fr-FR"/>
        </w:rPr>
        <w:t xml:space="preserve"> (art. 5, par. </w:t>
      </w:r>
      <w:r w:rsidR="00247D22" w:rsidRPr="00247D22">
        <w:rPr>
          <w:lang w:val="fr-FR"/>
        </w:rPr>
        <w:t>10</w:t>
      </w:r>
      <w:r w:rsidR="00A84E43">
        <w:rPr>
          <w:lang w:val="fr-FR"/>
        </w:rPr>
        <w:t>)</w:t>
      </w:r>
      <w:r w:rsidR="000077AD" w:rsidRPr="00FD27BC">
        <w:rPr>
          <w:lang w:val="fr-FR"/>
        </w:rPr>
        <w:t>;</w:t>
      </w:r>
    </w:p>
    <w:p w14:paraId="3F48CAB3" w14:textId="4A1ABF36" w:rsidR="00136187" w:rsidRPr="00FD27BC" w:rsidRDefault="00086E40" w:rsidP="00086E40">
      <w:pPr>
        <w:pStyle w:val="NormalNonumber"/>
        <w:ind w:left="2381" w:hanging="1134"/>
        <w:rPr>
          <w:lang w:val="fr-FR"/>
        </w:rPr>
      </w:pPr>
      <w:r>
        <w:rPr>
          <w:lang w:val="fr-FR"/>
        </w:rPr>
        <w:tab/>
        <w:t>e)</w:t>
      </w:r>
      <w:r>
        <w:rPr>
          <w:lang w:val="fr-FR"/>
        </w:rPr>
        <w:tab/>
      </w:r>
      <w:r w:rsidR="00A84E43">
        <w:rPr>
          <w:lang w:val="fr-FR"/>
        </w:rPr>
        <w:t xml:space="preserve">Orientations </w:t>
      </w:r>
      <w:r w:rsidR="00247D22" w:rsidRPr="00247D22">
        <w:rPr>
          <w:lang w:val="fr-FR"/>
        </w:rPr>
        <w:t xml:space="preserve">visées aux </w:t>
      </w:r>
      <w:r w:rsidR="00A84E43">
        <w:rPr>
          <w:lang w:val="fr-FR"/>
        </w:rPr>
        <w:t>alinéas a) et b) du paragraphe</w:t>
      </w:r>
      <w:r w:rsidR="00247D22" w:rsidRPr="00247D22">
        <w:rPr>
          <w:lang w:val="fr-FR"/>
        </w:rPr>
        <w:t xml:space="preserve"> 9 de l</w:t>
      </w:r>
      <w:r>
        <w:rPr>
          <w:lang w:val="fr-FR"/>
        </w:rPr>
        <w:t>’</w:t>
      </w:r>
      <w:r w:rsidR="00247D22" w:rsidRPr="00247D22">
        <w:rPr>
          <w:lang w:val="fr-FR"/>
        </w:rPr>
        <w:t>article 8</w:t>
      </w:r>
      <w:r w:rsidR="00617224" w:rsidRPr="00FD27BC">
        <w:rPr>
          <w:lang w:val="fr-FR"/>
        </w:rPr>
        <w:t>;</w:t>
      </w:r>
    </w:p>
    <w:p w14:paraId="66951828" w14:textId="7F48DE3B" w:rsidR="00136187" w:rsidRPr="00FD27BC" w:rsidRDefault="00086E40" w:rsidP="00086E40">
      <w:pPr>
        <w:pStyle w:val="NormalNonumber"/>
        <w:ind w:left="2381" w:hanging="1134"/>
        <w:rPr>
          <w:lang w:val="fr-FR"/>
        </w:rPr>
      </w:pPr>
      <w:r>
        <w:rPr>
          <w:lang w:val="fr-FR"/>
        </w:rPr>
        <w:tab/>
        <w:t>f)</w:t>
      </w:r>
      <w:r>
        <w:rPr>
          <w:lang w:val="fr-FR"/>
        </w:rPr>
        <w:tab/>
      </w:r>
      <w:r w:rsidR="00A84E43">
        <w:rPr>
          <w:lang w:val="fr-FR"/>
        </w:rPr>
        <w:t xml:space="preserve">Orientations </w:t>
      </w:r>
      <w:r w:rsidR="00247D22" w:rsidRPr="00247D22">
        <w:rPr>
          <w:lang w:val="fr-FR"/>
        </w:rPr>
        <w:t xml:space="preserve">visées </w:t>
      </w:r>
      <w:r w:rsidR="00582B57" w:rsidRPr="00247D22">
        <w:rPr>
          <w:lang w:val="fr-FR"/>
        </w:rPr>
        <w:t xml:space="preserve">aux </w:t>
      </w:r>
      <w:r w:rsidR="00582B57">
        <w:rPr>
          <w:lang w:val="fr-FR"/>
        </w:rPr>
        <w:t>alinéas a) et b) du paragraphe</w:t>
      </w:r>
      <w:r w:rsidR="00582B57" w:rsidRPr="00247D22">
        <w:rPr>
          <w:lang w:val="fr-FR"/>
        </w:rPr>
        <w:t xml:space="preserve"> </w:t>
      </w:r>
      <w:r w:rsidR="00582B57">
        <w:rPr>
          <w:lang w:val="fr-FR"/>
        </w:rPr>
        <w:t xml:space="preserve">7 </w:t>
      </w:r>
      <w:r w:rsidR="00247D22" w:rsidRPr="00247D22">
        <w:rPr>
          <w:lang w:val="fr-FR"/>
        </w:rPr>
        <w:t>de l</w:t>
      </w:r>
      <w:r>
        <w:rPr>
          <w:lang w:val="fr-FR"/>
        </w:rPr>
        <w:t>’</w:t>
      </w:r>
      <w:r w:rsidR="00247D22" w:rsidRPr="00247D22">
        <w:rPr>
          <w:lang w:val="fr-FR"/>
        </w:rPr>
        <w:t xml:space="preserve">article </w:t>
      </w:r>
      <w:r w:rsidR="00582B57">
        <w:rPr>
          <w:lang w:val="fr-FR"/>
        </w:rPr>
        <w:t>9</w:t>
      </w:r>
      <w:r w:rsidR="00617224" w:rsidRPr="00FD27BC">
        <w:rPr>
          <w:lang w:val="fr-FR"/>
        </w:rPr>
        <w:t>;</w:t>
      </w:r>
    </w:p>
    <w:p w14:paraId="00CC9C4A" w14:textId="0AFB8BEB" w:rsidR="00136187" w:rsidRPr="00FD27BC" w:rsidRDefault="00086E40" w:rsidP="00086E40">
      <w:pPr>
        <w:pStyle w:val="NormalNonumber"/>
        <w:ind w:left="2381" w:hanging="1134"/>
        <w:rPr>
          <w:lang w:val="fr-FR"/>
        </w:rPr>
      </w:pPr>
      <w:r>
        <w:rPr>
          <w:lang w:val="fr-FR"/>
        </w:rPr>
        <w:tab/>
        <w:t>g)</w:t>
      </w:r>
      <w:r>
        <w:rPr>
          <w:lang w:val="fr-FR"/>
        </w:rPr>
        <w:tab/>
      </w:r>
      <w:r w:rsidR="00582B57">
        <w:rPr>
          <w:lang w:val="fr-FR"/>
        </w:rPr>
        <w:t>D</w:t>
      </w:r>
      <w:r w:rsidR="00582B57" w:rsidRPr="00582B57">
        <w:rPr>
          <w:lang w:val="fr-FR"/>
        </w:rPr>
        <w:t>irectives concernant le stockage provisoire du mercure et des composés du mercure</w:t>
      </w:r>
      <w:r w:rsidR="00582B57" w:rsidRPr="00247D22">
        <w:rPr>
          <w:lang w:val="fr-FR"/>
        </w:rPr>
        <w:t xml:space="preserve"> </w:t>
      </w:r>
      <w:r w:rsidR="00247D22" w:rsidRPr="00247D22">
        <w:rPr>
          <w:lang w:val="fr-FR"/>
        </w:rPr>
        <w:t>visées au paragraphe</w:t>
      </w:r>
      <w:r w:rsidR="00247D22">
        <w:rPr>
          <w:lang w:val="fr-FR"/>
        </w:rPr>
        <w:t> 3 de l</w:t>
      </w:r>
      <w:r>
        <w:rPr>
          <w:lang w:val="fr-FR"/>
        </w:rPr>
        <w:t>’</w:t>
      </w:r>
      <w:r w:rsidR="00247D22">
        <w:rPr>
          <w:lang w:val="fr-FR"/>
        </w:rPr>
        <w:t>article </w:t>
      </w:r>
      <w:r w:rsidR="00247D22" w:rsidRPr="00247D22">
        <w:rPr>
          <w:lang w:val="fr-FR"/>
        </w:rPr>
        <w:t>10</w:t>
      </w:r>
      <w:r w:rsidR="00617224" w:rsidRPr="00FD27BC">
        <w:rPr>
          <w:lang w:val="fr-FR"/>
        </w:rPr>
        <w:t>;</w:t>
      </w:r>
    </w:p>
    <w:p w14:paraId="4494699F" w14:textId="2473F596" w:rsidR="00136187" w:rsidRPr="00FD27BC" w:rsidRDefault="00086E40" w:rsidP="00086E40">
      <w:pPr>
        <w:pStyle w:val="NormalNonumber"/>
        <w:ind w:left="2381" w:hanging="1134"/>
        <w:rPr>
          <w:lang w:val="fr-FR"/>
        </w:rPr>
      </w:pPr>
      <w:r>
        <w:rPr>
          <w:lang w:val="fr-FR"/>
        </w:rPr>
        <w:tab/>
        <w:t>h)</w:t>
      </w:r>
      <w:r>
        <w:rPr>
          <w:lang w:val="fr-FR"/>
        </w:rPr>
        <w:tab/>
      </w:r>
      <w:r w:rsidR="006D572B">
        <w:rPr>
          <w:lang w:val="fr-FR"/>
        </w:rPr>
        <w:t>D</w:t>
      </w:r>
      <w:r w:rsidR="00536E36" w:rsidRPr="00536E36">
        <w:rPr>
          <w:lang w:val="fr-FR"/>
        </w:rPr>
        <w:t xml:space="preserve">éfinition des seuils </w:t>
      </w:r>
      <w:r w:rsidR="00582B57">
        <w:rPr>
          <w:lang w:val="fr-FR"/>
        </w:rPr>
        <w:t>applicables</w:t>
      </w:r>
      <w:r w:rsidR="00536E36" w:rsidRPr="00536E36">
        <w:rPr>
          <w:lang w:val="fr-FR"/>
        </w:rPr>
        <w:t xml:space="preserve"> aux déchets </w:t>
      </w:r>
      <w:r w:rsidR="00105827">
        <w:rPr>
          <w:lang w:val="fr-FR"/>
        </w:rPr>
        <w:t>de mercure visé</w:t>
      </w:r>
      <w:r w:rsidR="00536E36">
        <w:rPr>
          <w:lang w:val="fr-FR"/>
        </w:rPr>
        <w:t>s au paragraphe </w:t>
      </w:r>
      <w:r w:rsidR="00536E36" w:rsidRPr="00536E36">
        <w:rPr>
          <w:lang w:val="fr-FR"/>
        </w:rPr>
        <w:t>2 de l</w:t>
      </w:r>
      <w:r>
        <w:rPr>
          <w:lang w:val="fr-FR"/>
        </w:rPr>
        <w:t>’</w:t>
      </w:r>
      <w:r w:rsidR="00536E36" w:rsidRPr="00536E36">
        <w:rPr>
          <w:lang w:val="fr-FR"/>
        </w:rPr>
        <w:t>article</w:t>
      </w:r>
      <w:r w:rsidR="006B4C09">
        <w:rPr>
          <w:lang w:val="fr-FR"/>
        </w:rPr>
        <w:t> </w:t>
      </w:r>
      <w:r w:rsidR="00536E36" w:rsidRPr="00536E36">
        <w:rPr>
          <w:lang w:val="fr-FR"/>
        </w:rPr>
        <w:t>11</w:t>
      </w:r>
      <w:r w:rsidR="00617224" w:rsidRPr="00FD27BC">
        <w:rPr>
          <w:lang w:val="fr-FR"/>
        </w:rPr>
        <w:t>;</w:t>
      </w:r>
    </w:p>
    <w:p w14:paraId="0CA4CF15" w14:textId="2D9982A0" w:rsidR="00F6700B" w:rsidRPr="00FD27BC" w:rsidRDefault="00086E40" w:rsidP="00086E40">
      <w:pPr>
        <w:pStyle w:val="NormalNonumber"/>
        <w:ind w:left="2381" w:hanging="1134"/>
        <w:rPr>
          <w:lang w:val="fr-FR"/>
        </w:rPr>
      </w:pPr>
      <w:r>
        <w:rPr>
          <w:lang w:val="fr-FR"/>
        </w:rPr>
        <w:tab/>
        <w:t>i)</w:t>
      </w:r>
      <w:r>
        <w:rPr>
          <w:lang w:val="fr-FR"/>
        </w:rPr>
        <w:tab/>
      </w:r>
      <w:r w:rsidR="00536E36">
        <w:rPr>
          <w:lang w:val="fr-FR"/>
        </w:rPr>
        <w:t>O</w:t>
      </w:r>
      <w:r w:rsidR="00536E36" w:rsidRPr="00536E36">
        <w:rPr>
          <w:lang w:val="fr-FR"/>
        </w:rPr>
        <w:t>rientations sur la gestion d</w:t>
      </w:r>
      <w:r w:rsidR="00536E36">
        <w:rPr>
          <w:lang w:val="fr-FR"/>
        </w:rPr>
        <w:t>es sites contaminés (</w:t>
      </w:r>
      <w:r w:rsidR="00582B57">
        <w:rPr>
          <w:lang w:val="fr-FR"/>
        </w:rPr>
        <w:t xml:space="preserve">art. 12, </w:t>
      </w:r>
      <w:r w:rsidR="00536E36">
        <w:rPr>
          <w:lang w:val="fr-FR"/>
        </w:rPr>
        <w:t>par</w:t>
      </w:r>
      <w:r w:rsidR="00582B57">
        <w:rPr>
          <w:lang w:val="fr-FR"/>
        </w:rPr>
        <w:t>.</w:t>
      </w:r>
      <w:r w:rsidR="00582B57" w:rsidRPr="00536E36">
        <w:rPr>
          <w:lang w:val="fr-FR"/>
        </w:rPr>
        <w:t xml:space="preserve"> </w:t>
      </w:r>
      <w:r w:rsidR="00536E36" w:rsidRPr="00536E36">
        <w:rPr>
          <w:lang w:val="fr-FR"/>
        </w:rPr>
        <w:t>3</w:t>
      </w:r>
      <w:r w:rsidR="00536E36">
        <w:rPr>
          <w:lang w:val="fr-FR"/>
        </w:rPr>
        <w:t>)</w:t>
      </w:r>
      <w:r w:rsidR="000077AD" w:rsidRPr="00FD27BC">
        <w:rPr>
          <w:lang w:val="fr-FR"/>
        </w:rPr>
        <w:t>;</w:t>
      </w:r>
    </w:p>
    <w:p w14:paraId="29A92129" w14:textId="48C291E1" w:rsidR="00773E54" w:rsidRPr="00FD27BC" w:rsidRDefault="00086E40" w:rsidP="00086E40">
      <w:pPr>
        <w:pStyle w:val="NormalNonumber"/>
        <w:ind w:left="2381" w:hanging="1134"/>
        <w:rPr>
          <w:lang w:val="fr-FR"/>
        </w:rPr>
      </w:pPr>
      <w:r>
        <w:rPr>
          <w:lang w:val="fr-FR"/>
        </w:rPr>
        <w:tab/>
        <w:t>j)</w:t>
      </w:r>
      <w:r>
        <w:rPr>
          <w:lang w:val="fr-FR"/>
        </w:rPr>
        <w:tab/>
      </w:r>
      <w:r w:rsidR="006D572B">
        <w:rPr>
          <w:lang w:val="fr-FR"/>
        </w:rPr>
        <w:t>E</w:t>
      </w:r>
      <w:r w:rsidR="00536E36" w:rsidRPr="00536E36">
        <w:rPr>
          <w:lang w:val="fr-FR"/>
        </w:rPr>
        <w:t xml:space="preserve">xamen concernant le </w:t>
      </w:r>
      <w:r w:rsidR="00582B57" w:rsidRPr="00582B57">
        <w:rPr>
          <w:lang w:val="fr-FR"/>
        </w:rPr>
        <w:t>renforcement des capacités, l</w:t>
      </w:r>
      <w:r>
        <w:rPr>
          <w:lang w:val="fr-FR"/>
        </w:rPr>
        <w:t>’</w:t>
      </w:r>
      <w:r w:rsidR="00582B57" w:rsidRPr="00582B57">
        <w:rPr>
          <w:lang w:val="fr-FR"/>
        </w:rPr>
        <w:t>assistance technique et le transfert de technologies</w:t>
      </w:r>
      <w:r w:rsidR="00536E36" w:rsidRPr="00536E36">
        <w:rPr>
          <w:lang w:val="fr-FR"/>
        </w:rPr>
        <w:t xml:space="preserve"> </w:t>
      </w:r>
      <w:r w:rsidR="00582B57">
        <w:rPr>
          <w:lang w:val="fr-FR"/>
        </w:rPr>
        <w:t xml:space="preserve">(art. 14, </w:t>
      </w:r>
      <w:r w:rsidR="00536E36">
        <w:rPr>
          <w:lang w:val="fr-FR"/>
        </w:rPr>
        <w:t>par</w:t>
      </w:r>
      <w:r w:rsidR="00582B57">
        <w:rPr>
          <w:lang w:val="fr-FR"/>
        </w:rPr>
        <w:t>.</w:t>
      </w:r>
      <w:r w:rsidR="00536E36">
        <w:rPr>
          <w:lang w:val="fr-FR"/>
        </w:rPr>
        <w:t> </w:t>
      </w:r>
      <w:r w:rsidR="00536E36" w:rsidRPr="00536E36">
        <w:rPr>
          <w:lang w:val="fr-FR"/>
        </w:rPr>
        <w:t>4 et</w:t>
      </w:r>
      <w:r w:rsidR="00582B57">
        <w:rPr>
          <w:lang w:val="fr-FR"/>
        </w:rPr>
        <w:t> </w:t>
      </w:r>
      <w:r w:rsidR="00536E36" w:rsidRPr="00536E36">
        <w:rPr>
          <w:lang w:val="fr-FR"/>
        </w:rPr>
        <w:t>5</w:t>
      </w:r>
      <w:r w:rsidR="00582B57">
        <w:rPr>
          <w:lang w:val="fr-FR"/>
        </w:rPr>
        <w:t>)</w:t>
      </w:r>
      <w:r w:rsidR="00536E36" w:rsidRPr="00536E36">
        <w:rPr>
          <w:lang w:val="fr-FR"/>
        </w:rPr>
        <w:t>, y compris d</w:t>
      </w:r>
      <w:r>
        <w:rPr>
          <w:lang w:val="fr-FR"/>
        </w:rPr>
        <w:t>’</w:t>
      </w:r>
      <w:r w:rsidR="00536E36" w:rsidRPr="00536E36">
        <w:rPr>
          <w:lang w:val="fr-FR"/>
        </w:rPr>
        <w:t xml:space="preserve">éventuelles recommandations sur la manière dont ces activités pourraient être encore </w:t>
      </w:r>
      <w:r w:rsidR="002B1420" w:rsidRPr="00536E36">
        <w:rPr>
          <w:lang w:val="fr-FR"/>
        </w:rPr>
        <w:t>améliorées</w:t>
      </w:r>
      <w:r w:rsidR="00536E36" w:rsidRPr="00536E36">
        <w:rPr>
          <w:lang w:val="fr-FR"/>
        </w:rPr>
        <w:t xml:space="preserve"> au titre de l</w:t>
      </w:r>
      <w:r>
        <w:rPr>
          <w:lang w:val="fr-FR"/>
        </w:rPr>
        <w:t>’</w:t>
      </w:r>
      <w:r w:rsidR="00536E36" w:rsidRPr="00536E36">
        <w:rPr>
          <w:lang w:val="fr-FR"/>
        </w:rPr>
        <w:t>article 14</w:t>
      </w:r>
      <w:r w:rsidR="000077AD" w:rsidRPr="00FD27BC">
        <w:rPr>
          <w:lang w:val="fr-FR"/>
        </w:rPr>
        <w:t>;</w:t>
      </w:r>
    </w:p>
    <w:p w14:paraId="5869F524" w14:textId="002D120C" w:rsidR="00617224" w:rsidRPr="002B1420" w:rsidRDefault="00086E40" w:rsidP="00086E40">
      <w:pPr>
        <w:pStyle w:val="NormalNonumber"/>
        <w:ind w:left="2381" w:hanging="1134"/>
        <w:rPr>
          <w:lang w:val="fr-FR"/>
        </w:rPr>
      </w:pPr>
      <w:r>
        <w:rPr>
          <w:lang w:val="fr-FR"/>
        </w:rPr>
        <w:tab/>
        <w:t>k)</w:t>
      </w:r>
      <w:r>
        <w:rPr>
          <w:lang w:val="fr-FR"/>
        </w:rPr>
        <w:tab/>
      </w:r>
      <w:r w:rsidR="001646EA" w:rsidRPr="002B1420">
        <w:rPr>
          <w:lang w:val="fr-FR"/>
        </w:rPr>
        <w:t>Consult</w:t>
      </w:r>
      <w:r w:rsidR="00FA4972" w:rsidRPr="002B1420">
        <w:rPr>
          <w:lang w:val="fr-FR"/>
        </w:rPr>
        <w:t>ation</w:t>
      </w:r>
      <w:r w:rsidR="001646EA" w:rsidRPr="002B1420">
        <w:rPr>
          <w:lang w:val="fr-FR"/>
        </w:rPr>
        <w:t xml:space="preserve"> </w:t>
      </w:r>
      <w:r w:rsidR="00582B57" w:rsidRPr="002B1420">
        <w:rPr>
          <w:lang w:val="fr-FR"/>
        </w:rPr>
        <w:t xml:space="preserve">et collaboration avec </w:t>
      </w:r>
      <w:r w:rsidR="002C1B41">
        <w:rPr>
          <w:lang w:val="fr-FR"/>
        </w:rPr>
        <w:t>l</w:t>
      </w:r>
      <w:r>
        <w:rPr>
          <w:lang w:val="fr-FR"/>
        </w:rPr>
        <w:t>’</w:t>
      </w:r>
      <w:r w:rsidR="002B1420" w:rsidRPr="002B1420">
        <w:rPr>
          <w:lang w:val="fr-FR"/>
        </w:rPr>
        <w:t>Organisation mondiale de la S</w:t>
      </w:r>
      <w:r w:rsidR="002C1B41">
        <w:rPr>
          <w:lang w:val="fr-FR"/>
        </w:rPr>
        <w:t>anté, l</w:t>
      </w:r>
      <w:r>
        <w:rPr>
          <w:lang w:val="fr-FR"/>
        </w:rPr>
        <w:t>’</w:t>
      </w:r>
      <w:r w:rsidR="002B1420">
        <w:rPr>
          <w:lang w:val="fr-FR"/>
        </w:rPr>
        <w:t>Organisation internationale du T</w:t>
      </w:r>
      <w:r w:rsidR="002C1B41">
        <w:rPr>
          <w:lang w:val="fr-FR"/>
        </w:rPr>
        <w:t>ravail et d</w:t>
      </w:r>
      <w:r>
        <w:rPr>
          <w:lang w:val="fr-FR"/>
        </w:rPr>
        <w:t>’</w:t>
      </w:r>
      <w:r w:rsidR="002B1420" w:rsidRPr="002B1420">
        <w:rPr>
          <w:lang w:val="fr-FR"/>
        </w:rPr>
        <w:t>autres organisations intergouvernementales compétentes et promotion de la coopération et de l</w:t>
      </w:r>
      <w:r>
        <w:rPr>
          <w:lang w:val="fr-FR"/>
        </w:rPr>
        <w:t>’</w:t>
      </w:r>
      <w:r w:rsidR="002B1420" w:rsidRPr="002B1420">
        <w:rPr>
          <w:lang w:val="fr-FR"/>
        </w:rPr>
        <w:t>échange d</w:t>
      </w:r>
      <w:r>
        <w:rPr>
          <w:lang w:val="fr-FR"/>
        </w:rPr>
        <w:t>’</w:t>
      </w:r>
      <w:r w:rsidR="002B1420" w:rsidRPr="002B1420">
        <w:rPr>
          <w:lang w:val="fr-FR"/>
        </w:rPr>
        <w:t>informations, selon qu</w:t>
      </w:r>
      <w:r>
        <w:rPr>
          <w:lang w:val="fr-FR"/>
        </w:rPr>
        <w:t>’</w:t>
      </w:r>
      <w:r w:rsidR="002B1420" w:rsidRPr="002B1420">
        <w:rPr>
          <w:lang w:val="fr-FR"/>
        </w:rPr>
        <w:t>il convien</w:t>
      </w:r>
      <w:r w:rsidR="00582B57">
        <w:rPr>
          <w:lang w:val="fr-FR"/>
        </w:rPr>
        <w:t>t</w:t>
      </w:r>
      <w:r w:rsidR="002B1420" w:rsidRPr="002B1420">
        <w:rPr>
          <w:lang w:val="fr-FR"/>
        </w:rPr>
        <w:t>, dans le cadre de questions ou activités liées à la santé</w:t>
      </w:r>
      <w:r w:rsidR="00582B57">
        <w:rPr>
          <w:lang w:val="fr-FR"/>
        </w:rPr>
        <w:t xml:space="preserve"> (art. 16, par. </w:t>
      </w:r>
      <w:r w:rsidR="002B1420" w:rsidRPr="002B1420">
        <w:rPr>
          <w:lang w:val="fr-FR"/>
        </w:rPr>
        <w:t>2</w:t>
      </w:r>
      <w:r w:rsidR="00582B57">
        <w:rPr>
          <w:lang w:val="fr-FR"/>
        </w:rPr>
        <w:t>).</w:t>
      </w:r>
    </w:p>
    <w:p w14:paraId="73EE3859" w14:textId="7830C974" w:rsidR="00787688" w:rsidRPr="00FD27BC" w:rsidRDefault="003E57B8" w:rsidP="00086E40">
      <w:pPr>
        <w:pStyle w:val="NormalNonumber"/>
        <w:ind w:left="1814" w:hanging="567"/>
        <w:rPr>
          <w:lang w:val="fr-FR"/>
        </w:rPr>
      </w:pPr>
      <w:r>
        <w:rPr>
          <w:lang w:val="fr-FR"/>
        </w:rPr>
        <w:t>7</w:t>
      </w:r>
      <w:r w:rsidR="00086E40">
        <w:rPr>
          <w:lang w:val="fr-FR"/>
        </w:rPr>
        <w:t>.</w:t>
      </w:r>
      <w:r w:rsidR="00086E40">
        <w:rPr>
          <w:lang w:val="fr-FR"/>
        </w:rPr>
        <w:tab/>
      </w:r>
      <w:r w:rsidR="00536E36">
        <w:rPr>
          <w:lang w:val="fr-FR"/>
        </w:rPr>
        <w:t>Date et lieu de la deuxième</w:t>
      </w:r>
      <w:r w:rsidR="00536E36" w:rsidRPr="00536E36">
        <w:rPr>
          <w:lang w:val="fr-FR"/>
        </w:rPr>
        <w:t xml:space="preserve"> réunion de la Conférence des Parties</w:t>
      </w:r>
      <w:r w:rsidR="00787688" w:rsidRPr="00FD27BC">
        <w:rPr>
          <w:lang w:val="fr-FR"/>
        </w:rPr>
        <w:t>.</w:t>
      </w:r>
    </w:p>
    <w:p w14:paraId="14F4991C" w14:textId="3AE8186A" w:rsidR="00D013F5" w:rsidRPr="00FD27BC" w:rsidRDefault="003E57B8" w:rsidP="00086E40">
      <w:pPr>
        <w:pStyle w:val="NormalNonumber"/>
        <w:ind w:left="1814" w:hanging="567"/>
        <w:rPr>
          <w:lang w:val="fr-FR"/>
        </w:rPr>
      </w:pPr>
      <w:r>
        <w:rPr>
          <w:lang w:val="fr-FR"/>
        </w:rPr>
        <w:t>8</w:t>
      </w:r>
      <w:r w:rsidR="00086E40">
        <w:rPr>
          <w:lang w:val="fr-FR"/>
        </w:rPr>
        <w:t>.</w:t>
      </w:r>
      <w:r w:rsidR="00086E40">
        <w:rPr>
          <w:lang w:val="fr-FR"/>
        </w:rPr>
        <w:tab/>
      </w:r>
      <w:r w:rsidR="00536E36">
        <w:rPr>
          <w:lang w:val="fr-FR"/>
        </w:rPr>
        <w:t>Questions diverses</w:t>
      </w:r>
      <w:r w:rsidR="00D013F5" w:rsidRPr="00FD27BC">
        <w:rPr>
          <w:lang w:val="fr-FR"/>
        </w:rPr>
        <w:t>.</w:t>
      </w:r>
    </w:p>
    <w:p w14:paraId="06A27482" w14:textId="27F35E28" w:rsidR="00D013F5" w:rsidRPr="00FD27BC" w:rsidRDefault="003E57B8" w:rsidP="00086E40">
      <w:pPr>
        <w:pStyle w:val="NormalNonumber"/>
        <w:ind w:left="1814" w:hanging="567"/>
        <w:rPr>
          <w:lang w:val="fr-FR"/>
        </w:rPr>
      </w:pPr>
      <w:bookmarkStart w:id="4" w:name="_GoBack"/>
      <w:bookmarkEnd w:id="4"/>
      <w:r>
        <w:rPr>
          <w:lang w:val="fr-FR"/>
        </w:rPr>
        <w:t>9</w:t>
      </w:r>
      <w:r w:rsidR="00086E40">
        <w:rPr>
          <w:lang w:val="fr-FR"/>
        </w:rPr>
        <w:t>.</w:t>
      </w:r>
      <w:r w:rsidR="00086E40">
        <w:rPr>
          <w:lang w:val="fr-FR"/>
        </w:rPr>
        <w:tab/>
      </w:r>
      <w:r w:rsidR="00D013F5" w:rsidRPr="00FD27BC">
        <w:rPr>
          <w:lang w:val="fr-FR"/>
        </w:rPr>
        <w:t xml:space="preserve">Adoption </w:t>
      </w:r>
      <w:r w:rsidR="00536E36">
        <w:rPr>
          <w:lang w:val="fr-FR"/>
        </w:rPr>
        <w:t>du rapport</w:t>
      </w:r>
      <w:r w:rsidR="00D013F5" w:rsidRPr="00FD27BC">
        <w:rPr>
          <w:lang w:val="fr-FR"/>
        </w:rPr>
        <w:t>.</w:t>
      </w:r>
    </w:p>
    <w:p w14:paraId="215C4E95" w14:textId="60A1D9F2" w:rsidR="00D013F5" w:rsidRPr="00FD27BC" w:rsidRDefault="00086E40" w:rsidP="00086E40">
      <w:pPr>
        <w:pStyle w:val="NormalNonumber"/>
        <w:ind w:left="1814" w:hanging="567"/>
        <w:rPr>
          <w:lang w:val="fr-FR"/>
        </w:rPr>
      </w:pPr>
      <w:r>
        <w:rPr>
          <w:lang w:val="fr-FR"/>
        </w:rPr>
        <w:t>1</w:t>
      </w:r>
      <w:r w:rsidR="003E57B8">
        <w:rPr>
          <w:lang w:val="fr-FR"/>
        </w:rPr>
        <w:t>0</w:t>
      </w:r>
      <w:r>
        <w:rPr>
          <w:lang w:val="fr-FR"/>
        </w:rPr>
        <w:t>.</w:t>
      </w:r>
      <w:r>
        <w:rPr>
          <w:lang w:val="fr-FR"/>
        </w:rPr>
        <w:tab/>
      </w:r>
      <w:r w:rsidR="00536E36" w:rsidRPr="00FD27BC">
        <w:rPr>
          <w:lang w:val="fr-FR"/>
        </w:rPr>
        <w:t>Clôture</w:t>
      </w:r>
      <w:r w:rsidR="00536E36">
        <w:rPr>
          <w:lang w:val="fr-FR"/>
        </w:rPr>
        <w:t xml:space="preserve"> de la réunion</w:t>
      </w:r>
      <w:r w:rsidR="00D013F5" w:rsidRPr="00FD27BC">
        <w:rPr>
          <w:lang w:val="fr-FR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E976AB" w:rsidRPr="00FD27BC" w14:paraId="6DB0CABC" w14:textId="77777777" w:rsidTr="00990918">
        <w:tc>
          <w:tcPr>
            <w:tcW w:w="1942" w:type="dxa"/>
            <w:shd w:val="clear" w:color="auto" w:fill="auto"/>
          </w:tcPr>
          <w:p w14:paraId="6D3F7C2C" w14:textId="77777777" w:rsidR="00E976AB" w:rsidRPr="00FD27BC" w:rsidRDefault="00E976AB" w:rsidP="00990918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2" w:type="dxa"/>
            <w:shd w:val="clear" w:color="auto" w:fill="auto"/>
          </w:tcPr>
          <w:p w14:paraId="378BA037" w14:textId="77777777" w:rsidR="00E976AB" w:rsidRPr="00FD27BC" w:rsidRDefault="00E976AB" w:rsidP="00990918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028E3E1E" w14:textId="77777777" w:rsidR="00E976AB" w:rsidRPr="00FD27BC" w:rsidRDefault="00E976AB" w:rsidP="00990918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3" w:type="dxa"/>
            <w:shd w:val="clear" w:color="auto" w:fill="auto"/>
          </w:tcPr>
          <w:p w14:paraId="25F1BA19" w14:textId="77777777" w:rsidR="00E976AB" w:rsidRPr="00FD27BC" w:rsidRDefault="00E976AB" w:rsidP="00990918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3" w:type="dxa"/>
            <w:shd w:val="clear" w:color="auto" w:fill="auto"/>
          </w:tcPr>
          <w:p w14:paraId="457D2993" w14:textId="77777777" w:rsidR="00E976AB" w:rsidRPr="00FD27BC" w:rsidRDefault="00E976AB" w:rsidP="00990918">
            <w:pPr>
              <w:pStyle w:val="Normal-pool"/>
              <w:spacing w:before="520"/>
              <w:rPr>
                <w:lang w:val="fr-FR"/>
              </w:rPr>
            </w:pPr>
          </w:p>
        </w:tc>
      </w:tr>
    </w:tbl>
    <w:p w14:paraId="325E8270" w14:textId="77777777" w:rsidR="00032E4E" w:rsidRPr="00FD27BC" w:rsidRDefault="00032E4E" w:rsidP="00D013F5">
      <w:pPr>
        <w:pStyle w:val="Normal-pool"/>
        <w:rPr>
          <w:lang w:val="fr-FR"/>
        </w:rPr>
      </w:pPr>
    </w:p>
    <w:sectPr w:rsidR="00032E4E" w:rsidRPr="00FD27BC" w:rsidSect="00C771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FEF354" w14:textId="77777777" w:rsidR="00A746EB" w:rsidRDefault="00A746EB">
      <w:r>
        <w:separator/>
      </w:r>
    </w:p>
  </w:endnote>
  <w:endnote w:type="continuationSeparator" w:id="0">
    <w:p w14:paraId="4CF4191D" w14:textId="77777777" w:rsidR="00A746EB" w:rsidRDefault="00A74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AA827" w14:textId="03C7A12E" w:rsidR="000024A3" w:rsidRDefault="000024A3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D02CA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D48B7" w14:textId="77777777" w:rsidR="000024A3" w:rsidRDefault="000024A3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648D9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19573" w14:textId="02D2D4A8" w:rsidR="000024A3" w:rsidRPr="00D25175" w:rsidRDefault="000024A3">
    <w:pPr>
      <w:pStyle w:val="Footer"/>
      <w:rPr>
        <w:sz w:val="20"/>
      </w:rPr>
    </w:pPr>
    <w:r w:rsidRPr="00D25175">
      <w:rPr>
        <w:sz w:val="20"/>
      </w:rPr>
      <w:t>K1</w:t>
    </w:r>
    <w:r w:rsidR="0042266F" w:rsidRPr="00D25175">
      <w:rPr>
        <w:sz w:val="20"/>
      </w:rPr>
      <w:t>7</w:t>
    </w:r>
    <w:r w:rsidR="000B26FB">
      <w:rPr>
        <w:sz w:val="20"/>
      </w:rPr>
      <w:t>0</w:t>
    </w:r>
    <w:r w:rsidR="005272ED">
      <w:rPr>
        <w:sz w:val="20"/>
      </w:rPr>
      <w:t>7207</w:t>
    </w:r>
    <w:r w:rsidRPr="00D25175">
      <w:rPr>
        <w:sz w:val="20"/>
      </w:rPr>
      <w:tab/>
    </w:r>
    <w:r w:rsidR="00B83E7B">
      <w:rPr>
        <w:sz w:val="20"/>
      </w:rPr>
      <w:t>1007</w:t>
    </w:r>
    <w:r w:rsidR="00011A16" w:rsidRPr="00D25175">
      <w:rPr>
        <w:sz w:val="20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DF13E8" w14:textId="77777777" w:rsidR="00A746EB" w:rsidRDefault="00A746EB" w:rsidP="00D92DE0">
      <w:pPr>
        <w:ind w:left="624"/>
      </w:pPr>
      <w:r>
        <w:separator/>
      </w:r>
    </w:p>
  </w:footnote>
  <w:footnote w:type="continuationSeparator" w:id="0">
    <w:p w14:paraId="211B2F9F" w14:textId="77777777" w:rsidR="00A746EB" w:rsidRDefault="00A746EB">
      <w:r>
        <w:continuationSeparator/>
      </w:r>
    </w:p>
  </w:footnote>
  <w:footnote w:id="1">
    <w:p w14:paraId="20A25238" w14:textId="4C2E8D87" w:rsidR="005272ED" w:rsidRPr="005272ED" w:rsidRDefault="005272ED">
      <w:pPr>
        <w:pStyle w:val="FootnoteText"/>
        <w:rPr>
          <w:szCs w:val="18"/>
          <w:lang w:val="en-US"/>
        </w:rPr>
      </w:pPr>
      <w:r w:rsidRPr="005272ED">
        <w:rPr>
          <w:rStyle w:val="FootnoteReference"/>
          <w:sz w:val="18"/>
        </w:rPr>
        <w:t>*</w:t>
      </w:r>
      <w:r w:rsidRPr="005272ED">
        <w:rPr>
          <w:szCs w:val="18"/>
        </w:rPr>
        <w:t xml:space="preserve"> </w:t>
      </w:r>
      <w:r w:rsidRPr="005272ED">
        <w:rPr>
          <w:szCs w:val="18"/>
          <w:shd w:val="clear" w:color="auto" w:fill="FFFFFF"/>
        </w:rPr>
        <w:t>Nouveau tirage pour</w:t>
      </w:r>
      <w:r w:rsidRPr="005272ED">
        <w:rPr>
          <w:rStyle w:val="apple-converted-space"/>
          <w:szCs w:val="18"/>
          <w:shd w:val="clear" w:color="auto" w:fill="FFFFFF"/>
        </w:rPr>
        <w:t> </w:t>
      </w:r>
      <w:r w:rsidRPr="005272ED">
        <w:rPr>
          <w:rStyle w:val="Emphasis"/>
          <w:bCs/>
          <w:i w:val="0"/>
          <w:iCs w:val="0"/>
          <w:szCs w:val="18"/>
          <w:shd w:val="clear" w:color="auto" w:fill="FFFFFF"/>
        </w:rPr>
        <w:t>raisons techniques</w:t>
      </w:r>
      <w:r>
        <w:rPr>
          <w:rStyle w:val="Emphasis"/>
          <w:bCs/>
          <w:i w:val="0"/>
          <w:iCs w:val="0"/>
          <w:szCs w:val="18"/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F4E3A" w14:textId="13CE69E2" w:rsidR="000024A3" w:rsidRPr="00CA5CA9" w:rsidRDefault="000024A3" w:rsidP="006B4C09">
    <w:pPr>
      <w:pStyle w:val="Header-pool"/>
    </w:pPr>
    <w:r w:rsidRPr="00CA5CA9">
      <w:rPr>
        <w:bCs/>
      </w:rPr>
      <w:t>UNEP</w:t>
    </w:r>
    <w:r w:rsidRPr="00CA5CA9">
      <w:t>/</w:t>
    </w:r>
    <w:r w:rsidR="001646EA">
      <w:t>MC</w:t>
    </w:r>
    <w:r w:rsidRPr="00CA5CA9">
      <w:t>/</w:t>
    </w:r>
    <w:r w:rsidR="001646EA">
      <w:t>COP.1</w:t>
    </w:r>
    <w:r w:rsidRPr="00CA5CA9">
      <w:t>/</w:t>
    </w:r>
    <w:r w:rsidR="001646EA"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91C51" w14:textId="43EE345D" w:rsidR="000024A3" w:rsidRPr="00CA5CA9" w:rsidRDefault="00A746EB" w:rsidP="00F7137B">
    <w:pPr>
      <w:pStyle w:val="Header"/>
      <w:jc w:val="right"/>
      <w:rPr>
        <w:szCs w:val="18"/>
      </w:rPr>
    </w:pPr>
    <w:r>
      <w:rPr>
        <w:noProof/>
        <w:lang w:val="en-GB"/>
      </w:rPr>
      <w:pict w14:anchorId="0AF715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69929" o:spid="_x0000_s2051" type="#_x0000_t136" style="position:absolute;left:0;text-align:left;margin-left:0;margin-top:0;width:520.65pt;height:148.75pt;rotation:315;z-index:-251658752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ADVANCE"/>
          <w10:wrap anchorx="margin" anchory="margin"/>
        </v:shape>
      </w:pict>
    </w:r>
    <w:r w:rsidR="000024A3" w:rsidRPr="00CA5CA9">
      <w:rPr>
        <w:bCs/>
        <w:szCs w:val="18"/>
      </w:rPr>
      <w:t>UNEP</w:t>
    </w:r>
    <w:r w:rsidR="00F7137B" w:rsidRPr="00CA5CA9">
      <w:rPr>
        <w:szCs w:val="18"/>
      </w:rPr>
      <w:t>/</w:t>
    </w:r>
    <w:r w:rsidR="00F7137B">
      <w:rPr>
        <w:szCs w:val="18"/>
      </w:rPr>
      <w:t>MC</w:t>
    </w:r>
    <w:r w:rsidR="00F7137B" w:rsidRPr="00CA5CA9">
      <w:rPr>
        <w:szCs w:val="18"/>
      </w:rPr>
      <w:t>/</w:t>
    </w:r>
    <w:r w:rsidR="00F7137B">
      <w:rPr>
        <w:szCs w:val="18"/>
      </w:rPr>
      <w:t>COP.1</w:t>
    </w:r>
    <w:r w:rsidR="00F7137B" w:rsidRPr="00CA5CA9">
      <w:rPr>
        <w:szCs w:val="18"/>
      </w:rPr>
      <w:t>/</w:t>
    </w:r>
    <w:r w:rsidR="00F7137B">
      <w:rPr>
        <w:szCs w:val="18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28784" w14:textId="70C0CA95" w:rsidR="000024A3" w:rsidRDefault="000024A3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">
    <w:nsid w:val="62291BF8"/>
    <w:multiLevelType w:val="multilevel"/>
    <w:tmpl w:val="F4ACF36E"/>
    <w:numStyleLink w:val="Normallist"/>
  </w:abstractNum>
  <w:num w:numId="1">
    <w:abstractNumId w:val="3"/>
  </w:num>
  <w:num w:numId="2">
    <w:abstractNumId w:val="0"/>
  </w:num>
  <w:num w:numId="3">
    <w:abstractNumId w:val="2"/>
  </w:num>
  <w:num w:numId="4">
    <w:abstractNumId w:val="3"/>
  </w:num>
  <w:num w:numId="5">
    <w:abstractNumId w:val="3"/>
  </w:num>
  <w:num w:numId="6">
    <w:abstractNumId w:val="1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0"/>
  </w:num>
  <w:num w:numId="37">
    <w:abstractNumId w:val="2"/>
  </w:num>
  <w:num w:numId="38">
    <w:abstractNumId w:val="3"/>
  </w:num>
  <w:num w:numId="39">
    <w:abstractNumId w:val="4"/>
  </w:num>
  <w:num w:numId="4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fr-CA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7F"/>
    <w:rsid w:val="00000E4A"/>
    <w:rsid w:val="000024A3"/>
    <w:rsid w:val="000077AD"/>
    <w:rsid w:val="00011A16"/>
    <w:rsid w:val="000149E6"/>
    <w:rsid w:val="00023DA9"/>
    <w:rsid w:val="000247B0"/>
    <w:rsid w:val="00026997"/>
    <w:rsid w:val="00026A08"/>
    <w:rsid w:val="00032E4E"/>
    <w:rsid w:val="00033E0B"/>
    <w:rsid w:val="00035EDE"/>
    <w:rsid w:val="000509B4"/>
    <w:rsid w:val="0006035B"/>
    <w:rsid w:val="0006096F"/>
    <w:rsid w:val="000649C5"/>
    <w:rsid w:val="00071886"/>
    <w:rsid w:val="00073EAE"/>
    <w:rsid w:val="000742BC"/>
    <w:rsid w:val="00076CC6"/>
    <w:rsid w:val="0007707B"/>
    <w:rsid w:val="00082A0C"/>
    <w:rsid w:val="00083504"/>
    <w:rsid w:val="00086E40"/>
    <w:rsid w:val="0009640C"/>
    <w:rsid w:val="000B22A2"/>
    <w:rsid w:val="000B26FB"/>
    <w:rsid w:val="000B73F9"/>
    <w:rsid w:val="000C2A52"/>
    <w:rsid w:val="000C2A88"/>
    <w:rsid w:val="000D33C0"/>
    <w:rsid w:val="000D4CF6"/>
    <w:rsid w:val="000D6941"/>
    <w:rsid w:val="000F4829"/>
    <w:rsid w:val="00105827"/>
    <w:rsid w:val="001202E3"/>
    <w:rsid w:val="00123699"/>
    <w:rsid w:val="001241FB"/>
    <w:rsid w:val="0013059D"/>
    <w:rsid w:val="00136187"/>
    <w:rsid w:val="00141A55"/>
    <w:rsid w:val="0014293F"/>
    <w:rsid w:val="0014397D"/>
    <w:rsid w:val="001446A3"/>
    <w:rsid w:val="00152B6B"/>
    <w:rsid w:val="00155395"/>
    <w:rsid w:val="00155A2F"/>
    <w:rsid w:val="00156B6B"/>
    <w:rsid w:val="00160D74"/>
    <w:rsid w:val="001646EA"/>
    <w:rsid w:val="00164E5A"/>
    <w:rsid w:val="00167D02"/>
    <w:rsid w:val="001759D8"/>
    <w:rsid w:val="00177D7F"/>
    <w:rsid w:val="00180C3F"/>
    <w:rsid w:val="00181EC8"/>
    <w:rsid w:val="00184349"/>
    <w:rsid w:val="00195F33"/>
    <w:rsid w:val="001B1617"/>
    <w:rsid w:val="001B504B"/>
    <w:rsid w:val="001B6F98"/>
    <w:rsid w:val="001C191A"/>
    <w:rsid w:val="001D3874"/>
    <w:rsid w:val="001D7E75"/>
    <w:rsid w:val="001E0D73"/>
    <w:rsid w:val="001E45BD"/>
    <w:rsid w:val="001E56D2"/>
    <w:rsid w:val="001E7D56"/>
    <w:rsid w:val="001F75DE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34E78"/>
    <w:rsid w:val="00243D36"/>
    <w:rsid w:val="00246151"/>
    <w:rsid w:val="00247707"/>
    <w:rsid w:val="00247D22"/>
    <w:rsid w:val="00255D9A"/>
    <w:rsid w:val="0026018E"/>
    <w:rsid w:val="0027029C"/>
    <w:rsid w:val="00286740"/>
    <w:rsid w:val="00286BD3"/>
    <w:rsid w:val="00291EAE"/>
    <w:rsid w:val="002929D8"/>
    <w:rsid w:val="002A237D"/>
    <w:rsid w:val="002A4C53"/>
    <w:rsid w:val="002B0672"/>
    <w:rsid w:val="002B1420"/>
    <w:rsid w:val="002B247F"/>
    <w:rsid w:val="002B50D4"/>
    <w:rsid w:val="002B58BF"/>
    <w:rsid w:val="002C145D"/>
    <w:rsid w:val="002C1B41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2D34"/>
    <w:rsid w:val="0031413F"/>
    <w:rsid w:val="00314854"/>
    <w:rsid w:val="003148BB"/>
    <w:rsid w:val="00317976"/>
    <w:rsid w:val="00320F2F"/>
    <w:rsid w:val="0032457E"/>
    <w:rsid w:val="00325D38"/>
    <w:rsid w:val="0035277E"/>
    <w:rsid w:val="00355EA9"/>
    <w:rsid w:val="003578DE"/>
    <w:rsid w:val="00361688"/>
    <w:rsid w:val="003877D5"/>
    <w:rsid w:val="003929B8"/>
    <w:rsid w:val="00393432"/>
    <w:rsid w:val="00396257"/>
    <w:rsid w:val="00397EB8"/>
    <w:rsid w:val="003A4FD0"/>
    <w:rsid w:val="003A69D1"/>
    <w:rsid w:val="003A7705"/>
    <w:rsid w:val="003A77F1"/>
    <w:rsid w:val="003B1545"/>
    <w:rsid w:val="003C3219"/>
    <w:rsid w:val="003C409D"/>
    <w:rsid w:val="003C5583"/>
    <w:rsid w:val="003C5BA6"/>
    <w:rsid w:val="003C74CF"/>
    <w:rsid w:val="003D3752"/>
    <w:rsid w:val="003E35DA"/>
    <w:rsid w:val="003E455D"/>
    <w:rsid w:val="003E54D3"/>
    <w:rsid w:val="003E57B8"/>
    <w:rsid w:val="003F0E85"/>
    <w:rsid w:val="003F5FAB"/>
    <w:rsid w:val="00410C55"/>
    <w:rsid w:val="00416854"/>
    <w:rsid w:val="00417725"/>
    <w:rsid w:val="0042266F"/>
    <w:rsid w:val="00437F26"/>
    <w:rsid w:val="00444097"/>
    <w:rsid w:val="00445487"/>
    <w:rsid w:val="00447E0D"/>
    <w:rsid w:val="00453EA8"/>
    <w:rsid w:val="00454769"/>
    <w:rsid w:val="00466991"/>
    <w:rsid w:val="0047064C"/>
    <w:rsid w:val="004822B7"/>
    <w:rsid w:val="0049469E"/>
    <w:rsid w:val="004A2217"/>
    <w:rsid w:val="004A24F9"/>
    <w:rsid w:val="004A42E1"/>
    <w:rsid w:val="004B162C"/>
    <w:rsid w:val="004B2ABE"/>
    <w:rsid w:val="004B4A7C"/>
    <w:rsid w:val="004C3DBE"/>
    <w:rsid w:val="004C5C96"/>
    <w:rsid w:val="004D06A4"/>
    <w:rsid w:val="004F1A81"/>
    <w:rsid w:val="005050D2"/>
    <w:rsid w:val="005218D9"/>
    <w:rsid w:val="005272ED"/>
    <w:rsid w:val="00536186"/>
    <w:rsid w:val="00536E36"/>
    <w:rsid w:val="00544CBB"/>
    <w:rsid w:val="00551B65"/>
    <w:rsid w:val="00556704"/>
    <w:rsid w:val="005656D7"/>
    <w:rsid w:val="0057315F"/>
    <w:rsid w:val="00576104"/>
    <w:rsid w:val="00582B57"/>
    <w:rsid w:val="00586418"/>
    <w:rsid w:val="00592B21"/>
    <w:rsid w:val="005B44BF"/>
    <w:rsid w:val="005C67C8"/>
    <w:rsid w:val="005D0249"/>
    <w:rsid w:val="005D18FA"/>
    <w:rsid w:val="005D4FD4"/>
    <w:rsid w:val="005D6E8C"/>
    <w:rsid w:val="005E3004"/>
    <w:rsid w:val="005F100C"/>
    <w:rsid w:val="005F68DA"/>
    <w:rsid w:val="005F7419"/>
    <w:rsid w:val="00601BC9"/>
    <w:rsid w:val="0060773B"/>
    <w:rsid w:val="00613FD6"/>
    <w:rsid w:val="006157B5"/>
    <w:rsid w:val="00617224"/>
    <w:rsid w:val="00626FC6"/>
    <w:rsid w:val="0062743E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3796"/>
    <w:rsid w:val="00654475"/>
    <w:rsid w:val="00656DF0"/>
    <w:rsid w:val="00665A4B"/>
    <w:rsid w:val="00673471"/>
    <w:rsid w:val="00692E2A"/>
    <w:rsid w:val="0069496A"/>
    <w:rsid w:val="006A76F2"/>
    <w:rsid w:val="006B4C09"/>
    <w:rsid w:val="006B7D29"/>
    <w:rsid w:val="006D02CA"/>
    <w:rsid w:val="006D19D4"/>
    <w:rsid w:val="006D5644"/>
    <w:rsid w:val="006D572B"/>
    <w:rsid w:val="006D7EFB"/>
    <w:rsid w:val="006E6672"/>
    <w:rsid w:val="006E6722"/>
    <w:rsid w:val="006F7AFF"/>
    <w:rsid w:val="007027B9"/>
    <w:rsid w:val="007066B5"/>
    <w:rsid w:val="007079E7"/>
    <w:rsid w:val="007145DA"/>
    <w:rsid w:val="00715E88"/>
    <w:rsid w:val="007320CA"/>
    <w:rsid w:val="00734CAA"/>
    <w:rsid w:val="00740EE2"/>
    <w:rsid w:val="00742680"/>
    <w:rsid w:val="0075533C"/>
    <w:rsid w:val="00757581"/>
    <w:rsid w:val="007602F5"/>
    <w:rsid w:val="00760D36"/>
    <w:rsid w:val="007611A0"/>
    <w:rsid w:val="00772574"/>
    <w:rsid w:val="00772BD1"/>
    <w:rsid w:val="00773E54"/>
    <w:rsid w:val="00787688"/>
    <w:rsid w:val="007935E6"/>
    <w:rsid w:val="00796D3F"/>
    <w:rsid w:val="007A1683"/>
    <w:rsid w:val="007A5C12"/>
    <w:rsid w:val="007A7CB0"/>
    <w:rsid w:val="007B68A3"/>
    <w:rsid w:val="007C2541"/>
    <w:rsid w:val="007D66A8"/>
    <w:rsid w:val="007E003F"/>
    <w:rsid w:val="007F0CF8"/>
    <w:rsid w:val="007F62CB"/>
    <w:rsid w:val="008142EC"/>
    <w:rsid w:val="008164F2"/>
    <w:rsid w:val="00821395"/>
    <w:rsid w:val="00830E26"/>
    <w:rsid w:val="00843576"/>
    <w:rsid w:val="00843B64"/>
    <w:rsid w:val="008478FC"/>
    <w:rsid w:val="00851C51"/>
    <w:rsid w:val="0085231B"/>
    <w:rsid w:val="00867BFF"/>
    <w:rsid w:val="00871542"/>
    <w:rsid w:val="00872BF6"/>
    <w:rsid w:val="0088480A"/>
    <w:rsid w:val="0088757A"/>
    <w:rsid w:val="0089431B"/>
    <w:rsid w:val="00895668"/>
    <w:rsid w:val="008957DD"/>
    <w:rsid w:val="00897D98"/>
    <w:rsid w:val="008A6DF2"/>
    <w:rsid w:val="008A7807"/>
    <w:rsid w:val="008B446F"/>
    <w:rsid w:val="008B4CC9"/>
    <w:rsid w:val="008C0B15"/>
    <w:rsid w:val="008D75E4"/>
    <w:rsid w:val="008D7C99"/>
    <w:rsid w:val="008E0FCB"/>
    <w:rsid w:val="008F6DFE"/>
    <w:rsid w:val="0090529F"/>
    <w:rsid w:val="00921098"/>
    <w:rsid w:val="0092178C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6A53"/>
    <w:rsid w:val="00967621"/>
    <w:rsid w:val="00967E6A"/>
    <w:rsid w:val="00973495"/>
    <w:rsid w:val="00983763"/>
    <w:rsid w:val="009907B9"/>
    <w:rsid w:val="00990918"/>
    <w:rsid w:val="009A3A83"/>
    <w:rsid w:val="009B4A0F"/>
    <w:rsid w:val="009C11D2"/>
    <w:rsid w:val="009C6C70"/>
    <w:rsid w:val="009C7B0A"/>
    <w:rsid w:val="009D0B63"/>
    <w:rsid w:val="009D5CB8"/>
    <w:rsid w:val="009E307E"/>
    <w:rsid w:val="009F4431"/>
    <w:rsid w:val="00A002CD"/>
    <w:rsid w:val="00A07870"/>
    <w:rsid w:val="00A07C54"/>
    <w:rsid w:val="00A07F19"/>
    <w:rsid w:val="00A1348D"/>
    <w:rsid w:val="00A13C99"/>
    <w:rsid w:val="00A232EE"/>
    <w:rsid w:val="00A4175F"/>
    <w:rsid w:val="00A44411"/>
    <w:rsid w:val="00A469FA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746EB"/>
    <w:rsid w:val="00A8048B"/>
    <w:rsid w:val="00A80611"/>
    <w:rsid w:val="00A84E43"/>
    <w:rsid w:val="00AA5BF4"/>
    <w:rsid w:val="00AB5340"/>
    <w:rsid w:val="00AC0A89"/>
    <w:rsid w:val="00AC7C96"/>
    <w:rsid w:val="00AE0812"/>
    <w:rsid w:val="00AE237D"/>
    <w:rsid w:val="00AE502A"/>
    <w:rsid w:val="00AF0010"/>
    <w:rsid w:val="00AF2C1F"/>
    <w:rsid w:val="00AF7C07"/>
    <w:rsid w:val="00B06C64"/>
    <w:rsid w:val="00B11CAC"/>
    <w:rsid w:val="00B15A29"/>
    <w:rsid w:val="00B22C93"/>
    <w:rsid w:val="00B26B97"/>
    <w:rsid w:val="00B27589"/>
    <w:rsid w:val="00B405B7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79E1"/>
    <w:rsid w:val="00B81E3A"/>
    <w:rsid w:val="00B83E7B"/>
    <w:rsid w:val="00B85CFB"/>
    <w:rsid w:val="00B86FA6"/>
    <w:rsid w:val="00B914E9"/>
    <w:rsid w:val="00B91EE1"/>
    <w:rsid w:val="00B94602"/>
    <w:rsid w:val="00BA0090"/>
    <w:rsid w:val="00BA1A67"/>
    <w:rsid w:val="00BA6A80"/>
    <w:rsid w:val="00BB4ABB"/>
    <w:rsid w:val="00BC62BA"/>
    <w:rsid w:val="00BE5B5F"/>
    <w:rsid w:val="00BE7993"/>
    <w:rsid w:val="00C26F55"/>
    <w:rsid w:val="00C30C63"/>
    <w:rsid w:val="00C30FF3"/>
    <w:rsid w:val="00C36B8B"/>
    <w:rsid w:val="00C415C1"/>
    <w:rsid w:val="00C47DBF"/>
    <w:rsid w:val="00C552FF"/>
    <w:rsid w:val="00C558DA"/>
    <w:rsid w:val="00C55AF3"/>
    <w:rsid w:val="00C648D9"/>
    <w:rsid w:val="00C771A9"/>
    <w:rsid w:val="00C84759"/>
    <w:rsid w:val="00C93096"/>
    <w:rsid w:val="00CA5CA9"/>
    <w:rsid w:val="00CA6C7F"/>
    <w:rsid w:val="00CB60CA"/>
    <w:rsid w:val="00CC0FC7"/>
    <w:rsid w:val="00CC10A6"/>
    <w:rsid w:val="00CD5EB8"/>
    <w:rsid w:val="00CD7044"/>
    <w:rsid w:val="00CE08B9"/>
    <w:rsid w:val="00CE3515"/>
    <w:rsid w:val="00CE524C"/>
    <w:rsid w:val="00CF141F"/>
    <w:rsid w:val="00CF4777"/>
    <w:rsid w:val="00CF65C8"/>
    <w:rsid w:val="00D013F5"/>
    <w:rsid w:val="00D05E3F"/>
    <w:rsid w:val="00D067BB"/>
    <w:rsid w:val="00D1352A"/>
    <w:rsid w:val="00D1638E"/>
    <w:rsid w:val="00D169AF"/>
    <w:rsid w:val="00D23804"/>
    <w:rsid w:val="00D25175"/>
    <w:rsid w:val="00D25249"/>
    <w:rsid w:val="00D26854"/>
    <w:rsid w:val="00D44172"/>
    <w:rsid w:val="00D47BE3"/>
    <w:rsid w:val="00D63B8C"/>
    <w:rsid w:val="00D739CC"/>
    <w:rsid w:val="00D806F9"/>
    <w:rsid w:val="00D8093D"/>
    <w:rsid w:val="00D8108C"/>
    <w:rsid w:val="00D842AE"/>
    <w:rsid w:val="00D9211C"/>
    <w:rsid w:val="00D92DE0"/>
    <w:rsid w:val="00D92FEF"/>
    <w:rsid w:val="00D931F9"/>
    <w:rsid w:val="00D93A0F"/>
    <w:rsid w:val="00DA1BCA"/>
    <w:rsid w:val="00DA3663"/>
    <w:rsid w:val="00DC46FF"/>
    <w:rsid w:val="00DC5254"/>
    <w:rsid w:val="00DC569D"/>
    <w:rsid w:val="00DC7E4B"/>
    <w:rsid w:val="00DD1A4F"/>
    <w:rsid w:val="00DD3107"/>
    <w:rsid w:val="00DD7C2C"/>
    <w:rsid w:val="00DE5BDA"/>
    <w:rsid w:val="00DF433C"/>
    <w:rsid w:val="00DF519F"/>
    <w:rsid w:val="00E0035A"/>
    <w:rsid w:val="00E06797"/>
    <w:rsid w:val="00E1265B"/>
    <w:rsid w:val="00E12E09"/>
    <w:rsid w:val="00E13B48"/>
    <w:rsid w:val="00E1404F"/>
    <w:rsid w:val="00E21C83"/>
    <w:rsid w:val="00E24ADA"/>
    <w:rsid w:val="00E32F59"/>
    <w:rsid w:val="00E41908"/>
    <w:rsid w:val="00E46D9A"/>
    <w:rsid w:val="00E565FF"/>
    <w:rsid w:val="00E65388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A5CE4"/>
    <w:rsid w:val="00EC1068"/>
    <w:rsid w:val="00EC2813"/>
    <w:rsid w:val="00EC5A46"/>
    <w:rsid w:val="00EC63E2"/>
    <w:rsid w:val="00ED0225"/>
    <w:rsid w:val="00ED366A"/>
    <w:rsid w:val="00ED6BB7"/>
    <w:rsid w:val="00EF22B3"/>
    <w:rsid w:val="00F03B69"/>
    <w:rsid w:val="00F07A50"/>
    <w:rsid w:val="00F113DA"/>
    <w:rsid w:val="00F120E7"/>
    <w:rsid w:val="00F266FC"/>
    <w:rsid w:val="00F3037A"/>
    <w:rsid w:val="00F3465A"/>
    <w:rsid w:val="00F37DC8"/>
    <w:rsid w:val="00F439B3"/>
    <w:rsid w:val="00F650C3"/>
    <w:rsid w:val="00F65D85"/>
    <w:rsid w:val="00F6700B"/>
    <w:rsid w:val="00F7137B"/>
    <w:rsid w:val="00F75460"/>
    <w:rsid w:val="00F8091E"/>
    <w:rsid w:val="00F8615C"/>
    <w:rsid w:val="00F969E5"/>
    <w:rsid w:val="00FA4972"/>
    <w:rsid w:val="00FA6BB0"/>
    <w:rsid w:val="00FB2DBD"/>
    <w:rsid w:val="00FD27BC"/>
    <w:rsid w:val="00FD48DF"/>
    <w:rsid w:val="00FD5860"/>
    <w:rsid w:val="00FE352D"/>
    <w:rsid w:val="00FE40EB"/>
    <w:rsid w:val="00FE4D02"/>
    <w:rsid w:val="00FE7D62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64406B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E40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number"/>
    <w:qFormat/>
    <w:rsid w:val="00086E40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86E40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86E40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86E40"/>
    <w:pPr>
      <w:keepNext/>
      <w:outlineLvl w:val="3"/>
    </w:pPr>
  </w:style>
  <w:style w:type="paragraph" w:styleId="Heading5">
    <w:name w:val="heading 5"/>
    <w:basedOn w:val="Normal"/>
    <w:next w:val="Normal"/>
    <w:qFormat/>
    <w:rsid w:val="00086E40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86E40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86E40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86E40"/>
    <w:pPr>
      <w:keepNext/>
      <w:widowControl w:val="0"/>
      <w:numPr>
        <w:numId w:val="36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86E40"/>
    <w:pPr>
      <w:keepNext/>
      <w:widowControl w:val="0"/>
      <w:numPr>
        <w:numId w:val="37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86E40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086E40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086E40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086E4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rsid w:val="00086E40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rsid w:val="00086E4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086E4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086E40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086E4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086E40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086E4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086E4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paragraph" w:customStyle="1" w:styleId="Footer-pool">
    <w:name w:val="Footer-pool"/>
    <w:basedOn w:val="Normal-pool"/>
    <w:next w:val="Normal-pool"/>
    <w:rsid w:val="00086E40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086E4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086E4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character" w:styleId="FootnoteReference">
    <w:name w:val="footnote reference"/>
    <w:semiHidden/>
    <w:rsid w:val="00086E40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rsid w:val="00086E40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link w:val="FootnoteText"/>
    <w:locked/>
    <w:rsid w:val="0014293F"/>
    <w:rPr>
      <w:sz w:val="18"/>
      <w:lang w:val="fr-CA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086E40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086E40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086E40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086E40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086E40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86E4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86E40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086E40"/>
    <w:pPr>
      <w:numPr>
        <w:numId w:val="1"/>
      </w:numPr>
    </w:pPr>
  </w:style>
  <w:style w:type="paragraph" w:customStyle="1" w:styleId="NormalNonumber">
    <w:name w:val="Normal_No_number"/>
    <w:basedOn w:val="Normalpool"/>
    <w:rsid w:val="00086E40"/>
    <w:pPr>
      <w:spacing w:after="120"/>
      <w:ind w:left="1247"/>
    </w:pPr>
  </w:style>
  <w:style w:type="paragraph" w:customStyle="1" w:styleId="Normalnumber">
    <w:name w:val="Normal_number"/>
    <w:basedOn w:val="Normalpool"/>
    <w:rsid w:val="00086E40"/>
    <w:pPr>
      <w:numPr>
        <w:numId w:val="39"/>
      </w:numPr>
      <w:spacing w:after="120"/>
    </w:pPr>
  </w:style>
  <w:style w:type="paragraph" w:customStyle="1" w:styleId="Titletable">
    <w:name w:val="Title_table"/>
    <w:basedOn w:val="Normalpool"/>
    <w:rsid w:val="00086E40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86E40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86E40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86E40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86E40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086E40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086E40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uiPriority w:val="20"/>
    <w:qFormat/>
    <w:rsid w:val="00155A2F"/>
    <w:rPr>
      <w:i/>
      <w:iCs/>
    </w:rPr>
  </w:style>
  <w:style w:type="character" w:customStyle="1" w:styleId="apple-converted-space">
    <w:name w:val="apple-converted-space"/>
    <w:basedOn w:val="DefaultParagraphFont"/>
    <w:rsid w:val="005272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E40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number"/>
    <w:qFormat/>
    <w:rsid w:val="00086E40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86E40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86E40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86E40"/>
    <w:pPr>
      <w:keepNext/>
      <w:outlineLvl w:val="3"/>
    </w:pPr>
  </w:style>
  <w:style w:type="paragraph" w:styleId="Heading5">
    <w:name w:val="heading 5"/>
    <w:basedOn w:val="Normal"/>
    <w:next w:val="Normal"/>
    <w:qFormat/>
    <w:rsid w:val="00086E40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86E40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86E40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86E40"/>
    <w:pPr>
      <w:keepNext/>
      <w:widowControl w:val="0"/>
      <w:numPr>
        <w:numId w:val="36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86E40"/>
    <w:pPr>
      <w:keepNext/>
      <w:widowControl w:val="0"/>
      <w:numPr>
        <w:numId w:val="37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86E40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086E40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086E40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086E4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rsid w:val="00086E40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rsid w:val="00086E4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086E4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086E40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086E4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086E40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086E4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086E4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paragraph" w:customStyle="1" w:styleId="Footer-pool">
    <w:name w:val="Footer-pool"/>
    <w:basedOn w:val="Normal-pool"/>
    <w:next w:val="Normal-pool"/>
    <w:rsid w:val="00086E40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086E4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086E4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character" w:styleId="FootnoteReference">
    <w:name w:val="footnote reference"/>
    <w:semiHidden/>
    <w:rsid w:val="00086E40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rsid w:val="00086E40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link w:val="FootnoteText"/>
    <w:locked/>
    <w:rsid w:val="0014293F"/>
    <w:rPr>
      <w:sz w:val="18"/>
      <w:lang w:val="fr-CA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086E40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086E40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086E40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086E40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086E40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86E4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86E40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086E40"/>
    <w:pPr>
      <w:numPr>
        <w:numId w:val="1"/>
      </w:numPr>
    </w:pPr>
  </w:style>
  <w:style w:type="paragraph" w:customStyle="1" w:styleId="NormalNonumber">
    <w:name w:val="Normal_No_number"/>
    <w:basedOn w:val="Normalpool"/>
    <w:rsid w:val="00086E40"/>
    <w:pPr>
      <w:spacing w:after="120"/>
      <w:ind w:left="1247"/>
    </w:pPr>
  </w:style>
  <w:style w:type="paragraph" w:customStyle="1" w:styleId="Normalnumber">
    <w:name w:val="Normal_number"/>
    <w:basedOn w:val="Normalpool"/>
    <w:rsid w:val="00086E40"/>
    <w:pPr>
      <w:numPr>
        <w:numId w:val="39"/>
      </w:numPr>
      <w:spacing w:after="120"/>
    </w:pPr>
  </w:style>
  <w:style w:type="paragraph" w:customStyle="1" w:styleId="Titletable">
    <w:name w:val="Title_table"/>
    <w:basedOn w:val="Normalpool"/>
    <w:rsid w:val="00086E40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86E40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86E40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86E40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86E40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086E40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086E40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uiPriority w:val="20"/>
    <w:qFormat/>
    <w:rsid w:val="00155A2F"/>
    <w:rPr>
      <w:i/>
      <w:iCs/>
    </w:rPr>
  </w:style>
  <w:style w:type="character" w:customStyle="1" w:styleId="apple-converted-space">
    <w:name w:val="apple-converted-space"/>
    <w:basedOn w:val="DefaultParagraphFont"/>
    <w:rsid w:val="00527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84625-1631-46DF-B695-5815EFC17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LOGAN</cp:lastModifiedBy>
  <cp:revision>2</cp:revision>
  <cp:lastPrinted>2017-07-10T09:28:00Z</cp:lastPrinted>
  <dcterms:created xsi:type="dcterms:W3CDTF">2017-07-10T15:44:00Z</dcterms:created>
  <dcterms:modified xsi:type="dcterms:W3CDTF">2017-07-10T15:44:00Z</dcterms:modified>
</cp:coreProperties>
</file>