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52568F" w:rsidRPr="00361139" w14:paraId="469A7670" w14:textId="77777777" w:rsidTr="00EB0ED1">
        <w:trPr>
          <w:trHeight w:val="850"/>
        </w:trPr>
        <w:tc>
          <w:tcPr>
            <w:tcW w:w="1559" w:type="dxa"/>
            <w:shd w:val="clear" w:color="auto" w:fill="auto"/>
          </w:tcPr>
          <w:p w14:paraId="36C4467A" w14:textId="77777777" w:rsidR="0052568F" w:rsidRPr="00361139" w:rsidRDefault="0052568F" w:rsidP="00ED627D">
            <w:pPr>
              <w:pStyle w:val="AUnitedNations"/>
              <w:rPr>
                <w:lang w:val="en-GB"/>
              </w:rPr>
            </w:pPr>
            <w:r w:rsidRPr="00361139">
              <w:rPr>
                <w:lang w:val="en-GB"/>
              </w:rPr>
              <w:t xml:space="preserve">UNITED </w:t>
            </w:r>
            <w:r w:rsidRPr="00361139">
              <w:rPr>
                <w:lang w:val="en-GB"/>
              </w:rPr>
              <w:br/>
              <w:t>NATIONS</w:t>
            </w:r>
          </w:p>
        </w:tc>
        <w:tc>
          <w:tcPr>
            <w:tcW w:w="6520" w:type="dxa"/>
            <w:shd w:val="clear" w:color="auto" w:fill="auto"/>
          </w:tcPr>
          <w:p w14:paraId="22D08D2A" w14:textId="77777777" w:rsidR="0052568F" w:rsidRPr="00361139" w:rsidRDefault="0052568F" w:rsidP="00EB0ED1">
            <w:pPr>
              <w:pStyle w:val="Normal-pool"/>
              <w:rPr>
                <w:lang w:val="en-GB"/>
              </w:rPr>
            </w:pPr>
            <w:r w:rsidRPr="00361139">
              <w:rPr>
                <w:noProof/>
                <w:lang w:val="en-GB"/>
                <w14:ligatures w14:val="standardContextual"/>
              </w:rPr>
              <w:drawing>
                <wp:anchor distT="0" distB="0" distL="114300" distR="114300" simplePos="0" relativeHeight="251658240" behindDoc="0" locked="0" layoutInCell="1" allowOverlap="1" wp14:anchorId="315E93C4" wp14:editId="1457A331">
                  <wp:simplePos x="0" y="0"/>
                  <wp:positionH relativeFrom="column">
                    <wp:posOffset>3175</wp:posOffset>
                  </wp:positionH>
                  <wp:positionV relativeFrom="paragraph">
                    <wp:posOffset>-4445</wp:posOffset>
                  </wp:positionV>
                  <wp:extent cx="1269153" cy="573559"/>
                  <wp:effectExtent l="0" t="0" r="7620" b="0"/>
                  <wp:wrapNone/>
                  <wp:docPr id="892530661" name="Picture 892530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35C44BBE" w14:textId="77777777" w:rsidR="0052568F" w:rsidRPr="00361139" w:rsidRDefault="0052568F" w:rsidP="00EB0ED1">
            <w:pPr>
              <w:pStyle w:val="Normal-pool"/>
              <w:rPr>
                <w:lang w:val="en-GB"/>
              </w:rPr>
            </w:pPr>
          </w:p>
        </w:tc>
      </w:tr>
    </w:tbl>
    <w:p w14:paraId="2EBE8C4B" w14:textId="77777777" w:rsidR="0052568F" w:rsidRPr="00361139" w:rsidRDefault="0052568F" w:rsidP="008144F7">
      <w:pPr>
        <w:pStyle w:val="ASpacer"/>
        <w:rPr>
          <w:lang w:val="en-GB"/>
        </w:rPr>
      </w:pPr>
    </w:p>
    <w:tbl>
      <w:tblPr>
        <w:tblW w:w="9496" w:type="dxa"/>
        <w:tblLook w:val="0000" w:firstRow="0" w:lastRow="0" w:firstColumn="0" w:lastColumn="0" w:noHBand="0" w:noVBand="0"/>
      </w:tblPr>
      <w:tblGrid>
        <w:gridCol w:w="6378"/>
        <w:gridCol w:w="3118"/>
      </w:tblGrid>
      <w:tr w:rsidR="0052568F" w:rsidRPr="00361139" w14:paraId="5D616612" w14:textId="77777777" w:rsidTr="00EB0ED1">
        <w:trPr>
          <w:trHeight w:val="340"/>
        </w:trPr>
        <w:tc>
          <w:tcPr>
            <w:tcW w:w="3358" w:type="pct"/>
            <w:shd w:val="clear" w:color="auto" w:fill="auto"/>
            <w:vAlign w:val="bottom"/>
          </w:tcPr>
          <w:p w14:paraId="5F18D869" w14:textId="77777777" w:rsidR="0052568F" w:rsidRPr="00361139" w:rsidRDefault="0052568F" w:rsidP="00EB0ED1">
            <w:pPr>
              <w:pStyle w:val="Normal-pool"/>
              <w:rPr>
                <w:lang w:val="en-GB"/>
              </w:rPr>
            </w:pPr>
          </w:p>
        </w:tc>
        <w:tc>
          <w:tcPr>
            <w:tcW w:w="1642" w:type="pct"/>
            <w:shd w:val="clear" w:color="auto" w:fill="auto"/>
            <w:noWrap/>
            <w:vAlign w:val="bottom"/>
          </w:tcPr>
          <w:p w14:paraId="573312B4" w14:textId="1311623B" w:rsidR="0052568F" w:rsidRPr="00361139" w:rsidRDefault="0052568F" w:rsidP="00EB0ED1">
            <w:pPr>
              <w:pStyle w:val="ASymbol"/>
            </w:pPr>
            <w:r w:rsidRPr="00361139">
              <w:rPr>
                <w:b/>
                <w:sz w:val="28"/>
              </w:rPr>
              <w:t>UNEP</w:t>
            </w:r>
            <w:r w:rsidRPr="00361139">
              <w:t>/MC/COP.</w:t>
            </w:r>
            <w:bookmarkStart w:id="0" w:name="Symbol1A"/>
            <w:r w:rsidRPr="00361139">
              <w:t>5</w:t>
            </w:r>
            <w:bookmarkStart w:id="1" w:name="Symbol1B"/>
            <w:bookmarkEnd w:id="0"/>
            <w:r w:rsidR="00CC73DD" w:rsidRPr="00361139">
              <w:t>/INF/17</w:t>
            </w:r>
            <w:bookmarkEnd w:id="1"/>
          </w:p>
        </w:tc>
      </w:tr>
    </w:tbl>
    <w:p w14:paraId="7C95A2D7" w14:textId="77777777" w:rsidR="0052568F" w:rsidRPr="00361139" w:rsidRDefault="0052568F" w:rsidP="008144F7">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52568F" w:rsidRPr="00361139" w14:paraId="60AB5D94" w14:textId="77777777" w:rsidTr="00EB0ED1">
        <w:trPr>
          <w:trHeight w:val="2098"/>
        </w:trPr>
        <w:tc>
          <w:tcPr>
            <w:tcW w:w="3685" w:type="dxa"/>
            <w:shd w:val="clear" w:color="auto" w:fill="auto"/>
          </w:tcPr>
          <w:p w14:paraId="13951E4D" w14:textId="77777777" w:rsidR="0052568F" w:rsidRPr="00361139" w:rsidRDefault="0052568F" w:rsidP="00EB0ED1">
            <w:pPr>
              <w:pStyle w:val="ALogo"/>
              <w:rPr>
                <w:lang w:val="en-GB"/>
              </w:rPr>
            </w:pPr>
            <w:r w:rsidRPr="00361139">
              <w:rPr>
                <w:noProof/>
                <w:lang w:val="en-GB"/>
                <w14:ligatures w14:val="standardContextual"/>
              </w:rPr>
              <w:drawing>
                <wp:inline distT="0" distB="0" distL="0" distR="0" wp14:anchorId="011C523E" wp14:editId="368BB3EB">
                  <wp:extent cx="2202815" cy="1028700"/>
                  <wp:effectExtent l="0" t="0" r="6985" b="0"/>
                  <wp:docPr id="1604585638" name="Picture 1604585638"/>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361139">
              <w:rPr>
                <w:lang w:val="en-GB"/>
              </w:rPr>
              <w:t xml:space="preserve"> </w:t>
            </w:r>
          </w:p>
          <w:p w14:paraId="5AB81DC1" w14:textId="77777777" w:rsidR="0052568F" w:rsidRPr="00361139" w:rsidRDefault="0052568F" w:rsidP="00EB0ED1">
            <w:pPr>
              <w:pStyle w:val="ALogo"/>
              <w:rPr>
                <w:lang w:val="en-GB"/>
              </w:rPr>
            </w:pPr>
          </w:p>
        </w:tc>
        <w:tc>
          <w:tcPr>
            <w:tcW w:w="2693" w:type="dxa"/>
            <w:shd w:val="clear" w:color="auto" w:fill="auto"/>
          </w:tcPr>
          <w:p w14:paraId="645A4E47" w14:textId="77777777" w:rsidR="0052568F" w:rsidRPr="00361139" w:rsidRDefault="0052568F" w:rsidP="00EB0ED1">
            <w:pPr>
              <w:pStyle w:val="Normal-pool"/>
              <w:rPr>
                <w:lang w:val="en-GB"/>
              </w:rPr>
            </w:pPr>
          </w:p>
        </w:tc>
        <w:tc>
          <w:tcPr>
            <w:tcW w:w="3118" w:type="dxa"/>
            <w:shd w:val="clear" w:color="auto" w:fill="auto"/>
          </w:tcPr>
          <w:p w14:paraId="7779D979" w14:textId="24957C3E" w:rsidR="0052568F" w:rsidRPr="00361139" w:rsidRDefault="0052568F" w:rsidP="00EB0ED1">
            <w:pPr>
              <w:pStyle w:val="AText"/>
              <w:rPr>
                <w:lang w:val="en-GB"/>
              </w:rPr>
            </w:pPr>
            <w:r w:rsidRPr="00361139">
              <w:rPr>
                <w:lang w:val="en-GB"/>
              </w:rPr>
              <w:t xml:space="preserve">Distr.: </w:t>
            </w:r>
            <w:bookmarkStart w:id="2" w:name="Distribution"/>
            <w:r w:rsidR="0018310F" w:rsidRPr="00361139">
              <w:rPr>
                <w:lang w:val="en-GB"/>
              </w:rPr>
              <w:t>General</w:t>
            </w:r>
            <w:bookmarkEnd w:id="2"/>
            <w:r w:rsidRPr="00361139">
              <w:rPr>
                <w:lang w:val="en-GB"/>
              </w:rPr>
              <w:t xml:space="preserve"> </w:t>
            </w:r>
          </w:p>
          <w:p w14:paraId="1898F570" w14:textId="5103938F" w:rsidR="0052568F" w:rsidRPr="00361139" w:rsidRDefault="00CC73DD" w:rsidP="00EB0ED1">
            <w:pPr>
              <w:pStyle w:val="AText0"/>
              <w:rPr>
                <w:lang w:val="en-GB"/>
              </w:rPr>
            </w:pPr>
            <w:bookmarkStart w:id="3" w:name="DistributionDate"/>
            <w:r w:rsidRPr="00361139">
              <w:rPr>
                <w:lang w:val="en-GB"/>
              </w:rPr>
              <w:t>6 July 2023</w:t>
            </w:r>
            <w:bookmarkEnd w:id="3"/>
            <w:r w:rsidR="0052568F" w:rsidRPr="00361139">
              <w:rPr>
                <w:lang w:val="en-GB"/>
              </w:rPr>
              <w:t xml:space="preserve"> </w:t>
            </w:r>
          </w:p>
          <w:p w14:paraId="3F0C948B" w14:textId="4EB9261D" w:rsidR="0052568F" w:rsidRPr="00361139" w:rsidRDefault="00A139CC" w:rsidP="00EB0ED1">
            <w:pPr>
              <w:pStyle w:val="AText"/>
              <w:rPr>
                <w:lang w:val="en-GB"/>
              </w:rPr>
            </w:pPr>
            <w:bookmarkStart w:id="4" w:name="DistributionLang"/>
            <w:r w:rsidRPr="00361139">
              <w:rPr>
                <w:lang w:val="en-GB"/>
              </w:rPr>
              <w:t>English only</w:t>
            </w:r>
            <w:bookmarkEnd w:id="4"/>
          </w:p>
        </w:tc>
      </w:tr>
    </w:tbl>
    <w:p w14:paraId="2931E2BD" w14:textId="77777777" w:rsidR="0052568F" w:rsidRPr="00361139" w:rsidRDefault="0052568F" w:rsidP="008144F7">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52568F" w:rsidRPr="00361139" w14:paraId="365B4DC1" w14:textId="77777777" w:rsidTr="00EB0ED1">
        <w:trPr>
          <w:trHeight w:val="57"/>
        </w:trPr>
        <w:tc>
          <w:tcPr>
            <w:tcW w:w="4734" w:type="dxa"/>
            <w:shd w:val="clear" w:color="auto" w:fill="auto"/>
          </w:tcPr>
          <w:p w14:paraId="79D43CAE" w14:textId="77777777" w:rsidR="0052568F" w:rsidRPr="00361139" w:rsidRDefault="0052568F" w:rsidP="00EB0ED1">
            <w:pPr>
              <w:pStyle w:val="AATitle"/>
              <w:rPr>
                <w:lang w:val="en-GB"/>
              </w:rPr>
            </w:pPr>
            <w:bookmarkStart w:id="5" w:name="CorNot1Text"/>
            <w:r w:rsidRPr="00361139">
              <w:rPr>
                <w:lang w:val="en-GB"/>
              </w:rPr>
              <w:t xml:space="preserve">Conference of the Parties to the </w:t>
            </w:r>
            <w:r w:rsidRPr="00361139">
              <w:rPr>
                <w:lang w:val="en-GB"/>
              </w:rPr>
              <w:br/>
              <w:t xml:space="preserve">Minamata Convention on Mercury </w:t>
            </w:r>
          </w:p>
          <w:p w14:paraId="5E28DF1D" w14:textId="77777777" w:rsidR="0052568F" w:rsidRPr="00361139" w:rsidRDefault="0052568F" w:rsidP="00EB0ED1">
            <w:pPr>
              <w:pStyle w:val="AATitle"/>
              <w:rPr>
                <w:lang w:val="en-GB"/>
              </w:rPr>
            </w:pPr>
            <w:r w:rsidRPr="00361139">
              <w:rPr>
                <w:lang w:val="en-GB"/>
              </w:rPr>
              <w:t>Fifth meeting</w:t>
            </w:r>
            <w:bookmarkEnd w:id="5"/>
            <w:r w:rsidRPr="00361139">
              <w:rPr>
                <w:lang w:val="en-GB"/>
              </w:rPr>
              <w:t xml:space="preserve"> </w:t>
            </w:r>
          </w:p>
          <w:p w14:paraId="610437C5" w14:textId="77777777" w:rsidR="0052568F" w:rsidRPr="00361139" w:rsidRDefault="0052568F" w:rsidP="00EB0ED1">
            <w:pPr>
              <w:pStyle w:val="AATitle1"/>
              <w:rPr>
                <w:lang w:val="en-GB"/>
              </w:rPr>
            </w:pPr>
            <w:bookmarkStart w:id="6" w:name="CorNot1VenueDate"/>
            <w:r w:rsidRPr="00361139">
              <w:rPr>
                <w:lang w:val="en-GB"/>
              </w:rPr>
              <w:t>Geneva, 30 October–3 November 2023</w:t>
            </w:r>
            <w:bookmarkEnd w:id="6"/>
            <w:r w:rsidRPr="00361139">
              <w:rPr>
                <w:lang w:val="en-GB"/>
              </w:rPr>
              <w:t xml:space="preserve"> </w:t>
            </w:r>
          </w:p>
          <w:p w14:paraId="45A54CB7" w14:textId="1836E9D6" w:rsidR="009927AF" w:rsidRPr="00361139" w:rsidRDefault="00CC73DD" w:rsidP="00EB0ED1">
            <w:pPr>
              <w:pStyle w:val="AATitle1"/>
              <w:rPr>
                <w:lang w:val="en-GB"/>
              </w:rPr>
            </w:pPr>
            <w:bookmarkStart w:id="7" w:name="CorNot1AgItem"/>
            <w:r w:rsidRPr="00361139">
              <w:rPr>
                <w:lang w:val="en-GB"/>
              </w:rPr>
              <w:t>Item 4 (g) (iii) of the provisional agenda</w:t>
            </w:r>
            <w:bookmarkStart w:id="8" w:name="_Hlk76459712"/>
            <w:bookmarkEnd w:id="7"/>
            <w:r w:rsidR="00F55399" w:rsidRPr="00361139">
              <w:rPr>
                <w:lang w:val="en-GB"/>
              </w:rPr>
              <w:footnoteReference w:customMarkFollows="1" w:id="2"/>
              <w:t>*</w:t>
            </w:r>
            <w:bookmarkEnd w:id="8"/>
            <w:r w:rsidR="009927AF" w:rsidRPr="00361139">
              <w:rPr>
                <w:lang w:val="en-GB"/>
              </w:rPr>
              <w:t xml:space="preserve"> </w:t>
            </w:r>
          </w:p>
          <w:p w14:paraId="18F791C1" w14:textId="03FDB4EA" w:rsidR="0052568F" w:rsidRPr="00361139" w:rsidRDefault="00CC73DD" w:rsidP="00EB0ED1">
            <w:pPr>
              <w:pStyle w:val="AATitle2"/>
              <w:rPr>
                <w:lang w:val="en-GB"/>
              </w:rPr>
            </w:pPr>
            <w:bookmarkStart w:id="9" w:name="CorNot1AgTitle"/>
            <w:r w:rsidRPr="00361139">
              <w:rPr>
                <w:lang w:val="en-GB"/>
              </w:rPr>
              <w:t>Matters for consideration or action by the Conference of the Parties: financial resources and mechanism: review of the financial mechanism</w:t>
            </w:r>
            <w:bookmarkEnd w:id="9"/>
          </w:p>
        </w:tc>
        <w:tc>
          <w:tcPr>
            <w:tcW w:w="4762" w:type="dxa"/>
            <w:shd w:val="clear" w:color="auto" w:fill="auto"/>
          </w:tcPr>
          <w:p w14:paraId="6C9F4D09" w14:textId="77777777" w:rsidR="0052568F" w:rsidRPr="00361139" w:rsidRDefault="0052568F" w:rsidP="00EB0ED1">
            <w:pPr>
              <w:pStyle w:val="Normal-pool"/>
              <w:rPr>
                <w:lang w:val="en-GB"/>
              </w:rPr>
            </w:pPr>
          </w:p>
        </w:tc>
      </w:tr>
    </w:tbl>
    <w:p w14:paraId="4F4A0B0A" w14:textId="6309AC4A" w:rsidR="00CC73DD" w:rsidRPr="00361139" w:rsidRDefault="00CC73DD" w:rsidP="00CC73DD">
      <w:pPr>
        <w:pStyle w:val="BBTitle"/>
        <w:rPr>
          <w:lang w:val="en-GB"/>
        </w:rPr>
      </w:pPr>
      <w:r w:rsidRPr="00361139">
        <w:rPr>
          <w:lang w:val="en-GB"/>
        </w:rPr>
        <w:t xml:space="preserve">Report of </w:t>
      </w:r>
      <w:r w:rsidR="000C76AC" w:rsidRPr="00361139">
        <w:rPr>
          <w:lang w:val="en-GB"/>
        </w:rPr>
        <w:t>the second review of the financial mechanism</w:t>
      </w:r>
      <w:r w:rsidR="00F01E59" w:rsidRPr="00361139">
        <w:rPr>
          <w:lang w:val="en-GB"/>
        </w:rPr>
        <w:t>,</w:t>
      </w:r>
      <w:r w:rsidR="000C76AC" w:rsidRPr="00361139">
        <w:rPr>
          <w:lang w:val="en-GB"/>
        </w:rPr>
        <w:t xml:space="preserve"> </w:t>
      </w:r>
      <w:r w:rsidRPr="00361139">
        <w:rPr>
          <w:lang w:val="en-GB"/>
        </w:rPr>
        <w:t>covering the period August 2019</w:t>
      </w:r>
      <w:r w:rsidR="000C76AC" w:rsidRPr="00361139">
        <w:rPr>
          <w:rFonts w:ascii="Symbol" w:eastAsia="Symbol" w:hAnsi="Symbol" w:cs="Symbol"/>
          <w:lang w:val="en-GB"/>
        </w:rPr>
        <w:t></w:t>
      </w:r>
      <w:r w:rsidRPr="00361139">
        <w:rPr>
          <w:lang w:val="en-GB"/>
        </w:rPr>
        <w:t>July 2022</w:t>
      </w:r>
    </w:p>
    <w:p w14:paraId="6696577F" w14:textId="05237E12" w:rsidR="00CC73DD" w:rsidRPr="00361139" w:rsidRDefault="00CC73DD" w:rsidP="008124DC">
      <w:pPr>
        <w:pStyle w:val="CH2"/>
        <w:rPr>
          <w:lang w:val="en-GB"/>
        </w:rPr>
      </w:pPr>
      <w:r w:rsidRPr="00361139">
        <w:rPr>
          <w:lang w:val="en-GB"/>
        </w:rPr>
        <w:tab/>
      </w:r>
      <w:r w:rsidRPr="00361139">
        <w:rPr>
          <w:lang w:val="en-GB"/>
        </w:rPr>
        <w:tab/>
      </w:r>
      <w:bookmarkStart w:id="10" w:name="_Toc139975441"/>
      <w:bookmarkStart w:id="11" w:name="_Toc139976204"/>
      <w:bookmarkStart w:id="12" w:name="_Toc139982212"/>
      <w:bookmarkStart w:id="13" w:name="_Toc139983924"/>
      <w:bookmarkStart w:id="14" w:name="_Toc139984172"/>
      <w:r w:rsidRPr="00361139">
        <w:rPr>
          <w:lang w:val="en-GB"/>
        </w:rPr>
        <w:t xml:space="preserve">Note by the </w:t>
      </w:r>
      <w:proofErr w:type="gramStart"/>
      <w:r w:rsidR="00F01E59" w:rsidRPr="00361139">
        <w:rPr>
          <w:lang w:val="en-GB"/>
        </w:rPr>
        <w:t>s</w:t>
      </w:r>
      <w:r w:rsidRPr="00361139">
        <w:rPr>
          <w:lang w:val="en-GB"/>
        </w:rPr>
        <w:t>ecretariat</w:t>
      </w:r>
      <w:bookmarkEnd w:id="10"/>
      <w:bookmarkEnd w:id="11"/>
      <w:bookmarkEnd w:id="12"/>
      <w:bookmarkEnd w:id="13"/>
      <w:bookmarkEnd w:id="14"/>
      <w:proofErr w:type="gramEnd"/>
    </w:p>
    <w:p w14:paraId="7A6B5018" w14:textId="5C0D7D14" w:rsidR="00E7734F" w:rsidRPr="00361139" w:rsidRDefault="00CC73DD" w:rsidP="005806AC">
      <w:pPr>
        <w:pStyle w:val="NormalNonumber"/>
        <w:rPr>
          <w:lang w:val="en-GB"/>
        </w:rPr>
      </w:pPr>
      <w:r w:rsidRPr="00361139">
        <w:rPr>
          <w:lang w:val="en-GB"/>
        </w:rPr>
        <w:t xml:space="preserve">The report of the </w:t>
      </w:r>
      <w:r w:rsidR="000C76AC" w:rsidRPr="00361139">
        <w:rPr>
          <w:lang w:val="en-GB"/>
        </w:rPr>
        <w:t xml:space="preserve">second review of the financial mechanism </w:t>
      </w:r>
      <w:r w:rsidRPr="00361139">
        <w:rPr>
          <w:lang w:val="en-GB"/>
        </w:rPr>
        <w:t xml:space="preserve">of the Minamata Convention on Mercury is set out in annex I to the present note. The annex is reproduced as received </w:t>
      </w:r>
      <w:r w:rsidR="00034B0C" w:rsidRPr="00361139">
        <w:rPr>
          <w:lang w:val="en-GB"/>
        </w:rPr>
        <w:t>from</w:t>
      </w:r>
      <w:r w:rsidRPr="00361139">
        <w:rPr>
          <w:lang w:val="en-GB"/>
        </w:rPr>
        <w:t xml:space="preserve"> the external consultant. Annex II of the note </w:t>
      </w:r>
      <w:r w:rsidR="006D6BAD" w:rsidRPr="00361139">
        <w:rPr>
          <w:lang w:val="en-GB"/>
        </w:rPr>
        <w:t xml:space="preserve">contains </w:t>
      </w:r>
      <w:r w:rsidR="00B12E84" w:rsidRPr="00361139">
        <w:rPr>
          <w:lang w:val="en-GB"/>
        </w:rPr>
        <w:t xml:space="preserve">the only </w:t>
      </w:r>
      <w:r w:rsidRPr="00361139">
        <w:rPr>
          <w:lang w:val="en-GB"/>
        </w:rPr>
        <w:t xml:space="preserve">submission received from </w:t>
      </w:r>
      <w:r w:rsidR="00B12E84" w:rsidRPr="00361139">
        <w:rPr>
          <w:lang w:val="en-GB"/>
        </w:rPr>
        <w:t>p</w:t>
      </w:r>
      <w:r w:rsidRPr="00361139">
        <w:rPr>
          <w:lang w:val="en-GB"/>
        </w:rPr>
        <w:t xml:space="preserve">arties. Annex III sets out the information received from the Global Environment Facility secretariat in accordance with </w:t>
      </w:r>
      <w:r w:rsidR="006D6BAD" w:rsidRPr="00361139">
        <w:rPr>
          <w:lang w:val="en-GB"/>
        </w:rPr>
        <w:t>a</w:t>
      </w:r>
      <w:r w:rsidRPr="00361139">
        <w:rPr>
          <w:lang w:val="en-GB"/>
        </w:rPr>
        <w:t>rticle 13</w:t>
      </w:r>
      <w:r w:rsidR="006D6BAD" w:rsidRPr="00361139">
        <w:rPr>
          <w:lang w:val="en-GB"/>
        </w:rPr>
        <w:t xml:space="preserve"> of the Convention</w:t>
      </w:r>
      <w:r w:rsidRPr="00361139">
        <w:rPr>
          <w:lang w:val="en-GB"/>
        </w:rPr>
        <w:t>. Annex IV sets out the information received from the co-chairs of the Executive Board of the Special Programme</w:t>
      </w:r>
      <w:r w:rsidR="005E5C4D" w:rsidRPr="00361139">
        <w:rPr>
          <w:lang w:val="en-GB"/>
        </w:rPr>
        <w:t xml:space="preserve"> </w:t>
      </w:r>
      <w:r w:rsidR="005E5C4D" w:rsidRPr="00361139">
        <w:rPr>
          <w:rStyle w:val="en"/>
          <w:lang w:val="en-GB"/>
        </w:rPr>
        <w:t>to support institutional strengthening at the national level for implementation of the Basel, Rotterdam and Stockholm conventions, the Minamata Convention and the Strategic Approach to International Chemicals Management</w:t>
      </w:r>
      <w:r w:rsidRPr="00361139">
        <w:rPr>
          <w:lang w:val="en-GB"/>
        </w:rPr>
        <w:t xml:space="preserve">. Annex V sets out the information received from the </w:t>
      </w:r>
      <w:r w:rsidR="00564EE4" w:rsidRPr="00361139">
        <w:rPr>
          <w:lang w:val="en-GB"/>
        </w:rPr>
        <w:t>c</w:t>
      </w:r>
      <w:r w:rsidRPr="00361139">
        <w:rPr>
          <w:lang w:val="en-GB"/>
        </w:rPr>
        <w:t xml:space="preserve">hair of the Global Mercury Partnership Advisory Group. The </w:t>
      </w:r>
      <w:r w:rsidR="00F50C15" w:rsidRPr="00361139">
        <w:rPr>
          <w:lang w:val="en-GB"/>
        </w:rPr>
        <w:t xml:space="preserve">report of the </w:t>
      </w:r>
      <w:r w:rsidRPr="00361139">
        <w:rPr>
          <w:lang w:val="en-GB"/>
        </w:rPr>
        <w:t>Executive Director</w:t>
      </w:r>
      <w:r w:rsidR="00F50C15" w:rsidRPr="00361139">
        <w:rPr>
          <w:lang w:val="en-GB"/>
        </w:rPr>
        <w:t xml:space="preserve"> of the United Nations Environment Programme</w:t>
      </w:r>
      <w:r w:rsidRPr="00361139">
        <w:rPr>
          <w:lang w:val="en-GB"/>
        </w:rPr>
        <w:t xml:space="preserve"> on strengthening the Specific </w:t>
      </w:r>
      <w:r w:rsidRPr="009E7642">
        <w:rPr>
          <w:lang w:val="en-GB"/>
        </w:rPr>
        <w:t>International Programme</w:t>
      </w:r>
      <w:r w:rsidR="00CE621E" w:rsidRPr="009E7642">
        <w:rPr>
          <w:lang w:val="en-GB"/>
        </w:rPr>
        <w:t xml:space="preserve"> </w:t>
      </w:r>
      <w:r w:rsidR="00CE621E" w:rsidRPr="009E7642">
        <w:rPr>
          <w:rStyle w:val="preferred"/>
          <w:lang w:val="en-GB"/>
        </w:rPr>
        <w:t>to Support Capacity-Building and Technical Assistance</w:t>
      </w:r>
      <w:r w:rsidRPr="009E7642">
        <w:rPr>
          <w:lang w:val="en-GB"/>
        </w:rPr>
        <w:t xml:space="preserve">, as </w:t>
      </w:r>
      <w:r w:rsidR="00E24031" w:rsidRPr="009E7642">
        <w:rPr>
          <w:lang w:val="en-GB"/>
        </w:rPr>
        <w:t>submitted to the Conference of the Parties to the Minamata Convention at its fourth meeting</w:t>
      </w:r>
      <w:r w:rsidRPr="009E7642">
        <w:rPr>
          <w:lang w:val="en-GB"/>
        </w:rPr>
        <w:t xml:space="preserve">, is available in document </w:t>
      </w:r>
      <w:r w:rsidR="00E24031" w:rsidRPr="009E7642">
        <w:rPr>
          <w:rStyle w:val="Hyperlink"/>
          <w:color w:val="auto"/>
          <w:lang w:val="en-GB"/>
        </w:rPr>
        <w:t>UNEP/MC/COP.4/13</w:t>
      </w:r>
      <w:r w:rsidRPr="009E7642">
        <w:rPr>
          <w:lang w:val="en-GB"/>
        </w:rPr>
        <w:t xml:space="preserve">. </w:t>
      </w:r>
      <w:r w:rsidR="002313DA" w:rsidRPr="009E7642">
        <w:rPr>
          <w:lang w:val="en-GB"/>
        </w:rPr>
        <w:t xml:space="preserve">All </w:t>
      </w:r>
      <w:r w:rsidR="002313DA" w:rsidRPr="00361139">
        <w:rPr>
          <w:lang w:val="en-GB"/>
        </w:rPr>
        <w:t>t</w:t>
      </w:r>
      <w:r w:rsidRPr="00361139">
        <w:rPr>
          <w:lang w:val="en-GB"/>
        </w:rPr>
        <w:t>he annexes</w:t>
      </w:r>
      <w:r w:rsidR="00E24031" w:rsidRPr="00361139">
        <w:rPr>
          <w:lang w:val="en-GB"/>
        </w:rPr>
        <w:t xml:space="preserve"> </w:t>
      </w:r>
      <w:r w:rsidRPr="00361139">
        <w:rPr>
          <w:lang w:val="en-GB"/>
        </w:rPr>
        <w:t xml:space="preserve">are </w:t>
      </w:r>
      <w:r w:rsidR="00034B0C" w:rsidRPr="00361139">
        <w:rPr>
          <w:lang w:val="en-GB"/>
        </w:rPr>
        <w:t>presented</w:t>
      </w:r>
      <w:r w:rsidR="000C15F8" w:rsidRPr="00361139">
        <w:rPr>
          <w:lang w:val="en-GB"/>
        </w:rPr>
        <w:t xml:space="preserve"> </w:t>
      </w:r>
      <w:r w:rsidRPr="00361139">
        <w:rPr>
          <w:lang w:val="en-GB"/>
        </w:rPr>
        <w:t>without formal editing.</w:t>
      </w:r>
    </w:p>
    <w:p w14:paraId="20379803" w14:textId="77777777" w:rsidR="00E7734F" w:rsidRPr="00361139" w:rsidRDefault="00E7734F" w:rsidP="005806AC">
      <w:pPr>
        <w:pStyle w:val="NormalNonumber"/>
        <w:rPr>
          <w:lang w:val="en-GB"/>
        </w:rPr>
      </w:pPr>
    </w:p>
    <w:p w14:paraId="77E716F9" w14:textId="77777777" w:rsidR="00446EAC" w:rsidRPr="00361139" w:rsidRDefault="00446EAC" w:rsidP="00446EAC">
      <w:pPr>
        <w:pStyle w:val="Normal-pool"/>
        <w:rPr>
          <w:lang w:val="en-GB"/>
        </w:rPr>
        <w:sectPr w:rsidR="00446EAC" w:rsidRPr="00361139" w:rsidSect="00446EAC">
          <w:headerReference w:type="even" r:id="rId13"/>
          <w:headerReference w:type="default" r:id="rId14"/>
          <w:footerReference w:type="even" r:id="rId15"/>
          <w:footerReference w:type="default" r:id="rId16"/>
          <w:footerReference w:type="first" r:id="rId17"/>
          <w:footnotePr>
            <w:numRestart w:val="eachSect"/>
          </w:footnotePr>
          <w:type w:val="continuous"/>
          <w:pgSz w:w="11907" w:h="16839"/>
          <w:pgMar w:top="907" w:right="992" w:bottom="1418" w:left="1418" w:header="539" w:footer="975" w:gutter="0"/>
          <w:cols w:space="720"/>
          <w:titlePg/>
          <w:docGrid w:linePitch="272"/>
        </w:sectPr>
      </w:pPr>
      <w:bookmarkStart w:id="16" w:name="_Toc139975442"/>
    </w:p>
    <w:p w14:paraId="39166B54" w14:textId="62E7B849" w:rsidR="00CC73DD" w:rsidRPr="00361139" w:rsidRDefault="00CC73DD" w:rsidP="00CC73DD">
      <w:pPr>
        <w:pStyle w:val="ZZAnxheader"/>
        <w:rPr>
          <w:lang w:val="en-GB"/>
        </w:rPr>
      </w:pPr>
      <w:r w:rsidRPr="00361139">
        <w:rPr>
          <w:lang w:val="en-GB"/>
        </w:rPr>
        <w:lastRenderedPageBreak/>
        <w:t>Annex I</w:t>
      </w:r>
      <w:bookmarkEnd w:id="16"/>
      <w:r w:rsidR="00985A93" w:rsidRPr="00361139">
        <w:rPr>
          <w:b w:val="0"/>
          <w:bCs w:val="0"/>
          <w:szCs w:val="18"/>
          <w:lang w:val="en-GB"/>
        </w:rPr>
        <w:footnoteReference w:customMarkFollows="1" w:id="3"/>
        <w:t>*</w:t>
      </w:r>
    </w:p>
    <w:p w14:paraId="7B333A0D" w14:textId="04113F54" w:rsidR="00CC73DD" w:rsidRPr="00361139" w:rsidRDefault="00CC73DD" w:rsidP="00CC73DD">
      <w:pPr>
        <w:pStyle w:val="ZZAnxtitle"/>
        <w:rPr>
          <w:b w:val="0"/>
          <w:bCs w:val="0"/>
          <w:szCs w:val="28"/>
          <w:lang w:val="en-GB"/>
        </w:rPr>
      </w:pPr>
      <w:bookmarkStart w:id="17" w:name="_Toc122450625"/>
      <w:bookmarkStart w:id="18" w:name="_Toc122450761"/>
      <w:bookmarkStart w:id="19" w:name="_Toc122451006"/>
      <w:bookmarkStart w:id="20" w:name="_Toc122451437"/>
      <w:bookmarkStart w:id="21" w:name="_Toc122452711"/>
      <w:bookmarkStart w:id="22" w:name="_Toc122452888"/>
      <w:bookmarkStart w:id="23" w:name="_Toc122452976"/>
      <w:bookmarkStart w:id="24" w:name="_Toc139975443"/>
      <w:r w:rsidRPr="00361139">
        <w:rPr>
          <w:lang w:val="en-GB"/>
        </w:rPr>
        <w:t xml:space="preserve">Second </w:t>
      </w:r>
      <w:r w:rsidR="00626882" w:rsidRPr="00361139">
        <w:rPr>
          <w:lang w:val="en-GB"/>
        </w:rPr>
        <w:t>r</w:t>
      </w:r>
      <w:r w:rsidRPr="00361139">
        <w:rPr>
          <w:lang w:val="en-GB"/>
        </w:rPr>
        <w:t xml:space="preserve">eview of the </w:t>
      </w:r>
      <w:r w:rsidR="00034B0C" w:rsidRPr="00361139">
        <w:rPr>
          <w:lang w:val="en-GB"/>
        </w:rPr>
        <w:t>f</w:t>
      </w:r>
      <w:r w:rsidRPr="00361139">
        <w:rPr>
          <w:lang w:val="en-GB"/>
        </w:rPr>
        <w:t xml:space="preserve">inancial </w:t>
      </w:r>
      <w:r w:rsidR="00034B0C" w:rsidRPr="00361139">
        <w:rPr>
          <w:lang w:val="en-GB"/>
        </w:rPr>
        <w:t>m</w:t>
      </w:r>
      <w:r w:rsidRPr="00361139">
        <w:rPr>
          <w:lang w:val="en-GB"/>
        </w:rPr>
        <w:t xml:space="preserve">echanism of the </w:t>
      </w:r>
      <w:r w:rsidRPr="00361139">
        <w:rPr>
          <w:szCs w:val="28"/>
          <w:lang w:val="en-GB"/>
        </w:rPr>
        <w:t>Minamata Convention on Mercury</w:t>
      </w:r>
      <w:bookmarkEnd w:id="17"/>
      <w:bookmarkEnd w:id="18"/>
      <w:bookmarkEnd w:id="19"/>
      <w:bookmarkEnd w:id="20"/>
      <w:bookmarkEnd w:id="21"/>
      <w:bookmarkEnd w:id="22"/>
      <w:bookmarkEnd w:id="23"/>
      <w:bookmarkEnd w:id="24"/>
    </w:p>
    <w:p w14:paraId="7746FE54" w14:textId="77777777" w:rsidR="00CC73DD" w:rsidRPr="00361139" w:rsidRDefault="00CC73DD" w:rsidP="00154E0B">
      <w:pPr>
        <w:pStyle w:val="CH2"/>
        <w:rPr>
          <w:lang w:val="en-GB"/>
        </w:rPr>
      </w:pPr>
    </w:p>
    <w:p w14:paraId="7997D539" w14:textId="77777777" w:rsidR="00CC73DD" w:rsidRPr="00361139" w:rsidRDefault="00CC73DD" w:rsidP="008849E8">
      <w:pPr>
        <w:pStyle w:val="NormalNonumber"/>
        <w:rPr>
          <w:lang w:val="en-GB"/>
        </w:rPr>
      </w:pPr>
      <w:r w:rsidRPr="00361139">
        <w:rPr>
          <w:lang w:val="en-GB"/>
        </w:rPr>
        <w:t>© Minamata Convention on Mercury, United Nations Environment Programme, 2023</w:t>
      </w:r>
    </w:p>
    <w:p w14:paraId="50DBDD86" w14:textId="77777777" w:rsidR="00CC73DD" w:rsidRPr="00361139" w:rsidRDefault="00CC73DD" w:rsidP="00154E0B">
      <w:pPr>
        <w:pStyle w:val="NormalNonumber"/>
        <w:rPr>
          <w:lang w:val="en-GB"/>
        </w:rPr>
      </w:pPr>
    </w:p>
    <w:p w14:paraId="1DCE3439" w14:textId="77777777" w:rsidR="00CC73DD" w:rsidRPr="00361139" w:rsidRDefault="00CC73DD" w:rsidP="008849E8">
      <w:pPr>
        <w:pStyle w:val="NormalNonumber"/>
        <w:rPr>
          <w:lang w:val="en-GB"/>
        </w:rPr>
      </w:pPr>
      <w:r w:rsidRPr="00361139">
        <w:rPr>
          <w:lang w:val="en-GB"/>
        </w:rPr>
        <w:t xml:space="preserve">This document was prepared by Giovanni Ferraiolo </w:t>
      </w:r>
      <w:r w:rsidRPr="00361139">
        <w:rPr>
          <w:lang w:val="en-GB"/>
        </w:rPr>
        <w:br/>
        <w:t xml:space="preserve">(e-mail: </w:t>
      </w:r>
      <w:hyperlink r:id="rId18" w:history="1">
        <w:r w:rsidRPr="00361139">
          <w:rPr>
            <w:rStyle w:val="Hyperlink"/>
            <w:rFonts w:asciiTheme="majorBidi" w:hAnsiTheme="majorBidi" w:cstheme="majorBidi"/>
            <w:lang w:val="en-GB"/>
          </w:rPr>
          <w:t>giovanni.ferraiolo@gmail.com</w:t>
        </w:r>
      </w:hyperlink>
      <w:r w:rsidRPr="00361139">
        <w:rPr>
          <w:lang w:val="en-GB"/>
        </w:rPr>
        <w:t>)</w:t>
      </w:r>
    </w:p>
    <w:p w14:paraId="0AB640AF" w14:textId="77777777" w:rsidR="00CC73DD" w:rsidRPr="00361139" w:rsidRDefault="00CC73DD" w:rsidP="00154E0B">
      <w:pPr>
        <w:pStyle w:val="NormalNonumber"/>
        <w:rPr>
          <w:lang w:val="en-GB"/>
        </w:rPr>
      </w:pPr>
    </w:p>
    <w:p w14:paraId="0CDC221D" w14:textId="77777777" w:rsidR="00CC73DD" w:rsidRPr="00361139" w:rsidRDefault="00CC73DD" w:rsidP="00154E0B">
      <w:pPr>
        <w:pStyle w:val="NormalNonumber"/>
        <w:rPr>
          <w:lang w:val="en-GB"/>
        </w:rPr>
      </w:pPr>
    </w:p>
    <w:p w14:paraId="74157046" w14:textId="77777777" w:rsidR="00CC73DD" w:rsidRPr="00361139" w:rsidRDefault="00CC73DD" w:rsidP="00154E0B">
      <w:pPr>
        <w:pStyle w:val="NormalNonumber"/>
        <w:rPr>
          <w:lang w:val="en-GB"/>
        </w:rPr>
      </w:pPr>
    </w:p>
    <w:p w14:paraId="7581210B" w14:textId="77777777" w:rsidR="00CC73DD" w:rsidRPr="00361139" w:rsidRDefault="00CC73DD" w:rsidP="008849E8">
      <w:pPr>
        <w:pStyle w:val="NormalNonumber"/>
        <w:rPr>
          <w:lang w:val="en-GB"/>
        </w:rPr>
      </w:pPr>
      <w:r w:rsidRPr="00361139">
        <w:rPr>
          <w:lang w:val="en-GB"/>
        </w:rPr>
        <w:t>This report has been prepared by an external consultant and is a product of the office of the Secretariat of the Minamata Convention on Mercury (MC). The findings and conclusions expressed herein do not necessarily reflect the views of Member States or the MC Secretariat.</w:t>
      </w:r>
    </w:p>
    <w:p w14:paraId="75DD8752" w14:textId="77777777" w:rsidR="00CC73DD" w:rsidRPr="00361139" w:rsidRDefault="00CC73DD" w:rsidP="00154E0B">
      <w:pPr>
        <w:pStyle w:val="NormalNonumber"/>
        <w:rPr>
          <w:lang w:val="en-GB"/>
        </w:rPr>
      </w:pPr>
    </w:p>
    <w:p w14:paraId="4E9D5D62" w14:textId="77777777" w:rsidR="00CC73DD" w:rsidRPr="00361139" w:rsidRDefault="00CC73DD" w:rsidP="008849E8">
      <w:pPr>
        <w:pStyle w:val="NormalNonumber"/>
        <w:rPr>
          <w:i/>
          <w:iCs/>
          <w:lang w:val="en-GB"/>
        </w:rPr>
      </w:pPr>
      <w:r w:rsidRPr="00361139">
        <w:rPr>
          <w:i/>
          <w:iCs/>
          <w:lang w:val="en-GB"/>
        </w:rPr>
        <w:t xml:space="preserve">For further information on this report, please contact: </w:t>
      </w:r>
    </w:p>
    <w:p w14:paraId="0614578A" w14:textId="77777777" w:rsidR="00CC73DD" w:rsidRPr="00361139" w:rsidRDefault="00CC73DD" w:rsidP="008849E8">
      <w:pPr>
        <w:pStyle w:val="NormalNonumber"/>
        <w:rPr>
          <w:b/>
          <w:bCs/>
          <w:lang w:val="en-GB"/>
        </w:rPr>
      </w:pPr>
      <w:r w:rsidRPr="00361139">
        <w:rPr>
          <w:b/>
          <w:bCs/>
          <w:lang w:val="en-GB"/>
        </w:rPr>
        <w:t>Secretariat of the Minamata Convention on Mercury</w:t>
      </w:r>
    </w:p>
    <w:p w14:paraId="2E0DCFF9" w14:textId="77777777" w:rsidR="00A01111" w:rsidRPr="009E7642" w:rsidRDefault="00CC73DD" w:rsidP="00A01111">
      <w:pPr>
        <w:pStyle w:val="NormalNonumber"/>
        <w:spacing w:after="0"/>
        <w:rPr>
          <w:lang w:val="fr-CH"/>
        </w:rPr>
      </w:pPr>
      <w:r w:rsidRPr="009E7642">
        <w:rPr>
          <w:lang w:val="fr-CH"/>
        </w:rPr>
        <w:t>United Nations Environment Programme</w:t>
      </w:r>
    </w:p>
    <w:p w14:paraId="7A34841B" w14:textId="77777777" w:rsidR="00A01111" w:rsidRPr="009E7642" w:rsidRDefault="00CC73DD" w:rsidP="00A01111">
      <w:pPr>
        <w:pStyle w:val="NormalNonumber"/>
        <w:spacing w:after="0"/>
        <w:rPr>
          <w:lang w:val="fr-CH"/>
        </w:rPr>
      </w:pPr>
      <w:r w:rsidRPr="009E7642">
        <w:rPr>
          <w:lang w:val="fr-CH"/>
        </w:rPr>
        <w:t xml:space="preserve">Office </w:t>
      </w:r>
      <w:proofErr w:type="spellStart"/>
      <w:proofErr w:type="gramStart"/>
      <w:r w:rsidRPr="009E7642">
        <w:rPr>
          <w:lang w:val="fr-CH"/>
        </w:rPr>
        <w:t>address</w:t>
      </w:r>
      <w:proofErr w:type="spellEnd"/>
      <w:r w:rsidRPr="009E7642">
        <w:rPr>
          <w:lang w:val="fr-CH"/>
        </w:rPr>
        <w:t>:</w:t>
      </w:r>
      <w:proofErr w:type="gramEnd"/>
      <w:r w:rsidRPr="009E7642">
        <w:rPr>
          <w:lang w:val="fr-CH"/>
        </w:rPr>
        <w:t xml:space="preserve"> 11-13, Chemin des Anémones - 1219 Châtelaine, Switzerland</w:t>
      </w:r>
    </w:p>
    <w:p w14:paraId="556F01ED" w14:textId="443A8FA7" w:rsidR="00CC73DD" w:rsidRPr="009E7642" w:rsidRDefault="00CC73DD" w:rsidP="00A01111">
      <w:pPr>
        <w:pStyle w:val="NormalNonumber"/>
        <w:spacing w:after="0"/>
        <w:rPr>
          <w:lang w:val="fr-CH"/>
        </w:rPr>
      </w:pPr>
      <w:r w:rsidRPr="009E7642">
        <w:rPr>
          <w:lang w:val="fr-CH"/>
        </w:rPr>
        <w:t xml:space="preserve">Postal </w:t>
      </w:r>
      <w:proofErr w:type="spellStart"/>
      <w:proofErr w:type="gramStart"/>
      <w:r w:rsidRPr="009E7642">
        <w:rPr>
          <w:lang w:val="fr-CH"/>
        </w:rPr>
        <w:t>address</w:t>
      </w:r>
      <w:proofErr w:type="spellEnd"/>
      <w:r w:rsidRPr="009E7642">
        <w:rPr>
          <w:lang w:val="fr-CH"/>
        </w:rPr>
        <w:t>:</w:t>
      </w:r>
      <w:proofErr w:type="gramEnd"/>
      <w:r w:rsidRPr="009E7642">
        <w:rPr>
          <w:lang w:val="fr-CH"/>
        </w:rPr>
        <w:t xml:space="preserve"> Avenue de la Paix 8-14, 1211 Genève 10, Switzerland</w:t>
      </w:r>
    </w:p>
    <w:p w14:paraId="46EDB3DA" w14:textId="77777777" w:rsidR="00A01111" w:rsidRPr="00361139" w:rsidRDefault="00CC73DD" w:rsidP="00A01111">
      <w:pPr>
        <w:pStyle w:val="NormalNonumber"/>
        <w:spacing w:after="0"/>
        <w:rPr>
          <w:lang w:val="en-GB"/>
        </w:rPr>
      </w:pPr>
      <w:r w:rsidRPr="00361139">
        <w:rPr>
          <w:lang w:val="en-GB"/>
        </w:rPr>
        <w:t xml:space="preserve">Fax: +41 22 797 34 60 - e-mail: </w:t>
      </w:r>
      <w:hyperlink r:id="rId19" w:history="1">
        <w:r w:rsidRPr="00361139">
          <w:rPr>
            <w:lang w:val="en-GB"/>
          </w:rPr>
          <w:t>MEA-MinamataSecretariat@un.org</w:t>
        </w:r>
      </w:hyperlink>
    </w:p>
    <w:p w14:paraId="1EA9D52A" w14:textId="0E1D7AA1" w:rsidR="00CC73DD" w:rsidRPr="00361139" w:rsidRDefault="00CC73DD" w:rsidP="00A01111">
      <w:pPr>
        <w:pStyle w:val="NormalNonumber"/>
        <w:spacing w:after="0"/>
        <w:rPr>
          <w:lang w:val="en-GB"/>
        </w:rPr>
      </w:pPr>
      <w:r w:rsidRPr="00361139">
        <w:rPr>
          <w:lang w:val="en-GB"/>
        </w:rPr>
        <w:t xml:space="preserve">Website: </w:t>
      </w:r>
      <w:hyperlink r:id="rId20" w:history="1">
        <w:r w:rsidRPr="00361139">
          <w:rPr>
            <w:lang w:val="en-GB"/>
          </w:rPr>
          <w:t>https://www.mercuryconvention.org</w:t>
        </w:r>
      </w:hyperlink>
      <w:r w:rsidR="00742710" w:rsidRPr="00361139">
        <w:rPr>
          <w:lang w:val="en-GB"/>
        </w:rPr>
        <w:t xml:space="preserve"> </w:t>
      </w:r>
    </w:p>
    <w:p w14:paraId="74636D98" w14:textId="77777777" w:rsidR="00CC73DD" w:rsidRPr="00361139" w:rsidRDefault="00CC73DD" w:rsidP="00154E0B">
      <w:pPr>
        <w:pStyle w:val="NormalNonumber"/>
        <w:rPr>
          <w:lang w:val="en-GB"/>
        </w:rPr>
      </w:pPr>
    </w:p>
    <w:p w14:paraId="2570490C" w14:textId="77777777" w:rsidR="00CC73DD" w:rsidRPr="00361139" w:rsidRDefault="00CC73DD" w:rsidP="00154E0B">
      <w:pPr>
        <w:pStyle w:val="NormalNonumber"/>
        <w:rPr>
          <w:lang w:val="en-GB"/>
        </w:rPr>
      </w:pPr>
    </w:p>
    <w:p w14:paraId="5FAF0954" w14:textId="77777777" w:rsidR="00CC73DD" w:rsidRPr="00361139" w:rsidRDefault="00CC73DD" w:rsidP="00154E0B">
      <w:pPr>
        <w:pStyle w:val="NormalNonumber"/>
        <w:rPr>
          <w:lang w:val="en-GB"/>
        </w:rPr>
      </w:pPr>
    </w:p>
    <w:p w14:paraId="5905CFA7" w14:textId="77777777" w:rsidR="00CC73DD" w:rsidRPr="00361139" w:rsidRDefault="00CC73DD" w:rsidP="008849E8">
      <w:pPr>
        <w:pStyle w:val="NormalNonumber"/>
        <w:rPr>
          <w:i/>
          <w:iCs/>
          <w:lang w:val="en-GB"/>
        </w:rPr>
      </w:pPr>
      <w:r w:rsidRPr="00361139">
        <w:rPr>
          <w:i/>
          <w:iCs/>
          <w:lang w:val="en-GB"/>
        </w:rPr>
        <w:t>Date of release: May 17, 2023</w:t>
      </w:r>
    </w:p>
    <w:p w14:paraId="4EFC2856" w14:textId="77777777" w:rsidR="00CC73DD" w:rsidRPr="00361139" w:rsidRDefault="00CC73DD" w:rsidP="00154E0B">
      <w:pPr>
        <w:pStyle w:val="NormalNonumber"/>
        <w:rPr>
          <w:lang w:val="en-GB"/>
        </w:rPr>
      </w:pPr>
    </w:p>
    <w:p w14:paraId="3AA44FF2" w14:textId="77777777" w:rsidR="00CC73DD" w:rsidRPr="00361139" w:rsidRDefault="00CC73DD" w:rsidP="00154E0B">
      <w:pPr>
        <w:pStyle w:val="NormalNonumber"/>
        <w:rPr>
          <w:lang w:val="en-GB"/>
        </w:rPr>
      </w:pPr>
    </w:p>
    <w:p w14:paraId="4C9BD58C" w14:textId="63294701" w:rsidR="00CC73DD" w:rsidRPr="00361139" w:rsidRDefault="00A81B47" w:rsidP="00CC73DD">
      <w:pPr>
        <w:pStyle w:val="CH1"/>
        <w:rPr>
          <w:lang w:val="en-GB"/>
        </w:rPr>
      </w:pPr>
      <w:bookmarkStart w:id="25" w:name="_Toc122452712"/>
      <w:bookmarkStart w:id="26" w:name="_Toc122452889"/>
      <w:bookmarkStart w:id="27" w:name="_Toc138845666"/>
      <w:bookmarkStart w:id="28" w:name="_Toc138845721"/>
      <w:bookmarkStart w:id="29" w:name="_Toc138847810"/>
      <w:r w:rsidRPr="00361139">
        <w:rPr>
          <w:lang w:val="en-GB"/>
        </w:rPr>
        <w:tab/>
      </w:r>
      <w:r w:rsidRPr="00361139">
        <w:rPr>
          <w:lang w:val="en-GB"/>
        </w:rPr>
        <w:tab/>
      </w:r>
      <w:bookmarkStart w:id="30" w:name="_Toc139975444"/>
      <w:bookmarkStart w:id="31" w:name="_Toc139976205"/>
      <w:bookmarkStart w:id="32" w:name="_Toc139982213"/>
      <w:bookmarkStart w:id="33" w:name="_Toc139983925"/>
      <w:bookmarkStart w:id="34" w:name="_Toc139984173"/>
      <w:r w:rsidR="00CC73DD" w:rsidRPr="00361139">
        <w:rPr>
          <w:lang w:val="en-GB"/>
        </w:rPr>
        <w:t>Acknowledgements</w:t>
      </w:r>
      <w:bookmarkEnd w:id="25"/>
      <w:bookmarkEnd w:id="26"/>
      <w:bookmarkEnd w:id="27"/>
      <w:bookmarkEnd w:id="28"/>
      <w:bookmarkEnd w:id="29"/>
      <w:bookmarkEnd w:id="30"/>
      <w:bookmarkEnd w:id="31"/>
      <w:bookmarkEnd w:id="32"/>
      <w:bookmarkEnd w:id="33"/>
      <w:bookmarkEnd w:id="34"/>
    </w:p>
    <w:p w14:paraId="115C4583" w14:textId="77777777" w:rsidR="00CC73DD" w:rsidRPr="00361139" w:rsidRDefault="00CC73DD" w:rsidP="00A81B47">
      <w:pPr>
        <w:pStyle w:val="NormalNonumber"/>
        <w:rPr>
          <w:lang w:val="en-GB"/>
        </w:rPr>
      </w:pPr>
      <w:r w:rsidRPr="00361139">
        <w:rPr>
          <w:lang w:val="en-GB"/>
        </w:rPr>
        <w:t>The reviewer would like to express his gratitude to all persons contacted and who contributed to this review, as listed in Annex 5.</w:t>
      </w:r>
    </w:p>
    <w:p w14:paraId="1BE36A6A" w14:textId="77777777" w:rsidR="00CC73DD" w:rsidRPr="00361139" w:rsidRDefault="00CC73DD" w:rsidP="00A81B47">
      <w:pPr>
        <w:pStyle w:val="NormalNonumber"/>
        <w:rPr>
          <w:lang w:val="en-GB"/>
        </w:rPr>
      </w:pPr>
      <w:r w:rsidRPr="00361139">
        <w:rPr>
          <w:lang w:val="en-GB"/>
        </w:rPr>
        <w:t xml:space="preserve">The reviewer would like to thank all the Secretariat staff and in particular Ms. Marianne Bailey, Programme Management Officer for Capacity Building and Technical Assistance of the Minamata Convention Secretariat, for her generous contribution and kind collaboration throughout the review process. </w:t>
      </w:r>
    </w:p>
    <w:p w14:paraId="7E762458" w14:textId="77777777" w:rsidR="00CC73DD" w:rsidRPr="00361139" w:rsidRDefault="00CC73DD" w:rsidP="00A81B47">
      <w:pPr>
        <w:pStyle w:val="NormalNonumber"/>
        <w:rPr>
          <w:lang w:val="en-GB"/>
        </w:rPr>
      </w:pPr>
      <w:r w:rsidRPr="00361139">
        <w:rPr>
          <w:lang w:val="en-GB"/>
        </w:rPr>
        <w:t xml:space="preserve">The reviewer hopes that the findings, conclusions and recommendations contained in this document will contribute to the success of the </w:t>
      </w:r>
      <w:r w:rsidRPr="00361139">
        <w:rPr>
          <w:i/>
          <w:lang w:val="en-GB"/>
        </w:rPr>
        <w:t>Second</w:t>
      </w:r>
      <w:r w:rsidRPr="00361139">
        <w:rPr>
          <w:lang w:val="en-GB"/>
        </w:rPr>
        <w:t xml:space="preserve"> </w:t>
      </w:r>
      <w:r w:rsidRPr="00361139">
        <w:rPr>
          <w:i/>
          <w:lang w:val="en-GB"/>
        </w:rPr>
        <w:t>review of the financial mechanism</w:t>
      </w:r>
      <w:r w:rsidRPr="00361139">
        <w:rPr>
          <w:lang w:val="en-GB"/>
        </w:rPr>
        <w:t xml:space="preserve"> by the Conference of the Parties to the Minamata Convention on Mercury at its fifth meeting.</w:t>
      </w:r>
    </w:p>
    <w:p w14:paraId="03CA872B" w14:textId="77777777" w:rsidR="00154E0B" w:rsidRPr="00361139" w:rsidRDefault="00A81B47" w:rsidP="00154E0B">
      <w:pPr>
        <w:pStyle w:val="Normal-pool"/>
        <w:rPr>
          <w:lang w:val="en-GB"/>
        </w:rPr>
      </w:pPr>
      <w:bookmarkStart w:id="35" w:name="_Toc122452713"/>
      <w:bookmarkStart w:id="36" w:name="_Toc122452890"/>
      <w:bookmarkStart w:id="37" w:name="_Toc138845667"/>
      <w:bookmarkStart w:id="38" w:name="_Toc138845722"/>
      <w:bookmarkStart w:id="39" w:name="_Toc138847811"/>
      <w:r w:rsidRPr="00361139">
        <w:rPr>
          <w:lang w:val="en-GB"/>
        </w:rPr>
        <w:br w:type="page"/>
      </w:r>
    </w:p>
    <w:p w14:paraId="461F24D9" w14:textId="5370B233" w:rsidR="00CC73DD" w:rsidRPr="00361139" w:rsidRDefault="00154E0B" w:rsidP="00414EAE">
      <w:pPr>
        <w:pStyle w:val="CH1"/>
        <w:rPr>
          <w:lang w:val="en-GB"/>
        </w:rPr>
      </w:pPr>
      <w:r w:rsidRPr="00361139">
        <w:rPr>
          <w:lang w:val="en-GB"/>
        </w:rPr>
        <w:lastRenderedPageBreak/>
        <w:tab/>
      </w:r>
      <w:r w:rsidRPr="00361139">
        <w:rPr>
          <w:lang w:val="en-GB"/>
        </w:rPr>
        <w:tab/>
      </w:r>
      <w:bookmarkStart w:id="40" w:name="_Toc139975445"/>
      <w:bookmarkStart w:id="41" w:name="_Toc139976206"/>
      <w:bookmarkStart w:id="42" w:name="_Toc139982214"/>
      <w:bookmarkStart w:id="43" w:name="_Toc139983926"/>
      <w:bookmarkStart w:id="44" w:name="_Toc139984174"/>
      <w:r w:rsidR="00CC73DD" w:rsidRPr="00361139">
        <w:rPr>
          <w:lang w:val="en-GB"/>
        </w:rPr>
        <w:t>Table of Contents</w:t>
      </w:r>
      <w:bookmarkEnd w:id="35"/>
      <w:bookmarkEnd w:id="36"/>
      <w:bookmarkEnd w:id="37"/>
      <w:bookmarkEnd w:id="38"/>
      <w:bookmarkEnd w:id="39"/>
      <w:bookmarkEnd w:id="40"/>
      <w:bookmarkEnd w:id="41"/>
      <w:bookmarkEnd w:id="42"/>
      <w:bookmarkEnd w:id="43"/>
      <w:bookmarkEnd w:id="44"/>
    </w:p>
    <w:p w14:paraId="33D58135" w14:textId="0A1A965B" w:rsidR="00CC73DD" w:rsidRPr="00361139" w:rsidRDefault="00CC73DD" w:rsidP="003B12B1">
      <w:pPr>
        <w:pStyle w:val="Normalnumber"/>
        <w:ind w:left="1248"/>
        <w:rPr>
          <w:b/>
          <w:bCs/>
          <w:i/>
          <w:iCs/>
          <w:sz w:val="24"/>
          <w:szCs w:val="24"/>
        </w:rPr>
      </w:pPr>
      <w:bookmarkStart w:id="45" w:name="_Toc139975446"/>
      <w:r w:rsidRPr="00361139">
        <w:rPr>
          <w:b/>
          <w:bCs/>
          <w:i/>
          <w:iCs/>
          <w:sz w:val="24"/>
          <w:szCs w:val="24"/>
        </w:rPr>
        <w:t>Second review of the Financial Mechanism of the Minamata Convention on Mercury</w:t>
      </w:r>
      <w:bookmarkEnd w:id="45"/>
    </w:p>
    <w:sdt>
      <w:sdtPr>
        <w:rPr>
          <w:lang w:val="en-GB"/>
        </w:rPr>
        <w:id w:val="1384361624"/>
        <w:docPartObj>
          <w:docPartGallery w:val="Table of Contents"/>
          <w:docPartUnique/>
        </w:docPartObj>
      </w:sdtPr>
      <w:sdtEndPr>
        <w:rPr>
          <w:b/>
          <w:bCs/>
          <w:noProof/>
        </w:rPr>
      </w:sdtEndPr>
      <w:sdtContent>
        <w:p w14:paraId="5CF68B97" w14:textId="25C76941" w:rsidR="00A173DA" w:rsidRPr="00361139" w:rsidRDefault="00A173DA" w:rsidP="001438BD">
          <w:pPr>
            <w:pStyle w:val="Normal-pool"/>
            <w:rPr>
              <w:lang w:val="en-GB"/>
            </w:rPr>
          </w:pPr>
        </w:p>
        <w:p w14:paraId="73336981" w14:textId="6F7C38AB" w:rsidR="00A173DA" w:rsidRPr="00361139" w:rsidRDefault="00A173DA"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r w:rsidRPr="00361139">
            <w:rPr>
              <w:rStyle w:val="Hyperlink"/>
              <w:lang w:val="en-GB"/>
            </w:rPr>
            <w:fldChar w:fldCharType="begin"/>
          </w:r>
          <w:r w:rsidRPr="00361139">
            <w:rPr>
              <w:rStyle w:val="Hyperlink"/>
              <w:lang w:val="en-GB"/>
            </w:rPr>
            <w:instrText xml:space="preserve"> TOC \h \z \t "CH1,1,CH2,2" </w:instrText>
          </w:r>
          <w:r w:rsidRPr="00361139">
            <w:rPr>
              <w:rStyle w:val="Hyperlink"/>
              <w:lang w:val="en-GB"/>
            </w:rPr>
            <w:fldChar w:fldCharType="separate"/>
          </w:r>
          <w:hyperlink w:anchor="_Toc139984173" w:history="1">
            <w:r w:rsidRPr="00361139">
              <w:rPr>
                <w:rStyle w:val="Hyperlink"/>
                <w:noProof/>
                <w:lang w:val="en-GB"/>
              </w:rPr>
              <w:t>Acknowledgements</w:t>
            </w:r>
            <w:r w:rsidRPr="00361139">
              <w:rPr>
                <w:noProof/>
                <w:webHidden/>
                <w:lang w:val="en-GB"/>
              </w:rPr>
              <w:tab/>
            </w:r>
            <w:r w:rsidRPr="00361139">
              <w:rPr>
                <w:noProof/>
                <w:webHidden/>
                <w:lang w:val="en-GB"/>
              </w:rPr>
              <w:fldChar w:fldCharType="begin"/>
            </w:r>
            <w:r w:rsidRPr="00361139">
              <w:rPr>
                <w:noProof/>
                <w:webHidden/>
                <w:lang w:val="en-GB"/>
              </w:rPr>
              <w:instrText xml:space="preserve"> PAGEREF _Toc139984173 \h </w:instrText>
            </w:r>
            <w:r w:rsidRPr="00361139">
              <w:rPr>
                <w:noProof/>
                <w:webHidden/>
                <w:lang w:val="en-GB"/>
              </w:rPr>
            </w:r>
            <w:r w:rsidRPr="00361139">
              <w:rPr>
                <w:noProof/>
                <w:webHidden/>
                <w:lang w:val="en-GB"/>
              </w:rPr>
              <w:fldChar w:fldCharType="separate"/>
            </w:r>
            <w:r w:rsidR="00C2090E">
              <w:rPr>
                <w:noProof/>
                <w:webHidden/>
                <w:lang w:val="en-GB"/>
              </w:rPr>
              <w:t>2</w:t>
            </w:r>
            <w:r w:rsidRPr="00361139">
              <w:rPr>
                <w:noProof/>
                <w:webHidden/>
                <w:lang w:val="en-GB"/>
              </w:rPr>
              <w:fldChar w:fldCharType="end"/>
            </w:r>
          </w:hyperlink>
        </w:p>
        <w:p w14:paraId="1663737A" w14:textId="35AF58D1"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74" w:history="1">
            <w:r w:rsidR="00A173DA" w:rsidRPr="00361139">
              <w:rPr>
                <w:rStyle w:val="Hyperlink"/>
                <w:noProof/>
                <w:lang w:val="en-GB"/>
              </w:rPr>
              <w:t>Table of Contents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_Toc139984174 \h </w:instrText>
            </w:r>
            <w:r w:rsidR="00A173DA" w:rsidRPr="00361139">
              <w:rPr>
                <w:noProof/>
                <w:webHidden/>
                <w:lang w:val="en-GB"/>
              </w:rPr>
            </w:r>
            <w:r w:rsidR="00A173DA" w:rsidRPr="00361139">
              <w:rPr>
                <w:noProof/>
                <w:webHidden/>
                <w:lang w:val="en-GB"/>
              </w:rPr>
              <w:fldChar w:fldCharType="separate"/>
            </w:r>
            <w:r w:rsidR="00C2090E">
              <w:rPr>
                <w:noProof/>
                <w:webHidden/>
                <w:lang w:val="en-GB"/>
              </w:rPr>
              <w:t>3</w:t>
            </w:r>
            <w:r w:rsidR="00A173DA" w:rsidRPr="00361139">
              <w:rPr>
                <w:noProof/>
                <w:webHidden/>
                <w:lang w:val="en-GB"/>
              </w:rPr>
              <w:fldChar w:fldCharType="end"/>
            </w:r>
          </w:hyperlink>
        </w:p>
        <w:p w14:paraId="0051BB4F" w14:textId="4C63FA8E"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75" w:history="1">
            <w:r w:rsidR="00A173DA" w:rsidRPr="00361139">
              <w:rPr>
                <w:rStyle w:val="Hyperlink"/>
                <w:noProof/>
                <w:lang w:val="en-GB"/>
              </w:rPr>
              <w:t>List of Acronyms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_Toc139984175 \h </w:instrText>
            </w:r>
            <w:r w:rsidR="00A173DA" w:rsidRPr="00361139">
              <w:rPr>
                <w:noProof/>
                <w:webHidden/>
                <w:lang w:val="en-GB"/>
              </w:rPr>
            </w:r>
            <w:r w:rsidR="00A173DA" w:rsidRPr="00361139">
              <w:rPr>
                <w:noProof/>
                <w:webHidden/>
                <w:lang w:val="en-GB"/>
              </w:rPr>
              <w:fldChar w:fldCharType="separate"/>
            </w:r>
            <w:r w:rsidR="00C2090E">
              <w:rPr>
                <w:noProof/>
                <w:webHidden/>
                <w:lang w:val="en-GB"/>
              </w:rPr>
              <w:t>4</w:t>
            </w:r>
            <w:r w:rsidR="00A173DA" w:rsidRPr="00361139">
              <w:rPr>
                <w:noProof/>
                <w:webHidden/>
                <w:lang w:val="en-GB"/>
              </w:rPr>
              <w:fldChar w:fldCharType="end"/>
            </w:r>
          </w:hyperlink>
        </w:p>
        <w:p w14:paraId="5A8B6AB6" w14:textId="570A5350"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76" w:history="1">
            <w:r w:rsidR="00A173DA" w:rsidRPr="00361139">
              <w:rPr>
                <w:rStyle w:val="Hyperlink"/>
                <w:noProof/>
                <w:lang w:val="en-GB"/>
              </w:rPr>
              <w:t>Executive Summary</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_Toc139984176 \h </w:instrText>
            </w:r>
            <w:r w:rsidR="00A173DA" w:rsidRPr="00361139">
              <w:rPr>
                <w:noProof/>
                <w:webHidden/>
                <w:lang w:val="en-GB"/>
              </w:rPr>
            </w:r>
            <w:r w:rsidR="00A173DA" w:rsidRPr="00361139">
              <w:rPr>
                <w:noProof/>
                <w:webHidden/>
                <w:lang w:val="en-GB"/>
              </w:rPr>
              <w:fldChar w:fldCharType="separate"/>
            </w:r>
            <w:r w:rsidR="00C2090E">
              <w:rPr>
                <w:noProof/>
                <w:webHidden/>
                <w:lang w:val="en-GB"/>
              </w:rPr>
              <w:t>5</w:t>
            </w:r>
            <w:r w:rsidR="00A173DA" w:rsidRPr="00361139">
              <w:rPr>
                <w:noProof/>
                <w:webHidden/>
                <w:lang w:val="en-GB"/>
              </w:rPr>
              <w:fldChar w:fldCharType="end"/>
            </w:r>
          </w:hyperlink>
        </w:p>
        <w:p w14:paraId="0C4A23B3" w14:textId="0760ECD3"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78" w:history="1">
            <w:r w:rsidR="00A173DA" w:rsidRPr="00361139">
              <w:rPr>
                <w:rStyle w:val="Hyperlink"/>
                <w:noProof/>
                <w:lang w:val="en-GB"/>
              </w:rPr>
              <w:t>Introduction</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_Toc139984178 \h </w:instrText>
            </w:r>
            <w:r w:rsidR="00A173DA" w:rsidRPr="00361139">
              <w:rPr>
                <w:noProof/>
                <w:webHidden/>
                <w:lang w:val="en-GB"/>
              </w:rPr>
            </w:r>
            <w:r w:rsidR="00A173DA" w:rsidRPr="00361139">
              <w:rPr>
                <w:noProof/>
                <w:webHidden/>
                <w:lang w:val="en-GB"/>
              </w:rPr>
              <w:fldChar w:fldCharType="separate"/>
            </w:r>
            <w:r w:rsidR="00C2090E">
              <w:rPr>
                <w:noProof/>
                <w:webHidden/>
                <w:lang w:val="en-GB"/>
              </w:rPr>
              <w:t>10</w:t>
            </w:r>
            <w:r w:rsidR="00A173DA" w:rsidRPr="00361139">
              <w:rPr>
                <w:noProof/>
                <w:webHidden/>
                <w:lang w:val="en-GB"/>
              </w:rPr>
              <w:fldChar w:fldCharType="end"/>
            </w:r>
          </w:hyperlink>
        </w:p>
        <w:p w14:paraId="13483185" w14:textId="7CE62B8F"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79" w:history="1">
            <w:r w:rsidR="00A173DA" w:rsidRPr="00361139">
              <w:rPr>
                <w:rStyle w:val="Hyperlink"/>
                <w:noProof/>
                <w:lang w:val="en-GB"/>
              </w:rPr>
              <w:t>The financial mechanism</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_Toc139984179 \h </w:instrText>
            </w:r>
            <w:r w:rsidR="00A173DA" w:rsidRPr="00361139">
              <w:rPr>
                <w:noProof/>
                <w:webHidden/>
                <w:lang w:val="en-GB"/>
              </w:rPr>
            </w:r>
            <w:r w:rsidR="00A173DA" w:rsidRPr="00361139">
              <w:rPr>
                <w:noProof/>
                <w:webHidden/>
                <w:lang w:val="en-GB"/>
              </w:rPr>
              <w:fldChar w:fldCharType="separate"/>
            </w:r>
            <w:r w:rsidR="00C2090E">
              <w:rPr>
                <w:noProof/>
                <w:webHidden/>
                <w:lang w:val="en-GB"/>
              </w:rPr>
              <w:t>10</w:t>
            </w:r>
            <w:r w:rsidR="00A173DA" w:rsidRPr="00361139">
              <w:rPr>
                <w:noProof/>
                <w:webHidden/>
                <w:lang w:val="en-GB"/>
              </w:rPr>
              <w:fldChar w:fldCharType="end"/>
            </w:r>
          </w:hyperlink>
        </w:p>
        <w:p w14:paraId="53A0643A" w14:textId="27FA707F"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0" w:history="1">
            <w:r w:rsidR="00A173DA" w:rsidRPr="00361139">
              <w:rPr>
                <w:rStyle w:val="Hyperlink"/>
                <w:noProof/>
                <w:lang w:val="en-GB"/>
              </w:rPr>
              <w:t>The COP deliberations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_Toc139984180 \h </w:instrText>
            </w:r>
            <w:r w:rsidR="00A173DA" w:rsidRPr="00361139">
              <w:rPr>
                <w:noProof/>
                <w:webHidden/>
                <w:lang w:val="en-GB"/>
              </w:rPr>
            </w:r>
            <w:r w:rsidR="00A173DA" w:rsidRPr="00361139">
              <w:rPr>
                <w:noProof/>
                <w:webHidden/>
                <w:lang w:val="en-GB"/>
              </w:rPr>
              <w:fldChar w:fldCharType="separate"/>
            </w:r>
            <w:r w:rsidR="00C2090E">
              <w:rPr>
                <w:noProof/>
                <w:webHidden/>
                <w:lang w:val="en-GB"/>
              </w:rPr>
              <w:t>10</w:t>
            </w:r>
            <w:r w:rsidR="00A173DA" w:rsidRPr="00361139">
              <w:rPr>
                <w:noProof/>
                <w:webHidden/>
                <w:lang w:val="en-GB"/>
              </w:rPr>
              <w:fldChar w:fldCharType="end"/>
            </w:r>
          </w:hyperlink>
        </w:p>
        <w:p w14:paraId="4B31E5A7" w14:textId="09709624"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1" w:history="1">
            <w:r w:rsidR="00A173DA" w:rsidRPr="00361139">
              <w:rPr>
                <w:rStyle w:val="Hyperlink"/>
                <w:noProof/>
                <w:lang w:val="en-GB"/>
              </w:rPr>
              <w:t>The review</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_Toc139984181 \h </w:instrText>
            </w:r>
            <w:r w:rsidR="00A173DA" w:rsidRPr="00361139">
              <w:rPr>
                <w:noProof/>
                <w:webHidden/>
                <w:lang w:val="en-GB"/>
              </w:rPr>
            </w:r>
            <w:r w:rsidR="00A173DA" w:rsidRPr="00361139">
              <w:rPr>
                <w:noProof/>
                <w:webHidden/>
                <w:lang w:val="en-GB"/>
              </w:rPr>
              <w:fldChar w:fldCharType="separate"/>
            </w:r>
            <w:r w:rsidR="00C2090E">
              <w:rPr>
                <w:noProof/>
                <w:webHidden/>
                <w:lang w:val="en-GB"/>
              </w:rPr>
              <w:t>10</w:t>
            </w:r>
            <w:r w:rsidR="00A173DA" w:rsidRPr="00361139">
              <w:rPr>
                <w:noProof/>
                <w:webHidden/>
                <w:lang w:val="en-GB"/>
              </w:rPr>
              <w:fldChar w:fldCharType="end"/>
            </w:r>
          </w:hyperlink>
        </w:p>
        <w:p w14:paraId="544416AD" w14:textId="156DD479"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82" w:history="1">
            <w:r w:rsidR="00A173DA" w:rsidRPr="00361139">
              <w:rPr>
                <w:rStyle w:val="Hyperlink"/>
                <w:noProof/>
                <w:lang w:val="en-GB"/>
              </w:rPr>
              <w:t>I.</w:t>
            </w:r>
            <w:r w:rsidR="00A173DA" w:rsidRPr="00361139">
              <w:rPr>
                <w:rFonts w:asciiTheme="minorHAnsi" w:eastAsiaTheme="minorEastAsia" w:hAnsiTheme="minorHAnsi" w:cstheme="minorBidi"/>
                <w:bCs w:val="0"/>
                <w:noProof/>
                <w:kern w:val="2"/>
                <w:sz w:val="22"/>
                <w:szCs w:val="22"/>
                <w:lang w:val="en-GB" w:eastAsia="en-GB"/>
                <w14:ligatures w14:val="standardContextual"/>
              </w:rPr>
              <w:tab/>
            </w:r>
            <w:r w:rsidR="00A173DA" w:rsidRPr="00361139">
              <w:rPr>
                <w:rStyle w:val="Hyperlink"/>
                <w:noProof/>
                <w:lang w:val="en-GB"/>
              </w:rPr>
              <w:t>The Funding</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_Toc139984182 \h </w:instrText>
            </w:r>
            <w:r w:rsidR="00A173DA" w:rsidRPr="00361139">
              <w:rPr>
                <w:noProof/>
                <w:webHidden/>
                <w:lang w:val="en-GB"/>
              </w:rPr>
            </w:r>
            <w:r w:rsidR="00A173DA" w:rsidRPr="00361139">
              <w:rPr>
                <w:noProof/>
                <w:webHidden/>
                <w:lang w:val="en-GB"/>
              </w:rPr>
              <w:fldChar w:fldCharType="separate"/>
            </w:r>
            <w:r w:rsidR="00C2090E">
              <w:rPr>
                <w:noProof/>
                <w:webHidden/>
                <w:lang w:val="en-GB"/>
              </w:rPr>
              <w:t>13</w:t>
            </w:r>
            <w:r w:rsidR="00A173DA" w:rsidRPr="00361139">
              <w:rPr>
                <w:noProof/>
                <w:webHidden/>
                <w:lang w:val="en-GB"/>
              </w:rPr>
              <w:fldChar w:fldCharType="end"/>
            </w:r>
          </w:hyperlink>
        </w:p>
        <w:p w14:paraId="5326D0F9" w14:textId="1E3562EC"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3" w:history="1">
            <w:r w:rsidR="00A173DA" w:rsidRPr="00361139">
              <w:rPr>
                <w:rStyle w:val="Hyperlink"/>
                <w:noProof/>
                <w:lang w:val="en-GB"/>
              </w:rPr>
              <w:t>The total level of funding</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_Toc139984183 \h </w:instrText>
            </w:r>
            <w:r w:rsidR="00A173DA" w:rsidRPr="00361139">
              <w:rPr>
                <w:noProof/>
                <w:webHidden/>
                <w:lang w:val="en-GB"/>
              </w:rPr>
            </w:r>
            <w:r w:rsidR="00A173DA" w:rsidRPr="00361139">
              <w:rPr>
                <w:noProof/>
                <w:webHidden/>
                <w:lang w:val="en-GB"/>
              </w:rPr>
              <w:fldChar w:fldCharType="separate"/>
            </w:r>
            <w:r w:rsidR="00C2090E">
              <w:rPr>
                <w:noProof/>
                <w:webHidden/>
                <w:lang w:val="en-GB"/>
              </w:rPr>
              <w:t>13</w:t>
            </w:r>
            <w:r w:rsidR="00A173DA" w:rsidRPr="00361139">
              <w:rPr>
                <w:noProof/>
                <w:webHidden/>
                <w:lang w:val="en-GB"/>
              </w:rPr>
              <w:fldChar w:fldCharType="end"/>
            </w:r>
          </w:hyperlink>
        </w:p>
        <w:p w14:paraId="132BD067" w14:textId="5CFBEC4C"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4" w:history="1">
            <w:r w:rsidR="00A173DA" w:rsidRPr="00361139">
              <w:rPr>
                <w:rStyle w:val="Hyperlink"/>
                <w:noProof/>
                <w:lang w:val="en-GB"/>
              </w:rPr>
              <w:t>The GEF funding</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_Toc139984184 \h </w:instrText>
            </w:r>
            <w:r w:rsidR="00A173DA" w:rsidRPr="00361139">
              <w:rPr>
                <w:noProof/>
                <w:webHidden/>
                <w:lang w:val="en-GB"/>
              </w:rPr>
            </w:r>
            <w:r w:rsidR="00A173DA" w:rsidRPr="00361139">
              <w:rPr>
                <w:noProof/>
                <w:webHidden/>
                <w:lang w:val="en-GB"/>
              </w:rPr>
              <w:fldChar w:fldCharType="separate"/>
            </w:r>
            <w:r w:rsidR="00C2090E">
              <w:rPr>
                <w:noProof/>
                <w:webHidden/>
                <w:lang w:val="en-GB"/>
              </w:rPr>
              <w:t>14</w:t>
            </w:r>
            <w:r w:rsidR="00A173DA" w:rsidRPr="00361139">
              <w:rPr>
                <w:noProof/>
                <w:webHidden/>
                <w:lang w:val="en-GB"/>
              </w:rPr>
              <w:fldChar w:fldCharType="end"/>
            </w:r>
          </w:hyperlink>
        </w:p>
        <w:p w14:paraId="12E6C122" w14:textId="20D718D6"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5" w:history="1">
            <w:r w:rsidR="00A173DA" w:rsidRPr="00361139">
              <w:rPr>
                <w:rStyle w:val="Hyperlink"/>
                <w:noProof/>
                <w:lang w:val="en-GB"/>
              </w:rPr>
              <w:t>The SIP funding</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_Toc139984185 \h </w:instrText>
            </w:r>
            <w:r w:rsidR="00A173DA" w:rsidRPr="00361139">
              <w:rPr>
                <w:noProof/>
                <w:webHidden/>
                <w:lang w:val="en-GB"/>
              </w:rPr>
            </w:r>
            <w:r w:rsidR="00A173DA" w:rsidRPr="00361139">
              <w:rPr>
                <w:noProof/>
                <w:webHidden/>
                <w:lang w:val="en-GB"/>
              </w:rPr>
              <w:fldChar w:fldCharType="separate"/>
            </w:r>
            <w:r w:rsidR="00C2090E">
              <w:rPr>
                <w:noProof/>
                <w:webHidden/>
                <w:lang w:val="en-GB"/>
              </w:rPr>
              <w:t>15</w:t>
            </w:r>
            <w:r w:rsidR="00A173DA" w:rsidRPr="00361139">
              <w:rPr>
                <w:noProof/>
                <w:webHidden/>
                <w:lang w:val="en-GB"/>
              </w:rPr>
              <w:fldChar w:fldCharType="end"/>
            </w:r>
          </w:hyperlink>
        </w:p>
        <w:p w14:paraId="398BF44B" w14:textId="1EBD4D2C"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6" w:history="1">
            <w:r w:rsidR="00A173DA" w:rsidRPr="00361139">
              <w:rPr>
                <w:rStyle w:val="Hyperlink"/>
                <w:noProof/>
                <w:lang w:val="en-GB"/>
              </w:rPr>
              <w:t>The ability of the MC financial mechanism to mobilize resources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_Toc139984186 \h </w:instrText>
            </w:r>
            <w:r w:rsidR="00A173DA" w:rsidRPr="00361139">
              <w:rPr>
                <w:noProof/>
                <w:webHidden/>
                <w:lang w:val="en-GB"/>
              </w:rPr>
            </w:r>
            <w:r w:rsidR="00A173DA" w:rsidRPr="00361139">
              <w:rPr>
                <w:noProof/>
                <w:webHidden/>
                <w:lang w:val="en-GB"/>
              </w:rPr>
              <w:fldChar w:fldCharType="separate"/>
            </w:r>
            <w:r w:rsidR="00C2090E">
              <w:rPr>
                <w:noProof/>
                <w:webHidden/>
                <w:lang w:val="en-GB"/>
              </w:rPr>
              <w:t>15</w:t>
            </w:r>
            <w:r w:rsidR="00A173DA" w:rsidRPr="00361139">
              <w:rPr>
                <w:noProof/>
                <w:webHidden/>
                <w:lang w:val="en-GB"/>
              </w:rPr>
              <w:fldChar w:fldCharType="end"/>
            </w:r>
          </w:hyperlink>
        </w:p>
        <w:p w14:paraId="4927AAE6" w14:textId="26AEA9AD"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7" w:history="1">
            <w:r w:rsidR="00A173DA" w:rsidRPr="00361139">
              <w:rPr>
                <w:rStyle w:val="Hyperlink"/>
                <w:noProof/>
                <w:lang w:val="en-GB"/>
              </w:rPr>
              <w:t>The co-financing in GEF projects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_Toc139984187 \h </w:instrText>
            </w:r>
            <w:r w:rsidR="00A173DA" w:rsidRPr="00361139">
              <w:rPr>
                <w:noProof/>
                <w:webHidden/>
                <w:lang w:val="en-GB"/>
              </w:rPr>
            </w:r>
            <w:r w:rsidR="00A173DA" w:rsidRPr="00361139">
              <w:rPr>
                <w:noProof/>
                <w:webHidden/>
                <w:lang w:val="en-GB"/>
              </w:rPr>
              <w:fldChar w:fldCharType="separate"/>
            </w:r>
            <w:r w:rsidR="00C2090E">
              <w:rPr>
                <w:noProof/>
                <w:webHidden/>
                <w:lang w:val="en-GB"/>
              </w:rPr>
              <w:t>18</w:t>
            </w:r>
            <w:r w:rsidR="00A173DA" w:rsidRPr="00361139">
              <w:rPr>
                <w:noProof/>
                <w:webHidden/>
                <w:lang w:val="en-GB"/>
              </w:rPr>
              <w:fldChar w:fldCharType="end"/>
            </w:r>
          </w:hyperlink>
        </w:p>
        <w:p w14:paraId="11D4289A" w14:textId="225512F0"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8" w:history="1">
            <w:r w:rsidR="00A173DA" w:rsidRPr="00361139">
              <w:rPr>
                <w:rStyle w:val="Hyperlink"/>
                <w:noProof/>
                <w:lang w:val="en-GB"/>
              </w:rPr>
              <w:t>The co-financing in SIP projects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_Toc139984188 \h </w:instrText>
            </w:r>
            <w:r w:rsidR="00A173DA" w:rsidRPr="00361139">
              <w:rPr>
                <w:noProof/>
                <w:webHidden/>
                <w:lang w:val="en-GB"/>
              </w:rPr>
            </w:r>
            <w:r w:rsidR="00A173DA" w:rsidRPr="00361139">
              <w:rPr>
                <w:noProof/>
                <w:webHidden/>
                <w:lang w:val="en-GB"/>
              </w:rPr>
              <w:fldChar w:fldCharType="separate"/>
            </w:r>
            <w:r w:rsidR="00C2090E">
              <w:rPr>
                <w:noProof/>
                <w:webHidden/>
                <w:lang w:val="en-GB"/>
              </w:rPr>
              <w:t>19</w:t>
            </w:r>
            <w:r w:rsidR="00A173DA" w:rsidRPr="00361139">
              <w:rPr>
                <w:noProof/>
                <w:webHidden/>
                <w:lang w:val="en-GB"/>
              </w:rPr>
              <w:fldChar w:fldCharType="end"/>
            </w:r>
          </w:hyperlink>
        </w:p>
        <w:p w14:paraId="132656C4" w14:textId="6B71F263"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89" w:history="1">
            <w:r w:rsidR="00A173DA" w:rsidRPr="00361139">
              <w:rPr>
                <w:rStyle w:val="Hyperlink"/>
                <w:noProof/>
                <w:lang w:val="en-GB"/>
              </w:rPr>
              <w:t>The geographical distribution of the funding</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_Toc139984189 \h </w:instrText>
            </w:r>
            <w:r w:rsidR="00A173DA" w:rsidRPr="00361139">
              <w:rPr>
                <w:noProof/>
                <w:webHidden/>
                <w:lang w:val="en-GB"/>
              </w:rPr>
            </w:r>
            <w:r w:rsidR="00A173DA" w:rsidRPr="00361139">
              <w:rPr>
                <w:noProof/>
                <w:webHidden/>
                <w:lang w:val="en-GB"/>
              </w:rPr>
              <w:fldChar w:fldCharType="separate"/>
            </w:r>
            <w:r w:rsidR="00C2090E">
              <w:rPr>
                <w:noProof/>
                <w:webHidden/>
                <w:lang w:val="en-GB"/>
              </w:rPr>
              <w:t>19</w:t>
            </w:r>
            <w:r w:rsidR="00A173DA" w:rsidRPr="00361139">
              <w:rPr>
                <w:noProof/>
                <w:webHidden/>
                <w:lang w:val="en-GB"/>
              </w:rPr>
              <w:fldChar w:fldCharType="end"/>
            </w:r>
          </w:hyperlink>
        </w:p>
        <w:p w14:paraId="40DB673C" w14:textId="1BF8F2B4"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90" w:history="1">
            <w:r w:rsidR="00A173DA" w:rsidRPr="00361139">
              <w:rPr>
                <w:rStyle w:val="Hyperlink"/>
                <w:noProof/>
                <w:lang w:val="en-GB"/>
              </w:rPr>
              <w:t>2.</w:t>
            </w:r>
            <w:r w:rsidR="00A173DA" w:rsidRPr="00361139">
              <w:rPr>
                <w:rFonts w:asciiTheme="minorHAnsi" w:eastAsiaTheme="minorEastAsia" w:hAnsiTheme="minorHAnsi" w:cstheme="minorBidi"/>
                <w:bCs w:val="0"/>
                <w:noProof/>
                <w:kern w:val="2"/>
                <w:sz w:val="22"/>
                <w:szCs w:val="22"/>
                <w:lang w:val="en-GB" w:eastAsia="en-GB"/>
                <w14:ligatures w14:val="standardContextual"/>
              </w:rPr>
              <w:tab/>
            </w:r>
            <w:r w:rsidR="00A173DA" w:rsidRPr="00361139">
              <w:rPr>
                <w:rStyle w:val="Hyperlink"/>
                <w:noProof/>
                <w:lang w:val="en-GB"/>
              </w:rPr>
              <w:t>The Guidance</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_Toc139984190 \h </w:instrText>
            </w:r>
            <w:r w:rsidR="00A173DA" w:rsidRPr="00361139">
              <w:rPr>
                <w:noProof/>
                <w:webHidden/>
                <w:lang w:val="en-GB"/>
              </w:rPr>
            </w:r>
            <w:r w:rsidR="00A173DA" w:rsidRPr="00361139">
              <w:rPr>
                <w:noProof/>
                <w:webHidden/>
                <w:lang w:val="en-GB"/>
              </w:rPr>
              <w:fldChar w:fldCharType="separate"/>
            </w:r>
            <w:r w:rsidR="00C2090E">
              <w:rPr>
                <w:noProof/>
                <w:webHidden/>
                <w:lang w:val="en-GB"/>
              </w:rPr>
              <w:t>21</w:t>
            </w:r>
            <w:r w:rsidR="00A173DA" w:rsidRPr="00361139">
              <w:rPr>
                <w:noProof/>
                <w:webHidden/>
                <w:lang w:val="en-GB"/>
              </w:rPr>
              <w:fldChar w:fldCharType="end"/>
            </w:r>
          </w:hyperlink>
        </w:p>
        <w:p w14:paraId="3C142DF5" w14:textId="2E0B541F"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1" w:history="1">
            <w:r w:rsidR="00A173DA" w:rsidRPr="00361139">
              <w:rPr>
                <w:rStyle w:val="Hyperlink"/>
                <w:noProof/>
                <w:lang w:val="en-GB"/>
              </w:rPr>
              <w:t>The guidance to the GEF</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_Toc139984191 \h </w:instrText>
            </w:r>
            <w:r w:rsidR="00A173DA" w:rsidRPr="00361139">
              <w:rPr>
                <w:noProof/>
                <w:webHidden/>
                <w:lang w:val="en-GB"/>
              </w:rPr>
            </w:r>
            <w:r w:rsidR="00A173DA" w:rsidRPr="00361139">
              <w:rPr>
                <w:noProof/>
                <w:webHidden/>
                <w:lang w:val="en-GB"/>
              </w:rPr>
              <w:fldChar w:fldCharType="separate"/>
            </w:r>
            <w:r w:rsidR="00C2090E">
              <w:rPr>
                <w:noProof/>
                <w:webHidden/>
                <w:lang w:val="en-GB"/>
              </w:rPr>
              <w:t>21</w:t>
            </w:r>
            <w:r w:rsidR="00A173DA" w:rsidRPr="00361139">
              <w:rPr>
                <w:noProof/>
                <w:webHidden/>
                <w:lang w:val="en-GB"/>
              </w:rPr>
              <w:fldChar w:fldCharType="end"/>
            </w:r>
          </w:hyperlink>
        </w:p>
        <w:p w14:paraId="6D33DC94" w14:textId="34D0A06D"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2" w:history="1">
            <w:r w:rsidR="00A173DA" w:rsidRPr="00361139">
              <w:rPr>
                <w:rStyle w:val="Hyperlink"/>
                <w:noProof/>
                <w:lang w:val="en-GB"/>
              </w:rPr>
              <w:t>The guidance to the SIP</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_Toc139984192 \h </w:instrText>
            </w:r>
            <w:r w:rsidR="00A173DA" w:rsidRPr="00361139">
              <w:rPr>
                <w:noProof/>
                <w:webHidden/>
                <w:lang w:val="en-GB"/>
              </w:rPr>
            </w:r>
            <w:r w:rsidR="00A173DA" w:rsidRPr="00361139">
              <w:rPr>
                <w:noProof/>
                <w:webHidden/>
                <w:lang w:val="en-GB"/>
              </w:rPr>
              <w:fldChar w:fldCharType="separate"/>
            </w:r>
            <w:r w:rsidR="00C2090E">
              <w:rPr>
                <w:noProof/>
                <w:webHidden/>
                <w:lang w:val="en-GB"/>
              </w:rPr>
              <w:t>22</w:t>
            </w:r>
            <w:r w:rsidR="00A173DA" w:rsidRPr="00361139">
              <w:rPr>
                <w:noProof/>
                <w:webHidden/>
                <w:lang w:val="en-GB"/>
              </w:rPr>
              <w:fldChar w:fldCharType="end"/>
            </w:r>
          </w:hyperlink>
        </w:p>
        <w:p w14:paraId="79A20C07" w14:textId="2654BC3C"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93" w:history="1">
            <w:r w:rsidR="00A173DA" w:rsidRPr="00361139">
              <w:rPr>
                <w:rStyle w:val="Hyperlink"/>
                <w:noProof/>
                <w:lang w:val="en-GB"/>
              </w:rPr>
              <w:t>3.</w:t>
            </w:r>
            <w:r w:rsidR="00A173DA" w:rsidRPr="00361139">
              <w:rPr>
                <w:rFonts w:asciiTheme="minorHAnsi" w:eastAsiaTheme="minorEastAsia" w:hAnsiTheme="minorHAnsi" w:cstheme="minorBidi"/>
                <w:bCs w:val="0"/>
                <w:noProof/>
                <w:kern w:val="2"/>
                <w:sz w:val="22"/>
                <w:szCs w:val="22"/>
                <w:lang w:val="en-GB" w:eastAsia="en-GB"/>
                <w14:ligatures w14:val="standardContextual"/>
              </w:rPr>
              <w:tab/>
            </w:r>
            <w:r w:rsidR="00A173DA" w:rsidRPr="00361139">
              <w:rPr>
                <w:rStyle w:val="Hyperlink"/>
                <w:noProof/>
                <w:lang w:val="en-GB"/>
              </w:rPr>
              <w:t>The Effectiveness and the Efficiency</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_Toc139984193 \h </w:instrText>
            </w:r>
            <w:r w:rsidR="00A173DA" w:rsidRPr="00361139">
              <w:rPr>
                <w:noProof/>
                <w:webHidden/>
                <w:lang w:val="en-GB"/>
              </w:rPr>
            </w:r>
            <w:r w:rsidR="00A173DA" w:rsidRPr="00361139">
              <w:rPr>
                <w:noProof/>
                <w:webHidden/>
                <w:lang w:val="en-GB"/>
              </w:rPr>
              <w:fldChar w:fldCharType="separate"/>
            </w:r>
            <w:r w:rsidR="00C2090E">
              <w:rPr>
                <w:noProof/>
                <w:webHidden/>
                <w:lang w:val="en-GB"/>
              </w:rPr>
              <w:t>24</w:t>
            </w:r>
            <w:r w:rsidR="00A173DA" w:rsidRPr="00361139">
              <w:rPr>
                <w:noProof/>
                <w:webHidden/>
                <w:lang w:val="en-GB"/>
              </w:rPr>
              <w:fldChar w:fldCharType="end"/>
            </w:r>
          </w:hyperlink>
        </w:p>
        <w:p w14:paraId="58B468E5" w14:textId="17894179"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4" w:history="1">
            <w:r w:rsidR="00A173DA" w:rsidRPr="00361139">
              <w:rPr>
                <w:rStyle w:val="Hyperlink"/>
                <w:noProof/>
                <w:lang w:val="en-GB"/>
              </w:rPr>
              <w:t>The provision of adequate, predictable, and timely financial resources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_Toc139984194 \h </w:instrText>
            </w:r>
            <w:r w:rsidR="00A173DA" w:rsidRPr="00361139">
              <w:rPr>
                <w:noProof/>
                <w:webHidden/>
                <w:lang w:val="en-GB"/>
              </w:rPr>
            </w:r>
            <w:r w:rsidR="00A173DA" w:rsidRPr="00361139">
              <w:rPr>
                <w:noProof/>
                <w:webHidden/>
                <w:lang w:val="en-GB"/>
              </w:rPr>
              <w:fldChar w:fldCharType="separate"/>
            </w:r>
            <w:r w:rsidR="00C2090E">
              <w:rPr>
                <w:noProof/>
                <w:webHidden/>
                <w:lang w:val="en-GB"/>
              </w:rPr>
              <w:t>24</w:t>
            </w:r>
            <w:r w:rsidR="00A173DA" w:rsidRPr="00361139">
              <w:rPr>
                <w:noProof/>
                <w:webHidden/>
                <w:lang w:val="en-GB"/>
              </w:rPr>
              <w:fldChar w:fldCharType="end"/>
            </w:r>
          </w:hyperlink>
        </w:p>
        <w:p w14:paraId="1C28F8E1" w14:textId="58C6B173"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5" w:history="1">
            <w:r w:rsidR="00A173DA" w:rsidRPr="00361139">
              <w:rPr>
                <w:rStyle w:val="Hyperlink"/>
                <w:noProof/>
                <w:lang w:val="en-GB"/>
              </w:rPr>
              <w:t>Accessing the funds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_Toc139984195 \h </w:instrText>
            </w:r>
            <w:r w:rsidR="00A173DA" w:rsidRPr="00361139">
              <w:rPr>
                <w:noProof/>
                <w:webHidden/>
                <w:lang w:val="en-GB"/>
              </w:rPr>
            </w:r>
            <w:r w:rsidR="00A173DA" w:rsidRPr="00361139">
              <w:rPr>
                <w:noProof/>
                <w:webHidden/>
                <w:lang w:val="en-GB"/>
              </w:rPr>
              <w:fldChar w:fldCharType="separate"/>
            </w:r>
            <w:r w:rsidR="00C2090E">
              <w:rPr>
                <w:noProof/>
                <w:webHidden/>
                <w:lang w:val="en-GB"/>
              </w:rPr>
              <w:t>24</w:t>
            </w:r>
            <w:r w:rsidR="00A173DA" w:rsidRPr="00361139">
              <w:rPr>
                <w:noProof/>
                <w:webHidden/>
                <w:lang w:val="en-GB"/>
              </w:rPr>
              <w:fldChar w:fldCharType="end"/>
            </w:r>
          </w:hyperlink>
        </w:p>
        <w:p w14:paraId="6AE0817D" w14:textId="6322936F"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6" w:history="1">
            <w:r w:rsidR="00A173DA" w:rsidRPr="00361139">
              <w:rPr>
                <w:rStyle w:val="Hyperlink"/>
                <w:noProof/>
                <w:lang w:val="en-GB"/>
              </w:rPr>
              <w:t>Implementing the projects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_Toc139984196 \h </w:instrText>
            </w:r>
            <w:r w:rsidR="00A173DA" w:rsidRPr="00361139">
              <w:rPr>
                <w:noProof/>
                <w:webHidden/>
                <w:lang w:val="en-GB"/>
              </w:rPr>
            </w:r>
            <w:r w:rsidR="00A173DA" w:rsidRPr="00361139">
              <w:rPr>
                <w:noProof/>
                <w:webHidden/>
                <w:lang w:val="en-GB"/>
              </w:rPr>
              <w:fldChar w:fldCharType="separate"/>
            </w:r>
            <w:r w:rsidR="00C2090E">
              <w:rPr>
                <w:noProof/>
                <w:webHidden/>
                <w:lang w:val="en-GB"/>
              </w:rPr>
              <w:t>25</w:t>
            </w:r>
            <w:r w:rsidR="00A173DA" w:rsidRPr="00361139">
              <w:rPr>
                <w:noProof/>
                <w:webHidden/>
                <w:lang w:val="en-GB"/>
              </w:rPr>
              <w:fldChar w:fldCharType="end"/>
            </w:r>
          </w:hyperlink>
        </w:p>
        <w:p w14:paraId="41D489A1" w14:textId="630DC3B0"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7" w:history="1">
            <w:r w:rsidR="00A173DA" w:rsidRPr="00361139">
              <w:rPr>
                <w:rStyle w:val="Hyperlink"/>
                <w:noProof/>
                <w:lang w:val="en-GB"/>
              </w:rPr>
              <w:t>Projects results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_Toc139984197 \h </w:instrText>
            </w:r>
            <w:r w:rsidR="00A173DA" w:rsidRPr="00361139">
              <w:rPr>
                <w:noProof/>
                <w:webHidden/>
                <w:lang w:val="en-GB"/>
              </w:rPr>
            </w:r>
            <w:r w:rsidR="00A173DA" w:rsidRPr="00361139">
              <w:rPr>
                <w:noProof/>
                <w:webHidden/>
                <w:lang w:val="en-GB"/>
              </w:rPr>
              <w:fldChar w:fldCharType="separate"/>
            </w:r>
            <w:r w:rsidR="00C2090E">
              <w:rPr>
                <w:noProof/>
                <w:webHidden/>
                <w:lang w:val="en-GB"/>
              </w:rPr>
              <w:t>26</w:t>
            </w:r>
            <w:r w:rsidR="00A173DA" w:rsidRPr="00361139">
              <w:rPr>
                <w:noProof/>
                <w:webHidden/>
                <w:lang w:val="en-GB"/>
              </w:rPr>
              <w:fldChar w:fldCharType="end"/>
            </w:r>
          </w:hyperlink>
        </w:p>
        <w:p w14:paraId="11B0AAA6" w14:textId="3BEF570E"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198" w:history="1">
            <w:r w:rsidR="00A173DA" w:rsidRPr="00361139">
              <w:rPr>
                <w:rStyle w:val="Hyperlink"/>
                <w:noProof/>
                <w:lang w:val="en-GB"/>
              </w:rPr>
              <w:t>The effectiveness and efficiency of the MC financial mechanism</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_Toc139984198 \h </w:instrText>
            </w:r>
            <w:r w:rsidR="00A173DA" w:rsidRPr="00361139">
              <w:rPr>
                <w:noProof/>
                <w:webHidden/>
                <w:lang w:val="en-GB"/>
              </w:rPr>
            </w:r>
            <w:r w:rsidR="00A173DA" w:rsidRPr="00361139">
              <w:rPr>
                <w:noProof/>
                <w:webHidden/>
                <w:lang w:val="en-GB"/>
              </w:rPr>
              <w:fldChar w:fldCharType="separate"/>
            </w:r>
            <w:r w:rsidR="00C2090E">
              <w:rPr>
                <w:noProof/>
                <w:webHidden/>
                <w:lang w:val="en-GB"/>
              </w:rPr>
              <w:t>27</w:t>
            </w:r>
            <w:r w:rsidR="00A173DA" w:rsidRPr="00361139">
              <w:rPr>
                <w:noProof/>
                <w:webHidden/>
                <w:lang w:val="en-GB"/>
              </w:rPr>
              <w:fldChar w:fldCharType="end"/>
            </w:r>
          </w:hyperlink>
        </w:p>
        <w:p w14:paraId="418F6EE2" w14:textId="4F3296FD"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199" w:history="1">
            <w:r w:rsidR="00A173DA" w:rsidRPr="00361139">
              <w:rPr>
                <w:rStyle w:val="Hyperlink"/>
                <w:noProof/>
                <w:lang w:val="en-GB"/>
              </w:rPr>
              <w:t>4.</w:t>
            </w:r>
            <w:r w:rsidR="00A173DA" w:rsidRPr="00361139">
              <w:rPr>
                <w:rFonts w:asciiTheme="minorHAnsi" w:eastAsiaTheme="minorEastAsia" w:hAnsiTheme="minorHAnsi" w:cstheme="minorBidi"/>
                <w:bCs w:val="0"/>
                <w:noProof/>
                <w:kern w:val="2"/>
                <w:sz w:val="22"/>
                <w:szCs w:val="22"/>
                <w:lang w:val="en-GB" w:eastAsia="en-GB"/>
                <w14:ligatures w14:val="standardContextual"/>
              </w:rPr>
              <w:tab/>
            </w:r>
            <w:r w:rsidR="00A173DA" w:rsidRPr="00361139">
              <w:rPr>
                <w:rStyle w:val="Hyperlink"/>
                <w:noProof/>
                <w:lang w:val="en-GB"/>
              </w:rPr>
              <w:t>The Sustainability of the Resources and the Changing Needs of Developing Countries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_Toc139984199 \h </w:instrText>
            </w:r>
            <w:r w:rsidR="00A173DA" w:rsidRPr="00361139">
              <w:rPr>
                <w:noProof/>
                <w:webHidden/>
                <w:lang w:val="en-GB"/>
              </w:rPr>
            </w:r>
            <w:r w:rsidR="00A173DA" w:rsidRPr="00361139">
              <w:rPr>
                <w:noProof/>
                <w:webHidden/>
                <w:lang w:val="en-GB"/>
              </w:rPr>
              <w:fldChar w:fldCharType="separate"/>
            </w:r>
            <w:r w:rsidR="00C2090E">
              <w:rPr>
                <w:noProof/>
                <w:webHidden/>
                <w:lang w:val="en-GB"/>
              </w:rPr>
              <w:t>28</w:t>
            </w:r>
            <w:r w:rsidR="00A173DA" w:rsidRPr="00361139">
              <w:rPr>
                <w:noProof/>
                <w:webHidden/>
                <w:lang w:val="en-GB"/>
              </w:rPr>
              <w:fldChar w:fldCharType="end"/>
            </w:r>
          </w:hyperlink>
        </w:p>
        <w:p w14:paraId="369DA001" w14:textId="7949BA2A" w:rsidR="00A173DA" w:rsidRPr="00361139" w:rsidRDefault="00551D55" w:rsidP="001438BD">
          <w:pPr>
            <w:pStyle w:val="TOC1"/>
            <w:tabs>
              <w:tab w:val="clear" w:pos="624"/>
              <w:tab w:val="clear" w:pos="1247"/>
              <w:tab w:val="clear" w:pos="1871"/>
              <w:tab w:val="clear" w:pos="2495"/>
              <w:tab w:val="clear" w:pos="3119"/>
              <w:tab w:val="clear" w:pos="3742"/>
              <w:tab w:val="clear" w:pos="4366"/>
            </w:tabs>
            <w:spacing w:before="120"/>
            <w:rPr>
              <w:rFonts w:asciiTheme="minorHAnsi" w:eastAsiaTheme="minorEastAsia" w:hAnsiTheme="minorHAnsi" w:cstheme="minorBidi"/>
              <w:bCs w:val="0"/>
              <w:noProof/>
              <w:kern w:val="2"/>
              <w:sz w:val="22"/>
              <w:szCs w:val="22"/>
              <w:lang w:val="en-GB" w:eastAsia="en-GB"/>
              <w14:ligatures w14:val="standardContextual"/>
            </w:rPr>
          </w:pPr>
          <w:hyperlink w:anchor="_Toc139984200" w:history="1">
            <w:r w:rsidR="00A173DA" w:rsidRPr="00361139">
              <w:rPr>
                <w:rStyle w:val="Hyperlink"/>
                <w:noProof/>
                <w:lang w:val="en-GB"/>
              </w:rPr>
              <w:t>5.</w:t>
            </w:r>
            <w:r w:rsidR="00A173DA" w:rsidRPr="00361139">
              <w:rPr>
                <w:rFonts w:asciiTheme="minorHAnsi" w:eastAsiaTheme="minorEastAsia" w:hAnsiTheme="minorHAnsi" w:cstheme="minorBidi"/>
                <w:bCs w:val="0"/>
                <w:noProof/>
                <w:kern w:val="2"/>
                <w:sz w:val="22"/>
                <w:szCs w:val="22"/>
                <w:lang w:val="en-GB" w:eastAsia="en-GB"/>
                <w14:ligatures w14:val="standardContextual"/>
              </w:rPr>
              <w:tab/>
            </w:r>
            <w:r w:rsidR="00A173DA" w:rsidRPr="00361139">
              <w:rPr>
                <w:rStyle w:val="Hyperlink"/>
                <w:noProof/>
                <w:lang w:val="en-GB"/>
              </w:rPr>
              <w:t>Conclusions, lessons learned and recommendations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_Toc139984200 \h </w:instrText>
            </w:r>
            <w:r w:rsidR="00A173DA" w:rsidRPr="00361139">
              <w:rPr>
                <w:noProof/>
                <w:webHidden/>
                <w:lang w:val="en-GB"/>
              </w:rPr>
            </w:r>
            <w:r w:rsidR="00A173DA" w:rsidRPr="00361139">
              <w:rPr>
                <w:noProof/>
                <w:webHidden/>
                <w:lang w:val="en-GB"/>
              </w:rPr>
              <w:fldChar w:fldCharType="separate"/>
            </w:r>
            <w:r w:rsidR="00C2090E">
              <w:rPr>
                <w:noProof/>
                <w:webHidden/>
                <w:lang w:val="en-GB"/>
              </w:rPr>
              <w:t>31</w:t>
            </w:r>
            <w:r w:rsidR="00A173DA" w:rsidRPr="00361139">
              <w:rPr>
                <w:noProof/>
                <w:webHidden/>
                <w:lang w:val="en-GB"/>
              </w:rPr>
              <w:fldChar w:fldCharType="end"/>
            </w:r>
          </w:hyperlink>
        </w:p>
        <w:p w14:paraId="58102047" w14:textId="3E831D83"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201" w:history="1">
            <w:r w:rsidR="00A173DA" w:rsidRPr="00361139">
              <w:rPr>
                <w:rStyle w:val="Hyperlink"/>
                <w:noProof/>
                <w:lang w:val="en-GB"/>
              </w:rPr>
              <w:t>Conclusions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_Toc139984201 \h </w:instrText>
            </w:r>
            <w:r w:rsidR="00A173DA" w:rsidRPr="00361139">
              <w:rPr>
                <w:noProof/>
                <w:webHidden/>
                <w:lang w:val="en-GB"/>
              </w:rPr>
            </w:r>
            <w:r w:rsidR="00A173DA" w:rsidRPr="00361139">
              <w:rPr>
                <w:noProof/>
                <w:webHidden/>
                <w:lang w:val="en-GB"/>
              </w:rPr>
              <w:fldChar w:fldCharType="separate"/>
            </w:r>
            <w:r w:rsidR="00C2090E">
              <w:rPr>
                <w:noProof/>
                <w:webHidden/>
                <w:lang w:val="en-GB"/>
              </w:rPr>
              <w:t>31</w:t>
            </w:r>
            <w:r w:rsidR="00A173DA" w:rsidRPr="00361139">
              <w:rPr>
                <w:noProof/>
                <w:webHidden/>
                <w:lang w:val="en-GB"/>
              </w:rPr>
              <w:fldChar w:fldCharType="end"/>
            </w:r>
          </w:hyperlink>
        </w:p>
        <w:p w14:paraId="7DB31C6E" w14:textId="4C83E1C3"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202" w:history="1">
            <w:r w:rsidR="00A173DA" w:rsidRPr="00361139">
              <w:rPr>
                <w:rStyle w:val="Hyperlink"/>
                <w:noProof/>
                <w:lang w:val="en-GB"/>
              </w:rPr>
              <w:t>Lessons learned</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_Toc139984202 \h </w:instrText>
            </w:r>
            <w:r w:rsidR="00A173DA" w:rsidRPr="00361139">
              <w:rPr>
                <w:noProof/>
                <w:webHidden/>
                <w:lang w:val="en-GB"/>
              </w:rPr>
            </w:r>
            <w:r w:rsidR="00A173DA" w:rsidRPr="00361139">
              <w:rPr>
                <w:noProof/>
                <w:webHidden/>
                <w:lang w:val="en-GB"/>
              </w:rPr>
              <w:fldChar w:fldCharType="separate"/>
            </w:r>
            <w:r w:rsidR="00C2090E">
              <w:rPr>
                <w:noProof/>
                <w:webHidden/>
                <w:lang w:val="en-GB"/>
              </w:rPr>
              <w:t>34</w:t>
            </w:r>
            <w:r w:rsidR="00A173DA" w:rsidRPr="00361139">
              <w:rPr>
                <w:noProof/>
                <w:webHidden/>
                <w:lang w:val="en-GB"/>
              </w:rPr>
              <w:fldChar w:fldCharType="end"/>
            </w:r>
          </w:hyperlink>
        </w:p>
        <w:p w14:paraId="5B56A397" w14:textId="0850F18D" w:rsidR="00A173DA" w:rsidRPr="00361139" w:rsidRDefault="00551D55" w:rsidP="00DA5E85">
          <w:pPr>
            <w:pStyle w:val="TOC2"/>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203" w:history="1">
            <w:r w:rsidR="00A173DA" w:rsidRPr="00361139">
              <w:rPr>
                <w:rStyle w:val="Hyperlink"/>
                <w:noProof/>
                <w:lang w:val="en-GB"/>
              </w:rPr>
              <w:t>Recommendations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_Toc139984203 \h </w:instrText>
            </w:r>
            <w:r w:rsidR="00A173DA" w:rsidRPr="00361139">
              <w:rPr>
                <w:noProof/>
                <w:webHidden/>
                <w:lang w:val="en-GB"/>
              </w:rPr>
            </w:r>
            <w:r w:rsidR="00A173DA" w:rsidRPr="00361139">
              <w:rPr>
                <w:noProof/>
                <w:webHidden/>
                <w:lang w:val="en-GB"/>
              </w:rPr>
              <w:fldChar w:fldCharType="separate"/>
            </w:r>
            <w:r w:rsidR="00C2090E">
              <w:rPr>
                <w:noProof/>
                <w:webHidden/>
                <w:lang w:val="en-GB"/>
              </w:rPr>
              <w:t>34</w:t>
            </w:r>
            <w:r w:rsidR="00A173DA" w:rsidRPr="00361139">
              <w:rPr>
                <w:noProof/>
                <w:webHidden/>
                <w:lang w:val="en-GB"/>
              </w:rPr>
              <w:fldChar w:fldCharType="end"/>
            </w:r>
          </w:hyperlink>
        </w:p>
        <w:p w14:paraId="25CECCF8" w14:textId="12D173CF" w:rsidR="00A173DA" w:rsidRPr="00361139" w:rsidRDefault="00551D55" w:rsidP="00EC7D5B">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04" w:history="1">
            <w:r w:rsidR="00A173DA" w:rsidRPr="00361139">
              <w:rPr>
                <w:rStyle w:val="Hyperlink"/>
                <w:noProof/>
                <w:lang w:val="en-GB"/>
              </w:rPr>
              <w:t>Annex 1 - Terms of reference for the Second review of the financial mechanism (Annex to decision MC-4/7)</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_Toc139984204 \h </w:instrText>
            </w:r>
            <w:r w:rsidR="00A173DA" w:rsidRPr="00361139">
              <w:rPr>
                <w:noProof/>
                <w:webHidden/>
                <w:lang w:val="en-GB"/>
              </w:rPr>
            </w:r>
            <w:r w:rsidR="00A173DA" w:rsidRPr="00361139">
              <w:rPr>
                <w:noProof/>
                <w:webHidden/>
                <w:lang w:val="en-GB"/>
              </w:rPr>
              <w:fldChar w:fldCharType="separate"/>
            </w:r>
            <w:r w:rsidR="00C2090E">
              <w:rPr>
                <w:noProof/>
                <w:webHidden/>
                <w:lang w:val="en-GB"/>
              </w:rPr>
              <w:t>36</w:t>
            </w:r>
            <w:r w:rsidR="00A173DA" w:rsidRPr="00361139">
              <w:rPr>
                <w:noProof/>
                <w:webHidden/>
                <w:lang w:val="en-GB"/>
              </w:rPr>
              <w:fldChar w:fldCharType="end"/>
            </w:r>
          </w:hyperlink>
        </w:p>
        <w:p w14:paraId="099A1C44" w14:textId="2CDB1FB6" w:rsidR="00A173DA" w:rsidRPr="00361139" w:rsidRDefault="00551D55" w:rsidP="00A173DA">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39984205" w:history="1">
            <w:r w:rsidR="00A173DA" w:rsidRPr="00361139">
              <w:rPr>
                <w:rStyle w:val="Hyperlink"/>
                <w:noProof/>
                <w:lang w:val="en-GB"/>
              </w:rPr>
              <w:t>Annex 2 - Response to stakeholder comments</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_Toc139984205 \h </w:instrText>
            </w:r>
            <w:r w:rsidR="00A173DA" w:rsidRPr="00361139">
              <w:rPr>
                <w:noProof/>
                <w:webHidden/>
                <w:lang w:val="en-GB"/>
              </w:rPr>
            </w:r>
            <w:r w:rsidR="00A173DA" w:rsidRPr="00361139">
              <w:rPr>
                <w:noProof/>
                <w:webHidden/>
                <w:lang w:val="en-GB"/>
              </w:rPr>
              <w:fldChar w:fldCharType="separate"/>
            </w:r>
            <w:r w:rsidR="00C2090E">
              <w:rPr>
                <w:noProof/>
                <w:webHidden/>
                <w:lang w:val="en-GB"/>
              </w:rPr>
              <w:t>39</w:t>
            </w:r>
            <w:r w:rsidR="00A173DA" w:rsidRPr="00361139">
              <w:rPr>
                <w:noProof/>
                <w:webHidden/>
                <w:lang w:val="en-GB"/>
              </w:rPr>
              <w:fldChar w:fldCharType="end"/>
            </w:r>
          </w:hyperlink>
        </w:p>
        <w:p w14:paraId="783B0BD4" w14:textId="095644D2" w:rsidR="00A173DA" w:rsidRPr="00361139" w:rsidRDefault="00551D55" w:rsidP="00EC7D5B">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06" w:history="1">
            <w:r w:rsidR="00A173DA" w:rsidRPr="00361139">
              <w:rPr>
                <w:rStyle w:val="Hyperlink"/>
                <w:noProof/>
                <w:lang w:val="en-GB"/>
              </w:rPr>
              <w:t>Annex 3 - List of projects under review</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_Toc139984206 \h </w:instrText>
            </w:r>
            <w:r w:rsidR="00A173DA" w:rsidRPr="00361139">
              <w:rPr>
                <w:noProof/>
                <w:webHidden/>
                <w:lang w:val="en-GB"/>
              </w:rPr>
            </w:r>
            <w:r w:rsidR="00A173DA" w:rsidRPr="00361139">
              <w:rPr>
                <w:noProof/>
                <w:webHidden/>
                <w:lang w:val="en-GB"/>
              </w:rPr>
              <w:fldChar w:fldCharType="separate"/>
            </w:r>
            <w:r w:rsidR="00C2090E">
              <w:rPr>
                <w:noProof/>
                <w:webHidden/>
                <w:lang w:val="en-GB"/>
              </w:rPr>
              <w:t>44</w:t>
            </w:r>
            <w:r w:rsidR="00A173DA" w:rsidRPr="00361139">
              <w:rPr>
                <w:noProof/>
                <w:webHidden/>
                <w:lang w:val="en-GB"/>
              </w:rPr>
              <w:fldChar w:fldCharType="end"/>
            </w:r>
          </w:hyperlink>
        </w:p>
        <w:p w14:paraId="0C41CDE3" w14:textId="4B8C9C99" w:rsidR="00A173DA" w:rsidRPr="00361139" w:rsidRDefault="00551D55" w:rsidP="00EC7D5B">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07" w:history="1">
            <w:r w:rsidR="00A173DA" w:rsidRPr="00361139">
              <w:rPr>
                <w:rStyle w:val="Hyperlink"/>
                <w:noProof/>
                <w:lang w:val="en-GB"/>
              </w:rPr>
              <w:t>Annex 4 - Results of the survey</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_Toc139984207 \h </w:instrText>
            </w:r>
            <w:r w:rsidR="00A173DA" w:rsidRPr="00361139">
              <w:rPr>
                <w:noProof/>
                <w:webHidden/>
                <w:lang w:val="en-GB"/>
              </w:rPr>
            </w:r>
            <w:r w:rsidR="00A173DA" w:rsidRPr="00361139">
              <w:rPr>
                <w:noProof/>
                <w:webHidden/>
                <w:lang w:val="en-GB"/>
              </w:rPr>
              <w:fldChar w:fldCharType="separate"/>
            </w:r>
            <w:r w:rsidR="00C2090E">
              <w:rPr>
                <w:noProof/>
                <w:webHidden/>
                <w:lang w:val="en-GB"/>
              </w:rPr>
              <w:t>56</w:t>
            </w:r>
            <w:r w:rsidR="00A173DA" w:rsidRPr="00361139">
              <w:rPr>
                <w:noProof/>
                <w:webHidden/>
                <w:lang w:val="en-GB"/>
              </w:rPr>
              <w:fldChar w:fldCharType="end"/>
            </w:r>
          </w:hyperlink>
        </w:p>
        <w:p w14:paraId="53843955" w14:textId="49391EED" w:rsidR="00A173DA" w:rsidRPr="00361139" w:rsidRDefault="00551D55" w:rsidP="00EC7D5B">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08" w:history="1">
            <w:r w:rsidR="00A173DA" w:rsidRPr="00361139">
              <w:rPr>
                <w:rStyle w:val="Hyperlink"/>
                <w:noProof/>
                <w:lang w:val="en-GB"/>
              </w:rPr>
              <w:t>Annex 5 - People consulted during the review</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_Toc139984208 \h </w:instrText>
            </w:r>
            <w:r w:rsidR="00A173DA" w:rsidRPr="00361139">
              <w:rPr>
                <w:noProof/>
                <w:webHidden/>
                <w:lang w:val="en-GB"/>
              </w:rPr>
            </w:r>
            <w:r w:rsidR="00A173DA" w:rsidRPr="00361139">
              <w:rPr>
                <w:noProof/>
                <w:webHidden/>
                <w:lang w:val="en-GB"/>
              </w:rPr>
              <w:fldChar w:fldCharType="separate"/>
            </w:r>
            <w:r w:rsidR="00C2090E">
              <w:rPr>
                <w:noProof/>
                <w:webHidden/>
                <w:lang w:val="en-GB"/>
              </w:rPr>
              <w:t>70</w:t>
            </w:r>
            <w:r w:rsidR="00A173DA" w:rsidRPr="00361139">
              <w:rPr>
                <w:noProof/>
                <w:webHidden/>
                <w:lang w:val="en-GB"/>
              </w:rPr>
              <w:fldChar w:fldCharType="end"/>
            </w:r>
          </w:hyperlink>
        </w:p>
        <w:p w14:paraId="129850BE" w14:textId="3530189E" w:rsidR="00A173DA" w:rsidRPr="00361139" w:rsidRDefault="00551D55" w:rsidP="00EC7D5B">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09" w:history="1">
            <w:r w:rsidR="00A173DA" w:rsidRPr="00361139">
              <w:rPr>
                <w:rStyle w:val="Hyperlink"/>
                <w:noProof/>
                <w:lang w:val="en-GB"/>
              </w:rPr>
              <w:t>Annex 6 - Key documents consulted</w:t>
            </w:r>
            <w:r w:rsidR="00A173DA" w:rsidRPr="00361139">
              <w:rPr>
                <w:noProof/>
                <w:webHidden/>
                <w:lang w:val="en-GB"/>
              </w:rPr>
              <w:tab/>
            </w:r>
            <w:r w:rsidR="00A173DA" w:rsidRPr="00361139">
              <w:rPr>
                <w:noProof/>
                <w:webHidden/>
                <w:lang w:val="en-GB"/>
              </w:rPr>
              <w:fldChar w:fldCharType="begin"/>
            </w:r>
            <w:r w:rsidR="00A173DA" w:rsidRPr="00361139">
              <w:rPr>
                <w:noProof/>
                <w:webHidden/>
                <w:lang w:val="en-GB"/>
              </w:rPr>
              <w:instrText xml:space="preserve"> PAGEREF _Toc139984209 \h </w:instrText>
            </w:r>
            <w:r w:rsidR="00A173DA" w:rsidRPr="00361139">
              <w:rPr>
                <w:noProof/>
                <w:webHidden/>
                <w:lang w:val="en-GB"/>
              </w:rPr>
            </w:r>
            <w:r w:rsidR="00A173DA" w:rsidRPr="00361139">
              <w:rPr>
                <w:noProof/>
                <w:webHidden/>
                <w:lang w:val="en-GB"/>
              </w:rPr>
              <w:fldChar w:fldCharType="separate"/>
            </w:r>
            <w:r w:rsidR="00C2090E">
              <w:rPr>
                <w:noProof/>
                <w:webHidden/>
                <w:lang w:val="en-GB"/>
              </w:rPr>
              <w:t>71</w:t>
            </w:r>
            <w:r w:rsidR="00A173DA" w:rsidRPr="00361139">
              <w:rPr>
                <w:noProof/>
                <w:webHidden/>
                <w:lang w:val="en-GB"/>
              </w:rPr>
              <w:fldChar w:fldCharType="end"/>
            </w:r>
          </w:hyperlink>
        </w:p>
        <w:p w14:paraId="2D3BCF54" w14:textId="77777777" w:rsidR="00A173DA" w:rsidRPr="00361139" w:rsidRDefault="00A173DA" w:rsidP="00A173DA">
          <w:pPr>
            <w:pStyle w:val="Normal-pool"/>
            <w:rPr>
              <w:lang w:val="en-GB"/>
            </w:rPr>
          </w:pPr>
          <w:r w:rsidRPr="00361139">
            <w:rPr>
              <w:noProof/>
              <w:lang w:val="en-GB"/>
            </w:rPr>
            <w:fldChar w:fldCharType="end"/>
          </w:r>
        </w:p>
      </w:sdtContent>
    </w:sdt>
    <w:p w14:paraId="7DA7B8EE" w14:textId="55FB8CDC" w:rsidR="00E009E5" w:rsidRPr="00361139" w:rsidRDefault="00E009E5" w:rsidP="009A4AD5">
      <w:pPr>
        <w:pStyle w:val="Normal-pool"/>
        <w:rPr>
          <w:lang w:val="en-GB"/>
        </w:rPr>
      </w:pPr>
      <w:r w:rsidRPr="00361139">
        <w:rPr>
          <w:lang w:val="en-GB"/>
        </w:rPr>
        <w:br w:type="page"/>
      </w:r>
    </w:p>
    <w:p w14:paraId="610FF7E5" w14:textId="758EB372" w:rsidR="00CC73DD" w:rsidRPr="00361139" w:rsidRDefault="003B12B1" w:rsidP="00414EAE">
      <w:pPr>
        <w:pStyle w:val="CH1"/>
        <w:rPr>
          <w:lang w:val="en-GB"/>
        </w:rPr>
      </w:pPr>
      <w:bookmarkStart w:id="46" w:name="_Toc122452714"/>
      <w:bookmarkStart w:id="47" w:name="_Toc122452891"/>
      <w:bookmarkStart w:id="48" w:name="_Toc138845668"/>
      <w:bookmarkStart w:id="49" w:name="_Toc138845723"/>
      <w:bookmarkStart w:id="50" w:name="_Toc138847812"/>
      <w:r w:rsidRPr="00361139">
        <w:rPr>
          <w:lang w:val="en-GB"/>
        </w:rPr>
        <w:lastRenderedPageBreak/>
        <w:tab/>
      </w:r>
      <w:r w:rsidRPr="00361139">
        <w:rPr>
          <w:lang w:val="en-GB"/>
        </w:rPr>
        <w:tab/>
      </w:r>
      <w:bookmarkStart w:id="51" w:name="_Toc139976207"/>
      <w:bookmarkStart w:id="52" w:name="_Toc139982215"/>
      <w:bookmarkStart w:id="53" w:name="_Toc139983927"/>
      <w:bookmarkStart w:id="54" w:name="_Toc139984175"/>
      <w:r w:rsidR="00CC73DD" w:rsidRPr="00361139">
        <w:rPr>
          <w:lang w:val="en-GB"/>
        </w:rPr>
        <w:t>List of Acronyms</w:t>
      </w:r>
      <w:bookmarkEnd w:id="46"/>
      <w:bookmarkEnd w:id="47"/>
      <w:bookmarkEnd w:id="48"/>
      <w:bookmarkEnd w:id="49"/>
      <w:bookmarkEnd w:id="50"/>
      <w:bookmarkEnd w:id="51"/>
      <w:bookmarkEnd w:id="52"/>
      <w:bookmarkEnd w:id="53"/>
      <w:bookmarkEnd w:id="54"/>
    </w:p>
    <w:p w14:paraId="3CA60640"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AfDB</w:t>
      </w:r>
      <w:r w:rsidRPr="00361139">
        <w:rPr>
          <w:lang w:val="en-GB"/>
        </w:rPr>
        <w:tab/>
        <w:t>African Development Bank</w:t>
      </w:r>
    </w:p>
    <w:p w14:paraId="484A9AF8"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ASGM NAP</w:t>
      </w:r>
      <w:r w:rsidRPr="00361139">
        <w:rPr>
          <w:lang w:val="en-GB"/>
        </w:rPr>
        <w:tab/>
        <w:t>National Action Plans for Artisanal and Small-Scale Gold Mining</w:t>
      </w:r>
    </w:p>
    <w:p w14:paraId="7127EE23"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ASGM</w:t>
      </w:r>
      <w:r w:rsidRPr="00361139">
        <w:rPr>
          <w:lang w:val="en-GB"/>
        </w:rPr>
        <w:tab/>
        <w:t>Artisanal and Small-Scale Gold Mining</w:t>
      </w:r>
    </w:p>
    <w:p w14:paraId="23E7B0F3" w14:textId="6B0E53FF"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CEE</w:t>
      </w:r>
      <w:r w:rsidRPr="00361139">
        <w:rPr>
          <w:lang w:val="en-GB"/>
        </w:rPr>
        <w:tab/>
        <w:t>Central and Eastern Europe</w:t>
      </w:r>
    </w:p>
    <w:p w14:paraId="0A7C140D" w14:textId="55B54475"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CET</w:t>
      </w:r>
      <w:r w:rsidRPr="00361139">
        <w:rPr>
          <w:lang w:val="en-GB"/>
        </w:rPr>
        <w:tab/>
        <w:t>Country with Economy in Transition</w:t>
      </w:r>
    </w:p>
    <w:p w14:paraId="5519EBEC" w14:textId="26542D98"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CI</w:t>
      </w:r>
      <w:r w:rsidRPr="00361139">
        <w:rPr>
          <w:lang w:val="en-GB"/>
        </w:rPr>
        <w:tab/>
        <w:t>Conservation International</w:t>
      </w:r>
    </w:p>
    <w:p w14:paraId="5E7C9539" w14:textId="06DFE01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COP</w:t>
      </w:r>
      <w:r w:rsidRPr="00361139">
        <w:rPr>
          <w:lang w:val="en-GB"/>
        </w:rPr>
        <w:tab/>
        <w:t>Conference of the Parties</w:t>
      </w:r>
    </w:p>
    <w:p w14:paraId="6C759966" w14:textId="1567CB98"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EA</w:t>
      </w:r>
      <w:r w:rsidRPr="00361139">
        <w:rPr>
          <w:lang w:val="en-GB"/>
        </w:rPr>
        <w:tab/>
        <w:t>Enabling Activity</w:t>
      </w:r>
    </w:p>
    <w:p w14:paraId="768ADB42"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EHPMP</w:t>
      </w:r>
      <w:r w:rsidRPr="00361139">
        <w:rPr>
          <w:lang w:val="en-GB"/>
        </w:rPr>
        <w:tab/>
        <w:t>Environmental Health and Pollution Management Program</w:t>
      </w:r>
    </w:p>
    <w:p w14:paraId="480A60E5" w14:textId="57EFB2F0"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FSP</w:t>
      </w:r>
      <w:r w:rsidRPr="00361139">
        <w:rPr>
          <w:lang w:val="en-GB"/>
        </w:rPr>
        <w:tab/>
        <w:t>Full-Sized Project</w:t>
      </w:r>
    </w:p>
    <w:p w14:paraId="51341D03" w14:textId="6E89F34C"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GEB</w:t>
      </w:r>
      <w:r w:rsidRPr="00361139">
        <w:rPr>
          <w:lang w:val="en-GB"/>
        </w:rPr>
        <w:tab/>
        <w:t>Global Environmental Benefit</w:t>
      </w:r>
    </w:p>
    <w:p w14:paraId="5749E48A" w14:textId="2EAD0CEB"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GEF</w:t>
      </w:r>
      <w:r w:rsidRPr="00361139">
        <w:rPr>
          <w:lang w:val="en-GB"/>
        </w:rPr>
        <w:tab/>
        <w:t>Global Environment Facility</w:t>
      </w:r>
    </w:p>
    <w:p w14:paraId="48D163EA"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GEF-IEO</w:t>
      </w:r>
      <w:r w:rsidRPr="00361139">
        <w:rPr>
          <w:lang w:val="en-GB"/>
        </w:rPr>
        <w:tab/>
        <w:t>GEF Independent Evaluation Office</w:t>
      </w:r>
    </w:p>
    <w:p w14:paraId="23F2E36C" w14:textId="2EE7D850"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GMP</w:t>
      </w:r>
      <w:r w:rsidRPr="00361139">
        <w:rPr>
          <w:lang w:val="en-GB"/>
        </w:rPr>
        <w:tab/>
        <w:t>Global Mercury Partnership</w:t>
      </w:r>
    </w:p>
    <w:p w14:paraId="380B70CA"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GOLD+</w:t>
      </w:r>
      <w:r w:rsidRPr="00361139">
        <w:rPr>
          <w:lang w:val="en-GB"/>
        </w:rPr>
        <w:tab/>
        <w:t>Global Opportunities for Long-Term Development of ASGM Sector Plus</w:t>
      </w:r>
    </w:p>
    <w:p w14:paraId="29F2C4F5"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ISLANDS</w:t>
      </w:r>
      <w:r w:rsidRPr="00361139">
        <w:rPr>
          <w:lang w:val="en-GB"/>
        </w:rPr>
        <w:tab/>
        <w:t>Implementing Sustainable Low and Non-Chemical Development in Small Island Developing States</w:t>
      </w:r>
    </w:p>
    <w:p w14:paraId="617AC118" w14:textId="235CD76F"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LAC</w:t>
      </w:r>
      <w:r w:rsidRPr="00361139">
        <w:rPr>
          <w:lang w:val="en-GB"/>
        </w:rPr>
        <w:tab/>
        <w:t xml:space="preserve">Latin America and Caribbean </w:t>
      </w:r>
    </w:p>
    <w:p w14:paraId="3D4EAA9B" w14:textId="34D6241B"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LDC</w:t>
      </w:r>
      <w:r w:rsidRPr="00361139">
        <w:rPr>
          <w:lang w:val="en-GB"/>
        </w:rPr>
        <w:tab/>
        <w:t>Least Developed Country</w:t>
      </w:r>
    </w:p>
    <w:p w14:paraId="0DF3E3F0" w14:textId="48D86549"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MC</w:t>
      </w:r>
      <w:r w:rsidRPr="00361139">
        <w:rPr>
          <w:lang w:val="en-GB"/>
        </w:rPr>
        <w:tab/>
        <w:t>Minamata Convention on Mercury</w:t>
      </w:r>
    </w:p>
    <w:p w14:paraId="607C29AE" w14:textId="66B5E6DB"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MIA</w:t>
      </w:r>
      <w:r w:rsidRPr="00361139">
        <w:rPr>
          <w:lang w:val="en-GB"/>
        </w:rPr>
        <w:tab/>
        <w:t>Minamata Convention Initial Assessment</w:t>
      </w:r>
    </w:p>
    <w:p w14:paraId="1657DA98" w14:textId="3597DEA6"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MoU</w:t>
      </w:r>
      <w:r w:rsidRPr="00361139">
        <w:rPr>
          <w:lang w:val="en-GB"/>
        </w:rPr>
        <w:tab/>
        <w:t>Memorandum of Understanding</w:t>
      </w:r>
    </w:p>
    <w:p w14:paraId="4369BFA7" w14:textId="337B89E0"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MSP</w:t>
      </w:r>
      <w:r w:rsidRPr="00361139">
        <w:rPr>
          <w:lang w:val="en-GB"/>
        </w:rPr>
        <w:tab/>
        <w:t>Medium-Sized Project</w:t>
      </w:r>
    </w:p>
    <w:p w14:paraId="4AEA399E" w14:textId="228617D0"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MTR</w:t>
      </w:r>
      <w:r w:rsidRPr="00361139">
        <w:rPr>
          <w:lang w:val="en-GB"/>
        </w:rPr>
        <w:tab/>
        <w:t>Mid-Term Review</w:t>
      </w:r>
    </w:p>
    <w:p w14:paraId="16B134F9" w14:textId="0632C18E"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NFP</w:t>
      </w:r>
      <w:r w:rsidRPr="00361139">
        <w:rPr>
          <w:lang w:val="en-GB"/>
        </w:rPr>
        <w:tab/>
        <w:t>National Focal Point</w:t>
      </w:r>
    </w:p>
    <w:p w14:paraId="2749EE61" w14:textId="0CEB0BBF"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NGO</w:t>
      </w:r>
      <w:r w:rsidRPr="00361139">
        <w:rPr>
          <w:lang w:val="en-GB"/>
        </w:rPr>
        <w:tab/>
        <w:t>Non-Governmental Organization</w:t>
      </w:r>
    </w:p>
    <w:p w14:paraId="5A4AC25F" w14:textId="49BE0BC1"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POP</w:t>
      </w:r>
      <w:r w:rsidRPr="00361139">
        <w:rPr>
          <w:lang w:val="en-GB"/>
        </w:rPr>
        <w:tab/>
        <w:t>Persistent Organic Pollutant</w:t>
      </w:r>
    </w:p>
    <w:p w14:paraId="010FAD21" w14:textId="56659CE9"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PPG</w:t>
      </w:r>
      <w:r w:rsidRPr="00361139">
        <w:rPr>
          <w:lang w:val="en-GB"/>
        </w:rPr>
        <w:tab/>
        <w:t>Project Preparation Grant</w:t>
      </w:r>
    </w:p>
    <w:p w14:paraId="51716CB5"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SAICM</w:t>
      </w:r>
      <w:r w:rsidRPr="00361139">
        <w:rPr>
          <w:lang w:val="en-GB"/>
        </w:rPr>
        <w:tab/>
        <w:t>Strategic Approach to International Chemicals Management</w:t>
      </w:r>
    </w:p>
    <w:p w14:paraId="07642B8F" w14:textId="4FE237EB"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SDG</w:t>
      </w:r>
      <w:r w:rsidRPr="00361139">
        <w:rPr>
          <w:lang w:val="en-GB"/>
        </w:rPr>
        <w:tab/>
        <w:t>Sustainable Development Goal</w:t>
      </w:r>
    </w:p>
    <w:p w14:paraId="28E7B6B0" w14:textId="27C4696A"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SIDS</w:t>
      </w:r>
      <w:r w:rsidRPr="00361139">
        <w:rPr>
          <w:lang w:val="en-GB"/>
        </w:rPr>
        <w:tab/>
        <w:t>Small Island Developing States</w:t>
      </w:r>
    </w:p>
    <w:p w14:paraId="5C583815" w14:textId="46A364FB"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SIP</w:t>
      </w:r>
      <w:r w:rsidRPr="00361139">
        <w:rPr>
          <w:lang w:val="en-GB"/>
        </w:rPr>
        <w:tab/>
        <w:t>Specific International Programme</w:t>
      </w:r>
    </w:p>
    <w:p w14:paraId="3F6C55AC" w14:textId="219B0F0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proofErr w:type="spellStart"/>
      <w:r w:rsidRPr="00361139">
        <w:rPr>
          <w:lang w:val="en-GB"/>
        </w:rPr>
        <w:t>ToR</w:t>
      </w:r>
      <w:proofErr w:type="spellEnd"/>
      <w:r w:rsidRPr="00361139">
        <w:rPr>
          <w:lang w:val="en-GB"/>
        </w:rPr>
        <w:tab/>
        <w:t>Terms of Reference</w:t>
      </w:r>
    </w:p>
    <w:p w14:paraId="3A1F6B5F" w14:textId="121EFD5A"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UN</w:t>
      </w:r>
      <w:r w:rsidRPr="00361139">
        <w:rPr>
          <w:lang w:val="en-GB"/>
        </w:rPr>
        <w:tab/>
        <w:t>United Nations</w:t>
      </w:r>
    </w:p>
    <w:p w14:paraId="6266E4B7"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UNDP</w:t>
      </w:r>
      <w:r w:rsidRPr="00361139">
        <w:rPr>
          <w:lang w:val="en-GB"/>
        </w:rPr>
        <w:tab/>
        <w:t>United Nations Development Programme</w:t>
      </w:r>
    </w:p>
    <w:p w14:paraId="20612C14"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UNEP</w:t>
      </w:r>
      <w:r w:rsidRPr="00361139">
        <w:rPr>
          <w:lang w:val="en-GB"/>
        </w:rPr>
        <w:tab/>
        <w:t>United Nations Environment Programme</w:t>
      </w:r>
    </w:p>
    <w:p w14:paraId="4AE4CECF" w14:textId="77777777" w:rsidR="00CC73DD" w:rsidRPr="00361139" w:rsidRDefault="00CC73DD" w:rsidP="00123B16">
      <w:pPr>
        <w:pStyle w:val="NormalNonumber"/>
        <w:tabs>
          <w:tab w:val="clear" w:pos="1247"/>
          <w:tab w:val="clear" w:pos="1871"/>
          <w:tab w:val="clear" w:pos="2495"/>
          <w:tab w:val="clear" w:pos="3119"/>
          <w:tab w:val="clear" w:pos="3742"/>
          <w:tab w:val="clear" w:pos="4366"/>
        </w:tabs>
        <w:ind w:left="2977" w:hanging="1730"/>
        <w:rPr>
          <w:lang w:val="en-GB"/>
        </w:rPr>
      </w:pPr>
      <w:r w:rsidRPr="00361139">
        <w:rPr>
          <w:lang w:val="en-GB"/>
        </w:rPr>
        <w:t>UNIDO</w:t>
      </w:r>
      <w:r w:rsidRPr="00361139">
        <w:rPr>
          <w:lang w:val="en-GB"/>
        </w:rPr>
        <w:tab/>
        <w:t>United Nations Industrial Development Organization</w:t>
      </w:r>
    </w:p>
    <w:p w14:paraId="6F851DC6" w14:textId="77777777" w:rsidR="00123B16" w:rsidRPr="00361139" w:rsidRDefault="00123B16" w:rsidP="00BE28B2">
      <w:pPr>
        <w:pStyle w:val="Normal-pool"/>
        <w:rPr>
          <w:lang w:val="en-GB"/>
        </w:rPr>
      </w:pPr>
    </w:p>
    <w:p w14:paraId="13238A54" w14:textId="77777777" w:rsidR="00123B16" w:rsidRPr="00361139" w:rsidRDefault="00CC73DD" w:rsidP="00BE28B2">
      <w:pPr>
        <w:pStyle w:val="Normal-pool"/>
        <w:rPr>
          <w:lang w:val="en-GB"/>
        </w:rPr>
      </w:pPr>
      <w:r w:rsidRPr="00361139">
        <w:rPr>
          <w:lang w:val="en-GB"/>
        </w:rPr>
        <w:br w:type="page"/>
      </w:r>
      <w:bookmarkStart w:id="55" w:name="_Toc122452715"/>
      <w:bookmarkStart w:id="56" w:name="_Toc122452892"/>
      <w:bookmarkStart w:id="57" w:name="_Toc138845669"/>
      <w:bookmarkStart w:id="58" w:name="_Toc138845724"/>
      <w:bookmarkStart w:id="59" w:name="_Toc138847813"/>
    </w:p>
    <w:p w14:paraId="67592C18" w14:textId="69CD07FF" w:rsidR="00CC73DD" w:rsidRPr="00361139" w:rsidRDefault="00784AEE" w:rsidP="00414EAE">
      <w:pPr>
        <w:pStyle w:val="CH1"/>
        <w:rPr>
          <w:lang w:val="en-GB"/>
        </w:rPr>
      </w:pPr>
      <w:r w:rsidRPr="00361139">
        <w:rPr>
          <w:lang w:val="en-GB"/>
        </w:rPr>
        <w:lastRenderedPageBreak/>
        <w:tab/>
      </w:r>
      <w:r w:rsidRPr="00361139">
        <w:rPr>
          <w:lang w:val="en-GB"/>
        </w:rPr>
        <w:tab/>
      </w:r>
      <w:bookmarkStart w:id="60" w:name="_Toc139975448"/>
      <w:bookmarkStart w:id="61" w:name="_Toc139976208"/>
      <w:bookmarkStart w:id="62" w:name="_Toc139982216"/>
      <w:bookmarkStart w:id="63" w:name="_Toc139983928"/>
      <w:bookmarkStart w:id="64" w:name="_Toc139984176"/>
      <w:r w:rsidR="00CC73DD" w:rsidRPr="00361139">
        <w:rPr>
          <w:lang w:val="en-GB"/>
        </w:rPr>
        <w:t>Executive Summary</w:t>
      </w:r>
      <w:bookmarkEnd w:id="55"/>
      <w:bookmarkEnd w:id="56"/>
      <w:bookmarkEnd w:id="57"/>
      <w:bookmarkEnd w:id="58"/>
      <w:bookmarkEnd w:id="59"/>
      <w:bookmarkEnd w:id="60"/>
      <w:bookmarkEnd w:id="61"/>
      <w:bookmarkEnd w:id="62"/>
      <w:bookmarkEnd w:id="63"/>
      <w:bookmarkEnd w:id="64"/>
    </w:p>
    <w:p w14:paraId="62FD7BBE" w14:textId="77777777" w:rsidR="00CC73DD" w:rsidRPr="00361139" w:rsidRDefault="00CC73DD" w:rsidP="000C76AC">
      <w:pPr>
        <w:pStyle w:val="Normalnumber"/>
        <w:numPr>
          <w:ilvl w:val="0"/>
          <w:numId w:val="13"/>
        </w:numPr>
      </w:pPr>
      <w:r w:rsidRPr="00361139">
        <w:t xml:space="preserve">Article 13 of the Minamata Convention on Mercury (MC) defines a mechanism for the provision of adequate, predictable and timely financial resources aimed to support developing-country Parties and Parties with economies in transition in implementing their obligations under the Convention. </w:t>
      </w:r>
    </w:p>
    <w:p w14:paraId="31811EDC" w14:textId="77777777" w:rsidR="00CC73DD" w:rsidRPr="00361139" w:rsidRDefault="00CC73DD" w:rsidP="000C76AC">
      <w:pPr>
        <w:pStyle w:val="Normalnumber"/>
        <w:numPr>
          <w:ilvl w:val="0"/>
          <w:numId w:val="9"/>
        </w:numPr>
      </w:pPr>
      <w:r w:rsidRPr="00361139">
        <w:t xml:space="preserve">Pursuant to paragraph 6 of Article 13, the financial mechanism shall include: the </w:t>
      </w:r>
      <w:r w:rsidRPr="00361139">
        <w:rPr>
          <w:i/>
        </w:rPr>
        <w:t>Global Environment Facility</w:t>
      </w:r>
      <w:r w:rsidRPr="00361139">
        <w:t xml:space="preserve"> (GEF) Trust Fund and a</w:t>
      </w:r>
      <w:r w:rsidRPr="00361139">
        <w:rPr>
          <w:i/>
        </w:rPr>
        <w:t xml:space="preserve"> Specific International Programme</w:t>
      </w:r>
      <w:r w:rsidRPr="00361139">
        <w:t xml:space="preserve"> (SIP), to be operated under the guidance of, and be accountable to, the Conference of the Parties (COP). In decision MC-1/6 on the Specific International programme to Support Capacity-building and Technical Assistance, as finalized by the Conference of the Parties at its second meeting (November 2018), the COP decided that the hosting institution referred to in paragraph 9 of Article 13 had to be provided by the United Nations Environment Programme.</w:t>
      </w:r>
    </w:p>
    <w:p w14:paraId="4189BAE8" w14:textId="77777777" w:rsidR="00CC73DD" w:rsidRPr="00361139" w:rsidRDefault="00CC73DD" w:rsidP="000C76AC">
      <w:pPr>
        <w:pStyle w:val="Normalnumber"/>
        <w:numPr>
          <w:ilvl w:val="0"/>
          <w:numId w:val="9"/>
        </w:numPr>
      </w:pPr>
      <w:r w:rsidRPr="00361139">
        <w:t xml:space="preserve">Article 13 further requires the COP to review, on a regular basis, the level of funding, the guidance provided by the COP to the entities entrusted to operationalize the mechanism and their effectiveness, and their ability to address the changing needs of developing country Parties and Parties with economies in transition. The COP is also required, based on such review, to take appropriate action to improve the effectiveness of the financial mechanism. </w:t>
      </w:r>
    </w:p>
    <w:p w14:paraId="5BD44014" w14:textId="77777777" w:rsidR="00CC73DD" w:rsidRPr="00361139" w:rsidRDefault="00CC73DD" w:rsidP="000C76AC">
      <w:pPr>
        <w:pStyle w:val="Normalnumber"/>
        <w:numPr>
          <w:ilvl w:val="0"/>
          <w:numId w:val="9"/>
        </w:numPr>
      </w:pPr>
      <w:r w:rsidRPr="00361139">
        <w:t xml:space="preserve">The first review of the financial mechanism was presented by the MC Secretariat at the third meeting of the COP. The Terms of Reference for the second review were adopted at the COP fourth meeting and the draft review was prepared, by an external consultant, between November 2022 and April 2023, based on the available documentation, the results of a survey targeting all MC National Focal Points and the GEF Operational Focal Points of eligible countries, and a series of interviews of key relevant stakeholders. </w:t>
      </w:r>
    </w:p>
    <w:p w14:paraId="78AB2B62" w14:textId="77777777" w:rsidR="00CC73DD" w:rsidRPr="00361139" w:rsidRDefault="00CC73DD" w:rsidP="000C76AC">
      <w:pPr>
        <w:pStyle w:val="Normalnumber"/>
        <w:numPr>
          <w:ilvl w:val="0"/>
          <w:numId w:val="9"/>
        </w:numPr>
      </w:pPr>
      <w:r w:rsidRPr="00361139">
        <w:t>This second review covers the activities of the MC financial mechanism for the period from August 2019 to July 2022; its findings are reported in the main body of this document and are followed by conclusions, lesson learned and recommendations, based on the analysis of the results, and intended to suggest possible ways to improve the effectiveness and efficiency of the MC financial mechanism in meeting the objective of the Convention.</w:t>
      </w:r>
    </w:p>
    <w:p w14:paraId="59AC52EC" w14:textId="77777777" w:rsidR="00CC73DD" w:rsidRPr="00361139" w:rsidRDefault="00CC73DD" w:rsidP="000C76AC">
      <w:pPr>
        <w:pStyle w:val="Normalnumber"/>
        <w:numPr>
          <w:ilvl w:val="0"/>
          <w:numId w:val="9"/>
        </w:numPr>
      </w:pPr>
      <w:r w:rsidRPr="00361139">
        <w:t xml:space="preserve">According to the data provided by both the GEF and the MC Secretariats, the GEF and the SIP provided funding, in the period under review, to 135 active projects for a total disbursement of about 524 million USD. However, the GEF programming, informed by the guidance provided by the COP at COP-1, also covered, in some instances, larger areas of activities (such as those related to persistent organic pollutants and harmful chemicals). A more accurate estimation of the funding used for activities specifically related to the implementation of the Minamata Convention, is calculated in the order of 331 million USD, of which about 325 million USD disbursed through the GEF (98.2%) and about 6 million USD disbursed through the SIP (1.8%). </w:t>
      </w:r>
    </w:p>
    <w:p w14:paraId="42F61F8B" w14:textId="77777777" w:rsidR="00CC73DD" w:rsidRPr="00361139" w:rsidRDefault="00CC73DD" w:rsidP="000C76AC">
      <w:pPr>
        <w:pStyle w:val="Normalnumber"/>
        <w:numPr>
          <w:ilvl w:val="0"/>
          <w:numId w:val="9"/>
        </w:numPr>
      </w:pPr>
      <w:r w:rsidRPr="00361139">
        <w:t xml:space="preserve">The GEF funding covered, in the period under review, 70 Enabling Activities (EA, about the 8% of the total GEF funding) mainly focusing on the </w:t>
      </w:r>
      <w:r w:rsidRPr="00361139">
        <w:rPr>
          <w:i/>
        </w:rPr>
        <w:t>Minamata Convention Initial Assessments</w:t>
      </w:r>
      <w:r w:rsidRPr="00361139">
        <w:t xml:space="preserve"> (average cost of the EAs for the projects under review: about 460 thousands USD per project) or the </w:t>
      </w:r>
      <w:r w:rsidRPr="00361139">
        <w:rPr>
          <w:i/>
        </w:rPr>
        <w:t xml:space="preserve">National Action Plans for Artisanal and Small-Scale Gold Mining </w:t>
      </w:r>
      <w:r w:rsidRPr="00361139">
        <w:t>(average cost of the EAs for the projects under review: about 800 thousands USD per project); 8 Medium Size Projects (MSP, 3% of the funding)</w:t>
      </w:r>
      <w:r w:rsidRPr="00361139">
        <w:rPr>
          <w:rStyle w:val="FootnoteReference"/>
          <w:rFonts w:eastAsia="SimSun"/>
        </w:rPr>
        <w:footnoteReference w:id="4"/>
      </w:r>
      <w:r w:rsidRPr="00361139">
        <w:t>, 31 Full Sized Projects (FSP, 58% of the funding) and 2 Programs (31% of the funding). Most of non-EA funded activities focused on phasing-out of specific mercury-added products or the strengthening of environmentally sound management of mercury and other hazardous chemicals and</w:t>
      </w:r>
      <w:proofErr w:type="gramStart"/>
      <w:r w:rsidRPr="00361139">
        <w:t>, in particular, most</w:t>
      </w:r>
      <w:proofErr w:type="gramEnd"/>
      <w:r w:rsidRPr="00361139">
        <w:t xml:space="preserve"> of the FSPs and one of the Programs funded activities under the </w:t>
      </w:r>
      <w:r w:rsidRPr="00361139">
        <w:rPr>
          <w:i/>
        </w:rPr>
        <w:t xml:space="preserve">Artisanal and Small-scale Gold Mining </w:t>
      </w:r>
      <w:r w:rsidRPr="00361139">
        <w:t>(ASGM) initiative.</w:t>
      </w:r>
    </w:p>
    <w:p w14:paraId="77250257" w14:textId="3CE707B2" w:rsidR="00CC73DD" w:rsidRPr="00361139" w:rsidRDefault="00CC73DD" w:rsidP="000C76AC">
      <w:pPr>
        <w:pStyle w:val="Normalnumber"/>
        <w:numPr>
          <w:ilvl w:val="0"/>
          <w:numId w:val="9"/>
        </w:numPr>
      </w:pPr>
      <w:r w:rsidRPr="00361139">
        <w:t xml:space="preserve">The SIP financial support covered, in the period under review, 24 projects, with an average funding of about 200 thousand USD. All funded projects focused, as for SIP mandate, on </w:t>
      </w:r>
      <w:r w:rsidR="00361139">
        <w:t>capacity</w:t>
      </w:r>
      <w:r w:rsidR="00361139">
        <w:noBreakHyphen/>
      </w:r>
      <w:r w:rsidRPr="00361139">
        <w:t xml:space="preserve">building and technical assistance. </w:t>
      </w:r>
      <w:proofErr w:type="gramStart"/>
      <w:r w:rsidRPr="00361139">
        <w:t>In particular, some</w:t>
      </w:r>
      <w:proofErr w:type="gramEnd"/>
      <w:r w:rsidRPr="00361139">
        <w:t xml:space="preserve"> of the main objectives of these projects were: the inventory, monitoring and/or phasing-out of mercury-added products; the environmentally sound management of mercury, technical assistance and technology transfer; the development/strengthening of the institutional and regulatory framework; and the strengthening of the health sector and health risk control of mercury exposure.</w:t>
      </w:r>
    </w:p>
    <w:p w14:paraId="61D7C48E" w14:textId="77777777" w:rsidR="00CC73DD" w:rsidRPr="00361139" w:rsidRDefault="00CC73DD" w:rsidP="000C76AC">
      <w:pPr>
        <w:pStyle w:val="Normalnumber"/>
        <w:numPr>
          <w:ilvl w:val="0"/>
          <w:numId w:val="9"/>
        </w:numPr>
      </w:pPr>
      <w:r w:rsidRPr="00361139">
        <w:lastRenderedPageBreak/>
        <w:t>The GEF project co-financing, required for all FSPs, MSPs and Programs, and encouraged for enabling activities, was reported at 2.7 billion USD</w:t>
      </w:r>
      <w:r w:rsidRPr="00361139">
        <w:rPr>
          <w:rStyle w:val="FootnoteReference"/>
          <w:rFonts w:eastAsia="SimSun"/>
        </w:rPr>
        <w:footnoteReference w:id="5"/>
      </w:r>
      <w:r w:rsidRPr="00361139">
        <w:t xml:space="preserve">, received partially in-kind from governmental agencies and partially in cash, mostly from the </w:t>
      </w:r>
      <w:r w:rsidRPr="00361139">
        <w:rPr>
          <w:i/>
        </w:rPr>
        <w:t>Private Sector</w:t>
      </w:r>
      <w:r w:rsidRPr="00361139">
        <w:t xml:space="preserve">, but also from </w:t>
      </w:r>
      <w:r w:rsidRPr="00361139">
        <w:rPr>
          <w:i/>
        </w:rPr>
        <w:t xml:space="preserve">GEF Partner Agencies </w:t>
      </w:r>
      <w:r w:rsidRPr="00361139">
        <w:t xml:space="preserve">and </w:t>
      </w:r>
      <w:r w:rsidRPr="00361139">
        <w:rPr>
          <w:i/>
        </w:rPr>
        <w:t>Donor aid agencies</w:t>
      </w:r>
      <w:r w:rsidRPr="00361139">
        <w:t>. The SIP project co-financing, not required by the SIP guidelines for the project implementation, was reported at 2.7 million USD, all received in kind from governmental agencies.</w:t>
      </w:r>
    </w:p>
    <w:p w14:paraId="2D9C6CA7" w14:textId="77777777" w:rsidR="00CC73DD" w:rsidRPr="00361139" w:rsidRDefault="00CC73DD" w:rsidP="000C76AC">
      <w:pPr>
        <w:pStyle w:val="Normalnumber"/>
        <w:numPr>
          <w:ilvl w:val="0"/>
          <w:numId w:val="9"/>
        </w:numPr>
      </w:pPr>
      <w:r w:rsidRPr="00361139">
        <w:t xml:space="preserve">The review includes an analysis of the guidance provided by the COP to the GEF and to the SIP and its findings confirm the adherence, of the activities funded by both entities, to the guidance received. </w:t>
      </w:r>
    </w:p>
    <w:p w14:paraId="6501202D" w14:textId="77777777" w:rsidR="00CC73DD" w:rsidRPr="00361139" w:rsidRDefault="00CC73DD" w:rsidP="000C76AC">
      <w:pPr>
        <w:pStyle w:val="Normalnumber"/>
        <w:numPr>
          <w:ilvl w:val="0"/>
          <w:numId w:val="9"/>
        </w:numPr>
      </w:pPr>
      <w:r w:rsidRPr="00361139">
        <w:t xml:space="preserve">In looking at the efficiency and effectiveness of the GEF and the SIP, in their capacity as the entities comprising the financial mechanism, a general and extensive appreciation of the activities funded by the MC financial mechanism has emerged from all the inputs received by this review. A list of performance criteria, provided in the Terms of Reference of the review specifically for this assessment, was used in both the survey and the interview questioning, and all respondents offered </w:t>
      </w:r>
      <w:proofErr w:type="gramStart"/>
      <w:r w:rsidRPr="00361139">
        <w:t>a generally positive feedback</w:t>
      </w:r>
      <w:proofErr w:type="gramEnd"/>
      <w:r w:rsidRPr="00361139">
        <w:t xml:space="preserve">, together with important suggestions to further improve the effectiveness and efficiency of the MC financial mechanism. </w:t>
      </w:r>
    </w:p>
    <w:p w14:paraId="773C528F" w14:textId="77777777" w:rsidR="00CC73DD" w:rsidRPr="00361139" w:rsidRDefault="00CC73DD" w:rsidP="000C76AC">
      <w:pPr>
        <w:pStyle w:val="Normalnumber"/>
        <w:numPr>
          <w:ilvl w:val="0"/>
          <w:numId w:val="9"/>
        </w:numPr>
        <w:rPr>
          <w:bCs/>
        </w:rPr>
      </w:pPr>
      <w:r w:rsidRPr="00361139">
        <w:t>By the closing date of this review, most of the projects under review were still under implementation</w:t>
      </w:r>
      <w:r w:rsidRPr="00361139">
        <w:rPr>
          <w:rStyle w:val="FootnoteReference"/>
          <w:rFonts w:eastAsia="SimSun"/>
        </w:rPr>
        <w:footnoteReference w:id="6"/>
      </w:r>
      <w:r w:rsidRPr="00361139">
        <w:t xml:space="preserve">; reporting from ongoing projects, however, confirmed the positive feedback, </w:t>
      </w:r>
      <w:proofErr w:type="gramStart"/>
      <w:r w:rsidRPr="00361139">
        <w:t>in particular from</w:t>
      </w:r>
      <w:proofErr w:type="gramEnd"/>
      <w:r w:rsidRPr="00361139">
        <w:t xml:space="preserve"> countries participating in structured regional and global projects or programs, where collaboration and learning among different projects enhanced the projects activities with important synergies. The main problems in accessing the funds, as reported by focal points and stakeholders, referred to the language-barriers and the lack of dedicated resources, at national level, able to follow up the project application process.</w:t>
      </w:r>
    </w:p>
    <w:p w14:paraId="60382D96" w14:textId="77777777" w:rsidR="00CC73DD" w:rsidRPr="00361139" w:rsidRDefault="00CC73DD" w:rsidP="000C76AC">
      <w:pPr>
        <w:pStyle w:val="Normalnumber"/>
        <w:numPr>
          <w:ilvl w:val="0"/>
          <w:numId w:val="9"/>
        </w:numPr>
      </w:pPr>
      <w:r w:rsidRPr="00361139">
        <w:t>The sustainability of the MC financial mechanism is also addressed, in this review, with a special focus on the changing needs of developing country Parties and Parties with economies in transition. Notwithstanding the incremental progression of GEF allocation between GEF-6 and GEF-8, to the implementation of the Minamata Convention, it is noted that the Convention is entering in a more mature phase of its implementation and that the initial requests for EAs, will be soon replaced by more expensive needs for MSPs and FSPs that will have an important impact on the level of funds needed by the eligible countries for the implementation of the objectives of the Convention.</w:t>
      </w:r>
    </w:p>
    <w:p w14:paraId="6639B439" w14:textId="77777777" w:rsidR="00CC73DD" w:rsidRPr="00361139" w:rsidRDefault="00CC73DD" w:rsidP="000C76AC">
      <w:pPr>
        <w:pStyle w:val="Normalnumber"/>
        <w:numPr>
          <w:ilvl w:val="0"/>
          <w:numId w:val="9"/>
        </w:numPr>
      </w:pPr>
      <w:r w:rsidRPr="00361139">
        <w:t>An additional consideration on sustainability comes from taking into account that while there have been full size projects addressing a range of obligations (e.g. on discrete products, processes, supply sources, and emissions sources), during the review period these did not have the broad reach of the programmatic approach as for the ASGM initiative; however new deadlines are fast approaching under the Convention and new categories of projects activities, and related funding, will be consequently needed by the eligible Parties to face the new challenges of implementing the Convention objectives.</w:t>
      </w:r>
    </w:p>
    <w:p w14:paraId="4EC3DBA7" w14:textId="0F592AF7" w:rsidR="00CC73DD" w:rsidRPr="00361139" w:rsidRDefault="00CC73DD" w:rsidP="00EE7A40">
      <w:pPr>
        <w:pStyle w:val="NormalNonumber"/>
        <w:rPr>
          <w:i/>
          <w:iCs/>
          <w:lang w:val="en-GB"/>
        </w:rPr>
      </w:pPr>
      <w:bookmarkStart w:id="65" w:name="_Toc139975449"/>
      <w:bookmarkStart w:id="66" w:name="_Toc139976209"/>
      <w:bookmarkStart w:id="67" w:name="_Toc139982217"/>
      <w:bookmarkStart w:id="68" w:name="_Toc139983929"/>
      <w:bookmarkStart w:id="69" w:name="_Toc139984177"/>
      <w:r w:rsidRPr="00361139">
        <w:rPr>
          <w:i/>
          <w:iCs/>
          <w:lang w:val="en-GB"/>
        </w:rPr>
        <w:t>Conclusions</w:t>
      </w:r>
      <w:bookmarkEnd w:id="65"/>
      <w:bookmarkEnd w:id="66"/>
      <w:bookmarkEnd w:id="67"/>
      <w:bookmarkEnd w:id="68"/>
      <w:bookmarkEnd w:id="69"/>
    </w:p>
    <w:p w14:paraId="4ACE738E" w14:textId="77777777" w:rsidR="00CC73DD" w:rsidRPr="00361139" w:rsidRDefault="00CC73DD" w:rsidP="000C76AC">
      <w:pPr>
        <w:pStyle w:val="Normalnumber"/>
        <w:numPr>
          <w:ilvl w:val="0"/>
          <w:numId w:val="9"/>
        </w:numPr>
      </w:pPr>
      <w:r w:rsidRPr="00361139">
        <w:t>A first important conclusion of this review is that, in the period under consideration, the financial mechanism established under Article 13 of the Minamata Convention has proven effective in the provision of adequate, predictable, and timely financial resources for supporting developing country Parties and Parties with economies in transition in implementing their obligations under the Convention.</w:t>
      </w:r>
    </w:p>
    <w:p w14:paraId="6D33D8EA" w14:textId="77777777" w:rsidR="00CC73DD" w:rsidRPr="00361139" w:rsidRDefault="00CC73DD" w:rsidP="000C76AC">
      <w:pPr>
        <w:pStyle w:val="Normalnumber"/>
        <w:numPr>
          <w:ilvl w:val="0"/>
          <w:numId w:val="9"/>
        </w:numPr>
      </w:pPr>
      <w:r w:rsidRPr="00361139">
        <w:t xml:space="preserve">A second conclusion is that, at this stage of the operations of the Convention, the MC financial mechanism </w:t>
      </w:r>
      <w:proofErr w:type="gramStart"/>
      <w:r w:rsidRPr="00361139">
        <w:t>is in need of</w:t>
      </w:r>
      <w:proofErr w:type="gramEnd"/>
      <w:r w:rsidRPr="00361139">
        <w:t xml:space="preserve"> both a substantial increase of financial resources and a more specific guidance to the entities entrusted to its operationalization, in order to face the present and the impending challenges of implementing the Convention. </w:t>
      </w:r>
    </w:p>
    <w:p w14:paraId="79156A09" w14:textId="77777777" w:rsidR="00CC73DD" w:rsidRPr="00361139" w:rsidRDefault="00CC73DD" w:rsidP="000C76AC">
      <w:pPr>
        <w:pStyle w:val="Normalnumber"/>
        <w:numPr>
          <w:ilvl w:val="0"/>
          <w:numId w:val="9"/>
        </w:numPr>
        <w:rPr>
          <w:i/>
        </w:rPr>
      </w:pPr>
      <w:r w:rsidRPr="00361139">
        <w:t xml:space="preserve">A third and last conclusion of this review is that a higher level of definition, in terms of the indicators used in the monitoring and reporting of the activities funded through the MC financial mechanism, could greatly increase its efficiency. </w:t>
      </w:r>
    </w:p>
    <w:p w14:paraId="4591E42A" w14:textId="61D9536B" w:rsidR="00CC73DD" w:rsidRPr="00361139" w:rsidRDefault="00CC73DD" w:rsidP="00A51FF3">
      <w:pPr>
        <w:pStyle w:val="NormalNonumber"/>
        <w:ind w:left="1871"/>
        <w:rPr>
          <w:i/>
          <w:iCs/>
          <w:lang w:val="en-GB"/>
        </w:rPr>
      </w:pPr>
      <w:r w:rsidRPr="00361139">
        <w:rPr>
          <w:i/>
          <w:iCs/>
          <w:lang w:val="en-GB"/>
        </w:rPr>
        <w:lastRenderedPageBreak/>
        <w:t>Lesson Learned</w:t>
      </w:r>
    </w:p>
    <w:p w14:paraId="08EAF3B5" w14:textId="77777777" w:rsidR="00CC73DD" w:rsidRPr="00361139" w:rsidRDefault="00CC73DD" w:rsidP="000C76AC">
      <w:pPr>
        <w:pStyle w:val="Normal-pool"/>
        <w:numPr>
          <w:ilvl w:val="0"/>
          <w:numId w:val="14"/>
        </w:numPr>
        <w:spacing w:after="120"/>
        <w:ind w:left="2495" w:hanging="624"/>
        <w:rPr>
          <w:lang w:val="en-GB"/>
        </w:rPr>
      </w:pPr>
      <w:r w:rsidRPr="00361139">
        <w:rPr>
          <w:i/>
          <w:lang w:val="en-GB"/>
        </w:rPr>
        <w:t>A dedicated team makes the difference between an activity and a successful one.</w:t>
      </w:r>
      <w:r w:rsidRPr="00361139">
        <w:rPr>
          <w:lang w:val="en-GB"/>
        </w:rPr>
        <w:t xml:space="preserve"> This is to say that the support and availability of committed teams, such as the MC Secretariat, the GEF Secretariat and the UNEP Global Mercury Partnership (GMP), have been </w:t>
      </w:r>
      <w:proofErr w:type="spellStart"/>
      <w:r w:rsidRPr="00361139">
        <w:rPr>
          <w:lang w:val="en-GB"/>
        </w:rPr>
        <w:t>catalyzing</w:t>
      </w:r>
      <w:proofErr w:type="spellEnd"/>
      <w:r w:rsidRPr="00361139">
        <w:rPr>
          <w:lang w:val="en-GB"/>
        </w:rPr>
        <w:t xml:space="preserve"> important resources in terms of knowledge and coordination which resulted in significant assets for the implementation of many projects. </w:t>
      </w:r>
    </w:p>
    <w:p w14:paraId="38940F11" w14:textId="77777777" w:rsidR="00CC73DD" w:rsidRPr="00361139" w:rsidRDefault="00CC73DD" w:rsidP="000C76AC">
      <w:pPr>
        <w:pStyle w:val="Normal-pool"/>
        <w:numPr>
          <w:ilvl w:val="0"/>
          <w:numId w:val="14"/>
        </w:numPr>
        <w:spacing w:after="120"/>
        <w:ind w:left="2495" w:hanging="624"/>
        <w:rPr>
          <w:lang w:val="en-GB"/>
        </w:rPr>
      </w:pPr>
      <w:r w:rsidRPr="00361139">
        <w:rPr>
          <w:i/>
          <w:lang w:val="en-GB"/>
        </w:rPr>
        <w:t>South-South cooperation is an important source of investments into promoting green economies.</w:t>
      </w:r>
      <w:r w:rsidRPr="00361139">
        <w:rPr>
          <w:lang w:val="en-GB"/>
        </w:rPr>
        <w:t xml:space="preserve"> GEF funded regional and global programs, such as </w:t>
      </w:r>
      <w:proofErr w:type="spellStart"/>
      <w:r w:rsidRPr="00361139">
        <w:rPr>
          <w:lang w:val="en-GB"/>
        </w:rPr>
        <w:t>PlanetGOLD</w:t>
      </w:r>
      <w:proofErr w:type="spellEnd"/>
      <w:r w:rsidRPr="00361139">
        <w:rPr>
          <w:lang w:val="en-GB"/>
        </w:rPr>
        <w:t xml:space="preserve"> and ISLANDS, demonstrated that structured activities programs greatly favour collaboration and learning among child projects and encourage important synergies, often unreachable by traditional types of projects managed on a smaller scale of activities.</w:t>
      </w:r>
    </w:p>
    <w:p w14:paraId="2312CE61" w14:textId="77777777" w:rsidR="00CC73DD" w:rsidRPr="00361139" w:rsidRDefault="00CC73DD" w:rsidP="000C76AC">
      <w:pPr>
        <w:pStyle w:val="Normal-pool"/>
        <w:numPr>
          <w:ilvl w:val="0"/>
          <w:numId w:val="14"/>
        </w:numPr>
        <w:spacing w:after="120"/>
        <w:ind w:left="2495" w:hanging="624"/>
        <w:rPr>
          <w:lang w:val="en-GB"/>
        </w:rPr>
      </w:pPr>
      <w:r w:rsidRPr="00361139">
        <w:rPr>
          <w:i/>
          <w:lang w:val="en-GB"/>
        </w:rPr>
        <w:t>Co-financing is an essential and effective component of the interventions funded by the MC financial mechanism.</w:t>
      </w:r>
      <w:r w:rsidRPr="00361139">
        <w:rPr>
          <w:lang w:val="en-GB"/>
        </w:rPr>
        <w:t xml:space="preserve"> The impressive rate of co-financing in the projects under review (6.8/1 ratio between the co-financing of GEF projects and the GEF funding) has proved very effective in both the larger assets made available to the project activities and the number and quality of the </w:t>
      </w:r>
      <w:proofErr w:type="gramStart"/>
      <w:r w:rsidRPr="00361139">
        <w:rPr>
          <w:lang w:val="en-GB"/>
        </w:rPr>
        <w:t>stakeholders</w:t>
      </w:r>
      <w:proofErr w:type="gramEnd"/>
      <w:r w:rsidRPr="00361139">
        <w:rPr>
          <w:lang w:val="en-GB"/>
        </w:rPr>
        <w:t xml:space="preserve"> participation (and the consequent higher level of country ownership) to the activities funded by the MC financial mechanism.</w:t>
      </w:r>
    </w:p>
    <w:p w14:paraId="2384127E" w14:textId="77777777" w:rsidR="00CC73DD" w:rsidRPr="00361139" w:rsidRDefault="00CC73DD" w:rsidP="000C76AC">
      <w:pPr>
        <w:pStyle w:val="Normal-pool"/>
        <w:numPr>
          <w:ilvl w:val="0"/>
          <w:numId w:val="14"/>
        </w:numPr>
        <w:spacing w:after="120"/>
        <w:ind w:left="2495" w:hanging="624"/>
        <w:rPr>
          <w:lang w:val="en-GB"/>
        </w:rPr>
      </w:pPr>
      <w:r w:rsidRPr="00361139">
        <w:rPr>
          <w:i/>
          <w:lang w:val="en-GB"/>
        </w:rPr>
        <w:t>National Focal Points of the Convention are often subject to a high turnover and, when appointed, should be assisted with fast-learning tools to better approach the Convention and its financial mechanism.</w:t>
      </w:r>
      <w:r w:rsidRPr="00361139">
        <w:rPr>
          <w:lang w:val="en-GB"/>
        </w:rPr>
        <w:t xml:space="preserve"> This lesson has come from multiple sources during this review </w:t>
      </w:r>
      <w:proofErr w:type="gramStart"/>
      <w:r w:rsidRPr="00361139">
        <w:rPr>
          <w:lang w:val="en-GB"/>
        </w:rPr>
        <w:t>and also</w:t>
      </w:r>
      <w:proofErr w:type="gramEnd"/>
      <w:r w:rsidRPr="00361139">
        <w:rPr>
          <w:lang w:val="en-GB"/>
        </w:rPr>
        <w:t xml:space="preserve"> extends to the needs of training activities on how to submit an application to the MC financial mechanism or directed to the persons in charge of designing a project compatible with the standards requested by the two entities entrusted to its operationalization.</w:t>
      </w:r>
    </w:p>
    <w:p w14:paraId="1CC6288B" w14:textId="77777777" w:rsidR="00CC73DD" w:rsidRPr="00361139" w:rsidRDefault="00CC73DD" w:rsidP="000C76AC">
      <w:pPr>
        <w:pStyle w:val="Normalnumber"/>
        <w:numPr>
          <w:ilvl w:val="0"/>
          <w:numId w:val="9"/>
        </w:numPr>
      </w:pPr>
      <w:r w:rsidRPr="00361139">
        <w:t>It is suggested that the COP could improve the efficiency and the effectiveness of the MC financial mechanism in meeting the objective of the Convention by considering the following recommendations.</w:t>
      </w:r>
    </w:p>
    <w:p w14:paraId="790E1BE2" w14:textId="5CCAFDF8" w:rsidR="00CC73DD" w:rsidRPr="00361139" w:rsidRDefault="00CC73DD" w:rsidP="00A51FF3">
      <w:pPr>
        <w:pStyle w:val="NormalNonumber"/>
        <w:ind w:left="1871"/>
        <w:rPr>
          <w:i/>
          <w:iCs/>
          <w:lang w:val="en-GB"/>
        </w:rPr>
      </w:pPr>
      <w:r w:rsidRPr="00361139">
        <w:rPr>
          <w:i/>
          <w:iCs/>
          <w:lang w:val="en-GB"/>
        </w:rPr>
        <w:t>Recommendations</w:t>
      </w:r>
    </w:p>
    <w:p w14:paraId="2D50A091" w14:textId="77777777" w:rsidR="00CC73DD" w:rsidRPr="00361139" w:rsidRDefault="00CC73DD" w:rsidP="000C76AC">
      <w:pPr>
        <w:pStyle w:val="Normal-pool"/>
        <w:numPr>
          <w:ilvl w:val="0"/>
          <w:numId w:val="15"/>
        </w:numPr>
        <w:spacing w:after="120"/>
        <w:ind w:left="2495" w:hanging="624"/>
        <w:rPr>
          <w:lang w:val="en-GB"/>
        </w:rPr>
      </w:pPr>
      <w:r w:rsidRPr="00361139">
        <w:rPr>
          <w:lang w:val="en-GB"/>
        </w:rPr>
        <w:t xml:space="preserve">Providing a more defined guidance, to the entities entrusted to operationalize the MC financial mechanism </w:t>
      </w:r>
      <w:r w:rsidRPr="00361139">
        <w:rPr>
          <w:i/>
          <w:lang w:val="en-GB"/>
        </w:rPr>
        <w:t>(recommendations 4-11 below include suggestions to this purpose)</w:t>
      </w:r>
      <w:r w:rsidRPr="00361139">
        <w:rPr>
          <w:lang w:val="en-GB"/>
        </w:rPr>
        <w:t>.</w:t>
      </w:r>
    </w:p>
    <w:p w14:paraId="092CB112" w14:textId="77777777" w:rsidR="00CC73DD" w:rsidRPr="00361139" w:rsidRDefault="00CC73DD" w:rsidP="000C76AC">
      <w:pPr>
        <w:pStyle w:val="Normal-pool"/>
        <w:numPr>
          <w:ilvl w:val="0"/>
          <w:numId w:val="15"/>
        </w:numPr>
        <w:spacing w:after="120"/>
        <w:ind w:left="2495" w:hanging="624"/>
        <w:rPr>
          <w:lang w:val="en-GB"/>
        </w:rPr>
      </w:pPr>
      <w:r w:rsidRPr="00361139">
        <w:rPr>
          <w:lang w:val="en-GB"/>
        </w:rPr>
        <w:t>Developing a larger standard set of mercury-related indicators, consistent with the Convention objectives, which might be used in the reporting of all new projects funded under the MC financial mechanism and possibly extended to all Parties through the format of the national report required by Article 21.</w:t>
      </w:r>
    </w:p>
    <w:p w14:paraId="1291C394" w14:textId="77777777" w:rsidR="00CC73DD" w:rsidRPr="00361139" w:rsidRDefault="00CC73DD" w:rsidP="000C76AC">
      <w:pPr>
        <w:pStyle w:val="Normal-pool"/>
        <w:numPr>
          <w:ilvl w:val="0"/>
          <w:numId w:val="15"/>
        </w:numPr>
        <w:spacing w:after="120"/>
        <w:ind w:left="2495" w:hanging="624"/>
        <w:rPr>
          <w:lang w:val="en-GB"/>
        </w:rPr>
      </w:pPr>
      <w:r w:rsidRPr="00361139">
        <w:rPr>
          <w:lang w:val="en-GB"/>
        </w:rPr>
        <w:t xml:space="preserve">Planning future reviews of the financial mechanism with a view to achieve better synchronization with the GEF replenishment cycles and with a focus to </w:t>
      </w:r>
      <w:proofErr w:type="spellStart"/>
      <w:r w:rsidRPr="00361139">
        <w:rPr>
          <w:lang w:val="en-GB"/>
        </w:rPr>
        <w:t>analyze</w:t>
      </w:r>
      <w:proofErr w:type="spellEnd"/>
      <w:r w:rsidRPr="00361139">
        <w:rPr>
          <w:lang w:val="en-GB"/>
        </w:rPr>
        <w:t xml:space="preserve"> all final reports of a closing cycle and all the approved project documents of the following one. </w:t>
      </w:r>
    </w:p>
    <w:p w14:paraId="7D08B58A" w14:textId="77777777" w:rsidR="00CC73DD" w:rsidRPr="00361139" w:rsidRDefault="00CC73DD" w:rsidP="000C76AC">
      <w:pPr>
        <w:pStyle w:val="Normal-pool"/>
        <w:numPr>
          <w:ilvl w:val="0"/>
          <w:numId w:val="15"/>
        </w:numPr>
        <w:spacing w:after="120"/>
        <w:ind w:left="2495" w:hanging="624"/>
        <w:rPr>
          <w:lang w:val="en-GB"/>
        </w:rPr>
      </w:pPr>
      <w:r w:rsidRPr="00361139">
        <w:rPr>
          <w:lang w:val="en-GB"/>
        </w:rPr>
        <w:t>Request the GEF to prioritize the funding of coordinated regional and global activities targeting specific objectives of the Minamata Convention, such as the reduction of mercury in waste, storage, products, trade, emissions, releases, etc., and in line with the priorities and the deadline set by COP decisions.</w:t>
      </w:r>
    </w:p>
    <w:p w14:paraId="522978DA" w14:textId="77777777" w:rsidR="00CC73DD" w:rsidRPr="00361139" w:rsidRDefault="00CC73DD" w:rsidP="000C76AC">
      <w:pPr>
        <w:pStyle w:val="Normal-pool"/>
        <w:numPr>
          <w:ilvl w:val="0"/>
          <w:numId w:val="15"/>
        </w:numPr>
        <w:spacing w:after="120"/>
        <w:ind w:left="2495" w:hanging="624"/>
        <w:rPr>
          <w:lang w:val="en-GB"/>
        </w:rPr>
      </w:pPr>
      <w:r w:rsidRPr="00361139">
        <w:rPr>
          <w:lang w:val="en-GB"/>
        </w:rPr>
        <w:t>Request the GEF to provide, through its implementing agencies and in collaboration with stakeholder groups, global components for the coordination of the regional and global activities of the funded projects, acting as knowledge hubs developing and disseminating knowledge products, including tools, guidance, methodologies, and training materials; and favouring experts interchange and consultation at the regional level.</w:t>
      </w:r>
    </w:p>
    <w:p w14:paraId="1C0E17A4" w14:textId="77777777" w:rsidR="00CC73DD" w:rsidRPr="00361139" w:rsidRDefault="00CC73DD" w:rsidP="000C76AC">
      <w:pPr>
        <w:pStyle w:val="Normal-pool"/>
        <w:numPr>
          <w:ilvl w:val="0"/>
          <w:numId w:val="15"/>
        </w:numPr>
        <w:spacing w:after="120"/>
        <w:ind w:left="2495" w:hanging="624"/>
        <w:rPr>
          <w:lang w:val="en-GB"/>
        </w:rPr>
      </w:pPr>
      <w:r w:rsidRPr="00361139">
        <w:rPr>
          <w:lang w:val="en-GB"/>
        </w:rPr>
        <w:t>Request the GEF, GEF agencies, and Parties in their applications to the GEF</w:t>
      </w:r>
      <w:r w:rsidRPr="00361139" w:rsidDel="00936F08">
        <w:rPr>
          <w:lang w:val="en-GB"/>
        </w:rPr>
        <w:t xml:space="preserve"> </w:t>
      </w:r>
      <w:r w:rsidRPr="00361139">
        <w:rPr>
          <w:lang w:val="en-GB"/>
        </w:rPr>
        <w:t>to introduce, to a feasible extent, mercury-related project components in multifocal area projects, with objectives related to those of the Convention and the intent to produce synergisms and economies of scale.</w:t>
      </w:r>
    </w:p>
    <w:p w14:paraId="63ADBD40" w14:textId="77777777" w:rsidR="00CC73DD" w:rsidRPr="00361139" w:rsidRDefault="00CC73DD" w:rsidP="000C76AC">
      <w:pPr>
        <w:pStyle w:val="Normal-pool"/>
        <w:numPr>
          <w:ilvl w:val="0"/>
          <w:numId w:val="15"/>
        </w:numPr>
        <w:spacing w:after="120"/>
        <w:ind w:left="2495" w:hanging="624"/>
        <w:rPr>
          <w:lang w:val="en-GB"/>
        </w:rPr>
      </w:pPr>
      <w:r w:rsidRPr="00361139">
        <w:rPr>
          <w:lang w:val="en-GB"/>
        </w:rPr>
        <w:lastRenderedPageBreak/>
        <w:t xml:space="preserve">Request the GEF to introduce, in its </w:t>
      </w:r>
      <w:r w:rsidRPr="00361139">
        <w:rPr>
          <w:i/>
          <w:lang w:val="en-GB"/>
        </w:rPr>
        <w:t xml:space="preserve">result framework, </w:t>
      </w:r>
      <w:r w:rsidRPr="00361139">
        <w:rPr>
          <w:lang w:val="en-GB"/>
        </w:rPr>
        <w:t xml:space="preserve">new mercury-related sub-indicators. </w:t>
      </w:r>
      <w:proofErr w:type="gramStart"/>
      <w:r w:rsidRPr="00361139">
        <w:rPr>
          <w:lang w:val="en-GB"/>
        </w:rPr>
        <w:t>In particular, new</w:t>
      </w:r>
      <w:proofErr w:type="gramEnd"/>
      <w:r w:rsidRPr="00361139">
        <w:rPr>
          <w:lang w:val="en-GB"/>
        </w:rPr>
        <w:t xml:space="preserve"> sub-indicators about quantity of mercury reduced by GEF funded activities for mercury-added products, mercury wastes, emissions, releases, etc. (under sub-indicator 9.2) and mercury-containing materials and products directly avoided (under sub-indicator 9.6).</w:t>
      </w:r>
    </w:p>
    <w:p w14:paraId="1B4235D1" w14:textId="77777777" w:rsidR="00CC73DD" w:rsidRPr="00361139" w:rsidRDefault="00CC73DD" w:rsidP="000C76AC">
      <w:pPr>
        <w:pStyle w:val="Normal-pool"/>
        <w:numPr>
          <w:ilvl w:val="0"/>
          <w:numId w:val="15"/>
        </w:numPr>
        <w:spacing w:after="120"/>
        <w:ind w:left="2495" w:hanging="624"/>
        <w:rPr>
          <w:lang w:val="en-GB"/>
        </w:rPr>
      </w:pPr>
      <w:r w:rsidRPr="00361139">
        <w:rPr>
          <w:lang w:val="en-GB"/>
        </w:rPr>
        <w:t xml:space="preserve">Request the SIP Governing Board to prioritize the funding for the capacity building of governmental agencies in developing or enhancing mercury-related national legislation and guidelines </w:t>
      </w:r>
      <w:proofErr w:type="gramStart"/>
      <w:r w:rsidRPr="00361139">
        <w:rPr>
          <w:lang w:val="en-GB"/>
        </w:rPr>
        <w:t>in order to</w:t>
      </w:r>
      <w:proofErr w:type="gramEnd"/>
      <w:r w:rsidRPr="00361139">
        <w:rPr>
          <w:lang w:val="en-GB"/>
        </w:rPr>
        <w:t xml:space="preserve"> align the recipient Parties priorities to those of the other Parties of the Convention in facing the main challenges of its implementation.</w:t>
      </w:r>
    </w:p>
    <w:p w14:paraId="5617462D" w14:textId="77777777" w:rsidR="00CC73DD" w:rsidRPr="00361139" w:rsidRDefault="00CC73DD" w:rsidP="000C76AC">
      <w:pPr>
        <w:pStyle w:val="Normal-pool"/>
        <w:numPr>
          <w:ilvl w:val="0"/>
          <w:numId w:val="15"/>
        </w:numPr>
        <w:spacing w:after="120"/>
        <w:ind w:left="2495" w:hanging="624"/>
        <w:rPr>
          <w:lang w:val="en-GB"/>
        </w:rPr>
      </w:pPr>
      <w:r w:rsidRPr="00361139">
        <w:rPr>
          <w:lang w:val="en-GB"/>
        </w:rPr>
        <w:t>Request the GEF and MC Secretariat, in their reports to the COP, to provide more detailed information on all project applications received and relevant information on the rejection of project proposals.</w:t>
      </w:r>
    </w:p>
    <w:p w14:paraId="55EC0F7A" w14:textId="77777777" w:rsidR="00CC73DD" w:rsidRPr="00361139" w:rsidRDefault="00CC73DD" w:rsidP="000C76AC">
      <w:pPr>
        <w:pStyle w:val="Normal-pool"/>
        <w:numPr>
          <w:ilvl w:val="0"/>
          <w:numId w:val="15"/>
        </w:numPr>
        <w:spacing w:after="120"/>
        <w:ind w:left="2495" w:hanging="624"/>
        <w:rPr>
          <w:lang w:val="en-GB"/>
        </w:rPr>
      </w:pPr>
      <w:r w:rsidRPr="00361139">
        <w:rPr>
          <w:lang w:val="en-GB"/>
        </w:rPr>
        <w:t xml:space="preserve">Request the GEF and MC Secretariat, to make further efforts in providing guidelines to </w:t>
      </w:r>
      <w:r w:rsidRPr="00361139">
        <w:rPr>
          <w:i/>
          <w:lang w:val="en-GB"/>
        </w:rPr>
        <w:t>their</w:t>
      </w:r>
      <w:r w:rsidRPr="00361139">
        <w:rPr>
          <w:lang w:val="en-GB"/>
        </w:rPr>
        <w:t xml:space="preserve"> funding application in different languages and to integrate these guidelines with ad hoc, online, multi-language tools (</w:t>
      </w:r>
      <w:proofErr w:type="gramStart"/>
      <w:r w:rsidRPr="00361139">
        <w:rPr>
          <w:lang w:val="en-GB"/>
        </w:rPr>
        <w:t>e.g.</w:t>
      </w:r>
      <w:proofErr w:type="gramEnd"/>
      <w:r w:rsidRPr="00361139">
        <w:rPr>
          <w:lang w:val="en-GB"/>
        </w:rPr>
        <w:t xml:space="preserve"> Q&amp;As, chat-box, webinars) aimed to assist developing country Parties and Parties with economies in transition in their applications to the MC financial mechanism, also taking into account the high turnover of National Focal Points.</w:t>
      </w:r>
    </w:p>
    <w:p w14:paraId="5C1AA112" w14:textId="77777777" w:rsidR="00CC73DD" w:rsidRPr="00361139" w:rsidRDefault="00CC73DD" w:rsidP="000C76AC">
      <w:pPr>
        <w:pStyle w:val="Normal-pool"/>
        <w:numPr>
          <w:ilvl w:val="0"/>
          <w:numId w:val="15"/>
        </w:numPr>
        <w:spacing w:after="120"/>
        <w:ind w:left="2495" w:hanging="624"/>
        <w:rPr>
          <w:lang w:val="en-GB"/>
        </w:rPr>
      </w:pPr>
      <w:r w:rsidRPr="00361139">
        <w:rPr>
          <w:i/>
          <w:lang w:val="en-GB"/>
        </w:rPr>
        <w:t>Request</w:t>
      </w:r>
      <w:r w:rsidRPr="00361139">
        <w:rPr>
          <w:lang w:val="en-GB"/>
        </w:rPr>
        <w:t xml:space="preserve"> the MC Secretariat, to develop, and launch in partnership with stakeholder groups, a SIP resource mobilization strategy based on the widest sharing of information extracted from project reports, applications received, projects funded, problems addressed and project results of SIP funded activities, with a view to attracting a broader range of donors, including donors from the private sector, donor aid agencies and civil society organizations.</w:t>
      </w:r>
    </w:p>
    <w:p w14:paraId="04A22302" w14:textId="77777777" w:rsidR="00CC73DD" w:rsidRPr="00361139" w:rsidRDefault="00CC73DD" w:rsidP="00507F3F">
      <w:pPr>
        <w:pStyle w:val="Normal-pool"/>
        <w:rPr>
          <w:lang w:val="en-GB"/>
        </w:rPr>
      </w:pPr>
      <w:r w:rsidRPr="00361139">
        <w:rPr>
          <w:lang w:val="en-GB"/>
        </w:rPr>
        <w:br w:type="page"/>
      </w:r>
    </w:p>
    <w:p w14:paraId="3CFC011F" w14:textId="77777777" w:rsidR="0093433F" w:rsidRPr="00361139" w:rsidRDefault="0093433F" w:rsidP="0093433F">
      <w:pPr>
        <w:pStyle w:val="Normal-pool"/>
        <w:rPr>
          <w:i/>
          <w:iCs/>
          <w:lang w:val="en-GB"/>
        </w:rPr>
      </w:pPr>
    </w:p>
    <w:p w14:paraId="41C5C855" w14:textId="77777777" w:rsidR="0093433F" w:rsidRPr="00361139" w:rsidRDefault="0093433F" w:rsidP="0093433F">
      <w:pPr>
        <w:pStyle w:val="Normal-pool"/>
        <w:rPr>
          <w:i/>
          <w:iCs/>
          <w:lang w:val="en-GB"/>
        </w:rPr>
      </w:pPr>
    </w:p>
    <w:p w14:paraId="64A173BE" w14:textId="77777777" w:rsidR="0093433F" w:rsidRPr="00361139" w:rsidRDefault="0093433F" w:rsidP="0093433F">
      <w:pPr>
        <w:pStyle w:val="Normal-pool"/>
        <w:rPr>
          <w:i/>
          <w:iCs/>
          <w:lang w:val="en-GB"/>
        </w:rPr>
      </w:pPr>
    </w:p>
    <w:p w14:paraId="528C0552" w14:textId="77777777" w:rsidR="0093433F" w:rsidRPr="00361139" w:rsidRDefault="0093433F" w:rsidP="0093433F">
      <w:pPr>
        <w:pStyle w:val="Normal-pool"/>
        <w:rPr>
          <w:i/>
          <w:iCs/>
          <w:lang w:val="en-GB"/>
        </w:rPr>
      </w:pPr>
    </w:p>
    <w:p w14:paraId="00172599" w14:textId="0DE2D82E" w:rsidR="00CC73DD" w:rsidRPr="00361139" w:rsidRDefault="00CC73DD" w:rsidP="00CD1A83">
      <w:pPr>
        <w:pStyle w:val="Normal-pool"/>
        <w:jc w:val="center"/>
        <w:rPr>
          <w:i/>
          <w:iCs/>
          <w:sz w:val="24"/>
          <w:szCs w:val="24"/>
          <w:lang w:val="en-GB"/>
        </w:rPr>
      </w:pPr>
      <w:r w:rsidRPr="00361139">
        <w:rPr>
          <w:i/>
          <w:iCs/>
          <w:sz w:val="24"/>
          <w:szCs w:val="24"/>
          <w:lang w:val="en-GB"/>
        </w:rPr>
        <w:t>[This page is intentionally left blank]</w:t>
      </w:r>
    </w:p>
    <w:p w14:paraId="4306D0D5" w14:textId="77777777" w:rsidR="0093433F" w:rsidRPr="00361139" w:rsidRDefault="0093433F" w:rsidP="0093433F">
      <w:pPr>
        <w:pStyle w:val="Normal-pool"/>
        <w:rPr>
          <w:i/>
          <w:iCs/>
          <w:lang w:val="en-GB"/>
        </w:rPr>
      </w:pPr>
    </w:p>
    <w:p w14:paraId="21763FBF" w14:textId="77777777" w:rsidR="0093433F" w:rsidRPr="00361139" w:rsidRDefault="0093433F" w:rsidP="0093433F">
      <w:pPr>
        <w:pStyle w:val="Normal-pool"/>
        <w:rPr>
          <w:i/>
          <w:iCs/>
          <w:lang w:val="en-GB"/>
        </w:rPr>
      </w:pPr>
    </w:p>
    <w:p w14:paraId="7C83D73E" w14:textId="77777777" w:rsidR="0093433F" w:rsidRPr="00361139" w:rsidRDefault="0093433F" w:rsidP="0093433F">
      <w:pPr>
        <w:pStyle w:val="Normal-pool"/>
        <w:rPr>
          <w:lang w:val="en-GB"/>
        </w:rPr>
      </w:pPr>
    </w:p>
    <w:p w14:paraId="1CC83886" w14:textId="77777777" w:rsidR="0093433F" w:rsidRPr="00361139" w:rsidRDefault="0093433F" w:rsidP="0093433F">
      <w:pPr>
        <w:pStyle w:val="Normal-pool"/>
        <w:rPr>
          <w:lang w:val="en-GB"/>
        </w:rPr>
      </w:pPr>
    </w:p>
    <w:p w14:paraId="1731D375" w14:textId="77777777" w:rsidR="0093433F" w:rsidRPr="00361139" w:rsidRDefault="00CC73DD" w:rsidP="0093433F">
      <w:pPr>
        <w:pStyle w:val="Normal-pool"/>
        <w:rPr>
          <w:lang w:val="en-GB"/>
        </w:rPr>
      </w:pPr>
      <w:r w:rsidRPr="00361139">
        <w:rPr>
          <w:lang w:val="en-GB"/>
        </w:rPr>
        <w:br w:type="page"/>
      </w:r>
      <w:bookmarkStart w:id="70" w:name="_Toc122452716"/>
      <w:bookmarkStart w:id="71" w:name="_Toc122452893"/>
      <w:bookmarkStart w:id="72" w:name="_Toc138845670"/>
      <w:bookmarkStart w:id="73" w:name="_Toc138845725"/>
      <w:bookmarkStart w:id="74" w:name="_Toc138847814"/>
    </w:p>
    <w:p w14:paraId="4ECDCBB5" w14:textId="69259D69" w:rsidR="00CC73DD" w:rsidRPr="00361139" w:rsidRDefault="00CD1A83" w:rsidP="00414EAE">
      <w:pPr>
        <w:pStyle w:val="CH1"/>
        <w:rPr>
          <w:lang w:val="en-GB"/>
        </w:rPr>
      </w:pPr>
      <w:r w:rsidRPr="00361139">
        <w:rPr>
          <w:lang w:val="en-GB"/>
        </w:rPr>
        <w:lastRenderedPageBreak/>
        <w:tab/>
      </w:r>
      <w:r w:rsidRPr="00361139">
        <w:rPr>
          <w:lang w:val="en-GB"/>
        </w:rPr>
        <w:tab/>
      </w:r>
      <w:bookmarkStart w:id="75" w:name="_Toc139975450"/>
      <w:bookmarkStart w:id="76" w:name="_Toc139976210"/>
      <w:bookmarkStart w:id="77" w:name="_Toc139982218"/>
      <w:bookmarkStart w:id="78" w:name="_Toc139983930"/>
      <w:bookmarkStart w:id="79" w:name="_Toc139984178"/>
      <w:r w:rsidR="00CC73DD" w:rsidRPr="00361139">
        <w:rPr>
          <w:lang w:val="en-GB"/>
        </w:rPr>
        <w:t>Introduction</w:t>
      </w:r>
      <w:bookmarkEnd w:id="70"/>
      <w:bookmarkEnd w:id="71"/>
      <w:bookmarkEnd w:id="72"/>
      <w:bookmarkEnd w:id="73"/>
      <w:bookmarkEnd w:id="74"/>
      <w:bookmarkEnd w:id="75"/>
      <w:bookmarkEnd w:id="76"/>
      <w:bookmarkEnd w:id="77"/>
      <w:bookmarkEnd w:id="78"/>
      <w:bookmarkEnd w:id="79"/>
    </w:p>
    <w:p w14:paraId="480CB4C5" w14:textId="382F19D2" w:rsidR="00CC73DD" w:rsidRPr="00361139" w:rsidRDefault="00CD1A83" w:rsidP="00414EAE">
      <w:pPr>
        <w:pStyle w:val="CH2"/>
        <w:rPr>
          <w:lang w:val="en-GB"/>
        </w:rPr>
      </w:pPr>
      <w:bookmarkStart w:id="80" w:name="_Toc122452717"/>
      <w:bookmarkStart w:id="81" w:name="_Toc122452894"/>
      <w:bookmarkStart w:id="82" w:name="_Toc138845671"/>
      <w:bookmarkStart w:id="83" w:name="_Toc138845726"/>
      <w:bookmarkStart w:id="84" w:name="_Toc138847815"/>
      <w:r w:rsidRPr="00361139">
        <w:rPr>
          <w:lang w:val="en-GB"/>
        </w:rPr>
        <w:tab/>
      </w:r>
      <w:r w:rsidRPr="00361139">
        <w:rPr>
          <w:lang w:val="en-GB"/>
        </w:rPr>
        <w:tab/>
      </w:r>
      <w:bookmarkStart w:id="85" w:name="_Toc139975451"/>
      <w:bookmarkStart w:id="86" w:name="_Toc139976211"/>
      <w:bookmarkStart w:id="87" w:name="_Toc139982219"/>
      <w:bookmarkStart w:id="88" w:name="_Toc139983931"/>
      <w:bookmarkStart w:id="89" w:name="_Toc139984179"/>
      <w:r w:rsidR="00CC73DD" w:rsidRPr="00361139">
        <w:rPr>
          <w:lang w:val="en-GB"/>
        </w:rPr>
        <w:t>The financial mechanism</w:t>
      </w:r>
      <w:bookmarkEnd w:id="80"/>
      <w:bookmarkEnd w:id="81"/>
      <w:bookmarkEnd w:id="82"/>
      <w:bookmarkEnd w:id="83"/>
      <w:bookmarkEnd w:id="84"/>
      <w:bookmarkEnd w:id="85"/>
      <w:bookmarkEnd w:id="86"/>
      <w:bookmarkEnd w:id="87"/>
      <w:bookmarkEnd w:id="88"/>
      <w:bookmarkEnd w:id="89"/>
    </w:p>
    <w:p w14:paraId="2A7FD77D" w14:textId="77777777" w:rsidR="00CC73DD" w:rsidRPr="00361139" w:rsidRDefault="00CC73DD" w:rsidP="000C76AC">
      <w:pPr>
        <w:pStyle w:val="Normalnumber"/>
        <w:numPr>
          <w:ilvl w:val="0"/>
          <w:numId w:val="9"/>
        </w:numPr>
        <w:rPr>
          <w:rFonts w:asciiTheme="majorBidi" w:hAnsiTheme="majorBidi" w:cstheme="majorBidi"/>
        </w:rPr>
      </w:pPr>
      <w:r w:rsidRPr="00361139">
        <w:t>The Minamata Convention on Mercury (MC) entered into force on 16 August 2017 with the objective</w:t>
      </w:r>
      <w:r w:rsidRPr="00361139">
        <w:rPr>
          <w:rFonts w:asciiTheme="majorBidi" w:hAnsiTheme="majorBidi" w:cstheme="majorBidi"/>
        </w:rPr>
        <w:t xml:space="preserve"> </w:t>
      </w:r>
      <w:r w:rsidRPr="00361139">
        <w:rPr>
          <w:rFonts w:asciiTheme="majorBidi" w:hAnsiTheme="majorBidi" w:cstheme="majorBidi"/>
          <w:i/>
        </w:rPr>
        <w:t>to protect the human health and the environment from anthropogenic emissions and releases of mercury and mercury compounds</w:t>
      </w:r>
      <w:r w:rsidRPr="00361139">
        <w:rPr>
          <w:rFonts w:asciiTheme="majorBidi" w:hAnsiTheme="majorBidi" w:cstheme="majorBidi"/>
        </w:rPr>
        <w:t xml:space="preserve">. </w:t>
      </w:r>
    </w:p>
    <w:p w14:paraId="057A9BCC"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w:t>
      </w:r>
      <w:r w:rsidRPr="00361139">
        <w:rPr>
          <w:rFonts w:asciiTheme="majorBidi" w:hAnsiTheme="majorBidi" w:cstheme="majorBidi"/>
          <w:i/>
        </w:rPr>
        <w:t>financial mechanism</w:t>
      </w:r>
      <w:r w:rsidRPr="00361139">
        <w:rPr>
          <w:rFonts w:asciiTheme="majorBidi" w:hAnsiTheme="majorBidi" w:cstheme="majorBidi"/>
        </w:rPr>
        <w:t xml:space="preserve"> is established under Article 13 of the Minamata Convention to provide </w:t>
      </w:r>
      <w:r w:rsidRPr="00361139">
        <w:rPr>
          <w:rFonts w:asciiTheme="majorBidi" w:hAnsiTheme="majorBidi" w:cstheme="majorBidi"/>
          <w:i/>
        </w:rPr>
        <w:t>adequate, predictable, and timely financial resources</w:t>
      </w:r>
      <w:r w:rsidRPr="00361139">
        <w:rPr>
          <w:rFonts w:asciiTheme="majorBidi" w:hAnsiTheme="majorBidi" w:cstheme="majorBidi"/>
        </w:rPr>
        <w:t xml:space="preserve"> aimed to </w:t>
      </w:r>
      <w:r w:rsidRPr="00361139">
        <w:rPr>
          <w:rFonts w:asciiTheme="majorBidi" w:hAnsiTheme="majorBidi" w:cstheme="majorBidi"/>
          <w:i/>
        </w:rPr>
        <w:t>support developing country Parties and Parties with economies in transition in implementing their obligations under the Convention</w:t>
      </w:r>
      <w:r w:rsidRPr="00361139">
        <w:rPr>
          <w:rFonts w:asciiTheme="majorBidi" w:hAnsiTheme="majorBidi" w:cstheme="majorBidi"/>
        </w:rPr>
        <w:t xml:space="preserve">. </w:t>
      </w:r>
    </w:p>
    <w:p w14:paraId="4BB79C3A"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w:t>
      </w:r>
      <w:r w:rsidRPr="00361139">
        <w:rPr>
          <w:rFonts w:asciiTheme="majorBidi" w:hAnsiTheme="majorBidi" w:cstheme="majorBidi"/>
          <w:i/>
        </w:rPr>
        <w:t xml:space="preserve">MC financial mechanism </w:t>
      </w:r>
      <w:r w:rsidRPr="00361139">
        <w:rPr>
          <w:rFonts w:asciiTheme="majorBidi" w:hAnsiTheme="majorBidi" w:cstheme="majorBidi"/>
        </w:rPr>
        <w:t xml:space="preserve">comprises two entities: a) the Global Environment Facility (GEF) Trust Fund, </w:t>
      </w:r>
      <w:r w:rsidRPr="00361139">
        <w:rPr>
          <w:rFonts w:asciiTheme="majorBidi" w:hAnsiTheme="majorBidi" w:cstheme="majorBidi"/>
          <w:i/>
        </w:rPr>
        <w:t>to meet costs in support of implementation of the Convention</w:t>
      </w:r>
      <w:r w:rsidRPr="00361139">
        <w:rPr>
          <w:rFonts w:asciiTheme="majorBidi" w:hAnsiTheme="majorBidi" w:cstheme="majorBidi"/>
        </w:rPr>
        <w:t xml:space="preserve">; and b) the Specific International Programme (SIP), </w:t>
      </w:r>
      <w:r w:rsidRPr="00361139">
        <w:rPr>
          <w:rFonts w:asciiTheme="majorBidi" w:hAnsiTheme="majorBidi" w:cstheme="majorBidi"/>
          <w:i/>
        </w:rPr>
        <w:t>to support capacity-building and technical assistance</w:t>
      </w:r>
      <w:r w:rsidRPr="00361139">
        <w:rPr>
          <w:rFonts w:asciiTheme="majorBidi" w:hAnsiTheme="majorBidi" w:cstheme="majorBidi"/>
        </w:rPr>
        <w:t xml:space="preserve">. </w:t>
      </w:r>
    </w:p>
    <w:p w14:paraId="5DF142F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Article 13 also requires the Conference of the Parties to the Convention (COP) to </w:t>
      </w:r>
      <w:r w:rsidRPr="00361139">
        <w:rPr>
          <w:rFonts w:asciiTheme="majorBidi" w:hAnsiTheme="majorBidi" w:cstheme="majorBidi"/>
          <w:i/>
        </w:rPr>
        <w:t>review, no later than at its third meeting, and thereafter on a regular basis, the level of funding, the guidance provided by the Conference of the Parties to the entities entrusted to operationalize the Mechanism established under this Article and their effectiveness, and their ability to address the changing needs of developing country Parties and Parties with economies in transition</w:t>
      </w:r>
      <w:r w:rsidRPr="00361139">
        <w:rPr>
          <w:rFonts w:asciiTheme="majorBidi" w:hAnsiTheme="majorBidi" w:cstheme="majorBidi"/>
        </w:rPr>
        <w:t xml:space="preserve">. The COP is also required, based on such review, </w:t>
      </w:r>
      <w:r w:rsidRPr="00361139">
        <w:rPr>
          <w:rFonts w:asciiTheme="majorBidi" w:hAnsiTheme="majorBidi" w:cstheme="majorBidi"/>
          <w:i/>
        </w:rPr>
        <w:t>to take appropriate action to improve the effectiveness of the Mechanism</w:t>
      </w:r>
      <w:r w:rsidRPr="00361139">
        <w:rPr>
          <w:rFonts w:asciiTheme="majorBidi" w:hAnsiTheme="majorBidi" w:cstheme="majorBidi"/>
        </w:rPr>
        <w:t xml:space="preserve">. </w:t>
      </w:r>
    </w:p>
    <w:p w14:paraId="0BA32580" w14:textId="29CE6196" w:rsidR="00CC73DD" w:rsidRPr="00361139" w:rsidRDefault="000E0B21" w:rsidP="00414EAE">
      <w:pPr>
        <w:pStyle w:val="CH2"/>
        <w:rPr>
          <w:lang w:val="en-GB"/>
        </w:rPr>
      </w:pPr>
      <w:bookmarkStart w:id="90" w:name="_Toc122452718"/>
      <w:bookmarkStart w:id="91" w:name="_Toc122452895"/>
      <w:bookmarkStart w:id="92" w:name="_Toc138845672"/>
      <w:bookmarkStart w:id="93" w:name="_Toc138845727"/>
      <w:bookmarkStart w:id="94" w:name="_Toc138847816"/>
      <w:r w:rsidRPr="00361139">
        <w:rPr>
          <w:lang w:val="en-GB"/>
        </w:rPr>
        <w:tab/>
      </w:r>
      <w:r w:rsidRPr="00361139">
        <w:rPr>
          <w:lang w:val="en-GB"/>
        </w:rPr>
        <w:tab/>
      </w:r>
      <w:bookmarkStart w:id="95" w:name="_Toc139975452"/>
      <w:bookmarkStart w:id="96" w:name="_Toc139976212"/>
      <w:bookmarkStart w:id="97" w:name="_Toc139982220"/>
      <w:bookmarkStart w:id="98" w:name="_Toc139983932"/>
      <w:bookmarkStart w:id="99" w:name="_Toc139984180"/>
      <w:r w:rsidR="00CC73DD" w:rsidRPr="00361139">
        <w:rPr>
          <w:lang w:val="en-GB"/>
        </w:rPr>
        <w:t>The COP deliberations</w:t>
      </w:r>
      <w:bookmarkEnd w:id="90"/>
      <w:bookmarkEnd w:id="91"/>
      <w:bookmarkEnd w:id="92"/>
      <w:bookmarkEnd w:id="93"/>
      <w:bookmarkEnd w:id="94"/>
      <w:bookmarkEnd w:id="95"/>
      <w:bookmarkEnd w:id="96"/>
      <w:bookmarkEnd w:id="97"/>
      <w:bookmarkEnd w:id="98"/>
      <w:bookmarkEnd w:id="99"/>
    </w:p>
    <w:p w14:paraId="0CE24737" w14:textId="753C9DE3"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At its third meeting, the COP was presented a note by the Secretariat on the </w:t>
      </w:r>
      <w:r w:rsidRPr="00361139">
        <w:rPr>
          <w:rFonts w:asciiTheme="majorBidi" w:hAnsiTheme="majorBidi" w:cstheme="majorBidi"/>
          <w:i/>
        </w:rPr>
        <w:t>First review of the financial mechanism</w:t>
      </w:r>
      <w:r w:rsidRPr="00361139">
        <w:rPr>
          <w:rStyle w:val="FootnoteReference"/>
          <w:rFonts w:asciiTheme="majorBidi" w:eastAsia="SimSun" w:hAnsiTheme="majorBidi" w:cstheme="majorBidi"/>
        </w:rPr>
        <w:footnoteReference w:id="7"/>
      </w:r>
      <w:r w:rsidRPr="00361139">
        <w:rPr>
          <w:rFonts w:asciiTheme="majorBidi" w:hAnsiTheme="majorBidi" w:cstheme="majorBidi"/>
        </w:rPr>
        <w:t>. The note summarized the activities of the GEF and the SIP under the MC financial mechanism and included two annexes containing the information received from the GEF Secretariat and the SIP Governing Board in accordance with Article 13. The COP in its decision MC</w:t>
      </w:r>
      <w:r w:rsidR="001922F9" w:rsidRPr="00361139">
        <w:noBreakHyphen/>
      </w:r>
      <w:r w:rsidRPr="00361139">
        <w:rPr>
          <w:rFonts w:asciiTheme="majorBidi" w:hAnsiTheme="majorBidi" w:cstheme="majorBidi"/>
        </w:rPr>
        <w:t>3/7</w:t>
      </w:r>
      <w:r w:rsidRPr="00361139">
        <w:rPr>
          <w:rStyle w:val="FootnoteReference"/>
          <w:rFonts w:asciiTheme="majorBidi" w:eastAsia="SimSun" w:hAnsiTheme="majorBidi" w:cstheme="majorBidi"/>
        </w:rPr>
        <w:footnoteReference w:id="8"/>
      </w:r>
      <w:r w:rsidRPr="00361139">
        <w:rPr>
          <w:rFonts w:asciiTheme="majorBidi" w:hAnsiTheme="majorBidi" w:cstheme="majorBidi"/>
        </w:rPr>
        <w:t xml:space="preserve"> welcomed the </w:t>
      </w:r>
      <w:proofErr w:type="gramStart"/>
      <w:r w:rsidRPr="00361139">
        <w:rPr>
          <w:rFonts w:asciiTheme="majorBidi" w:hAnsiTheme="majorBidi" w:cstheme="majorBidi"/>
        </w:rPr>
        <w:t>above mentioned</w:t>
      </w:r>
      <w:proofErr w:type="gramEnd"/>
      <w:r w:rsidRPr="00361139">
        <w:rPr>
          <w:rFonts w:asciiTheme="majorBidi" w:hAnsiTheme="majorBidi" w:cstheme="majorBidi"/>
        </w:rPr>
        <w:t xml:space="preserve"> note and requested the Secretariat to </w:t>
      </w:r>
      <w:r w:rsidRPr="00361139">
        <w:rPr>
          <w:rFonts w:asciiTheme="majorBidi" w:hAnsiTheme="majorBidi" w:cstheme="majorBidi"/>
          <w:i/>
        </w:rPr>
        <w:t>prepare draft terms of reference for the second review for consideration by the Conference of the Parties at its fourth meeting</w:t>
      </w:r>
      <w:r w:rsidRPr="00361139">
        <w:rPr>
          <w:rFonts w:asciiTheme="majorBidi" w:hAnsiTheme="majorBidi" w:cstheme="majorBidi"/>
        </w:rPr>
        <w:t>.</w:t>
      </w:r>
    </w:p>
    <w:p w14:paraId="5FD2C6C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At its fourth meeting, the COP was presented a note by the Secretariat on the </w:t>
      </w:r>
      <w:r w:rsidRPr="00361139">
        <w:rPr>
          <w:rFonts w:asciiTheme="majorBidi" w:hAnsiTheme="majorBidi" w:cstheme="majorBidi"/>
          <w:i/>
        </w:rPr>
        <w:t>Review of the financial mechanism</w:t>
      </w:r>
      <w:r w:rsidRPr="00361139">
        <w:rPr>
          <w:rStyle w:val="FootnoteReference"/>
          <w:rFonts w:asciiTheme="majorBidi" w:eastAsia="SimSun" w:hAnsiTheme="majorBidi" w:cstheme="majorBidi"/>
          <w:i/>
        </w:rPr>
        <w:footnoteReference w:id="9"/>
      </w:r>
      <w:r w:rsidRPr="00361139">
        <w:rPr>
          <w:rFonts w:asciiTheme="majorBidi" w:hAnsiTheme="majorBidi" w:cstheme="majorBidi"/>
        </w:rPr>
        <w:t xml:space="preserve">. The note included considerations relevant to the terms of reference for the second review and with respect to its timing; it also included two annexes containing a draft decision for the COP and a </w:t>
      </w:r>
      <w:proofErr w:type="gramStart"/>
      <w:r w:rsidRPr="00361139">
        <w:rPr>
          <w:rFonts w:asciiTheme="majorBidi" w:hAnsiTheme="majorBidi" w:cstheme="majorBidi"/>
        </w:rPr>
        <w:t>draft terms of reference</w:t>
      </w:r>
      <w:proofErr w:type="gramEnd"/>
      <w:r w:rsidRPr="00361139">
        <w:rPr>
          <w:rFonts w:asciiTheme="majorBidi" w:hAnsiTheme="majorBidi" w:cstheme="majorBidi"/>
        </w:rPr>
        <w:t xml:space="preserve"> for the Second review of the MC financial mechanism. </w:t>
      </w:r>
    </w:p>
    <w:p w14:paraId="34215454"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COP, in its decision MC-4/7</w:t>
      </w:r>
      <w:r w:rsidRPr="00361139">
        <w:rPr>
          <w:rFonts w:asciiTheme="majorBidi" w:hAnsiTheme="majorBidi" w:cstheme="majorBidi"/>
          <w:vertAlign w:val="superscript"/>
        </w:rPr>
        <w:footnoteReference w:id="10"/>
      </w:r>
      <w:r w:rsidRPr="00361139">
        <w:rPr>
          <w:rFonts w:asciiTheme="majorBidi" w:hAnsiTheme="majorBidi" w:cstheme="majorBidi"/>
        </w:rPr>
        <w:t>, adopted the Terms of reference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for the Second review of the financial mechanism (also available in Annex 1 of this document); invited </w:t>
      </w:r>
      <w:r w:rsidRPr="00361139">
        <w:rPr>
          <w:rFonts w:asciiTheme="majorBidi" w:hAnsiTheme="majorBidi" w:cstheme="majorBidi"/>
          <w:i/>
        </w:rPr>
        <w:t>Parties, intergovernmental organizations, non-governmental organizations and stakeholders to submit information, consistent with the terms of reference for the review and organized by the listed performance criteria, on their experience gained through their interactions with the financial mechanism as soon as possible and not later than 30 September 2022</w:t>
      </w:r>
      <w:r w:rsidRPr="00361139">
        <w:rPr>
          <w:rFonts w:asciiTheme="majorBidi" w:hAnsiTheme="majorBidi" w:cstheme="majorBidi"/>
        </w:rPr>
        <w:t>; and requested the MC Secretariat</w:t>
      </w:r>
      <w:r w:rsidRPr="00361139">
        <w:rPr>
          <w:rFonts w:asciiTheme="majorBidi" w:hAnsiTheme="majorBidi" w:cstheme="majorBidi"/>
          <w:i/>
        </w:rPr>
        <w:t xml:space="preserve"> to compile information relevant to the Second review of the financial mechanism and submit it to the COP for consideration at its fifth meeting</w:t>
      </w:r>
      <w:r w:rsidRPr="00361139">
        <w:rPr>
          <w:rFonts w:asciiTheme="majorBidi" w:hAnsiTheme="majorBidi" w:cstheme="majorBidi"/>
        </w:rPr>
        <w:t>.</w:t>
      </w:r>
    </w:p>
    <w:p w14:paraId="7DACFAA5" w14:textId="2441531E" w:rsidR="00CC73DD" w:rsidRPr="00361139" w:rsidRDefault="00414EAE" w:rsidP="00414EAE">
      <w:pPr>
        <w:pStyle w:val="CH2"/>
        <w:rPr>
          <w:lang w:val="en-GB"/>
        </w:rPr>
      </w:pPr>
      <w:bookmarkStart w:id="100" w:name="_Toc122452719"/>
      <w:bookmarkStart w:id="101" w:name="_Toc122452896"/>
      <w:bookmarkStart w:id="102" w:name="_Toc138845673"/>
      <w:bookmarkStart w:id="103" w:name="_Toc138845728"/>
      <w:bookmarkStart w:id="104" w:name="_Toc138847817"/>
      <w:bookmarkStart w:id="105" w:name="_Toc139975286"/>
      <w:bookmarkStart w:id="106" w:name="_Toc139975321"/>
      <w:bookmarkStart w:id="107" w:name="_Toc139975340"/>
      <w:r w:rsidRPr="00361139">
        <w:rPr>
          <w:lang w:val="en-GB"/>
        </w:rPr>
        <w:tab/>
      </w:r>
      <w:r w:rsidRPr="00361139">
        <w:rPr>
          <w:lang w:val="en-GB"/>
        </w:rPr>
        <w:tab/>
      </w:r>
      <w:bookmarkStart w:id="108" w:name="_Toc139976213"/>
      <w:bookmarkStart w:id="109" w:name="_Toc139982221"/>
      <w:bookmarkStart w:id="110" w:name="_Toc139983933"/>
      <w:bookmarkStart w:id="111" w:name="_Toc139984181"/>
      <w:r w:rsidR="00CC73DD" w:rsidRPr="00361139">
        <w:rPr>
          <w:lang w:val="en-GB"/>
        </w:rPr>
        <w:t xml:space="preserve">The </w:t>
      </w:r>
      <w:bookmarkEnd w:id="100"/>
      <w:bookmarkEnd w:id="101"/>
      <w:r w:rsidR="00CC73DD" w:rsidRPr="00361139">
        <w:rPr>
          <w:lang w:val="en-GB"/>
        </w:rPr>
        <w:t>review</w:t>
      </w:r>
      <w:bookmarkEnd w:id="102"/>
      <w:bookmarkEnd w:id="103"/>
      <w:bookmarkEnd w:id="104"/>
      <w:bookmarkEnd w:id="105"/>
      <w:bookmarkEnd w:id="106"/>
      <w:bookmarkEnd w:id="107"/>
      <w:bookmarkEnd w:id="108"/>
      <w:bookmarkEnd w:id="109"/>
      <w:bookmarkEnd w:id="110"/>
      <w:bookmarkEnd w:id="111"/>
    </w:p>
    <w:p w14:paraId="70188DDD" w14:textId="77777777" w:rsidR="00CC73DD" w:rsidRPr="00361139" w:rsidRDefault="00CC73DD" w:rsidP="000C76AC">
      <w:pPr>
        <w:pStyle w:val="Normalnumber"/>
        <w:numPr>
          <w:ilvl w:val="0"/>
          <w:numId w:val="9"/>
        </w:numPr>
      </w:pPr>
      <w:r w:rsidRPr="00361139">
        <w:t xml:space="preserve">As per the adopted </w:t>
      </w:r>
      <w:proofErr w:type="spellStart"/>
      <w:r w:rsidRPr="00361139">
        <w:t>ToR</w:t>
      </w:r>
      <w:proofErr w:type="spellEnd"/>
      <w:r w:rsidRPr="00361139">
        <w:t xml:space="preserve">, the MC Secretariat advertised a consultancy vacancy in September 2022 and, following the assessment of candidates, hired an expert consultant to prepare a draft report on the information provided. </w:t>
      </w:r>
    </w:p>
    <w:p w14:paraId="7907564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received by the consultant reflected those approved by the COP and set, as the purpose of the consultancy, to </w:t>
      </w:r>
      <w:r w:rsidRPr="00361139">
        <w:rPr>
          <w:rFonts w:asciiTheme="majorBidi" w:hAnsiTheme="majorBidi" w:cstheme="majorBidi"/>
          <w:i/>
        </w:rPr>
        <w:t>develop the draft report which will form the basis of the Conference of the Parties’ second review of the financial mechanism at its fifth meeting</w:t>
      </w:r>
      <w:r w:rsidRPr="00361139">
        <w:rPr>
          <w:rFonts w:asciiTheme="majorBidi" w:hAnsiTheme="majorBidi" w:cstheme="majorBidi"/>
        </w:rPr>
        <w:t>.</w:t>
      </w:r>
    </w:p>
    <w:p w14:paraId="29862A3A"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review was requested to </w:t>
      </w:r>
      <w:r w:rsidRPr="00361139">
        <w:rPr>
          <w:rFonts w:asciiTheme="majorBidi" w:hAnsiTheme="majorBidi" w:cstheme="majorBidi"/>
          <w:i/>
        </w:rPr>
        <w:t xml:space="preserve">cover the activities of the </w:t>
      </w:r>
      <w:r w:rsidRPr="00361139">
        <w:rPr>
          <w:rFonts w:asciiTheme="majorBidi" w:hAnsiTheme="majorBidi" w:cstheme="majorBidi"/>
        </w:rPr>
        <w:t>MC financial mechanism</w:t>
      </w:r>
      <w:r w:rsidRPr="00361139">
        <w:rPr>
          <w:rFonts w:asciiTheme="majorBidi" w:hAnsiTheme="majorBidi" w:cstheme="majorBidi"/>
          <w:i/>
        </w:rPr>
        <w:t xml:space="preserve"> for the period from August 2019 to July 2022 and inclusive of the first three rounds of applications to the Specific International Programme, with special emphasis on the activities concluded during that period</w:t>
      </w:r>
      <w:r w:rsidRPr="00361139">
        <w:rPr>
          <w:rFonts w:asciiTheme="majorBidi" w:hAnsiTheme="majorBidi" w:cstheme="majorBidi"/>
        </w:rPr>
        <w:t>.</w:t>
      </w:r>
    </w:p>
    <w:p w14:paraId="1B0EC8B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 xml:space="preserve">The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specified: a) the main elements of the analysis; b) a list of the main sources of information (among others), inclusive of reference to interviews to key relevant entities and stakeholders and, upon mutual agreement between the Secretariat and the consultant, the possibility to supplement this information with one or more surveys; c) a list of the required elements of the report; and d) a list of performance criteria against which to assess the effectiveness and efficiency of the MC financial mechanism. The consultant was also required to work under the overall responsibility of the Programme Management Officer for Capacity Building and Technical Assistance of the MC Secretariat.</w:t>
      </w:r>
    </w:p>
    <w:p w14:paraId="2136DF90"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line with the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received, three lines of enquiry were identified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gather the information on which to base the review: a) the available documentation, b) a survey, and c) interviews.</w:t>
      </w:r>
    </w:p>
    <w:p w14:paraId="512B4AF0" w14:textId="6530139C" w:rsidR="00CC73DD" w:rsidRPr="00361139" w:rsidRDefault="009B25EB" w:rsidP="009B25EB">
      <w:pPr>
        <w:pStyle w:val="NormalNonumber"/>
        <w:rPr>
          <w:i/>
          <w:iCs/>
          <w:lang w:val="en-GB"/>
        </w:rPr>
      </w:pPr>
      <w:r w:rsidRPr="00361139">
        <w:rPr>
          <w:i/>
          <w:iCs/>
          <w:lang w:val="en-GB"/>
        </w:rPr>
        <w:t>AVAILABLE DOCUMENTATION</w:t>
      </w:r>
    </w:p>
    <w:p w14:paraId="04E6B8CD" w14:textId="77777777" w:rsidR="00CC73DD" w:rsidRPr="00361139" w:rsidRDefault="00CC73DD" w:rsidP="000C76AC">
      <w:pPr>
        <w:pStyle w:val="Normalnumber"/>
        <w:numPr>
          <w:ilvl w:val="0"/>
          <w:numId w:val="9"/>
        </w:numPr>
      </w:pPr>
      <w:r w:rsidRPr="00361139">
        <w:rPr>
          <w:rFonts w:asciiTheme="majorBidi" w:hAnsiTheme="majorBidi" w:cstheme="majorBidi"/>
        </w:rPr>
        <w:t>The</w:t>
      </w:r>
      <w:r w:rsidRPr="00361139">
        <w:t xml:space="preserve"> initial assessment of the available sources of information, made it clear that, some sources of information, listed in Para. 3 of the </w:t>
      </w:r>
      <w:proofErr w:type="spellStart"/>
      <w:r w:rsidRPr="00361139">
        <w:t>ToR</w:t>
      </w:r>
      <w:proofErr w:type="spellEnd"/>
      <w:r w:rsidRPr="00361139">
        <w:t xml:space="preserve"> adopted by the COP, were not available while others were, as follows:</w:t>
      </w:r>
    </w:p>
    <w:p w14:paraId="224C3B42" w14:textId="77777777" w:rsidR="00CC73DD" w:rsidRPr="00361139" w:rsidRDefault="00CC73DD" w:rsidP="000C76AC">
      <w:pPr>
        <w:pStyle w:val="NormalNonumber"/>
        <w:numPr>
          <w:ilvl w:val="0"/>
          <w:numId w:val="16"/>
        </w:numPr>
        <w:ind w:left="2495" w:hanging="624"/>
        <w:rPr>
          <w:lang w:val="en-GB"/>
        </w:rPr>
      </w:pPr>
      <w:r w:rsidRPr="00361139">
        <w:rPr>
          <w:lang w:val="en-GB"/>
        </w:rPr>
        <w:t>Only one Party submitted info on its experience gained through interactions with the financial mechanism;</w:t>
      </w:r>
    </w:p>
    <w:p w14:paraId="618A21F3" w14:textId="77777777" w:rsidR="00CC73DD" w:rsidRPr="00361139" w:rsidRDefault="00CC73DD" w:rsidP="000C76AC">
      <w:pPr>
        <w:pStyle w:val="NormalNonumber"/>
        <w:numPr>
          <w:ilvl w:val="0"/>
          <w:numId w:val="16"/>
        </w:numPr>
        <w:ind w:left="2495" w:hanging="624"/>
        <w:rPr>
          <w:lang w:val="en-GB"/>
        </w:rPr>
      </w:pPr>
      <w:r w:rsidRPr="00361139">
        <w:rPr>
          <w:lang w:val="en-GB"/>
        </w:rPr>
        <w:t xml:space="preserve">The GEF Secretariat submitted its report to each COP; </w:t>
      </w:r>
      <w:proofErr w:type="gramStart"/>
      <w:r w:rsidRPr="00361139">
        <w:rPr>
          <w:lang w:val="en-GB"/>
        </w:rPr>
        <w:t>similarly</w:t>
      </w:r>
      <w:proofErr w:type="gramEnd"/>
      <w:r w:rsidRPr="00361139">
        <w:rPr>
          <w:lang w:val="en-GB"/>
        </w:rPr>
        <w:t xml:space="preserve"> the MC Secretariat submitted its report on the SIP to each COP and the SIP Governing Board made available the final reports of its first six meetings;</w:t>
      </w:r>
    </w:p>
    <w:p w14:paraId="0B45525A" w14:textId="272E68AF" w:rsidR="00CC73DD" w:rsidRPr="00361139" w:rsidRDefault="00CC73DD" w:rsidP="000C76AC">
      <w:pPr>
        <w:pStyle w:val="NormalNonumber"/>
        <w:numPr>
          <w:ilvl w:val="0"/>
          <w:numId w:val="16"/>
        </w:numPr>
        <w:ind w:left="2495" w:hanging="624"/>
        <w:rPr>
          <w:lang w:val="en-GB"/>
        </w:rPr>
      </w:pPr>
      <w:r w:rsidRPr="00361139">
        <w:rPr>
          <w:lang w:val="en-GB"/>
        </w:rPr>
        <w:t xml:space="preserve">Among the other reports listed in the </w:t>
      </w:r>
      <w:proofErr w:type="spellStart"/>
      <w:r w:rsidRPr="00361139">
        <w:rPr>
          <w:lang w:val="en-GB"/>
        </w:rPr>
        <w:t>ToR</w:t>
      </w:r>
      <w:proofErr w:type="spellEnd"/>
      <w:r w:rsidRPr="00361139">
        <w:rPr>
          <w:lang w:val="en-GB"/>
        </w:rPr>
        <w:t>, the GEF Secretariat submitted its contribution for the Second review (inclusive of a table listing the GEF funded projects</w:t>
      </w:r>
      <w:r w:rsidR="00334B82" w:rsidRPr="00361139">
        <w:rPr>
          <w:lang w:val="en-GB"/>
        </w:rPr>
        <w:t xml:space="preserve"> </w:t>
      </w:r>
      <w:r w:rsidRPr="00361139">
        <w:rPr>
          <w:lang w:val="en-GB"/>
        </w:rPr>
        <w:t>under the Minamata Convention and links to some of the progress and/or evaluation reports); the SIP Governing Board had been invited and encouraged, by the Secretariat in their 7</w:t>
      </w:r>
      <w:r w:rsidRPr="00361139">
        <w:rPr>
          <w:vertAlign w:val="superscript"/>
          <w:lang w:val="en-GB"/>
        </w:rPr>
        <w:t>th</w:t>
      </w:r>
      <w:r w:rsidRPr="00361139">
        <w:rPr>
          <w:lang w:val="en-GB"/>
        </w:rPr>
        <w:t xml:space="preserve"> meeting, to provide its contribution to the Second review, but by the time of closing this review this contribution had not been submitted; out of the 24 approved SIP Projects 22 legal agreements, 15 project summaries, 4 final reports and 1 terminal review were made available by the MC Secretariat (by the time of closing this review only five SIP projects had been completed and of these, three were undergoing terminal evaluations);</w:t>
      </w:r>
    </w:p>
    <w:p w14:paraId="7D750FD2" w14:textId="77777777" w:rsidR="00CC73DD" w:rsidRPr="00361139" w:rsidRDefault="00CC73DD" w:rsidP="000C76AC">
      <w:pPr>
        <w:pStyle w:val="NormalNonumber"/>
        <w:numPr>
          <w:ilvl w:val="0"/>
          <w:numId w:val="16"/>
        </w:numPr>
        <w:ind w:left="2495" w:hanging="624"/>
        <w:rPr>
          <w:lang w:val="en-GB"/>
        </w:rPr>
      </w:pPr>
      <w:r w:rsidRPr="00361139">
        <w:rPr>
          <w:lang w:val="en-GB"/>
        </w:rPr>
        <w:t xml:space="preserve">With reference to the relevant reports and information submitted by intergovernmental and non-governmental organizations, stakeholders and other entities, two documents were submitted: one from the </w:t>
      </w:r>
      <w:r w:rsidRPr="00361139">
        <w:rPr>
          <w:i/>
          <w:lang w:val="en-GB"/>
        </w:rPr>
        <w:t>Special Programme</w:t>
      </w:r>
      <w:r w:rsidRPr="00361139">
        <w:rPr>
          <w:rStyle w:val="FootnoteReference"/>
          <w:rFonts w:eastAsia="SimSun"/>
          <w:i/>
          <w:lang w:val="en-GB"/>
        </w:rPr>
        <w:footnoteReference w:id="11"/>
      </w:r>
      <w:r w:rsidRPr="00361139">
        <w:rPr>
          <w:i/>
          <w:lang w:val="en-GB"/>
        </w:rPr>
        <w:t xml:space="preserve"> </w:t>
      </w:r>
      <w:r w:rsidRPr="00361139">
        <w:rPr>
          <w:lang w:val="en-GB"/>
        </w:rPr>
        <w:t xml:space="preserve">and one from the </w:t>
      </w:r>
      <w:r w:rsidRPr="00361139">
        <w:rPr>
          <w:i/>
          <w:lang w:val="en-GB"/>
        </w:rPr>
        <w:t>UNEP Global Mercury Partnership (GMP)</w:t>
      </w:r>
      <w:r w:rsidRPr="00361139">
        <w:rPr>
          <w:rStyle w:val="FootnoteReference"/>
          <w:rFonts w:eastAsia="SimSun"/>
          <w:i/>
          <w:lang w:val="en-GB"/>
        </w:rPr>
        <w:footnoteReference w:id="12"/>
      </w:r>
      <w:r w:rsidRPr="00361139">
        <w:rPr>
          <w:i/>
          <w:lang w:val="en-GB"/>
        </w:rPr>
        <w:t>;</w:t>
      </w:r>
    </w:p>
    <w:p w14:paraId="0EECF649" w14:textId="77777777" w:rsidR="00CC73DD" w:rsidRPr="00361139" w:rsidRDefault="00CC73DD" w:rsidP="000C76AC">
      <w:pPr>
        <w:pStyle w:val="NormalNonumber"/>
        <w:numPr>
          <w:ilvl w:val="0"/>
          <w:numId w:val="16"/>
        </w:numPr>
        <w:ind w:left="2495" w:hanging="624"/>
        <w:rPr>
          <w:lang w:val="en-GB"/>
        </w:rPr>
      </w:pPr>
      <w:r w:rsidRPr="00361139">
        <w:rPr>
          <w:lang w:val="en-GB"/>
        </w:rPr>
        <w:t>National reports on the implementation of the Minamata Convention (as submitted by Parties in 2021 for the second reporting cycle and pursuant to article 21 of the Convention) are available on the Secretariat website from 118 Parties; the report template foresees three general questions referring to Art. 13 and one of those specifically refers to the financial mechanism;</w:t>
      </w:r>
    </w:p>
    <w:p w14:paraId="33B0FFE6" w14:textId="77777777" w:rsidR="00CC73DD" w:rsidRPr="00361139" w:rsidRDefault="00CC73DD" w:rsidP="000C76AC">
      <w:pPr>
        <w:pStyle w:val="NormalNonumber"/>
        <w:numPr>
          <w:ilvl w:val="0"/>
          <w:numId w:val="16"/>
        </w:numPr>
        <w:ind w:left="2495" w:hanging="624"/>
        <w:rPr>
          <w:lang w:val="en-GB"/>
        </w:rPr>
      </w:pPr>
      <w:r w:rsidRPr="00361139">
        <w:rPr>
          <w:lang w:val="en-GB"/>
        </w:rPr>
        <w:t xml:space="preserve">The Report of the Executive Director of the United Nations Environment Programme entitled </w:t>
      </w:r>
      <w:r w:rsidRPr="00361139">
        <w:rPr>
          <w:i/>
          <w:lang w:val="en-GB"/>
        </w:rPr>
        <w:t>Strengthening the Specific International Programme to Support Capacity-Building and Technical Assistance of the Minamata Convention on Mercury: enhancing the effective functioning of the Programme</w:t>
      </w:r>
      <w:r w:rsidRPr="00361139">
        <w:rPr>
          <w:rStyle w:val="FootnoteReference"/>
          <w:rFonts w:eastAsia="SimSun"/>
          <w:i/>
          <w:lang w:val="en-GB"/>
        </w:rPr>
        <w:footnoteReference w:id="13"/>
      </w:r>
      <w:r w:rsidRPr="00361139">
        <w:rPr>
          <w:lang w:val="en-GB"/>
        </w:rPr>
        <w:t>.</w:t>
      </w:r>
    </w:p>
    <w:p w14:paraId="2855E8EE" w14:textId="77777777" w:rsidR="00CC73DD" w:rsidRPr="00361139" w:rsidRDefault="00CC73DD" w:rsidP="000C76AC">
      <w:pPr>
        <w:pStyle w:val="Normalnumber"/>
        <w:numPr>
          <w:ilvl w:val="0"/>
          <w:numId w:val="9"/>
        </w:numPr>
      </w:pPr>
      <w:r w:rsidRPr="00361139">
        <w:rPr>
          <w:rFonts w:asciiTheme="majorBidi" w:hAnsiTheme="majorBidi" w:cstheme="majorBidi"/>
        </w:rPr>
        <w:t>In</w:t>
      </w:r>
      <w:r w:rsidRPr="00361139">
        <w:t xml:space="preserve"> addition to the above main sources of information, the review also drew on other relevant COPs documents, awareness material produced by the Secretariat of the Minamata Convention, other documents shared by the GEF and MC Secretariats and the information available on the GEF Projects Database</w:t>
      </w:r>
      <w:r w:rsidRPr="00361139">
        <w:rPr>
          <w:rStyle w:val="FootnoteReference"/>
          <w:rFonts w:eastAsia="SimSun"/>
        </w:rPr>
        <w:footnoteReference w:id="14"/>
      </w:r>
      <w:r w:rsidRPr="00361139">
        <w:t xml:space="preserve">. During the time allocated for the review, the MC Secretariat also shared with the reviewer the Summary Preliminary Findings of the Mid-Term Evaluation of the Specific International </w:t>
      </w:r>
      <w:r w:rsidRPr="00361139">
        <w:lastRenderedPageBreak/>
        <w:t>Programme as drafted by another consultant. A list of the key documents consulted for this review is contained in Annex 6.</w:t>
      </w:r>
    </w:p>
    <w:p w14:paraId="02D5CC27" w14:textId="77777777" w:rsidR="00CC73DD" w:rsidRPr="00361139" w:rsidRDefault="00CC73DD" w:rsidP="000C76AC">
      <w:pPr>
        <w:pStyle w:val="Normalnumber"/>
        <w:numPr>
          <w:ilvl w:val="0"/>
          <w:numId w:val="9"/>
        </w:numPr>
      </w:pPr>
      <w:r w:rsidRPr="00361139">
        <w:t xml:space="preserve">In considering the analysis of the </w:t>
      </w:r>
      <w:r w:rsidRPr="00361139">
        <w:rPr>
          <w:i/>
        </w:rPr>
        <w:t xml:space="preserve">efficiency and effectiveness </w:t>
      </w:r>
      <w:r w:rsidRPr="00361139">
        <w:t xml:space="preserve">of both GEF and SIP </w:t>
      </w:r>
      <w:r w:rsidRPr="00361139">
        <w:rPr>
          <w:i/>
        </w:rPr>
        <w:t xml:space="preserve">as the entities entrusted with the operation of the financial mechanism </w:t>
      </w:r>
      <w:r w:rsidRPr="00361139">
        <w:t xml:space="preserve">(an analysis specifically requested in point “d” among the review outputs listed in the </w:t>
      </w:r>
      <w:proofErr w:type="spellStart"/>
      <w:r w:rsidRPr="00361139">
        <w:t>ToR</w:t>
      </w:r>
      <w:proofErr w:type="spellEnd"/>
      <w:r w:rsidRPr="00361139">
        <w:t xml:space="preserve">), a specific request was also put forward by the consultant to the MC Secretariat for accessing additional existing documentation of the SIP Governing Board (in particular: the background documentation provided by the MC Secretariat for the first six Board meetings - covering the first three rounds of applications - and any other documents containing details on the methodology used and the final evaluation resulting in the assignation and/or prioritization of funding to the selected projects). Such request was denied by the MC Secretariat on the basis that the requested material are Governing Board internal deliberations, not requested by the COP for the review, and, as such, </w:t>
      </w:r>
      <w:r w:rsidRPr="00361139">
        <w:rPr>
          <w:i/>
        </w:rPr>
        <w:t xml:space="preserve">would not be appropriate to share. </w:t>
      </w:r>
      <w:r w:rsidRPr="00361139">
        <w:t xml:space="preserve">The MC Secretariat also informed the reviewer that </w:t>
      </w:r>
      <w:r w:rsidRPr="00361139">
        <w:rPr>
          <w:i/>
        </w:rPr>
        <w:t>should the need for additional documentation arise and be identified, and the specific type of documentation be identified, the consultant and the Secretariat will discuss further, in consultation if needed with the SIP Governing Board, the GEF Secretariat, or other relevant stakeholders</w:t>
      </w:r>
      <w:r w:rsidRPr="00361139">
        <w:t>.</w:t>
      </w:r>
    </w:p>
    <w:p w14:paraId="5F05B7E7" w14:textId="54658BE8" w:rsidR="00CC73DD" w:rsidRPr="00361139" w:rsidRDefault="009B25EB" w:rsidP="009B25EB">
      <w:pPr>
        <w:pStyle w:val="NormalNonumber"/>
        <w:rPr>
          <w:i/>
          <w:iCs/>
          <w:lang w:val="en-GB"/>
        </w:rPr>
      </w:pPr>
      <w:r w:rsidRPr="00361139">
        <w:rPr>
          <w:i/>
          <w:iCs/>
          <w:lang w:val="en-GB"/>
        </w:rPr>
        <w:t>SURVEY(S)</w:t>
      </w:r>
    </w:p>
    <w:p w14:paraId="796CFA8C" w14:textId="77777777" w:rsidR="00CC73DD" w:rsidRPr="00361139" w:rsidRDefault="00CC73DD" w:rsidP="000C76AC">
      <w:pPr>
        <w:pStyle w:val="Normalnumber"/>
        <w:numPr>
          <w:ilvl w:val="0"/>
          <w:numId w:val="9"/>
        </w:numPr>
      </w:pPr>
      <w:r w:rsidRPr="00361139">
        <w:t xml:space="preserve">As envisioned by the </w:t>
      </w:r>
      <w:proofErr w:type="spellStart"/>
      <w:r w:rsidRPr="00361139">
        <w:t>ToR</w:t>
      </w:r>
      <w:proofErr w:type="spellEnd"/>
      <w:r w:rsidRPr="00361139">
        <w:t>, it was agreed, in consultation with the MC Secretariat, to prepare and launch a survey aimed to all the National Focal Points (NFPs) of the Minamata Convention and to the GEF Operational Focal Points (or in their absence the GEF Political Focal Points) of all countries differently eligible for funding under the MC financial mechanism</w:t>
      </w:r>
      <w:r w:rsidRPr="00361139">
        <w:rPr>
          <w:rStyle w:val="FootnoteReference"/>
          <w:rFonts w:eastAsia="SimSun"/>
        </w:rPr>
        <w:footnoteReference w:id="15"/>
      </w:r>
      <w:r w:rsidRPr="00361139">
        <w:t>.</w:t>
      </w:r>
    </w:p>
    <w:p w14:paraId="64D4D7B3" w14:textId="77777777" w:rsidR="00CC73DD" w:rsidRPr="00361139" w:rsidRDefault="00CC73DD" w:rsidP="000C76AC">
      <w:pPr>
        <w:pStyle w:val="Normalnumber"/>
        <w:numPr>
          <w:ilvl w:val="0"/>
          <w:numId w:val="9"/>
        </w:numPr>
      </w:pPr>
      <w:r w:rsidRPr="00361139">
        <w:t xml:space="preserve">The survey aimed to gather information mainly on direct experience from Parties using the MC financial mechanism by identifying the respondents by countries and sorting them in 3 groups according to the entities (GEF and/or SIP) of the MC financial mechanism for which they were (or not) eligible for receiving funding. All National Focal Points from countries eligible for funding were asked questions about whether they had requested funding through the mechanism and, in case of an affirmative answer, about their specific experience in the application phase and, for those receiving funds, in the implementation phase with the component(s) of the MC financial mechanism (GEF and/or SIP) they had dealt with. All participants to the survey were also asked general questions about the MC financial mechanism and given the possibility to request a direct interview with the consultant. </w:t>
      </w:r>
    </w:p>
    <w:p w14:paraId="5463DE32" w14:textId="77777777" w:rsidR="00CC73DD" w:rsidRPr="00361139" w:rsidRDefault="00CC73DD" w:rsidP="000C76AC">
      <w:pPr>
        <w:pStyle w:val="Normalnumber"/>
        <w:numPr>
          <w:ilvl w:val="0"/>
          <w:numId w:val="9"/>
        </w:numPr>
      </w:pPr>
      <w:r w:rsidRPr="00361139">
        <w:t>The survey platform used was SurveyMonkey.com, a commercial platform already used by various other UN agencies for surveys; the invitations to participate in the survey were sent by the MC Secretariat via e-mail to the MC-NFPs and GEF Operational Focal Points on January 11, 2023 (followed up by two reminders plus one final recommendation to participate in the survey directly signed by the Executive Secretary of the MC).</w:t>
      </w:r>
    </w:p>
    <w:p w14:paraId="164FFAC9" w14:textId="77777777" w:rsidR="00CC73DD" w:rsidRPr="00361139" w:rsidRDefault="00CC73DD" w:rsidP="000C76AC">
      <w:pPr>
        <w:pStyle w:val="Normalnumber"/>
        <w:numPr>
          <w:ilvl w:val="0"/>
          <w:numId w:val="9"/>
        </w:numPr>
      </w:pPr>
      <w:r w:rsidRPr="00361139">
        <w:t xml:space="preserve">The survey remained open for three weeks and was closed on February 1, 2023; it received complete </w:t>
      </w:r>
      <w:r w:rsidRPr="00361139">
        <w:rPr>
          <w:rFonts w:asciiTheme="majorBidi" w:hAnsiTheme="majorBidi" w:cstheme="majorBidi"/>
        </w:rPr>
        <w:t>responses</w:t>
      </w:r>
      <w:r w:rsidRPr="00361139">
        <w:t xml:space="preserve"> by 42 focal points (37 MC-NFPs and 5 GEF Operational Focal Point) representing 40 different countries (of which 35 MC Parties and 5 MC Signatories). The results and details of the survey are available in Annex 4.</w:t>
      </w:r>
    </w:p>
    <w:p w14:paraId="1554A399" w14:textId="6CE23323" w:rsidR="00CC73DD" w:rsidRPr="00361139" w:rsidRDefault="009B25EB" w:rsidP="009B25EB">
      <w:pPr>
        <w:pStyle w:val="NormalNonumber"/>
        <w:rPr>
          <w:i/>
          <w:iCs/>
          <w:lang w:val="en-GB"/>
        </w:rPr>
      </w:pPr>
      <w:r w:rsidRPr="00361139">
        <w:rPr>
          <w:i/>
          <w:iCs/>
          <w:lang w:val="en-GB"/>
        </w:rPr>
        <w:t>INTERVIEWS</w:t>
      </w:r>
    </w:p>
    <w:p w14:paraId="6B14EF5C" w14:textId="77777777" w:rsidR="00CC73DD" w:rsidRPr="00361139" w:rsidRDefault="00CC73DD" w:rsidP="000C76AC">
      <w:pPr>
        <w:pStyle w:val="Normalnumber"/>
        <w:numPr>
          <w:ilvl w:val="0"/>
          <w:numId w:val="9"/>
        </w:numPr>
      </w:pPr>
      <w:r w:rsidRPr="00361139">
        <w:t xml:space="preserve">A third line of enquiry was a list of interviews of key relevant entities and stakeholders. The list of possible interviewees, defined in consultation with the MC Secretariat, included representatives of main donor countries, a number of National Focal Points from Parties having received funding by GEF or SIP under the MC financial mechanism, representatives of the GEF and MC Secretariat, selected members of the current and past SIP Governing Boards, a representative of the GEF Independent Evaluation Office (IEO), representatives of the Special Programme and the Global Mercury Partnership, and National Focal Points having requested interviews through the survey. Most of the stakeholders answered positively to the invitation for an interview; </w:t>
      </w:r>
      <w:proofErr w:type="gramStart"/>
      <w:r w:rsidRPr="00361139">
        <w:t>however</w:t>
      </w:r>
      <w:proofErr w:type="gramEnd"/>
      <w:r w:rsidRPr="00361139">
        <w:t xml:space="preserve"> many MC-NFPs declined or did not responded to the interview invitation. A list of all persons interviewed for this review is available in Annex 5.</w:t>
      </w:r>
    </w:p>
    <w:p w14:paraId="1D2F80E7" w14:textId="491F1D63" w:rsidR="00CC73DD" w:rsidRPr="00361139" w:rsidRDefault="009B25EB" w:rsidP="00430426">
      <w:pPr>
        <w:pStyle w:val="NormalNonumber"/>
        <w:keepNext/>
        <w:keepLines/>
        <w:rPr>
          <w:i/>
          <w:iCs/>
          <w:lang w:val="en-GB"/>
        </w:rPr>
      </w:pPr>
      <w:r w:rsidRPr="00361139">
        <w:rPr>
          <w:i/>
          <w:iCs/>
          <w:lang w:val="en-GB"/>
        </w:rPr>
        <w:lastRenderedPageBreak/>
        <w:t>THE REVIEW OUTLINE</w:t>
      </w:r>
    </w:p>
    <w:p w14:paraId="4270E7B9" w14:textId="77777777" w:rsidR="00CC73DD" w:rsidRPr="00361139" w:rsidRDefault="00CC73DD" w:rsidP="000C76AC">
      <w:pPr>
        <w:pStyle w:val="Normalnumber"/>
        <w:keepNext/>
        <w:keepLines/>
        <w:numPr>
          <w:ilvl w:val="0"/>
          <w:numId w:val="9"/>
        </w:numPr>
      </w:pPr>
      <w:r w:rsidRPr="00361139">
        <w:t xml:space="preserve">In consideration of the </w:t>
      </w:r>
      <w:proofErr w:type="spellStart"/>
      <w:r w:rsidRPr="00361139">
        <w:t>ToR</w:t>
      </w:r>
      <w:proofErr w:type="spellEnd"/>
      <w:r w:rsidRPr="00361139">
        <w:t xml:space="preserve"> adopted by COP, this review is articulated in four main elements of analysis of the findings, namely: </w:t>
      </w:r>
    </w:p>
    <w:p w14:paraId="00767AD4" w14:textId="77777777" w:rsidR="00CC73DD" w:rsidRPr="00361139" w:rsidRDefault="00CC73DD" w:rsidP="005B537D">
      <w:pPr>
        <w:pStyle w:val="Normalnumber"/>
        <w:numPr>
          <w:ilvl w:val="1"/>
          <w:numId w:val="1"/>
        </w:numPr>
        <w:tabs>
          <w:tab w:val="clear" w:pos="2495"/>
          <w:tab w:val="left" w:pos="624"/>
        </w:tabs>
        <w:ind w:left="1247" w:firstLine="624"/>
      </w:pPr>
      <w:r w:rsidRPr="00361139">
        <w:rPr>
          <w:b/>
          <w:i/>
        </w:rPr>
        <w:t xml:space="preserve">The Funding </w:t>
      </w:r>
      <w:r w:rsidRPr="00361139">
        <w:t xml:space="preserve">mobilized through the MC financial mechanism, including </w:t>
      </w:r>
      <w:r w:rsidRPr="00361139">
        <w:rPr>
          <w:rFonts w:eastAsia="Cambria"/>
        </w:rPr>
        <w:t>the level and type of funding, the ability to mobilize resources, the identification of the resources mobilized directly by the mechanism, including in-kind contributions and co-financing, and, to the extent possible, quantitative and/or qualitative assessment of the resources mobilized indirectly by actions of the private sector and other stakeholders</w:t>
      </w:r>
      <w:r w:rsidRPr="00361139">
        <w:t>;</w:t>
      </w:r>
    </w:p>
    <w:p w14:paraId="5C52C997" w14:textId="77777777" w:rsidR="00CC73DD" w:rsidRPr="00361139" w:rsidRDefault="00CC73DD" w:rsidP="005B537D">
      <w:pPr>
        <w:pStyle w:val="Normalnumber"/>
        <w:numPr>
          <w:ilvl w:val="1"/>
          <w:numId w:val="1"/>
        </w:numPr>
        <w:tabs>
          <w:tab w:val="clear" w:pos="2495"/>
          <w:tab w:val="left" w:pos="624"/>
        </w:tabs>
        <w:ind w:left="1247" w:firstLine="624"/>
      </w:pPr>
      <w:r w:rsidRPr="00361139">
        <w:rPr>
          <w:b/>
          <w:i/>
        </w:rPr>
        <w:t>The Guidance</w:t>
      </w:r>
      <w:r w:rsidRPr="00361139">
        <w:t xml:space="preserve"> provided by the COP to the GEF and to the SIP to support capacity-building and technical assistance in their capacity as the entities entrusted with the operation of the MC financial mechanism, including considerations on the GEF and SIP responsiveness to it;</w:t>
      </w:r>
    </w:p>
    <w:p w14:paraId="6F0C96FF" w14:textId="77777777" w:rsidR="00CC73DD" w:rsidRPr="00361139" w:rsidRDefault="00CC73DD" w:rsidP="005B537D">
      <w:pPr>
        <w:pStyle w:val="Normalnumber"/>
        <w:numPr>
          <w:ilvl w:val="1"/>
          <w:numId w:val="1"/>
        </w:numPr>
        <w:tabs>
          <w:tab w:val="clear" w:pos="2495"/>
          <w:tab w:val="left" w:pos="624"/>
        </w:tabs>
        <w:ind w:left="1247" w:firstLine="624"/>
      </w:pPr>
      <w:r w:rsidRPr="00361139">
        <w:rPr>
          <w:b/>
          <w:i/>
        </w:rPr>
        <w:t>The Effectiveness and Efficiency</w:t>
      </w:r>
      <w:r w:rsidRPr="00361139">
        <w:rPr>
          <w:color w:val="000000"/>
        </w:rPr>
        <w:t xml:space="preserve"> of the MC financial mechanism, and </w:t>
      </w:r>
      <w:proofErr w:type="gramStart"/>
      <w:r w:rsidRPr="00361139">
        <w:rPr>
          <w:color w:val="000000"/>
        </w:rPr>
        <w:t>in particular of</w:t>
      </w:r>
      <w:proofErr w:type="gramEnd"/>
      <w:r w:rsidRPr="00361139">
        <w:t xml:space="preserve"> the GEF and the SIP, in their capacity as the entities entrusted with the operation of the mechanism,</w:t>
      </w:r>
      <w:r w:rsidRPr="00361139">
        <w:rPr>
          <w:color w:val="000000"/>
        </w:rPr>
        <w:t xml:space="preserve"> assessed against the performance criteria</w:t>
      </w:r>
      <w:r w:rsidRPr="00361139">
        <w:t xml:space="preserve"> listed in the </w:t>
      </w:r>
      <w:proofErr w:type="spellStart"/>
      <w:r w:rsidRPr="00361139">
        <w:t>ToR</w:t>
      </w:r>
      <w:proofErr w:type="spellEnd"/>
      <w:r w:rsidRPr="00361139">
        <w:t xml:space="preserve">; and </w:t>
      </w:r>
    </w:p>
    <w:p w14:paraId="5109A494" w14:textId="77777777" w:rsidR="00CC73DD" w:rsidRPr="00361139" w:rsidRDefault="00CC73DD" w:rsidP="005B537D">
      <w:pPr>
        <w:pStyle w:val="Normalnumber"/>
        <w:numPr>
          <w:ilvl w:val="1"/>
          <w:numId w:val="1"/>
        </w:numPr>
        <w:tabs>
          <w:tab w:val="clear" w:pos="2495"/>
          <w:tab w:val="left" w:pos="624"/>
        </w:tabs>
        <w:ind w:left="1247" w:firstLine="624"/>
      </w:pPr>
      <w:r w:rsidRPr="00361139">
        <w:rPr>
          <w:b/>
          <w:i/>
        </w:rPr>
        <w:t>The Sustainability of the Resources and the Changing Needs</w:t>
      </w:r>
      <w:r w:rsidRPr="00361139">
        <w:t>, including an assessment of the sustainability of the funding and available resources provided by the MC financial mechanism for the achievement of the objective of the Convention, and considerations on the ability of the two entities of the financial mechanism to address the changing needs of developing country Parties and Parties with economies in transition.</w:t>
      </w:r>
    </w:p>
    <w:p w14:paraId="79FBA9FD" w14:textId="77777777" w:rsidR="00CC73DD" w:rsidRPr="00361139" w:rsidRDefault="00CC73DD" w:rsidP="000C76AC">
      <w:pPr>
        <w:pStyle w:val="Normalnumber"/>
        <w:numPr>
          <w:ilvl w:val="0"/>
          <w:numId w:val="9"/>
        </w:numPr>
        <w:ind w:left="1247"/>
      </w:pPr>
      <w:r w:rsidRPr="00361139">
        <w:t xml:space="preserve">In following-up the above analysis, the review concludes by proposing some </w:t>
      </w:r>
      <w:r w:rsidRPr="00361139">
        <w:rPr>
          <w:b/>
          <w:i/>
        </w:rPr>
        <w:t xml:space="preserve">conclusions, lessons </w:t>
      </w:r>
      <w:proofErr w:type="gramStart"/>
      <w:r w:rsidRPr="00361139">
        <w:rPr>
          <w:b/>
          <w:i/>
        </w:rPr>
        <w:t>learned</w:t>
      </w:r>
      <w:proofErr w:type="gramEnd"/>
      <w:r w:rsidRPr="00361139">
        <w:rPr>
          <w:b/>
          <w:i/>
        </w:rPr>
        <w:t xml:space="preserve"> and recommendations</w:t>
      </w:r>
      <w:r w:rsidRPr="00361139">
        <w:t xml:space="preserve"> based on the analysis of the results of the activities funded by the MC financial mechanism, during the period covered by the review, and intended to suggest possible ways to improve the effectiveness and efficiency of the MC financial mechanism in meeting the objective of the Convention. </w:t>
      </w:r>
    </w:p>
    <w:p w14:paraId="46B54226" w14:textId="77777777" w:rsidR="00CC73DD" w:rsidRPr="00361139" w:rsidRDefault="00CC73DD" w:rsidP="000C76AC">
      <w:pPr>
        <w:pStyle w:val="Normalnumber"/>
        <w:numPr>
          <w:ilvl w:val="0"/>
          <w:numId w:val="9"/>
        </w:numPr>
        <w:ind w:left="1247"/>
      </w:pPr>
      <w:r w:rsidRPr="00361139">
        <w:t>An advanced draft of the review was circulated by the MC Secretariat among the GEF Secretariat and members of the SIP Governing Board. All comments received and not included in the text of the review, are listed, together with the reviewer’s responses in Annex 2.</w:t>
      </w:r>
    </w:p>
    <w:p w14:paraId="32B793BB" w14:textId="01EC3CCE" w:rsidR="00CC73DD" w:rsidRPr="00361139" w:rsidRDefault="00BE1190" w:rsidP="00BE1190">
      <w:pPr>
        <w:pStyle w:val="CH1"/>
        <w:rPr>
          <w:lang w:val="en-GB"/>
        </w:rPr>
      </w:pPr>
      <w:bookmarkStart w:id="112" w:name="_Toc122452721"/>
      <w:bookmarkStart w:id="113" w:name="_Toc122452898"/>
      <w:bookmarkStart w:id="114" w:name="_Toc138845674"/>
      <w:bookmarkStart w:id="115" w:name="_Toc138845729"/>
      <w:bookmarkStart w:id="116" w:name="_Toc138847818"/>
      <w:r w:rsidRPr="00361139">
        <w:rPr>
          <w:lang w:val="en-GB"/>
        </w:rPr>
        <w:tab/>
      </w:r>
      <w:bookmarkStart w:id="117" w:name="_Toc139975453"/>
      <w:bookmarkStart w:id="118" w:name="_Toc139976214"/>
      <w:bookmarkStart w:id="119" w:name="_Toc139982222"/>
      <w:bookmarkStart w:id="120" w:name="_Toc139983934"/>
      <w:bookmarkStart w:id="121" w:name="_Toc139984182"/>
      <w:r w:rsidRPr="00361139">
        <w:rPr>
          <w:lang w:val="en-GB"/>
        </w:rPr>
        <w:t>I.</w:t>
      </w:r>
      <w:r w:rsidRPr="00361139">
        <w:rPr>
          <w:lang w:val="en-GB"/>
        </w:rPr>
        <w:tab/>
      </w:r>
      <w:r w:rsidR="00CC73DD" w:rsidRPr="00361139">
        <w:rPr>
          <w:lang w:val="en-GB"/>
        </w:rPr>
        <w:t>The Funding</w:t>
      </w:r>
      <w:bookmarkEnd w:id="112"/>
      <w:bookmarkEnd w:id="113"/>
      <w:bookmarkEnd w:id="114"/>
      <w:bookmarkEnd w:id="115"/>
      <w:bookmarkEnd w:id="116"/>
      <w:bookmarkEnd w:id="117"/>
      <w:bookmarkEnd w:id="118"/>
      <w:bookmarkEnd w:id="119"/>
      <w:bookmarkEnd w:id="120"/>
      <w:bookmarkEnd w:id="121"/>
    </w:p>
    <w:p w14:paraId="47AB444D" w14:textId="5DB52945" w:rsidR="00CC73DD" w:rsidRPr="00361139" w:rsidRDefault="00BE1190" w:rsidP="00BE1190">
      <w:pPr>
        <w:pStyle w:val="CH2"/>
        <w:rPr>
          <w:lang w:val="en-GB"/>
        </w:rPr>
      </w:pPr>
      <w:bookmarkStart w:id="122" w:name="_Toc138845675"/>
      <w:bookmarkStart w:id="123" w:name="_Toc138845730"/>
      <w:bookmarkStart w:id="124" w:name="_Toc138847819"/>
      <w:r w:rsidRPr="00361139">
        <w:rPr>
          <w:lang w:val="en-GB"/>
        </w:rPr>
        <w:tab/>
      </w:r>
      <w:r w:rsidRPr="00361139">
        <w:rPr>
          <w:lang w:val="en-GB"/>
        </w:rPr>
        <w:tab/>
      </w:r>
      <w:bookmarkStart w:id="125" w:name="_Toc139975454"/>
      <w:bookmarkStart w:id="126" w:name="_Toc139976215"/>
      <w:bookmarkStart w:id="127" w:name="_Toc139982223"/>
      <w:bookmarkStart w:id="128" w:name="_Toc139983935"/>
      <w:bookmarkStart w:id="129" w:name="_Toc139984183"/>
      <w:r w:rsidR="00CC73DD" w:rsidRPr="00361139">
        <w:rPr>
          <w:lang w:val="en-GB"/>
        </w:rPr>
        <w:t>The total level of funding</w:t>
      </w:r>
      <w:bookmarkEnd w:id="122"/>
      <w:bookmarkEnd w:id="123"/>
      <w:bookmarkEnd w:id="124"/>
      <w:bookmarkEnd w:id="125"/>
      <w:bookmarkEnd w:id="126"/>
      <w:bookmarkEnd w:id="127"/>
      <w:bookmarkEnd w:id="128"/>
      <w:bookmarkEnd w:id="129"/>
    </w:p>
    <w:p w14:paraId="10680FDF" w14:textId="753D3C09"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According to the data provided by both the GEF and the MC Secretariats, the two entities comprising the MC financial mechanism, namely the Global Environment Facility Trust Fund (GEF) and the Specific International Programme (SIP), provided funding, in the period under review (August 2019 - July 2022), to 135 active projects focusing on activities related to the implementation of the Minamata Convention. Of these projects, 111 were funded through the GEF (though some of them covered multiple objectives, not all necessarily fully related to those of the Minamata Convention) and 24 through the SIP, and together involved 126 recipient countries for a total disbursement of about 524</w:t>
      </w:r>
      <w:r w:rsidR="00F93494" w:rsidRPr="00361139">
        <w:rPr>
          <w:rFonts w:asciiTheme="majorBidi" w:hAnsiTheme="majorBidi" w:cstheme="majorBidi"/>
        </w:rPr>
        <w:t> </w:t>
      </w:r>
      <w:r w:rsidRPr="00361139">
        <w:rPr>
          <w:rFonts w:asciiTheme="majorBidi" w:hAnsiTheme="majorBidi" w:cstheme="majorBidi"/>
        </w:rPr>
        <w:t>million USD, of which about 518 million USD through the GEF (98.8%) and about 6 million US through the SIP (1.2%)</w:t>
      </w:r>
      <w:r w:rsidRPr="00361139">
        <w:rPr>
          <w:rFonts w:asciiTheme="majorBidi" w:hAnsiTheme="majorBidi" w:cstheme="majorBidi"/>
          <w:vertAlign w:val="superscript"/>
        </w:rPr>
        <w:footnoteReference w:id="16"/>
      </w:r>
      <w:r w:rsidRPr="00361139">
        <w:rPr>
          <w:rFonts w:asciiTheme="majorBidi" w:hAnsiTheme="majorBidi" w:cstheme="majorBidi"/>
        </w:rPr>
        <w:t>. Table 1 reports the breakdown of this funding by the disbursing entities and their related cycles or rounds; Annex 3 reports the whole list of projects under review.</w:t>
      </w:r>
    </w:p>
    <w:p w14:paraId="0335A5F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All SIP funded projects focused on supporting recipient Parties in implementing their obligations under the Minamata Convention; on the other hand, the GEF funded projects covered, in some instances, also larger areas of activities, such as those related to persistent organic pollutants (POPs) and harmful chemicals. </w:t>
      </w:r>
    </w:p>
    <w:p w14:paraId="3C2BF6C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projects under the scope of this review that were approved under GEF-7 cycle (covering the period from July 2018 to June 2022) are estimated, by the GEF Secretariat, to have provided about 200 million USD for activities directly related to the objectives of the Minamata Convention (about 58% of the total cost of the GEF-7 projects under review).</w:t>
      </w:r>
    </w:p>
    <w:p w14:paraId="7DA6FD2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lack of the same level of details in MC-related projects approved under GEF-6 (covering the period from July 2014 to June 2018) makes the same calculation for this previous cycle, slightly more approximate. Almost 90% of the GEF-6 funded projects considered in this review, entirely </w:t>
      </w:r>
      <w:r w:rsidRPr="00361139">
        <w:rPr>
          <w:rFonts w:asciiTheme="majorBidi" w:hAnsiTheme="majorBidi" w:cstheme="majorBidi"/>
        </w:rPr>
        <w:lastRenderedPageBreak/>
        <w:t>focused on MC- related activities</w:t>
      </w:r>
      <w:r w:rsidRPr="00361139">
        <w:rPr>
          <w:rStyle w:val="FootnoteReference"/>
          <w:rFonts w:asciiTheme="majorBidi" w:eastAsia="SimSun" w:hAnsiTheme="majorBidi" w:cstheme="majorBidi"/>
        </w:rPr>
        <w:footnoteReference w:id="17"/>
      </w:r>
      <w:r w:rsidRPr="00361139">
        <w:rPr>
          <w:rFonts w:asciiTheme="majorBidi" w:hAnsiTheme="majorBidi" w:cstheme="majorBidi"/>
        </w:rPr>
        <w:t xml:space="preserve"> and their costs could be calculated as 100% MC-related. The summing up of the full cost of those projects together with a rough and conservative estimation of the Minamata directly related costs in the remaining 10% of projects</w:t>
      </w:r>
      <w:r w:rsidRPr="00361139">
        <w:rPr>
          <w:rStyle w:val="FootnoteReference"/>
          <w:rFonts w:asciiTheme="majorBidi" w:eastAsia="SimSun" w:hAnsiTheme="majorBidi" w:cstheme="majorBidi"/>
        </w:rPr>
        <w:footnoteReference w:id="18"/>
      </w:r>
      <w:r w:rsidRPr="00361139">
        <w:rPr>
          <w:rFonts w:asciiTheme="majorBidi" w:hAnsiTheme="majorBidi" w:cstheme="majorBidi"/>
        </w:rPr>
        <w:t xml:space="preserve">, brings the total amount provided by the GEF-6 cycle, for activities directly related to the objectives of the Minamata Convention, in the projects under review, to an estimation of approximately 125 million USD. </w:t>
      </w:r>
    </w:p>
    <w:p w14:paraId="0A4B5967" w14:textId="77777777" w:rsidR="00CC73DD" w:rsidRPr="00361139" w:rsidRDefault="00CC73DD" w:rsidP="000C76AC">
      <w:pPr>
        <w:pStyle w:val="Normalnumber"/>
        <w:numPr>
          <w:ilvl w:val="0"/>
          <w:numId w:val="9"/>
        </w:numPr>
        <w:rPr>
          <w:rFonts w:asciiTheme="majorBidi" w:hAnsiTheme="majorBidi" w:cstheme="majorBidi"/>
        </w:rPr>
      </w:pPr>
      <w:proofErr w:type="gramStart"/>
      <w:r w:rsidRPr="00361139">
        <w:rPr>
          <w:rFonts w:asciiTheme="majorBidi" w:hAnsiTheme="majorBidi" w:cstheme="majorBidi"/>
        </w:rPr>
        <w:t>On the basis of</w:t>
      </w:r>
      <w:proofErr w:type="gramEnd"/>
      <w:r w:rsidRPr="00361139">
        <w:rPr>
          <w:rFonts w:asciiTheme="majorBidi" w:hAnsiTheme="majorBidi" w:cstheme="majorBidi"/>
        </w:rPr>
        <w:t xml:space="preserve"> the above estimations, the total level of funding provided by the MC financial mechanism</w:t>
      </w:r>
      <w:r w:rsidRPr="00361139">
        <w:rPr>
          <w:rFonts w:asciiTheme="majorBidi" w:hAnsiTheme="majorBidi" w:cstheme="majorBidi"/>
          <w:i/>
        </w:rPr>
        <w:t>,</w:t>
      </w:r>
      <w:r w:rsidRPr="00361139">
        <w:rPr>
          <w:rFonts w:asciiTheme="majorBidi" w:hAnsiTheme="majorBidi" w:cstheme="majorBidi"/>
        </w:rPr>
        <w:t xml:space="preserve"> to the 135 active projects in the period covered by this review, for activities specifically related to the implementation of the Minamata Convention, was approximately of 331 million USD, of which about 325 million USD disbursed through the GEF (98.2%) and about 6 million USD disbursed through the SIP (1.8%). </w:t>
      </w:r>
    </w:p>
    <w:p w14:paraId="07B184C9" w14:textId="41C67821" w:rsidR="00CC73DD" w:rsidRPr="00361139" w:rsidRDefault="00BE1190" w:rsidP="00BE1190">
      <w:pPr>
        <w:pStyle w:val="CH2"/>
        <w:rPr>
          <w:lang w:val="en-GB"/>
        </w:rPr>
      </w:pPr>
      <w:bookmarkStart w:id="131" w:name="_Toc138845676"/>
      <w:bookmarkStart w:id="132" w:name="_Toc138845731"/>
      <w:bookmarkStart w:id="133" w:name="_Toc138847820"/>
      <w:r w:rsidRPr="00361139">
        <w:rPr>
          <w:lang w:val="en-GB"/>
        </w:rPr>
        <w:tab/>
      </w:r>
      <w:r w:rsidRPr="00361139">
        <w:rPr>
          <w:lang w:val="en-GB"/>
        </w:rPr>
        <w:tab/>
      </w:r>
      <w:bookmarkStart w:id="134" w:name="_Toc139975455"/>
      <w:bookmarkStart w:id="135" w:name="_Toc139976216"/>
      <w:bookmarkStart w:id="136" w:name="_Toc139982224"/>
      <w:bookmarkStart w:id="137" w:name="_Toc139983936"/>
      <w:bookmarkStart w:id="138" w:name="_Toc139984184"/>
      <w:r w:rsidR="00CC73DD" w:rsidRPr="00361139">
        <w:rPr>
          <w:lang w:val="en-GB"/>
        </w:rPr>
        <w:t>The GEF funding</w:t>
      </w:r>
      <w:bookmarkEnd w:id="131"/>
      <w:bookmarkEnd w:id="132"/>
      <w:bookmarkEnd w:id="133"/>
      <w:bookmarkEnd w:id="134"/>
      <w:bookmarkEnd w:id="135"/>
      <w:bookmarkEnd w:id="136"/>
      <w:bookmarkEnd w:id="137"/>
      <w:bookmarkEnd w:id="138"/>
    </w:p>
    <w:p w14:paraId="403FC79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analysis of the different type of projects funded by the GEF, in the period covered by this review, provides a better understanding of the levels of funding which have been supporting different categories of activities. </w:t>
      </w:r>
    </w:p>
    <w:p w14:paraId="69D9E5DE" w14:textId="6DAF566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highest number of MC-related GEF-funded projects, in the period covered by this review, refers to Enabling Activities</w:t>
      </w:r>
      <w:r w:rsidRPr="00361139">
        <w:rPr>
          <w:rStyle w:val="FootnoteReference"/>
          <w:rFonts w:asciiTheme="majorBidi" w:eastAsia="SimSun" w:hAnsiTheme="majorBidi" w:cstheme="majorBidi"/>
        </w:rPr>
        <w:footnoteReference w:id="19"/>
      </w:r>
      <w:r w:rsidRPr="00361139">
        <w:rPr>
          <w:rFonts w:asciiTheme="majorBidi" w:hAnsiTheme="majorBidi" w:cstheme="majorBidi"/>
        </w:rPr>
        <w:t xml:space="preserve"> (EA): 70 projects, involving 88 countries (73% of the eligible countries for this type of activity), with an average cost between 500 and 600 thousands USD per project (including agency fees) and funding, mostly, two main types of activities: the </w:t>
      </w:r>
      <w:r w:rsidRPr="00361139">
        <w:rPr>
          <w:rFonts w:asciiTheme="majorBidi" w:hAnsiTheme="majorBidi" w:cstheme="majorBidi"/>
          <w:i/>
        </w:rPr>
        <w:t>Minamata Convention Initial Assessments</w:t>
      </w:r>
      <w:r w:rsidRPr="00361139">
        <w:rPr>
          <w:rFonts w:asciiTheme="majorBidi" w:hAnsiTheme="majorBidi" w:cstheme="majorBidi"/>
        </w:rPr>
        <w:t xml:space="preserve"> (MIAs, about 59% of the EAs, average cost for the projects under review:</w:t>
      </w:r>
      <w:r w:rsidR="00334B82" w:rsidRPr="00361139">
        <w:rPr>
          <w:rFonts w:asciiTheme="majorBidi" w:hAnsiTheme="majorBidi" w:cstheme="majorBidi"/>
        </w:rPr>
        <w:t xml:space="preserve"> </w:t>
      </w:r>
      <w:r w:rsidRPr="00361139">
        <w:rPr>
          <w:rFonts w:asciiTheme="majorBidi" w:hAnsiTheme="majorBidi" w:cstheme="majorBidi"/>
        </w:rPr>
        <w:t xml:space="preserve">about 460 thousands USD per project) or the </w:t>
      </w:r>
      <w:r w:rsidRPr="00361139">
        <w:rPr>
          <w:rFonts w:asciiTheme="majorBidi" w:hAnsiTheme="majorBidi" w:cstheme="majorBidi"/>
          <w:i/>
        </w:rPr>
        <w:t>National Action Plans for Artisanal and Small-Scale Gold Mining</w:t>
      </w:r>
      <w:r w:rsidRPr="00361139">
        <w:rPr>
          <w:rFonts w:asciiTheme="majorBidi" w:hAnsiTheme="majorBidi" w:cstheme="majorBidi"/>
        </w:rPr>
        <w:t xml:space="preserve"> (ASGM NAP, about 37% of the EAs, average cost for the projects under review: about 800</w:t>
      </w:r>
      <w:r w:rsidR="00F93494" w:rsidRPr="00361139">
        <w:rPr>
          <w:rFonts w:asciiTheme="majorBidi" w:hAnsiTheme="majorBidi" w:cstheme="majorBidi"/>
        </w:rPr>
        <w:t> </w:t>
      </w:r>
      <w:r w:rsidRPr="00361139">
        <w:rPr>
          <w:rFonts w:asciiTheme="majorBidi" w:hAnsiTheme="majorBidi" w:cstheme="majorBidi"/>
        </w:rPr>
        <w:t>thousands USD per project). The total funding of the EAs under review amounts to about 41 million USD (8% of the correspondent total GEF funding).</w:t>
      </w:r>
    </w:p>
    <w:p w14:paraId="67545DF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Eight Medium-Sized Projects</w:t>
      </w:r>
      <w:r w:rsidRPr="00361139">
        <w:rPr>
          <w:rStyle w:val="FootnoteReference"/>
          <w:rFonts w:asciiTheme="majorBidi" w:eastAsia="SimSun" w:hAnsiTheme="majorBidi" w:cstheme="majorBidi"/>
        </w:rPr>
        <w:footnoteReference w:id="20"/>
      </w:r>
      <w:r w:rsidRPr="00361139">
        <w:rPr>
          <w:rFonts w:asciiTheme="majorBidi" w:hAnsiTheme="majorBidi" w:cstheme="majorBidi"/>
        </w:rPr>
        <w:t xml:space="preserve"> (MSPs) directly involved 10 countries (10% of the eligible countries for this type of activities) and addressed, mainly, activities focusing on the phasing-out of specific mercury-added products or the strengthening of the environmentally sound management of mercury and other hazardous chemicals. The total funding of the MSPs covered by this review amounts to about 15 million USD (3% of the correspondent total GEF funding)</w:t>
      </w:r>
      <w:r w:rsidRPr="00361139">
        <w:rPr>
          <w:rStyle w:val="FootnoteReference"/>
          <w:rFonts w:asciiTheme="majorBidi" w:eastAsia="SimSun" w:hAnsiTheme="majorBidi" w:cstheme="majorBidi"/>
        </w:rPr>
        <w:footnoteReference w:id="21"/>
      </w:r>
      <w:r w:rsidRPr="00361139">
        <w:rPr>
          <w:rFonts w:asciiTheme="majorBidi" w:hAnsiTheme="majorBidi" w:cstheme="majorBidi"/>
        </w:rPr>
        <w:t>.</w:t>
      </w:r>
    </w:p>
    <w:p w14:paraId="2AA50720"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highest amount of MC-related GEF funding, in the period covered by this review, has been used for the funding of 31 Full-Sized Projects</w:t>
      </w:r>
      <w:r w:rsidRPr="00361139">
        <w:rPr>
          <w:rStyle w:val="FootnoteReference"/>
          <w:rFonts w:asciiTheme="majorBidi" w:eastAsia="SimSun" w:hAnsiTheme="majorBidi" w:cstheme="majorBidi"/>
        </w:rPr>
        <w:footnoteReference w:id="22"/>
      </w:r>
      <w:r w:rsidRPr="00361139">
        <w:rPr>
          <w:rFonts w:asciiTheme="majorBidi" w:hAnsiTheme="majorBidi" w:cstheme="majorBidi"/>
        </w:rPr>
        <w:t xml:space="preserve"> (FSP), involving 45 countries (45% of the eligible countries for this type of activities). The activities covered by this category of projects varied </w:t>
      </w:r>
      <w:proofErr w:type="gramStart"/>
      <w:r w:rsidRPr="00361139">
        <w:rPr>
          <w:rFonts w:asciiTheme="majorBidi" w:hAnsiTheme="majorBidi" w:cstheme="majorBidi"/>
        </w:rPr>
        <w:t>among:</w:t>
      </w:r>
      <w:proofErr w:type="gramEnd"/>
      <w:r w:rsidRPr="00361139">
        <w:rPr>
          <w:rFonts w:asciiTheme="majorBidi" w:hAnsiTheme="majorBidi" w:cstheme="majorBidi"/>
        </w:rPr>
        <w:t xml:space="preserve"> the environmentally sound management of hazardous chemicals (58% of the number of projects in the FSP category); the Artisanal and Small-scale Gold Mining initiatives (ASGM, 23%); and the phasing-out of mercury-added products (19%). The total funding of FSPs covered by this review amounts to about 300 million USD (58% of the correspondent total GEF funding).</w:t>
      </w:r>
    </w:p>
    <w:p w14:paraId="180F13E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two following GEF-funded Programs</w:t>
      </w:r>
      <w:r w:rsidRPr="00361139">
        <w:rPr>
          <w:rStyle w:val="FootnoteReference"/>
          <w:rFonts w:asciiTheme="majorBidi" w:eastAsia="SimSun" w:hAnsiTheme="majorBidi" w:cstheme="majorBidi"/>
        </w:rPr>
        <w:footnoteReference w:id="23"/>
      </w:r>
      <w:r w:rsidRPr="00361139">
        <w:rPr>
          <w:rFonts w:asciiTheme="majorBidi" w:hAnsiTheme="majorBidi" w:cstheme="majorBidi"/>
        </w:rPr>
        <w:t xml:space="preserve"> were also active in the period covered by this review, and their total cost amounted to about 163 million USD (31% of the correspondent total GEF funding): </w:t>
      </w:r>
    </w:p>
    <w:p w14:paraId="157BE82E" w14:textId="4855D164" w:rsidR="00CC73DD" w:rsidRPr="00361139" w:rsidRDefault="00CC73DD" w:rsidP="000C76AC">
      <w:pPr>
        <w:pStyle w:val="NormalNonumber"/>
        <w:numPr>
          <w:ilvl w:val="0"/>
          <w:numId w:val="16"/>
        </w:numPr>
        <w:ind w:left="2495" w:hanging="624"/>
        <w:rPr>
          <w:rFonts w:asciiTheme="majorBidi" w:hAnsiTheme="majorBidi" w:cstheme="majorBidi"/>
          <w:lang w:val="en-GB"/>
        </w:rPr>
      </w:pPr>
      <w:r w:rsidRPr="00361139">
        <w:rPr>
          <w:rFonts w:asciiTheme="majorBidi" w:hAnsiTheme="majorBidi" w:cstheme="majorBidi"/>
          <w:i/>
          <w:lang w:val="en-GB"/>
        </w:rPr>
        <w:lastRenderedPageBreak/>
        <w:t xml:space="preserve">Global Opportunities for Long-term Development of Artisanal </w:t>
      </w:r>
      <w:proofErr w:type="gramStart"/>
      <w:r w:rsidRPr="00361139">
        <w:rPr>
          <w:rFonts w:asciiTheme="majorBidi" w:hAnsiTheme="majorBidi" w:cstheme="majorBidi"/>
          <w:i/>
          <w:lang w:val="en-GB"/>
        </w:rPr>
        <w:t>And</w:t>
      </w:r>
      <w:proofErr w:type="gramEnd"/>
      <w:r w:rsidRPr="00361139">
        <w:rPr>
          <w:rFonts w:asciiTheme="majorBidi" w:hAnsiTheme="majorBidi" w:cstheme="majorBidi"/>
          <w:i/>
          <w:lang w:val="en-GB"/>
        </w:rPr>
        <w:t xml:space="preserve"> Small-Scale Gold Mining (ASGM) sector plus - GEF GOLD + </w:t>
      </w:r>
      <w:r w:rsidRPr="00361139">
        <w:rPr>
          <w:rStyle w:val="FootnoteReference"/>
          <w:rFonts w:asciiTheme="majorBidi" w:eastAsia="SimSun" w:hAnsiTheme="majorBidi" w:cstheme="majorBidi"/>
          <w:i/>
          <w:lang w:val="en-GB"/>
        </w:rPr>
        <w:footnoteReference w:id="24"/>
      </w:r>
      <w:r w:rsidRPr="00361139">
        <w:rPr>
          <w:rFonts w:asciiTheme="majorBidi" w:hAnsiTheme="majorBidi" w:cstheme="majorBidi"/>
          <w:lang w:val="en-GB"/>
        </w:rPr>
        <w:t>. The program objective was “to reduce the use of mercury in the ASGM sector in the participating countries through a holistic, multi-sectoral integrated formalization approach, and increasing access to finance leading to adoption of sustainable mercury free technologies and access to traceable gold supply chains”. In the period under review, this project involved</w:t>
      </w:r>
      <w:r w:rsidR="00334B82" w:rsidRPr="00361139">
        <w:rPr>
          <w:rFonts w:asciiTheme="majorBidi" w:hAnsiTheme="majorBidi" w:cstheme="majorBidi"/>
          <w:lang w:val="en-GB"/>
        </w:rPr>
        <w:t xml:space="preserve"> </w:t>
      </w:r>
      <w:r w:rsidRPr="00361139">
        <w:rPr>
          <w:rFonts w:asciiTheme="majorBidi" w:hAnsiTheme="majorBidi" w:cstheme="majorBidi"/>
          <w:lang w:val="en-GB"/>
        </w:rPr>
        <w:t xml:space="preserve">eight countries for a total cost of about 81 million USD (including agency fees); and </w:t>
      </w:r>
    </w:p>
    <w:p w14:paraId="4D86DCF7" w14:textId="77777777" w:rsidR="00CC73DD" w:rsidRPr="00361139" w:rsidRDefault="00CC73DD" w:rsidP="000C76AC">
      <w:pPr>
        <w:pStyle w:val="NormalNonumber"/>
        <w:numPr>
          <w:ilvl w:val="0"/>
          <w:numId w:val="16"/>
        </w:numPr>
        <w:ind w:left="2495" w:hanging="624"/>
        <w:rPr>
          <w:rFonts w:asciiTheme="majorBidi" w:hAnsiTheme="majorBidi" w:cstheme="majorBidi"/>
          <w:i/>
          <w:lang w:val="en-GB"/>
        </w:rPr>
      </w:pPr>
      <w:r w:rsidRPr="00361139">
        <w:rPr>
          <w:rFonts w:asciiTheme="majorBidi" w:hAnsiTheme="majorBidi" w:cstheme="majorBidi"/>
          <w:i/>
          <w:lang w:val="en-GB"/>
        </w:rPr>
        <w:t xml:space="preserve">Implementing Sustainable Low and Non-Chemical Development in SIDS (ISLANDS). </w:t>
      </w:r>
      <w:r w:rsidRPr="00361139">
        <w:rPr>
          <w:rFonts w:asciiTheme="majorBidi" w:hAnsiTheme="majorBidi" w:cstheme="majorBidi"/>
          <w:lang w:val="en-GB"/>
        </w:rPr>
        <w:t>The program objective was “to prevent the build-up of POPs and mercury materials and to manage and dispose of existing harmful chemicals and materials in SIDS”. It covered 28 countries for a total cost of about 82 million USD (including agency fees);</w:t>
      </w:r>
    </w:p>
    <w:p w14:paraId="49D7C8AC"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Tables 2 and 3 report the breakdown of the GEF projects under review, by cycle, project category, number of projects and funding.</w:t>
      </w:r>
    </w:p>
    <w:p w14:paraId="763A3943" w14:textId="797337D7" w:rsidR="00CC73DD" w:rsidRPr="00361139" w:rsidRDefault="003E5725" w:rsidP="003E5725">
      <w:pPr>
        <w:pStyle w:val="CH2"/>
        <w:rPr>
          <w:lang w:val="en-GB"/>
        </w:rPr>
      </w:pPr>
      <w:bookmarkStart w:id="139" w:name="_Toc138845677"/>
      <w:bookmarkStart w:id="140" w:name="_Toc138845732"/>
      <w:bookmarkStart w:id="141" w:name="_Toc138847821"/>
      <w:r w:rsidRPr="00361139">
        <w:rPr>
          <w:lang w:val="en-GB"/>
        </w:rPr>
        <w:tab/>
      </w:r>
      <w:r w:rsidRPr="00361139">
        <w:rPr>
          <w:lang w:val="en-GB"/>
        </w:rPr>
        <w:tab/>
      </w:r>
      <w:bookmarkStart w:id="142" w:name="_Toc139975456"/>
      <w:bookmarkStart w:id="143" w:name="_Toc139976217"/>
      <w:bookmarkStart w:id="144" w:name="_Toc139982225"/>
      <w:bookmarkStart w:id="145" w:name="_Toc139983937"/>
      <w:bookmarkStart w:id="146" w:name="_Toc139984185"/>
      <w:r w:rsidR="00CC73DD" w:rsidRPr="00361139">
        <w:rPr>
          <w:lang w:val="en-GB"/>
        </w:rPr>
        <w:t xml:space="preserve">The SIP </w:t>
      </w:r>
      <w:proofErr w:type="gramStart"/>
      <w:r w:rsidR="00CC73DD" w:rsidRPr="00361139">
        <w:rPr>
          <w:lang w:val="en-GB"/>
        </w:rPr>
        <w:t>funding</w:t>
      </w:r>
      <w:bookmarkEnd w:id="139"/>
      <w:bookmarkEnd w:id="140"/>
      <w:bookmarkEnd w:id="141"/>
      <w:bookmarkEnd w:id="142"/>
      <w:bookmarkEnd w:id="143"/>
      <w:bookmarkEnd w:id="144"/>
      <w:bookmarkEnd w:id="145"/>
      <w:bookmarkEnd w:id="146"/>
      <w:proofErr w:type="gramEnd"/>
    </w:p>
    <w:p w14:paraId="32B3A3D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Specific International Programme (SIP), as established by Art. 13 of the Minamata Convention on Mercury, is hosted by the MC Secretariat and funded through voluntary contributions by Parties and other relevant stakeholders.</w:t>
      </w:r>
    </w:p>
    <w:p w14:paraId="30A07918" w14:textId="40E0EE1C"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During the first three rounds of applications to the SIP (2018-2021), a total contribution of about 6.2 million USD was provided by 10 Party-donors</w:t>
      </w:r>
      <w:r w:rsidRPr="00361139">
        <w:rPr>
          <w:rStyle w:val="FootnoteReference"/>
          <w:rFonts w:asciiTheme="majorBidi" w:eastAsia="SimSun" w:hAnsiTheme="majorBidi" w:cstheme="majorBidi"/>
        </w:rPr>
        <w:footnoteReference w:id="25"/>
      </w:r>
      <w:r w:rsidRPr="00361139">
        <w:rPr>
          <w:rFonts w:asciiTheme="majorBidi" w:hAnsiTheme="majorBidi" w:cstheme="majorBidi"/>
        </w:rPr>
        <w:t xml:space="preserve"> and used for the funding of 24 projects in 24 recipient countries</w:t>
      </w:r>
      <w:r w:rsidRPr="00361139">
        <w:rPr>
          <w:rStyle w:val="FootnoteReference"/>
          <w:rFonts w:asciiTheme="majorBidi" w:eastAsia="SimSun" w:hAnsiTheme="majorBidi" w:cstheme="majorBidi"/>
        </w:rPr>
        <w:footnoteReference w:id="26"/>
      </w:r>
      <w:r w:rsidRPr="00361139">
        <w:rPr>
          <w:rFonts w:asciiTheme="majorBidi" w:hAnsiTheme="majorBidi" w:cstheme="majorBidi"/>
        </w:rPr>
        <w:t>. The total projects disbursement in the three rounds was about 5.1 million USD (83% of the total funding) and the funding range of these projects was between 100 and 250</w:t>
      </w:r>
      <w:r w:rsidR="00F93494" w:rsidRPr="00361139">
        <w:rPr>
          <w:rFonts w:asciiTheme="majorBidi" w:hAnsiTheme="majorBidi" w:cstheme="majorBidi"/>
        </w:rPr>
        <w:t> </w:t>
      </w:r>
      <w:r w:rsidRPr="00361139">
        <w:rPr>
          <w:rFonts w:asciiTheme="majorBidi" w:hAnsiTheme="majorBidi" w:cstheme="majorBidi"/>
        </w:rPr>
        <w:t>thousand USD, with an average of about 214 thousand USD per project. Table 4 reports the list of donors and voluntary contributions to the Specific Trust Fund in the first three rounds of SIP applications.</w:t>
      </w:r>
    </w:p>
    <w:p w14:paraId="1752645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All SIP funded projects, as for SIP mandate, supported capacity-building and technical assistance; in particular, some of the main objectives of these projects were: a) the inventory/monitoring of mercury-added products in the recipient countries; b) the phasing-out of mercury-added products and industrial processes (with specific references to lamps, wastes, emissions, releases and management in chlor-alkali plants); c) environmentally sound management of mercury, technical assistance and technology transfer; d) development/strengthening of the institutional and regulatory framework; e) strengthening health sector and health risk control of mercury exposure (with specific references to strategy for assessing mercury contaminated sites and reducing the mercury presence in vulnerable populations).</w:t>
      </w:r>
    </w:p>
    <w:p w14:paraId="4EE0102E" w14:textId="01FF62E8" w:rsidR="00CC73DD" w:rsidRPr="00361139" w:rsidRDefault="003E5725" w:rsidP="003E5725">
      <w:pPr>
        <w:pStyle w:val="CH2"/>
        <w:rPr>
          <w:lang w:val="en-GB"/>
        </w:rPr>
      </w:pPr>
      <w:bookmarkStart w:id="147" w:name="_Toc138845678"/>
      <w:bookmarkStart w:id="148" w:name="_Toc138845733"/>
      <w:bookmarkStart w:id="149" w:name="_Toc138847822"/>
      <w:r w:rsidRPr="00361139">
        <w:rPr>
          <w:lang w:val="en-GB"/>
        </w:rPr>
        <w:tab/>
      </w:r>
      <w:r w:rsidRPr="00361139">
        <w:rPr>
          <w:lang w:val="en-GB"/>
        </w:rPr>
        <w:tab/>
      </w:r>
      <w:bookmarkStart w:id="150" w:name="_Toc139975457"/>
      <w:bookmarkStart w:id="151" w:name="_Toc139976218"/>
      <w:bookmarkStart w:id="152" w:name="_Toc139982226"/>
      <w:bookmarkStart w:id="153" w:name="_Toc139983938"/>
      <w:bookmarkStart w:id="154" w:name="_Toc139984186"/>
      <w:r w:rsidR="00CC73DD" w:rsidRPr="00361139">
        <w:rPr>
          <w:lang w:val="en-GB"/>
        </w:rPr>
        <w:t xml:space="preserve">The ability of the MC financial mechanism to mobilize </w:t>
      </w:r>
      <w:proofErr w:type="gramStart"/>
      <w:r w:rsidR="00CC73DD" w:rsidRPr="00361139">
        <w:rPr>
          <w:lang w:val="en-GB"/>
        </w:rPr>
        <w:t>resources</w:t>
      </w:r>
      <w:bookmarkEnd w:id="147"/>
      <w:bookmarkEnd w:id="148"/>
      <w:bookmarkEnd w:id="149"/>
      <w:bookmarkEnd w:id="150"/>
      <w:bookmarkEnd w:id="151"/>
      <w:bookmarkEnd w:id="152"/>
      <w:bookmarkEnd w:id="153"/>
      <w:bookmarkEnd w:id="154"/>
      <w:proofErr w:type="gramEnd"/>
    </w:p>
    <w:p w14:paraId="04D9A5D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According to the documentation provided by the GEF and the MC Secretariats, the 135 active projects, funded through the MC financial mechanism in the period covered by this review, raised a total level of co-financing of about 2.7 billion USD which added up to the original 524 million USD of the project funding to reach the sum of 3.2 billion USD mobilized for the activities initiated under the MC financial mechanism (a 5.2/1 ratio between co-financing and the funding of the projects under review; for details see Table 1).</w:t>
      </w:r>
    </w:p>
    <w:p w14:paraId="0F06BDD8" w14:textId="77777777" w:rsidR="005E10DB" w:rsidRPr="00361139" w:rsidRDefault="005E10DB" w:rsidP="005E10DB">
      <w:pPr>
        <w:pStyle w:val="Normal-pool"/>
        <w:rPr>
          <w:lang w:val="en-GB"/>
        </w:rPr>
        <w:sectPr w:rsidR="005E10DB" w:rsidRPr="00361139" w:rsidSect="00446EAC">
          <w:footnotePr>
            <w:numRestart w:val="eachSect"/>
          </w:footnotePr>
          <w:pgSz w:w="11907" w:h="16839"/>
          <w:pgMar w:top="907" w:right="992" w:bottom="1418" w:left="1418" w:header="539" w:footer="975" w:gutter="0"/>
          <w:cols w:space="720"/>
          <w:docGrid w:linePitch="272"/>
        </w:sectPr>
      </w:pPr>
    </w:p>
    <w:p w14:paraId="118A16C5" w14:textId="7D8DBD8F" w:rsidR="005E10DB" w:rsidRPr="00361139" w:rsidRDefault="00CC73DD" w:rsidP="00D31E6D">
      <w:pPr>
        <w:pStyle w:val="Titletable"/>
        <w:rPr>
          <w:lang w:val="en-GB"/>
        </w:rPr>
      </w:pPr>
      <w:bookmarkStart w:id="155" w:name="_Toc139982227"/>
      <w:bookmarkStart w:id="156" w:name="_Toc139983939"/>
      <w:r w:rsidRPr="00361139">
        <w:rPr>
          <w:b w:val="0"/>
          <w:bCs w:val="0"/>
          <w:lang w:val="en-GB"/>
        </w:rPr>
        <w:lastRenderedPageBreak/>
        <w:t>Table 1</w:t>
      </w:r>
      <w:r w:rsidR="003E5725" w:rsidRPr="00361139">
        <w:rPr>
          <w:b w:val="0"/>
          <w:bCs w:val="0"/>
          <w:lang w:val="en-GB"/>
        </w:rPr>
        <w:t xml:space="preserve"> </w:t>
      </w:r>
      <w:r w:rsidR="003E5725" w:rsidRPr="00361139">
        <w:rPr>
          <w:b w:val="0"/>
          <w:bCs w:val="0"/>
          <w:lang w:val="en-GB"/>
        </w:rPr>
        <w:br/>
      </w:r>
      <w:r w:rsidRPr="00361139">
        <w:rPr>
          <w:lang w:val="en-GB"/>
        </w:rPr>
        <w:t xml:space="preserve">Total level of funding and co-financing mobilized by the two entities of the financial mechanism in projects related to the </w:t>
      </w:r>
      <w:r w:rsidRPr="00361139">
        <w:rPr>
          <w:i/>
          <w:lang w:val="en-GB"/>
        </w:rPr>
        <w:t>Minamata Convention on Mercury</w:t>
      </w:r>
      <w:r w:rsidRPr="00361139">
        <w:rPr>
          <w:lang w:val="en-GB"/>
        </w:rPr>
        <w:t xml:space="preserve">, during the period under review (August 2019 - July 2022), and inclusive of the first three rounds of applications to the Specific International </w:t>
      </w:r>
      <w:bookmarkEnd w:id="155"/>
      <w:bookmarkEnd w:id="156"/>
    </w:p>
    <w:tbl>
      <w:tblPr>
        <w:tblW w:w="4921"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
        <w:gridCol w:w="948"/>
        <w:gridCol w:w="62"/>
        <w:gridCol w:w="280"/>
        <w:gridCol w:w="421"/>
        <w:gridCol w:w="64"/>
        <w:gridCol w:w="698"/>
        <w:gridCol w:w="67"/>
        <w:gridCol w:w="296"/>
        <w:gridCol w:w="400"/>
        <w:gridCol w:w="70"/>
        <w:gridCol w:w="692"/>
        <w:gridCol w:w="73"/>
        <w:gridCol w:w="58"/>
        <w:gridCol w:w="887"/>
        <w:gridCol w:w="77"/>
        <w:gridCol w:w="459"/>
        <w:gridCol w:w="482"/>
        <w:gridCol w:w="81"/>
        <w:gridCol w:w="937"/>
        <w:gridCol w:w="86"/>
        <w:gridCol w:w="94"/>
        <w:gridCol w:w="839"/>
        <w:gridCol w:w="90"/>
        <w:gridCol w:w="751"/>
        <w:gridCol w:w="178"/>
        <w:gridCol w:w="94"/>
        <w:gridCol w:w="926"/>
        <w:gridCol w:w="98"/>
        <w:gridCol w:w="384"/>
        <w:gridCol w:w="1678"/>
        <w:gridCol w:w="1678"/>
      </w:tblGrid>
      <w:tr w:rsidR="00D31E6D" w:rsidRPr="00361139" w14:paraId="5076A8B6" w14:textId="77777777" w:rsidTr="00D31E6D">
        <w:trPr>
          <w:cantSplit/>
          <w:trHeight w:hRule="exact" w:val="113"/>
        </w:trPr>
        <w:tc>
          <w:tcPr>
            <w:tcW w:w="1533" w:type="dxa"/>
            <w:gridSpan w:val="4"/>
            <w:tcBorders>
              <w:bottom w:val="nil"/>
            </w:tcBorders>
            <w:shd w:val="clear" w:color="auto" w:fill="B6DDE8"/>
            <w:vAlign w:val="center"/>
          </w:tcPr>
          <w:p w14:paraId="37EEC3E3" w14:textId="77777777" w:rsidR="00D31E6D" w:rsidRPr="00361139" w:rsidRDefault="00D31E6D" w:rsidP="008144F7">
            <w:pPr>
              <w:spacing w:before="60" w:after="60"/>
              <w:jc w:val="center"/>
              <w:rPr>
                <w:rFonts w:asciiTheme="majorBidi" w:hAnsiTheme="majorBidi" w:cstheme="majorBidi"/>
                <w:b/>
                <w:sz w:val="18"/>
                <w:szCs w:val="18"/>
              </w:rPr>
            </w:pPr>
          </w:p>
        </w:tc>
        <w:tc>
          <w:tcPr>
            <w:tcW w:w="1546" w:type="dxa"/>
            <w:gridSpan w:val="5"/>
            <w:tcBorders>
              <w:bottom w:val="nil"/>
            </w:tcBorders>
            <w:shd w:val="clear" w:color="auto" w:fill="B6DDE8"/>
            <w:vAlign w:val="center"/>
          </w:tcPr>
          <w:p w14:paraId="5DDDB6BA" w14:textId="77777777" w:rsidR="00D31E6D" w:rsidRPr="00361139" w:rsidRDefault="00D31E6D" w:rsidP="008144F7">
            <w:pPr>
              <w:spacing w:before="60" w:after="60"/>
              <w:jc w:val="center"/>
              <w:rPr>
                <w:rFonts w:asciiTheme="majorBidi" w:hAnsiTheme="majorBidi" w:cstheme="majorBidi"/>
                <w:b/>
                <w:sz w:val="18"/>
                <w:szCs w:val="18"/>
              </w:rPr>
            </w:pPr>
          </w:p>
        </w:tc>
        <w:tc>
          <w:tcPr>
            <w:tcW w:w="1293" w:type="dxa"/>
            <w:gridSpan w:val="5"/>
            <w:tcBorders>
              <w:bottom w:val="nil"/>
            </w:tcBorders>
            <w:shd w:val="clear" w:color="auto" w:fill="B6DDE8"/>
            <w:vAlign w:val="center"/>
          </w:tcPr>
          <w:p w14:paraId="1DB7E08E" w14:textId="77777777" w:rsidR="00D31E6D" w:rsidRPr="00361139" w:rsidRDefault="00D31E6D" w:rsidP="008144F7">
            <w:pPr>
              <w:spacing w:before="60" w:after="60"/>
              <w:jc w:val="center"/>
              <w:rPr>
                <w:rFonts w:asciiTheme="majorBidi" w:hAnsiTheme="majorBidi" w:cstheme="majorBidi"/>
                <w:b/>
                <w:sz w:val="18"/>
                <w:szCs w:val="18"/>
              </w:rPr>
            </w:pPr>
          </w:p>
        </w:tc>
        <w:tc>
          <w:tcPr>
            <w:tcW w:w="1423" w:type="dxa"/>
            <w:gridSpan w:val="3"/>
            <w:tcBorders>
              <w:bottom w:val="nil"/>
            </w:tcBorders>
            <w:shd w:val="clear" w:color="auto" w:fill="B6DDE8"/>
            <w:vAlign w:val="center"/>
          </w:tcPr>
          <w:p w14:paraId="322E590A" w14:textId="77777777" w:rsidR="00D31E6D" w:rsidRPr="00361139" w:rsidRDefault="00D31E6D" w:rsidP="008144F7">
            <w:pPr>
              <w:spacing w:before="60" w:after="60"/>
              <w:ind w:firstLine="59"/>
              <w:jc w:val="center"/>
              <w:rPr>
                <w:rFonts w:asciiTheme="majorBidi" w:hAnsiTheme="majorBidi" w:cstheme="majorBidi"/>
                <w:b/>
                <w:sz w:val="18"/>
                <w:szCs w:val="18"/>
              </w:rPr>
            </w:pPr>
          </w:p>
        </w:tc>
        <w:tc>
          <w:tcPr>
            <w:tcW w:w="1680" w:type="dxa"/>
            <w:gridSpan w:val="5"/>
            <w:tcBorders>
              <w:bottom w:val="nil"/>
            </w:tcBorders>
            <w:shd w:val="clear" w:color="auto" w:fill="B6DDE8"/>
          </w:tcPr>
          <w:p w14:paraId="371AA9FA" w14:textId="77777777" w:rsidR="00D31E6D" w:rsidRPr="00361139" w:rsidRDefault="00D31E6D" w:rsidP="008144F7">
            <w:pPr>
              <w:spacing w:before="60" w:after="60"/>
              <w:ind w:firstLine="22"/>
              <w:jc w:val="center"/>
              <w:rPr>
                <w:rFonts w:asciiTheme="majorBidi" w:hAnsiTheme="majorBidi" w:cstheme="majorBidi"/>
                <w:b/>
                <w:sz w:val="18"/>
                <w:szCs w:val="18"/>
              </w:rPr>
            </w:pPr>
          </w:p>
        </w:tc>
        <w:tc>
          <w:tcPr>
            <w:tcW w:w="1680" w:type="dxa"/>
            <w:gridSpan w:val="3"/>
            <w:tcBorders>
              <w:bottom w:val="nil"/>
            </w:tcBorders>
            <w:shd w:val="clear" w:color="auto" w:fill="B6DDE8"/>
          </w:tcPr>
          <w:p w14:paraId="14F7B164" w14:textId="77777777" w:rsidR="00D31E6D" w:rsidRPr="00361139" w:rsidRDefault="00D31E6D" w:rsidP="008144F7">
            <w:pPr>
              <w:spacing w:before="60" w:after="60"/>
              <w:jc w:val="center"/>
              <w:rPr>
                <w:rFonts w:asciiTheme="majorBidi" w:hAnsiTheme="majorBidi" w:cstheme="majorBidi"/>
                <w:b/>
                <w:sz w:val="18"/>
                <w:szCs w:val="18"/>
              </w:rPr>
            </w:pPr>
          </w:p>
        </w:tc>
        <w:tc>
          <w:tcPr>
            <w:tcW w:w="1680" w:type="dxa"/>
            <w:gridSpan w:val="5"/>
            <w:tcBorders>
              <w:bottom w:val="nil"/>
            </w:tcBorders>
            <w:shd w:val="clear" w:color="auto" w:fill="B6DDE8"/>
          </w:tcPr>
          <w:p w14:paraId="7D5D0D6F" w14:textId="77777777" w:rsidR="00D31E6D" w:rsidRPr="00361139" w:rsidRDefault="00D31E6D" w:rsidP="008144F7">
            <w:pPr>
              <w:spacing w:before="60" w:after="60"/>
              <w:jc w:val="center"/>
              <w:rPr>
                <w:rFonts w:asciiTheme="majorBidi" w:hAnsiTheme="majorBidi" w:cstheme="majorBidi"/>
                <w:b/>
                <w:sz w:val="18"/>
                <w:szCs w:val="18"/>
              </w:rPr>
            </w:pPr>
          </w:p>
        </w:tc>
        <w:tc>
          <w:tcPr>
            <w:tcW w:w="1678" w:type="dxa"/>
            <w:tcBorders>
              <w:bottom w:val="nil"/>
            </w:tcBorders>
            <w:shd w:val="clear" w:color="auto" w:fill="B6DDE8"/>
          </w:tcPr>
          <w:p w14:paraId="75D95FCB" w14:textId="77777777" w:rsidR="00D31E6D" w:rsidRPr="00361139" w:rsidRDefault="00D31E6D" w:rsidP="008144F7">
            <w:pPr>
              <w:spacing w:before="60" w:after="60"/>
              <w:jc w:val="center"/>
              <w:rPr>
                <w:rFonts w:asciiTheme="majorBidi" w:hAnsiTheme="majorBidi" w:cstheme="majorBidi"/>
                <w:b/>
                <w:sz w:val="18"/>
                <w:szCs w:val="18"/>
              </w:rPr>
            </w:pPr>
          </w:p>
        </w:tc>
        <w:tc>
          <w:tcPr>
            <w:tcW w:w="1678" w:type="dxa"/>
            <w:tcBorders>
              <w:bottom w:val="nil"/>
            </w:tcBorders>
            <w:shd w:val="clear" w:color="auto" w:fill="B6DDE8"/>
          </w:tcPr>
          <w:p w14:paraId="2F3CF458" w14:textId="77777777" w:rsidR="00D31E6D" w:rsidRPr="00361139" w:rsidRDefault="00D31E6D" w:rsidP="008144F7">
            <w:pPr>
              <w:spacing w:before="60" w:after="60"/>
              <w:ind w:firstLine="24"/>
              <w:jc w:val="center"/>
              <w:rPr>
                <w:rFonts w:asciiTheme="majorBidi" w:hAnsiTheme="majorBidi" w:cstheme="majorBidi"/>
                <w:b/>
                <w:sz w:val="18"/>
                <w:szCs w:val="18"/>
              </w:rPr>
            </w:pPr>
          </w:p>
        </w:tc>
      </w:tr>
      <w:tr w:rsidR="00D31E6D" w:rsidRPr="00361139" w14:paraId="11A01A53" w14:textId="77777777" w:rsidTr="00D31E6D">
        <w:trPr>
          <w:cantSplit/>
          <w:trHeight w:val="567"/>
        </w:trPr>
        <w:tc>
          <w:tcPr>
            <w:tcW w:w="1533" w:type="dxa"/>
            <w:gridSpan w:val="4"/>
            <w:tcBorders>
              <w:top w:val="nil"/>
              <w:bottom w:val="nil"/>
            </w:tcBorders>
            <w:shd w:val="clear" w:color="auto" w:fill="B6DDE8"/>
            <w:vAlign w:val="center"/>
          </w:tcPr>
          <w:p w14:paraId="733338AA"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Entities comprising the Financial Mechanism</w:t>
            </w:r>
          </w:p>
        </w:tc>
        <w:tc>
          <w:tcPr>
            <w:tcW w:w="1546" w:type="dxa"/>
            <w:gridSpan w:val="5"/>
            <w:tcBorders>
              <w:top w:val="nil"/>
              <w:bottom w:val="nil"/>
            </w:tcBorders>
            <w:shd w:val="clear" w:color="auto" w:fill="B6DDE8"/>
            <w:vAlign w:val="center"/>
          </w:tcPr>
          <w:p w14:paraId="0F11B6D7"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Cycles / Rounds</w:t>
            </w:r>
          </w:p>
        </w:tc>
        <w:tc>
          <w:tcPr>
            <w:tcW w:w="1293" w:type="dxa"/>
            <w:gridSpan w:val="5"/>
            <w:tcBorders>
              <w:top w:val="nil"/>
              <w:bottom w:val="nil"/>
            </w:tcBorders>
            <w:shd w:val="clear" w:color="auto" w:fill="B6DDE8"/>
            <w:vAlign w:val="center"/>
          </w:tcPr>
          <w:p w14:paraId="35A00AEE"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Number of Funded Projects</w:t>
            </w:r>
          </w:p>
        </w:tc>
        <w:tc>
          <w:tcPr>
            <w:tcW w:w="1423" w:type="dxa"/>
            <w:gridSpan w:val="3"/>
            <w:tcBorders>
              <w:top w:val="nil"/>
              <w:bottom w:val="nil"/>
            </w:tcBorders>
            <w:shd w:val="clear" w:color="auto" w:fill="B6DDE8"/>
            <w:vAlign w:val="center"/>
          </w:tcPr>
          <w:p w14:paraId="57D02879" w14:textId="77777777" w:rsidR="00D31E6D" w:rsidRPr="00361139" w:rsidRDefault="00D31E6D" w:rsidP="008144F7">
            <w:pPr>
              <w:spacing w:before="60" w:after="60"/>
              <w:ind w:firstLine="59"/>
              <w:jc w:val="center"/>
              <w:rPr>
                <w:rFonts w:asciiTheme="majorBidi" w:hAnsiTheme="majorBidi" w:cstheme="majorBidi"/>
                <w:b/>
                <w:sz w:val="18"/>
                <w:szCs w:val="18"/>
              </w:rPr>
            </w:pPr>
            <w:r w:rsidRPr="00361139">
              <w:rPr>
                <w:rFonts w:asciiTheme="majorBidi" w:hAnsiTheme="majorBidi" w:cstheme="majorBidi"/>
                <w:b/>
                <w:sz w:val="18"/>
                <w:szCs w:val="18"/>
              </w:rPr>
              <w:t>Number of Recipient Countries</w:t>
            </w:r>
            <w:r w:rsidRPr="00361139">
              <w:rPr>
                <w:rStyle w:val="FootnoteReference"/>
                <w:rFonts w:asciiTheme="majorBidi" w:hAnsiTheme="majorBidi" w:cstheme="majorBidi"/>
                <w:sz w:val="18"/>
              </w:rPr>
              <w:footnoteReference w:id="27"/>
            </w:r>
          </w:p>
        </w:tc>
        <w:tc>
          <w:tcPr>
            <w:tcW w:w="1680" w:type="dxa"/>
            <w:gridSpan w:val="5"/>
            <w:tcBorders>
              <w:top w:val="nil"/>
              <w:bottom w:val="nil"/>
            </w:tcBorders>
            <w:shd w:val="clear" w:color="auto" w:fill="B6DDE8"/>
          </w:tcPr>
          <w:p w14:paraId="67AD85E4" w14:textId="77777777" w:rsidR="00D31E6D" w:rsidRPr="00361139" w:rsidRDefault="00D31E6D" w:rsidP="008144F7">
            <w:pPr>
              <w:spacing w:before="60" w:after="60"/>
              <w:ind w:firstLine="22"/>
              <w:jc w:val="center"/>
              <w:rPr>
                <w:rFonts w:asciiTheme="majorBidi" w:hAnsiTheme="majorBidi" w:cstheme="majorBidi"/>
                <w:b/>
                <w:sz w:val="18"/>
                <w:szCs w:val="18"/>
              </w:rPr>
            </w:pPr>
            <w:r w:rsidRPr="00361139">
              <w:rPr>
                <w:rFonts w:asciiTheme="majorBidi" w:hAnsiTheme="majorBidi" w:cstheme="majorBidi"/>
                <w:b/>
                <w:sz w:val="18"/>
                <w:szCs w:val="18"/>
              </w:rPr>
              <w:t>Projects</w:t>
            </w:r>
            <w:r w:rsidRPr="00361139">
              <w:rPr>
                <w:rFonts w:asciiTheme="majorBidi" w:hAnsiTheme="majorBidi" w:cstheme="majorBidi"/>
                <w:b/>
                <w:sz w:val="18"/>
                <w:szCs w:val="18"/>
              </w:rPr>
              <w:br/>
              <w:t>Funding</w:t>
            </w:r>
            <w:r w:rsidRPr="00361139">
              <w:rPr>
                <w:rFonts w:asciiTheme="majorBidi" w:hAnsiTheme="majorBidi" w:cstheme="majorBidi"/>
                <w:b/>
                <w:sz w:val="18"/>
                <w:szCs w:val="18"/>
              </w:rPr>
              <w:br/>
            </w:r>
            <w:r w:rsidRPr="00361139">
              <w:rPr>
                <w:rFonts w:asciiTheme="majorBidi" w:hAnsiTheme="majorBidi" w:cstheme="majorBidi"/>
                <w:b/>
                <w:sz w:val="18"/>
                <w:szCs w:val="18"/>
              </w:rPr>
              <w:br/>
              <w:t>(USD)</w:t>
            </w:r>
          </w:p>
        </w:tc>
        <w:tc>
          <w:tcPr>
            <w:tcW w:w="1680" w:type="dxa"/>
            <w:gridSpan w:val="3"/>
            <w:tcBorders>
              <w:top w:val="nil"/>
              <w:bottom w:val="nil"/>
            </w:tcBorders>
            <w:shd w:val="clear" w:color="auto" w:fill="B6DDE8"/>
          </w:tcPr>
          <w:p w14:paraId="06F6772A"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Agency Fees / Project Operations (USD)</w:t>
            </w:r>
          </w:p>
        </w:tc>
        <w:tc>
          <w:tcPr>
            <w:tcW w:w="1680" w:type="dxa"/>
            <w:gridSpan w:val="5"/>
            <w:tcBorders>
              <w:top w:val="nil"/>
              <w:bottom w:val="nil"/>
            </w:tcBorders>
            <w:shd w:val="clear" w:color="auto" w:fill="B6DDE8"/>
          </w:tcPr>
          <w:p w14:paraId="384638FC"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Total Projects Funding</w:t>
            </w:r>
            <w:r w:rsidRPr="00361139">
              <w:rPr>
                <w:rFonts w:asciiTheme="majorBidi" w:hAnsiTheme="majorBidi" w:cstheme="majorBidi"/>
                <w:b/>
                <w:sz w:val="18"/>
                <w:szCs w:val="18"/>
              </w:rPr>
              <w:br/>
            </w:r>
            <w:r w:rsidRPr="00361139">
              <w:rPr>
                <w:rFonts w:asciiTheme="majorBidi" w:hAnsiTheme="majorBidi" w:cstheme="majorBidi"/>
                <w:b/>
                <w:sz w:val="18"/>
                <w:szCs w:val="18"/>
              </w:rPr>
              <w:br/>
              <w:t>(USD)</w:t>
            </w:r>
          </w:p>
        </w:tc>
        <w:tc>
          <w:tcPr>
            <w:tcW w:w="1678" w:type="dxa"/>
            <w:tcBorders>
              <w:top w:val="nil"/>
              <w:bottom w:val="nil"/>
            </w:tcBorders>
            <w:shd w:val="clear" w:color="auto" w:fill="B6DDE8"/>
          </w:tcPr>
          <w:p w14:paraId="7904F442" w14:textId="77777777" w:rsidR="00D31E6D" w:rsidRPr="00361139" w:rsidRDefault="00D31E6D" w:rsidP="008144F7">
            <w:pPr>
              <w:spacing w:before="60" w:after="60"/>
              <w:jc w:val="center"/>
              <w:rPr>
                <w:rFonts w:asciiTheme="majorBidi" w:hAnsiTheme="majorBidi" w:cstheme="majorBidi"/>
                <w:b/>
                <w:sz w:val="18"/>
                <w:szCs w:val="18"/>
              </w:rPr>
            </w:pPr>
            <w:r w:rsidRPr="00361139">
              <w:rPr>
                <w:rFonts w:asciiTheme="majorBidi" w:hAnsiTheme="majorBidi" w:cstheme="majorBidi"/>
                <w:b/>
                <w:sz w:val="18"/>
                <w:szCs w:val="18"/>
              </w:rPr>
              <w:t xml:space="preserve">Total Projects Co-financing </w:t>
            </w:r>
            <w:r w:rsidRPr="00361139">
              <w:rPr>
                <w:rFonts w:asciiTheme="majorBidi" w:hAnsiTheme="majorBidi" w:cstheme="majorBidi"/>
                <w:b/>
                <w:sz w:val="18"/>
                <w:szCs w:val="18"/>
              </w:rPr>
              <w:br/>
            </w:r>
            <w:r w:rsidRPr="00361139">
              <w:rPr>
                <w:rFonts w:asciiTheme="majorBidi" w:hAnsiTheme="majorBidi" w:cstheme="majorBidi"/>
                <w:b/>
                <w:sz w:val="18"/>
                <w:szCs w:val="18"/>
              </w:rPr>
              <w:br/>
              <w:t>(USD)</w:t>
            </w:r>
          </w:p>
        </w:tc>
        <w:tc>
          <w:tcPr>
            <w:tcW w:w="1678" w:type="dxa"/>
            <w:tcBorders>
              <w:top w:val="nil"/>
              <w:bottom w:val="nil"/>
            </w:tcBorders>
            <w:shd w:val="clear" w:color="auto" w:fill="B6DDE8"/>
          </w:tcPr>
          <w:p w14:paraId="4E1B8A93" w14:textId="77777777" w:rsidR="00D31E6D" w:rsidRPr="00361139" w:rsidRDefault="00D31E6D" w:rsidP="008144F7">
            <w:pPr>
              <w:spacing w:before="60" w:after="60"/>
              <w:ind w:firstLine="24"/>
              <w:jc w:val="center"/>
              <w:rPr>
                <w:rFonts w:asciiTheme="majorBidi" w:hAnsiTheme="majorBidi" w:cstheme="majorBidi"/>
                <w:b/>
                <w:sz w:val="18"/>
                <w:szCs w:val="18"/>
              </w:rPr>
            </w:pPr>
            <w:r w:rsidRPr="00361139">
              <w:rPr>
                <w:rFonts w:asciiTheme="majorBidi" w:hAnsiTheme="majorBidi" w:cstheme="majorBidi"/>
                <w:b/>
                <w:sz w:val="18"/>
                <w:szCs w:val="18"/>
              </w:rPr>
              <w:t>Total Funds Mobilized</w:t>
            </w:r>
            <w:r w:rsidRPr="00361139">
              <w:rPr>
                <w:rFonts w:asciiTheme="majorBidi" w:hAnsiTheme="majorBidi" w:cstheme="majorBidi"/>
                <w:b/>
                <w:sz w:val="18"/>
                <w:szCs w:val="18"/>
              </w:rPr>
              <w:br/>
            </w:r>
            <w:r w:rsidRPr="00361139">
              <w:rPr>
                <w:rFonts w:asciiTheme="majorBidi" w:hAnsiTheme="majorBidi" w:cstheme="majorBidi"/>
                <w:b/>
                <w:sz w:val="18"/>
                <w:szCs w:val="18"/>
              </w:rPr>
              <w:br/>
              <w:t>(USD)</w:t>
            </w:r>
          </w:p>
        </w:tc>
      </w:tr>
      <w:tr w:rsidR="00D31E6D" w:rsidRPr="00361139" w14:paraId="62EF8F4E" w14:textId="77777777" w:rsidTr="00D31E6D">
        <w:trPr>
          <w:cantSplit/>
          <w:trHeight w:val="284"/>
        </w:trPr>
        <w:tc>
          <w:tcPr>
            <w:tcW w:w="1533" w:type="dxa"/>
            <w:gridSpan w:val="4"/>
            <w:tcBorders>
              <w:top w:val="nil"/>
              <w:bottom w:val="single" w:sz="4" w:space="0" w:color="000000"/>
            </w:tcBorders>
            <w:shd w:val="clear" w:color="auto" w:fill="B6DDE8"/>
            <w:vAlign w:val="center"/>
          </w:tcPr>
          <w:p w14:paraId="461E8B5D" w14:textId="77777777" w:rsidR="00D31E6D" w:rsidRPr="00361139" w:rsidRDefault="00D31E6D" w:rsidP="008144F7">
            <w:pPr>
              <w:ind w:right="-81"/>
              <w:jc w:val="center"/>
              <w:rPr>
                <w:rFonts w:asciiTheme="majorBidi" w:hAnsiTheme="majorBidi" w:cstheme="majorBidi"/>
                <w:i/>
                <w:sz w:val="18"/>
                <w:szCs w:val="18"/>
              </w:rPr>
            </w:pPr>
          </w:p>
        </w:tc>
        <w:tc>
          <w:tcPr>
            <w:tcW w:w="1546" w:type="dxa"/>
            <w:gridSpan w:val="5"/>
            <w:tcBorders>
              <w:top w:val="nil"/>
              <w:bottom w:val="single" w:sz="4" w:space="0" w:color="000000"/>
            </w:tcBorders>
            <w:shd w:val="clear" w:color="auto" w:fill="B6DDE8"/>
            <w:vAlign w:val="center"/>
          </w:tcPr>
          <w:p w14:paraId="1CD544E1" w14:textId="77777777" w:rsidR="00D31E6D" w:rsidRPr="00361139" w:rsidRDefault="00D31E6D" w:rsidP="008144F7">
            <w:pPr>
              <w:ind w:right="-81"/>
              <w:jc w:val="center"/>
              <w:rPr>
                <w:rFonts w:asciiTheme="majorBidi" w:hAnsiTheme="majorBidi" w:cstheme="majorBidi"/>
                <w:i/>
                <w:sz w:val="18"/>
                <w:szCs w:val="18"/>
              </w:rPr>
            </w:pPr>
          </w:p>
        </w:tc>
        <w:tc>
          <w:tcPr>
            <w:tcW w:w="1293" w:type="dxa"/>
            <w:gridSpan w:val="5"/>
            <w:tcBorders>
              <w:top w:val="nil"/>
              <w:bottom w:val="single" w:sz="4" w:space="0" w:color="000000"/>
            </w:tcBorders>
            <w:shd w:val="clear" w:color="auto" w:fill="B6DDE8"/>
            <w:vAlign w:val="center"/>
          </w:tcPr>
          <w:p w14:paraId="3CC03A43" w14:textId="77777777" w:rsidR="00D31E6D" w:rsidRPr="00361139" w:rsidRDefault="00D31E6D" w:rsidP="008144F7">
            <w:pPr>
              <w:ind w:right="-81"/>
              <w:jc w:val="center"/>
              <w:rPr>
                <w:rFonts w:asciiTheme="majorBidi" w:hAnsiTheme="majorBidi" w:cstheme="majorBidi"/>
                <w:i/>
                <w:sz w:val="18"/>
                <w:szCs w:val="18"/>
              </w:rPr>
            </w:pPr>
          </w:p>
        </w:tc>
        <w:tc>
          <w:tcPr>
            <w:tcW w:w="1423" w:type="dxa"/>
            <w:gridSpan w:val="3"/>
            <w:tcBorders>
              <w:top w:val="nil"/>
              <w:bottom w:val="single" w:sz="4" w:space="0" w:color="000000"/>
            </w:tcBorders>
            <w:shd w:val="clear" w:color="auto" w:fill="B6DDE8"/>
            <w:vAlign w:val="center"/>
          </w:tcPr>
          <w:p w14:paraId="358803F7" w14:textId="77777777" w:rsidR="00D31E6D" w:rsidRPr="00361139" w:rsidRDefault="00D31E6D" w:rsidP="008144F7">
            <w:pPr>
              <w:ind w:right="-81" w:firstLine="59"/>
              <w:jc w:val="center"/>
              <w:rPr>
                <w:rFonts w:asciiTheme="majorBidi" w:hAnsiTheme="majorBidi" w:cstheme="majorBidi"/>
                <w:i/>
                <w:sz w:val="18"/>
                <w:szCs w:val="18"/>
              </w:rPr>
            </w:pPr>
          </w:p>
        </w:tc>
        <w:tc>
          <w:tcPr>
            <w:tcW w:w="1680" w:type="dxa"/>
            <w:gridSpan w:val="5"/>
            <w:tcBorders>
              <w:top w:val="nil"/>
              <w:bottom w:val="single" w:sz="4" w:space="0" w:color="000000"/>
            </w:tcBorders>
            <w:shd w:val="clear" w:color="auto" w:fill="B6DDE8"/>
            <w:vAlign w:val="center"/>
          </w:tcPr>
          <w:p w14:paraId="3E0CFC96" w14:textId="77777777" w:rsidR="00D31E6D" w:rsidRPr="00361139" w:rsidRDefault="00D31E6D" w:rsidP="008144F7">
            <w:pPr>
              <w:spacing w:before="60" w:after="60"/>
              <w:ind w:right="-79" w:firstLine="22"/>
              <w:jc w:val="center"/>
              <w:rPr>
                <w:rFonts w:asciiTheme="majorBidi" w:hAnsiTheme="majorBidi" w:cstheme="majorBidi"/>
                <w:i/>
                <w:sz w:val="18"/>
                <w:szCs w:val="18"/>
              </w:rPr>
            </w:pPr>
            <w:r w:rsidRPr="00361139">
              <w:rPr>
                <w:rFonts w:asciiTheme="majorBidi" w:hAnsiTheme="majorBidi" w:cstheme="majorBidi"/>
                <w:i/>
                <w:sz w:val="18"/>
                <w:szCs w:val="18"/>
              </w:rPr>
              <w:t>(a)</w:t>
            </w:r>
          </w:p>
        </w:tc>
        <w:tc>
          <w:tcPr>
            <w:tcW w:w="1680" w:type="dxa"/>
            <w:gridSpan w:val="3"/>
            <w:tcBorders>
              <w:top w:val="nil"/>
              <w:bottom w:val="single" w:sz="4" w:space="0" w:color="000000"/>
            </w:tcBorders>
            <w:shd w:val="clear" w:color="auto" w:fill="B6DDE8"/>
            <w:vAlign w:val="center"/>
          </w:tcPr>
          <w:p w14:paraId="1342E8E0" w14:textId="77777777" w:rsidR="00D31E6D" w:rsidRPr="00361139" w:rsidRDefault="00D31E6D" w:rsidP="008144F7">
            <w:pPr>
              <w:spacing w:before="60" w:after="60"/>
              <w:ind w:right="-79"/>
              <w:jc w:val="center"/>
              <w:rPr>
                <w:rFonts w:asciiTheme="majorBidi" w:hAnsiTheme="majorBidi" w:cstheme="majorBidi"/>
                <w:i/>
                <w:sz w:val="18"/>
                <w:szCs w:val="18"/>
              </w:rPr>
            </w:pPr>
            <w:r w:rsidRPr="00361139">
              <w:rPr>
                <w:rFonts w:asciiTheme="majorBidi" w:hAnsiTheme="majorBidi" w:cstheme="majorBidi"/>
                <w:i/>
                <w:sz w:val="18"/>
                <w:szCs w:val="18"/>
              </w:rPr>
              <w:t>(b)</w:t>
            </w:r>
          </w:p>
        </w:tc>
        <w:tc>
          <w:tcPr>
            <w:tcW w:w="1680" w:type="dxa"/>
            <w:gridSpan w:val="5"/>
            <w:tcBorders>
              <w:top w:val="nil"/>
              <w:bottom w:val="single" w:sz="4" w:space="0" w:color="000000"/>
            </w:tcBorders>
            <w:shd w:val="clear" w:color="auto" w:fill="B6DDE8"/>
            <w:vAlign w:val="center"/>
          </w:tcPr>
          <w:p w14:paraId="08EC9FD0" w14:textId="77777777" w:rsidR="00D31E6D" w:rsidRPr="00361139" w:rsidRDefault="00D31E6D" w:rsidP="008144F7">
            <w:pPr>
              <w:spacing w:before="60" w:after="60"/>
              <w:ind w:right="-79"/>
              <w:jc w:val="center"/>
              <w:rPr>
                <w:rFonts w:asciiTheme="majorBidi" w:hAnsiTheme="majorBidi" w:cstheme="majorBidi"/>
                <w:i/>
                <w:sz w:val="18"/>
                <w:szCs w:val="18"/>
              </w:rPr>
            </w:pPr>
            <w:r w:rsidRPr="00361139">
              <w:rPr>
                <w:rFonts w:asciiTheme="majorBidi" w:hAnsiTheme="majorBidi" w:cstheme="majorBidi"/>
                <w:i/>
                <w:sz w:val="18"/>
                <w:szCs w:val="18"/>
              </w:rPr>
              <w:t>(</w:t>
            </w:r>
            <w:proofErr w:type="spellStart"/>
            <w:r w:rsidRPr="00361139">
              <w:rPr>
                <w:rFonts w:asciiTheme="majorBidi" w:hAnsiTheme="majorBidi" w:cstheme="majorBidi"/>
                <w:i/>
                <w:sz w:val="18"/>
                <w:szCs w:val="18"/>
              </w:rPr>
              <w:t>a+b</w:t>
            </w:r>
            <w:proofErr w:type="spellEnd"/>
            <w:r w:rsidRPr="00361139">
              <w:rPr>
                <w:rFonts w:asciiTheme="majorBidi" w:hAnsiTheme="majorBidi" w:cstheme="majorBidi"/>
                <w:i/>
                <w:sz w:val="18"/>
                <w:szCs w:val="18"/>
              </w:rPr>
              <w:t>)</w:t>
            </w:r>
          </w:p>
        </w:tc>
        <w:tc>
          <w:tcPr>
            <w:tcW w:w="1678" w:type="dxa"/>
            <w:tcBorders>
              <w:top w:val="nil"/>
              <w:bottom w:val="single" w:sz="4" w:space="0" w:color="000000"/>
            </w:tcBorders>
            <w:shd w:val="clear" w:color="auto" w:fill="B6DDE8"/>
            <w:vAlign w:val="center"/>
          </w:tcPr>
          <w:p w14:paraId="78BB9825" w14:textId="77777777" w:rsidR="00D31E6D" w:rsidRPr="00361139" w:rsidRDefault="00D31E6D" w:rsidP="008144F7">
            <w:pPr>
              <w:spacing w:before="60" w:after="60"/>
              <w:ind w:right="-79"/>
              <w:jc w:val="center"/>
              <w:rPr>
                <w:rFonts w:asciiTheme="majorBidi" w:hAnsiTheme="majorBidi" w:cstheme="majorBidi"/>
                <w:i/>
                <w:sz w:val="18"/>
                <w:szCs w:val="18"/>
              </w:rPr>
            </w:pPr>
            <w:r w:rsidRPr="00361139">
              <w:rPr>
                <w:rFonts w:asciiTheme="majorBidi" w:hAnsiTheme="majorBidi" w:cstheme="majorBidi"/>
                <w:i/>
                <w:sz w:val="18"/>
                <w:szCs w:val="18"/>
              </w:rPr>
              <w:t>(c)</w:t>
            </w:r>
          </w:p>
        </w:tc>
        <w:tc>
          <w:tcPr>
            <w:tcW w:w="1678" w:type="dxa"/>
            <w:tcBorders>
              <w:top w:val="nil"/>
              <w:bottom w:val="single" w:sz="4" w:space="0" w:color="000000"/>
            </w:tcBorders>
            <w:shd w:val="clear" w:color="auto" w:fill="B6DDE8"/>
            <w:vAlign w:val="center"/>
          </w:tcPr>
          <w:p w14:paraId="4FC8BC60" w14:textId="77777777" w:rsidR="00D31E6D" w:rsidRPr="00361139" w:rsidRDefault="00D31E6D" w:rsidP="008144F7">
            <w:pPr>
              <w:spacing w:before="60" w:after="60"/>
              <w:ind w:right="-79" w:firstLine="24"/>
              <w:jc w:val="center"/>
              <w:rPr>
                <w:rFonts w:asciiTheme="majorBidi" w:hAnsiTheme="majorBidi" w:cstheme="majorBidi"/>
                <w:i/>
                <w:sz w:val="18"/>
                <w:szCs w:val="18"/>
              </w:rPr>
            </w:pPr>
            <w:r w:rsidRPr="00361139">
              <w:rPr>
                <w:rFonts w:asciiTheme="majorBidi" w:hAnsiTheme="majorBidi" w:cstheme="majorBidi"/>
                <w:i/>
                <w:sz w:val="18"/>
                <w:szCs w:val="18"/>
              </w:rPr>
              <w:t>(</w:t>
            </w:r>
            <w:proofErr w:type="spellStart"/>
            <w:r w:rsidRPr="00361139">
              <w:rPr>
                <w:rFonts w:asciiTheme="majorBidi" w:hAnsiTheme="majorBidi" w:cstheme="majorBidi"/>
                <w:i/>
                <w:sz w:val="18"/>
                <w:szCs w:val="18"/>
              </w:rPr>
              <w:t>a+b+c</w:t>
            </w:r>
            <w:proofErr w:type="spellEnd"/>
            <w:r w:rsidRPr="00361139">
              <w:rPr>
                <w:rFonts w:asciiTheme="majorBidi" w:hAnsiTheme="majorBidi" w:cstheme="majorBidi"/>
                <w:i/>
                <w:sz w:val="18"/>
                <w:szCs w:val="18"/>
              </w:rPr>
              <w:t>)</w:t>
            </w:r>
          </w:p>
        </w:tc>
      </w:tr>
      <w:tr w:rsidR="00D31E6D" w:rsidRPr="00361139" w14:paraId="410AAA2D" w14:textId="77777777" w:rsidTr="00D31E6D">
        <w:tblPrEx>
          <w:jc w:val="center"/>
          <w:tblInd w:w="0" w:type="dxa"/>
        </w:tblPrEx>
        <w:trPr>
          <w:gridBefore w:val="1"/>
          <w:gridAfter w:val="4"/>
          <w:wBefore w:w="243" w:type="dxa"/>
          <w:wAfter w:w="3838" w:type="dxa"/>
          <w:cantSplit/>
          <w:trHeight w:hRule="exact" w:val="57"/>
          <w:jc w:val="center"/>
        </w:trPr>
        <w:tc>
          <w:tcPr>
            <w:tcW w:w="948" w:type="dxa"/>
            <w:tcBorders>
              <w:left w:val="nil"/>
              <w:right w:val="nil"/>
            </w:tcBorders>
            <w:vAlign w:val="center"/>
          </w:tcPr>
          <w:p w14:paraId="1B599AC6" w14:textId="77777777" w:rsidR="00D31E6D" w:rsidRPr="00361139" w:rsidRDefault="00D31E6D" w:rsidP="008144F7">
            <w:pPr>
              <w:ind w:right="-81" w:hanging="28"/>
              <w:jc w:val="center"/>
              <w:rPr>
                <w:rFonts w:asciiTheme="majorBidi" w:hAnsiTheme="majorBidi" w:cstheme="majorBidi"/>
                <w:sz w:val="18"/>
                <w:szCs w:val="18"/>
              </w:rPr>
            </w:pPr>
          </w:p>
        </w:tc>
        <w:tc>
          <w:tcPr>
            <w:tcW w:w="763" w:type="dxa"/>
            <w:gridSpan w:val="3"/>
            <w:tcBorders>
              <w:left w:val="nil"/>
              <w:right w:val="nil"/>
            </w:tcBorders>
            <w:vAlign w:val="center"/>
          </w:tcPr>
          <w:p w14:paraId="579365EF" w14:textId="77777777" w:rsidR="00D31E6D" w:rsidRPr="00361139" w:rsidRDefault="00D31E6D" w:rsidP="008144F7">
            <w:pPr>
              <w:ind w:right="-81" w:hanging="28"/>
              <w:jc w:val="center"/>
              <w:rPr>
                <w:rFonts w:asciiTheme="majorBidi" w:hAnsiTheme="majorBidi" w:cstheme="majorBidi"/>
                <w:sz w:val="18"/>
                <w:szCs w:val="18"/>
              </w:rPr>
            </w:pPr>
          </w:p>
        </w:tc>
        <w:tc>
          <w:tcPr>
            <w:tcW w:w="762" w:type="dxa"/>
            <w:gridSpan w:val="2"/>
            <w:tcBorders>
              <w:left w:val="nil"/>
              <w:right w:val="nil"/>
            </w:tcBorders>
            <w:vAlign w:val="center"/>
          </w:tcPr>
          <w:p w14:paraId="4CBA7104" w14:textId="77777777" w:rsidR="00D31E6D" w:rsidRPr="00361139" w:rsidRDefault="00D31E6D" w:rsidP="008144F7">
            <w:pPr>
              <w:ind w:right="-81" w:hanging="28"/>
              <w:jc w:val="center"/>
              <w:rPr>
                <w:rFonts w:asciiTheme="majorBidi" w:hAnsiTheme="majorBidi" w:cstheme="majorBidi"/>
                <w:sz w:val="18"/>
                <w:szCs w:val="18"/>
              </w:rPr>
            </w:pPr>
          </w:p>
        </w:tc>
        <w:tc>
          <w:tcPr>
            <w:tcW w:w="763" w:type="dxa"/>
            <w:gridSpan w:val="3"/>
            <w:tcBorders>
              <w:left w:val="nil"/>
              <w:right w:val="nil"/>
            </w:tcBorders>
            <w:vAlign w:val="center"/>
          </w:tcPr>
          <w:p w14:paraId="278E9593" w14:textId="77777777" w:rsidR="00D31E6D" w:rsidRPr="00361139" w:rsidRDefault="00D31E6D" w:rsidP="008144F7">
            <w:pPr>
              <w:ind w:right="-81" w:hanging="28"/>
              <w:jc w:val="center"/>
              <w:rPr>
                <w:rFonts w:asciiTheme="majorBidi" w:hAnsiTheme="majorBidi" w:cstheme="majorBidi"/>
                <w:sz w:val="18"/>
                <w:szCs w:val="18"/>
              </w:rPr>
            </w:pPr>
          </w:p>
        </w:tc>
        <w:tc>
          <w:tcPr>
            <w:tcW w:w="762" w:type="dxa"/>
            <w:gridSpan w:val="2"/>
            <w:tcBorders>
              <w:left w:val="nil"/>
              <w:right w:val="nil"/>
            </w:tcBorders>
            <w:vAlign w:val="center"/>
          </w:tcPr>
          <w:p w14:paraId="240CEA31" w14:textId="77777777" w:rsidR="00D31E6D" w:rsidRPr="00361139" w:rsidRDefault="00D31E6D" w:rsidP="008144F7">
            <w:pPr>
              <w:ind w:right="-81" w:firstLine="7"/>
              <w:jc w:val="center"/>
              <w:rPr>
                <w:rFonts w:asciiTheme="majorBidi" w:hAnsiTheme="majorBidi" w:cstheme="majorBidi"/>
                <w:sz w:val="18"/>
                <w:szCs w:val="18"/>
              </w:rPr>
            </w:pPr>
          </w:p>
        </w:tc>
        <w:tc>
          <w:tcPr>
            <w:tcW w:w="1018" w:type="dxa"/>
            <w:gridSpan w:val="3"/>
            <w:tcBorders>
              <w:left w:val="nil"/>
              <w:right w:val="nil"/>
            </w:tcBorders>
            <w:vAlign w:val="center"/>
          </w:tcPr>
          <w:p w14:paraId="1E811FB6" w14:textId="77777777" w:rsidR="00D31E6D" w:rsidRPr="00361139" w:rsidRDefault="00D31E6D" w:rsidP="008144F7">
            <w:pPr>
              <w:ind w:right="-81" w:hanging="28"/>
              <w:jc w:val="center"/>
              <w:rPr>
                <w:rFonts w:asciiTheme="majorBidi" w:hAnsiTheme="majorBidi" w:cstheme="majorBidi"/>
                <w:sz w:val="18"/>
                <w:szCs w:val="18"/>
              </w:rPr>
            </w:pPr>
          </w:p>
        </w:tc>
        <w:tc>
          <w:tcPr>
            <w:tcW w:w="1018" w:type="dxa"/>
            <w:gridSpan w:val="3"/>
            <w:tcBorders>
              <w:left w:val="nil"/>
              <w:right w:val="nil"/>
            </w:tcBorders>
            <w:vAlign w:val="center"/>
          </w:tcPr>
          <w:p w14:paraId="5AAA4EA6" w14:textId="77777777" w:rsidR="00D31E6D" w:rsidRPr="00361139" w:rsidRDefault="00D31E6D" w:rsidP="008144F7">
            <w:pPr>
              <w:ind w:right="-81" w:hanging="19"/>
              <w:jc w:val="center"/>
              <w:rPr>
                <w:rFonts w:asciiTheme="majorBidi" w:hAnsiTheme="majorBidi" w:cstheme="majorBidi"/>
                <w:sz w:val="18"/>
                <w:szCs w:val="18"/>
              </w:rPr>
            </w:pPr>
          </w:p>
        </w:tc>
        <w:tc>
          <w:tcPr>
            <w:tcW w:w="1018" w:type="dxa"/>
            <w:gridSpan w:val="2"/>
            <w:tcBorders>
              <w:left w:val="nil"/>
              <w:right w:val="nil"/>
            </w:tcBorders>
            <w:vAlign w:val="center"/>
          </w:tcPr>
          <w:p w14:paraId="529825B9" w14:textId="77777777" w:rsidR="00D31E6D" w:rsidRPr="00361139" w:rsidRDefault="00D31E6D" w:rsidP="008144F7">
            <w:pPr>
              <w:ind w:right="-81" w:hanging="28"/>
              <w:jc w:val="center"/>
              <w:rPr>
                <w:rFonts w:asciiTheme="majorBidi" w:hAnsiTheme="majorBidi" w:cstheme="majorBidi"/>
                <w:sz w:val="18"/>
                <w:szCs w:val="18"/>
              </w:rPr>
            </w:pPr>
          </w:p>
        </w:tc>
        <w:tc>
          <w:tcPr>
            <w:tcW w:w="1019" w:type="dxa"/>
            <w:gridSpan w:val="3"/>
            <w:tcBorders>
              <w:left w:val="nil"/>
              <w:right w:val="nil"/>
            </w:tcBorders>
            <w:vAlign w:val="center"/>
          </w:tcPr>
          <w:p w14:paraId="31EC07DE" w14:textId="77777777" w:rsidR="00D31E6D" w:rsidRPr="00361139" w:rsidRDefault="00D31E6D" w:rsidP="008144F7">
            <w:pPr>
              <w:ind w:right="-81" w:hanging="28"/>
              <w:jc w:val="center"/>
              <w:rPr>
                <w:rFonts w:asciiTheme="majorBidi" w:hAnsiTheme="majorBidi" w:cstheme="majorBidi"/>
                <w:sz w:val="18"/>
                <w:szCs w:val="18"/>
              </w:rPr>
            </w:pPr>
          </w:p>
        </w:tc>
        <w:tc>
          <w:tcPr>
            <w:tcW w:w="1019" w:type="dxa"/>
            <w:gridSpan w:val="3"/>
            <w:tcBorders>
              <w:left w:val="nil"/>
              <w:right w:val="nil"/>
            </w:tcBorders>
            <w:vAlign w:val="center"/>
          </w:tcPr>
          <w:p w14:paraId="46F6AB6F" w14:textId="77777777" w:rsidR="00D31E6D" w:rsidRPr="00361139" w:rsidRDefault="00D31E6D" w:rsidP="008144F7">
            <w:pPr>
              <w:ind w:right="-81" w:hanging="28"/>
              <w:jc w:val="center"/>
              <w:rPr>
                <w:rFonts w:asciiTheme="majorBidi" w:hAnsiTheme="majorBidi" w:cstheme="majorBidi"/>
                <w:sz w:val="18"/>
                <w:szCs w:val="18"/>
              </w:rPr>
            </w:pPr>
          </w:p>
        </w:tc>
        <w:tc>
          <w:tcPr>
            <w:tcW w:w="1020" w:type="dxa"/>
            <w:gridSpan w:val="2"/>
            <w:tcBorders>
              <w:left w:val="nil"/>
              <w:right w:val="nil"/>
            </w:tcBorders>
            <w:vAlign w:val="center"/>
          </w:tcPr>
          <w:p w14:paraId="001BAEB9" w14:textId="77777777" w:rsidR="00D31E6D" w:rsidRPr="00361139" w:rsidRDefault="00D31E6D" w:rsidP="008144F7">
            <w:pPr>
              <w:ind w:right="-81" w:hanging="28"/>
              <w:jc w:val="center"/>
              <w:rPr>
                <w:rFonts w:asciiTheme="majorBidi" w:hAnsiTheme="majorBidi" w:cstheme="majorBidi"/>
                <w:sz w:val="18"/>
                <w:szCs w:val="18"/>
              </w:rPr>
            </w:pPr>
          </w:p>
        </w:tc>
      </w:tr>
      <w:tr w:rsidR="00D31E6D" w:rsidRPr="00361139" w14:paraId="5F2FF6DE" w14:textId="77777777" w:rsidTr="00D31E6D">
        <w:trPr>
          <w:cantSplit/>
          <w:trHeight w:val="567"/>
        </w:trPr>
        <w:tc>
          <w:tcPr>
            <w:tcW w:w="1533" w:type="dxa"/>
            <w:gridSpan w:val="4"/>
            <w:vMerge w:val="restart"/>
            <w:vAlign w:val="center"/>
          </w:tcPr>
          <w:p w14:paraId="512F5850" w14:textId="77777777" w:rsidR="00D31E6D" w:rsidRPr="00361139" w:rsidRDefault="00D31E6D" w:rsidP="008144F7">
            <w:pPr>
              <w:ind w:right="-81"/>
              <w:jc w:val="center"/>
              <w:rPr>
                <w:rFonts w:asciiTheme="majorBidi" w:hAnsiTheme="majorBidi" w:cstheme="majorBidi"/>
                <w:b/>
                <w:sz w:val="18"/>
                <w:szCs w:val="18"/>
              </w:rPr>
            </w:pPr>
            <w:r w:rsidRPr="00361139">
              <w:rPr>
                <w:rFonts w:asciiTheme="majorBidi" w:hAnsiTheme="majorBidi" w:cstheme="majorBidi"/>
                <w:b/>
                <w:sz w:val="18"/>
                <w:szCs w:val="18"/>
              </w:rPr>
              <w:t>GEF</w:t>
            </w:r>
          </w:p>
        </w:tc>
        <w:tc>
          <w:tcPr>
            <w:tcW w:w="1546" w:type="dxa"/>
            <w:gridSpan w:val="5"/>
            <w:vAlign w:val="center"/>
          </w:tcPr>
          <w:p w14:paraId="205BE6BB" w14:textId="6CE1D10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GEF-6</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(2014-2018)</w:t>
            </w:r>
          </w:p>
        </w:tc>
        <w:tc>
          <w:tcPr>
            <w:tcW w:w="1293" w:type="dxa"/>
            <w:gridSpan w:val="5"/>
            <w:vAlign w:val="center"/>
          </w:tcPr>
          <w:p w14:paraId="00AF5C78"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65</w:t>
            </w:r>
          </w:p>
        </w:tc>
        <w:tc>
          <w:tcPr>
            <w:tcW w:w="1423" w:type="dxa"/>
            <w:gridSpan w:val="3"/>
            <w:vAlign w:val="center"/>
          </w:tcPr>
          <w:p w14:paraId="627B1479" w14:textId="77777777" w:rsidR="00D31E6D" w:rsidRPr="00361139" w:rsidRDefault="00D31E6D" w:rsidP="008144F7">
            <w:pPr>
              <w:ind w:right="-81" w:firstLine="59"/>
              <w:jc w:val="center"/>
              <w:rPr>
                <w:rFonts w:asciiTheme="majorBidi" w:hAnsiTheme="majorBidi" w:cstheme="majorBidi"/>
                <w:sz w:val="18"/>
                <w:szCs w:val="18"/>
              </w:rPr>
            </w:pPr>
            <w:r w:rsidRPr="00361139">
              <w:rPr>
                <w:rFonts w:asciiTheme="majorBidi" w:hAnsiTheme="majorBidi" w:cstheme="majorBidi"/>
                <w:sz w:val="18"/>
                <w:szCs w:val="18"/>
              </w:rPr>
              <w:t>82</w:t>
            </w:r>
          </w:p>
        </w:tc>
        <w:tc>
          <w:tcPr>
            <w:tcW w:w="1680" w:type="dxa"/>
            <w:gridSpan w:val="5"/>
            <w:vAlign w:val="center"/>
          </w:tcPr>
          <w:p w14:paraId="26CD5E98" w14:textId="77777777" w:rsidR="00D31E6D" w:rsidRPr="00361139" w:rsidRDefault="00D31E6D" w:rsidP="008144F7">
            <w:pPr>
              <w:ind w:right="33" w:firstLine="22"/>
              <w:jc w:val="right"/>
              <w:rPr>
                <w:rFonts w:asciiTheme="majorBidi" w:hAnsiTheme="majorBidi" w:cstheme="majorBidi"/>
                <w:sz w:val="18"/>
                <w:szCs w:val="18"/>
              </w:rPr>
            </w:pPr>
            <w:r w:rsidRPr="00361139">
              <w:rPr>
                <w:rFonts w:asciiTheme="majorBidi" w:hAnsiTheme="majorBidi" w:cstheme="majorBidi"/>
                <w:sz w:val="18"/>
                <w:szCs w:val="18"/>
              </w:rPr>
              <w:t>161.062.011</w:t>
            </w:r>
          </w:p>
        </w:tc>
        <w:tc>
          <w:tcPr>
            <w:tcW w:w="1680" w:type="dxa"/>
            <w:gridSpan w:val="3"/>
            <w:vAlign w:val="center"/>
          </w:tcPr>
          <w:p w14:paraId="2FB2BD18"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14.798.145</w:t>
            </w:r>
          </w:p>
        </w:tc>
        <w:tc>
          <w:tcPr>
            <w:tcW w:w="1680" w:type="dxa"/>
            <w:gridSpan w:val="5"/>
            <w:vAlign w:val="center"/>
          </w:tcPr>
          <w:p w14:paraId="770D0D52"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175.860.156</w:t>
            </w:r>
          </w:p>
        </w:tc>
        <w:tc>
          <w:tcPr>
            <w:tcW w:w="1678" w:type="dxa"/>
            <w:vAlign w:val="center"/>
          </w:tcPr>
          <w:p w14:paraId="4AC4E731"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698.828.015</w:t>
            </w:r>
          </w:p>
        </w:tc>
        <w:tc>
          <w:tcPr>
            <w:tcW w:w="1678" w:type="dxa"/>
            <w:vAlign w:val="center"/>
          </w:tcPr>
          <w:p w14:paraId="7EE62BEC" w14:textId="77777777" w:rsidR="00D31E6D" w:rsidRPr="00361139" w:rsidRDefault="00D31E6D" w:rsidP="008144F7">
            <w:pPr>
              <w:ind w:right="27" w:firstLine="24"/>
              <w:jc w:val="right"/>
              <w:rPr>
                <w:rFonts w:asciiTheme="majorBidi" w:hAnsiTheme="majorBidi" w:cstheme="majorBidi"/>
                <w:sz w:val="18"/>
                <w:szCs w:val="18"/>
              </w:rPr>
            </w:pPr>
            <w:r w:rsidRPr="00361139">
              <w:rPr>
                <w:rFonts w:asciiTheme="majorBidi" w:hAnsiTheme="majorBidi" w:cstheme="majorBidi"/>
                <w:sz w:val="18"/>
                <w:szCs w:val="18"/>
              </w:rPr>
              <w:t>874.688.171</w:t>
            </w:r>
          </w:p>
        </w:tc>
      </w:tr>
      <w:tr w:rsidR="00D31E6D" w:rsidRPr="00361139" w14:paraId="66048501" w14:textId="77777777" w:rsidTr="00D31E6D">
        <w:trPr>
          <w:cantSplit/>
          <w:trHeight w:val="567"/>
        </w:trPr>
        <w:tc>
          <w:tcPr>
            <w:tcW w:w="1533" w:type="dxa"/>
            <w:gridSpan w:val="4"/>
            <w:vMerge/>
            <w:tcBorders>
              <w:bottom w:val="single" w:sz="4" w:space="0" w:color="000000"/>
            </w:tcBorders>
            <w:vAlign w:val="center"/>
          </w:tcPr>
          <w:p w14:paraId="4E1E7F7C" w14:textId="77777777" w:rsidR="00D31E6D" w:rsidRPr="00361139" w:rsidRDefault="00D31E6D" w:rsidP="008144F7">
            <w:pPr>
              <w:ind w:right="-81"/>
              <w:jc w:val="center"/>
              <w:rPr>
                <w:rFonts w:asciiTheme="majorBidi" w:hAnsiTheme="majorBidi" w:cstheme="majorBidi"/>
                <w:sz w:val="18"/>
                <w:szCs w:val="18"/>
              </w:rPr>
            </w:pPr>
          </w:p>
        </w:tc>
        <w:tc>
          <w:tcPr>
            <w:tcW w:w="1546" w:type="dxa"/>
            <w:gridSpan w:val="5"/>
            <w:tcBorders>
              <w:bottom w:val="single" w:sz="4" w:space="0" w:color="000000"/>
            </w:tcBorders>
            <w:vAlign w:val="center"/>
          </w:tcPr>
          <w:p w14:paraId="030D93EA" w14:textId="5A5EB0A4"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GEF-7</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(2018-2022)</w:t>
            </w:r>
          </w:p>
        </w:tc>
        <w:tc>
          <w:tcPr>
            <w:tcW w:w="1293" w:type="dxa"/>
            <w:gridSpan w:val="5"/>
            <w:vAlign w:val="center"/>
          </w:tcPr>
          <w:p w14:paraId="3AF01FA5"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46</w:t>
            </w:r>
          </w:p>
        </w:tc>
        <w:tc>
          <w:tcPr>
            <w:tcW w:w="1423" w:type="dxa"/>
            <w:gridSpan w:val="3"/>
            <w:vAlign w:val="center"/>
          </w:tcPr>
          <w:p w14:paraId="28FADA28" w14:textId="77777777" w:rsidR="00D31E6D" w:rsidRPr="00361139" w:rsidRDefault="00D31E6D" w:rsidP="008144F7">
            <w:pPr>
              <w:ind w:right="-81" w:firstLine="59"/>
              <w:jc w:val="center"/>
              <w:rPr>
                <w:rFonts w:asciiTheme="majorBidi" w:hAnsiTheme="majorBidi" w:cstheme="majorBidi"/>
                <w:sz w:val="18"/>
                <w:szCs w:val="18"/>
              </w:rPr>
            </w:pPr>
            <w:r w:rsidRPr="00361139">
              <w:rPr>
                <w:rFonts w:asciiTheme="majorBidi" w:hAnsiTheme="majorBidi" w:cstheme="majorBidi"/>
                <w:sz w:val="18"/>
                <w:szCs w:val="18"/>
              </w:rPr>
              <w:t>81</w:t>
            </w:r>
          </w:p>
        </w:tc>
        <w:tc>
          <w:tcPr>
            <w:tcW w:w="1680" w:type="dxa"/>
            <w:gridSpan w:val="5"/>
            <w:vAlign w:val="center"/>
          </w:tcPr>
          <w:p w14:paraId="3A8FF983" w14:textId="77777777" w:rsidR="00D31E6D" w:rsidRPr="00361139" w:rsidRDefault="00D31E6D" w:rsidP="008144F7">
            <w:pPr>
              <w:ind w:right="33" w:firstLine="22"/>
              <w:jc w:val="right"/>
              <w:rPr>
                <w:rFonts w:asciiTheme="majorBidi" w:hAnsiTheme="majorBidi" w:cstheme="majorBidi"/>
                <w:sz w:val="18"/>
                <w:szCs w:val="18"/>
              </w:rPr>
            </w:pPr>
            <w:r w:rsidRPr="00361139">
              <w:rPr>
                <w:rFonts w:asciiTheme="majorBidi" w:hAnsiTheme="majorBidi" w:cstheme="majorBidi"/>
                <w:sz w:val="18"/>
                <w:szCs w:val="18"/>
              </w:rPr>
              <w:t>313.911.479</w:t>
            </w:r>
          </w:p>
        </w:tc>
        <w:tc>
          <w:tcPr>
            <w:tcW w:w="1680" w:type="dxa"/>
            <w:gridSpan w:val="3"/>
            <w:vAlign w:val="center"/>
          </w:tcPr>
          <w:p w14:paraId="4063ED48"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28.556.590</w:t>
            </w:r>
          </w:p>
        </w:tc>
        <w:tc>
          <w:tcPr>
            <w:tcW w:w="1680" w:type="dxa"/>
            <w:gridSpan w:val="5"/>
            <w:vAlign w:val="center"/>
          </w:tcPr>
          <w:p w14:paraId="5492C310"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342.468.069</w:t>
            </w:r>
          </w:p>
        </w:tc>
        <w:tc>
          <w:tcPr>
            <w:tcW w:w="1678" w:type="dxa"/>
            <w:vAlign w:val="center"/>
          </w:tcPr>
          <w:p w14:paraId="1D5229D6"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2.049.950.488</w:t>
            </w:r>
          </w:p>
        </w:tc>
        <w:tc>
          <w:tcPr>
            <w:tcW w:w="1678" w:type="dxa"/>
            <w:vAlign w:val="center"/>
          </w:tcPr>
          <w:p w14:paraId="741BB53B" w14:textId="77777777" w:rsidR="00D31E6D" w:rsidRPr="00361139" w:rsidRDefault="00D31E6D" w:rsidP="008144F7">
            <w:pPr>
              <w:ind w:right="27" w:firstLine="24"/>
              <w:jc w:val="right"/>
              <w:rPr>
                <w:rFonts w:asciiTheme="majorBidi" w:hAnsiTheme="majorBidi" w:cstheme="majorBidi"/>
                <w:sz w:val="18"/>
                <w:szCs w:val="18"/>
              </w:rPr>
            </w:pPr>
            <w:r w:rsidRPr="00361139">
              <w:rPr>
                <w:rFonts w:asciiTheme="majorBidi" w:hAnsiTheme="majorBidi" w:cstheme="majorBidi"/>
                <w:sz w:val="18"/>
                <w:szCs w:val="18"/>
              </w:rPr>
              <w:t>2.392.418.557</w:t>
            </w:r>
          </w:p>
        </w:tc>
      </w:tr>
      <w:tr w:rsidR="00D31E6D" w:rsidRPr="00361139" w14:paraId="4D4BD95F" w14:textId="77777777" w:rsidTr="00D31E6D">
        <w:trPr>
          <w:cantSplit/>
          <w:trHeight w:val="397"/>
        </w:trPr>
        <w:tc>
          <w:tcPr>
            <w:tcW w:w="1533" w:type="dxa"/>
            <w:gridSpan w:val="4"/>
            <w:tcBorders>
              <w:bottom w:val="single" w:sz="4" w:space="0" w:color="000000"/>
              <w:right w:val="nil"/>
            </w:tcBorders>
            <w:vAlign w:val="center"/>
          </w:tcPr>
          <w:p w14:paraId="566F58D8" w14:textId="77777777" w:rsidR="00D31E6D" w:rsidRPr="00361139" w:rsidRDefault="00D31E6D" w:rsidP="008144F7">
            <w:pPr>
              <w:ind w:right="-81"/>
              <w:jc w:val="right"/>
              <w:rPr>
                <w:rFonts w:asciiTheme="majorBidi" w:hAnsiTheme="majorBidi" w:cstheme="majorBidi"/>
                <w:i/>
                <w:sz w:val="18"/>
                <w:szCs w:val="18"/>
              </w:rPr>
            </w:pPr>
            <w:r w:rsidRPr="00361139">
              <w:rPr>
                <w:rFonts w:asciiTheme="majorBidi" w:hAnsiTheme="majorBidi" w:cstheme="majorBidi"/>
                <w:i/>
                <w:sz w:val="18"/>
                <w:szCs w:val="18"/>
              </w:rPr>
              <w:t>Sub-totals</w:t>
            </w:r>
          </w:p>
        </w:tc>
        <w:tc>
          <w:tcPr>
            <w:tcW w:w="1546" w:type="dxa"/>
            <w:gridSpan w:val="5"/>
            <w:tcBorders>
              <w:left w:val="nil"/>
              <w:bottom w:val="single" w:sz="4" w:space="0" w:color="000000"/>
            </w:tcBorders>
            <w:vAlign w:val="center"/>
          </w:tcPr>
          <w:p w14:paraId="08B03C60" w14:textId="77777777" w:rsidR="00D31E6D" w:rsidRPr="00361139" w:rsidRDefault="00D31E6D" w:rsidP="008144F7">
            <w:pPr>
              <w:ind w:right="-81"/>
              <w:jc w:val="center"/>
              <w:rPr>
                <w:rFonts w:asciiTheme="majorBidi" w:hAnsiTheme="majorBidi" w:cstheme="majorBidi"/>
                <w:i/>
                <w:sz w:val="18"/>
                <w:szCs w:val="18"/>
              </w:rPr>
            </w:pPr>
          </w:p>
        </w:tc>
        <w:tc>
          <w:tcPr>
            <w:tcW w:w="1293" w:type="dxa"/>
            <w:gridSpan w:val="5"/>
            <w:tcBorders>
              <w:bottom w:val="single" w:sz="4" w:space="0" w:color="000000"/>
            </w:tcBorders>
            <w:vAlign w:val="center"/>
          </w:tcPr>
          <w:p w14:paraId="6C08E38C" w14:textId="77777777" w:rsidR="00D31E6D" w:rsidRPr="00361139" w:rsidRDefault="00D31E6D" w:rsidP="008144F7">
            <w:pPr>
              <w:ind w:right="-81"/>
              <w:jc w:val="center"/>
              <w:rPr>
                <w:rFonts w:asciiTheme="majorBidi" w:hAnsiTheme="majorBidi" w:cstheme="majorBidi"/>
                <w:i/>
                <w:sz w:val="18"/>
                <w:szCs w:val="18"/>
              </w:rPr>
            </w:pPr>
            <w:r w:rsidRPr="00361139">
              <w:rPr>
                <w:rFonts w:asciiTheme="majorBidi" w:hAnsiTheme="majorBidi" w:cstheme="majorBidi"/>
                <w:i/>
                <w:sz w:val="18"/>
                <w:szCs w:val="18"/>
              </w:rPr>
              <w:t>111</w:t>
            </w:r>
          </w:p>
        </w:tc>
        <w:tc>
          <w:tcPr>
            <w:tcW w:w="1423" w:type="dxa"/>
            <w:gridSpan w:val="3"/>
            <w:tcBorders>
              <w:bottom w:val="single" w:sz="4" w:space="0" w:color="000000"/>
            </w:tcBorders>
            <w:vAlign w:val="center"/>
          </w:tcPr>
          <w:p w14:paraId="2C0E664D" w14:textId="77777777" w:rsidR="00D31E6D" w:rsidRPr="00361139" w:rsidRDefault="00D31E6D" w:rsidP="008144F7">
            <w:pPr>
              <w:ind w:right="-81" w:firstLine="59"/>
              <w:jc w:val="center"/>
              <w:rPr>
                <w:rFonts w:asciiTheme="majorBidi" w:hAnsiTheme="majorBidi" w:cstheme="majorBidi"/>
                <w:i/>
                <w:sz w:val="18"/>
                <w:szCs w:val="18"/>
              </w:rPr>
            </w:pPr>
            <w:r w:rsidRPr="00361139">
              <w:rPr>
                <w:rFonts w:asciiTheme="majorBidi" w:hAnsiTheme="majorBidi" w:cstheme="majorBidi"/>
                <w:i/>
                <w:sz w:val="18"/>
                <w:szCs w:val="18"/>
              </w:rPr>
              <w:t>121</w:t>
            </w:r>
          </w:p>
        </w:tc>
        <w:tc>
          <w:tcPr>
            <w:tcW w:w="1680" w:type="dxa"/>
            <w:gridSpan w:val="5"/>
            <w:tcBorders>
              <w:bottom w:val="single" w:sz="4" w:space="0" w:color="000000"/>
            </w:tcBorders>
            <w:vAlign w:val="center"/>
          </w:tcPr>
          <w:p w14:paraId="3F7755F0" w14:textId="77777777" w:rsidR="00D31E6D" w:rsidRPr="00361139" w:rsidRDefault="00D31E6D" w:rsidP="008144F7">
            <w:pPr>
              <w:ind w:right="33" w:firstLine="22"/>
              <w:jc w:val="right"/>
              <w:rPr>
                <w:rFonts w:asciiTheme="majorBidi" w:hAnsiTheme="majorBidi" w:cstheme="majorBidi"/>
                <w:i/>
                <w:sz w:val="18"/>
                <w:szCs w:val="18"/>
              </w:rPr>
            </w:pPr>
            <w:r w:rsidRPr="00361139">
              <w:rPr>
                <w:rFonts w:asciiTheme="majorBidi" w:hAnsiTheme="majorBidi" w:cstheme="majorBidi"/>
                <w:i/>
                <w:sz w:val="18"/>
                <w:szCs w:val="18"/>
              </w:rPr>
              <w:t>474.973.490</w:t>
            </w:r>
          </w:p>
        </w:tc>
        <w:tc>
          <w:tcPr>
            <w:tcW w:w="1680" w:type="dxa"/>
            <w:gridSpan w:val="3"/>
            <w:tcBorders>
              <w:bottom w:val="single" w:sz="4" w:space="0" w:color="000000"/>
            </w:tcBorders>
            <w:vAlign w:val="center"/>
          </w:tcPr>
          <w:p w14:paraId="6028BA58"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43.354.735</w:t>
            </w:r>
          </w:p>
        </w:tc>
        <w:tc>
          <w:tcPr>
            <w:tcW w:w="1680" w:type="dxa"/>
            <w:gridSpan w:val="5"/>
            <w:tcBorders>
              <w:bottom w:val="single" w:sz="4" w:space="0" w:color="000000"/>
            </w:tcBorders>
            <w:vAlign w:val="center"/>
          </w:tcPr>
          <w:p w14:paraId="158199DD"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518.328.225</w:t>
            </w:r>
          </w:p>
        </w:tc>
        <w:tc>
          <w:tcPr>
            <w:tcW w:w="1678" w:type="dxa"/>
            <w:tcBorders>
              <w:bottom w:val="single" w:sz="4" w:space="0" w:color="000000"/>
            </w:tcBorders>
            <w:vAlign w:val="center"/>
          </w:tcPr>
          <w:p w14:paraId="27F8693C"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2.748.778.503</w:t>
            </w:r>
          </w:p>
        </w:tc>
        <w:tc>
          <w:tcPr>
            <w:tcW w:w="1678" w:type="dxa"/>
            <w:tcBorders>
              <w:bottom w:val="single" w:sz="4" w:space="0" w:color="000000"/>
            </w:tcBorders>
            <w:vAlign w:val="center"/>
          </w:tcPr>
          <w:p w14:paraId="7FE9F43E" w14:textId="77777777" w:rsidR="00D31E6D" w:rsidRPr="00361139" w:rsidRDefault="00D31E6D" w:rsidP="008144F7">
            <w:pPr>
              <w:ind w:right="27" w:firstLine="24"/>
              <w:jc w:val="right"/>
              <w:rPr>
                <w:rFonts w:asciiTheme="majorBidi" w:hAnsiTheme="majorBidi" w:cstheme="majorBidi"/>
                <w:i/>
                <w:sz w:val="18"/>
                <w:szCs w:val="18"/>
              </w:rPr>
            </w:pPr>
            <w:r w:rsidRPr="00361139">
              <w:rPr>
                <w:rFonts w:asciiTheme="majorBidi" w:hAnsiTheme="majorBidi" w:cstheme="majorBidi"/>
                <w:i/>
                <w:sz w:val="18"/>
                <w:szCs w:val="18"/>
              </w:rPr>
              <w:t>3.267.106.728</w:t>
            </w:r>
          </w:p>
        </w:tc>
      </w:tr>
      <w:tr w:rsidR="00D31E6D" w:rsidRPr="00361139" w14:paraId="127F9F2D" w14:textId="77777777" w:rsidTr="00D31E6D">
        <w:trPr>
          <w:cantSplit/>
          <w:trHeight w:val="567"/>
        </w:trPr>
        <w:tc>
          <w:tcPr>
            <w:tcW w:w="1533" w:type="dxa"/>
            <w:gridSpan w:val="4"/>
            <w:vMerge w:val="restart"/>
            <w:tcBorders>
              <w:top w:val="single" w:sz="4" w:space="0" w:color="000000"/>
            </w:tcBorders>
            <w:vAlign w:val="center"/>
          </w:tcPr>
          <w:p w14:paraId="71DEEC3F" w14:textId="77777777" w:rsidR="00D31E6D" w:rsidRPr="00361139" w:rsidRDefault="00D31E6D" w:rsidP="008144F7">
            <w:pPr>
              <w:ind w:right="-81"/>
              <w:jc w:val="center"/>
              <w:rPr>
                <w:rFonts w:asciiTheme="majorBidi" w:hAnsiTheme="majorBidi" w:cstheme="majorBidi"/>
                <w:b/>
                <w:sz w:val="18"/>
                <w:szCs w:val="18"/>
              </w:rPr>
            </w:pPr>
            <w:r w:rsidRPr="00361139">
              <w:rPr>
                <w:rFonts w:asciiTheme="majorBidi" w:hAnsiTheme="majorBidi" w:cstheme="majorBidi"/>
                <w:b/>
                <w:sz w:val="18"/>
                <w:szCs w:val="18"/>
              </w:rPr>
              <w:t>SIP</w:t>
            </w:r>
          </w:p>
        </w:tc>
        <w:tc>
          <w:tcPr>
            <w:tcW w:w="1546" w:type="dxa"/>
            <w:gridSpan w:val="5"/>
            <w:tcBorders>
              <w:top w:val="single" w:sz="4" w:space="0" w:color="000000"/>
            </w:tcBorders>
            <w:vAlign w:val="center"/>
          </w:tcPr>
          <w:p w14:paraId="101A2BD2"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1st Round (2018)</w:t>
            </w:r>
          </w:p>
        </w:tc>
        <w:tc>
          <w:tcPr>
            <w:tcW w:w="1293" w:type="dxa"/>
            <w:gridSpan w:val="5"/>
            <w:tcBorders>
              <w:top w:val="single" w:sz="4" w:space="0" w:color="000000"/>
            </w:tcBorders>
            <w:vAlign w:val="center"/>
          </w:tcPr>
          <w:p w14:paraId="570FBF60"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5</w:t>
            </w:r>
          </w:p>
        </w:tc>
        <w:tc>
          <w:tcPr>
            <w:tcW w:w="1423" w:type="dxa"/>
            <w:gridSpan w:val="3"/>
            <w:tcBorders>
              <w:top w:val="single" w:sz="4" w:space="0" w:color="000000"/>
            </w:tcBorders>
            <w:vAlign w:val="center"/>
          </w:tcPr>
          <w:p w14:paraId="122DA689" w14:textId="77777777" w:rsidR="00D31E6D" w:rsidRPr="00361139" w:rsidRDefault="00D31E6D" w:rsidP="008144F7">
            <w:pPr>
              <w:ind w:right="-81" w:firstLine="59"/>
              <w:jc w:val="center"/>
              <w:rPr>
                <w:rFonts w:asciiTheme="majorBidi" w:hAnsiTheme="majorBidi" w:cstheme="majorBidi"/>
                <w:sz w:val="18"/>
                <w:szCs w:val="18"/>
              </w:rPr>
            </w:pPr>
            <w:r w:rsidRPr="00361139">
              <w:rPr>
                <w:rFonts w:asciiTheme="majorBidi" w:hAnsiTheme="majorBidi" w:cstheme="majorBidi"/>
                <w:sz w:val="18"/>
                <w:szCs w:val="18"/>
              </w:rPr>
              <w:t>5</w:t>
            </w:r>
          </w:p>
        </w:tc>
        <w:tc>
          <w:tcPr>
            <w:tcW w:w="1680" w:type="dxa"/>
            <w:gridSpan w:val="5"/>
            <w:tcBorders>
              <w:top w:val="single" w:sz="4" w:space="0" w:color="000000"/>
            </w:tcBorders>
            <w:vAlign w:val="center"/>
          </w:tcPr>
          <w:p w14:paraId="7C5A9561" w14:textId="77777777" w:rsidR="00D31E6D" w:rsidRPr="00361139" w:rsidRDefault="00D31E6D" w:rsidP="008144F7">
            <w:pPr>
              <w:ind w:right="33" w:firstLine="22"/>
              <w:jc w:val="right"/>
              <w:rPr>
                <w:rFonts w:asciiTheme="majorBidi" w:hAnsiTheme="majorBidi" w:cstheme="majorBidi"/>
                <w:sz w:val="18"/>
                <w:szCs w:val="18"/>
              </w:rPr>
            </w:pPr>
            <w:r w:rsidRPr="00361139">
              <w:rPr>
                <w:rFonts w:asciiTheme="majorBidi" w:hAnsiTheme="majorBidi" w:cstheme="majorBidi"/>
                <w:sz w:val="18"/>
                <w:szCs w:val="18"/>
              </w:rPr>
              <w:t>961.663</w:t>
            </w:r>
          </w:p>
        </w:tc>
        <w:tc>
          <w:tcPr>
            <w:tcW w:w="1680" w:type="dxa"/>
            <w:gridSpan w:val="3"/>
            <w:tcBorders>
              <w:top w:val="single" w:sz="4" w:space="0" w:color="000000"/>
            </w:tcBorders>
            <w:vAlign w:val="center"/>
          </w:tcPr>
          <w:p w14:paraId="3A21B29C"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321.876</w:t>
            </w:r>
          </w:p>
        </w:tc>
        <w:tc>
          <w:tcPr>
            <w:tcW w:w="1680" w:type="dxa"/>
            <w:gridSpan w:val="5"/>
            <w:tcBorders>
              <w:top w:val="single" w:sz="4" w:space="0" w:color="000000"/>
            </w:tcBorders>
            <w:vAlign w:val="center"/>
          </w:tcPr>
          <w:p w14:paraId="39CDD4A0"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1.283.539</w:t>
            </w:r>
          </w:p>
        </w:tc>
        <w:tc>
          <w:tcPr>
            <w:tcW w:w="1678" w:type="dxa"/>
            <w:tcBorders>
              <w:top w:val="single" w:sz="4" w:space="0" w:color="000000"/>
            </w:tcBorders>
            <w:vAlign w:val="center"/>
          </w:tcPr>
          <w:p w14:paraId="2862E2AE"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427.410</w:t>
            </w:r>
          </w:p>
        </w:tc>
        <w:tc>
          <w:tcPr>
            <w:tcW w:w="1678" w:type="dxa"/>
            <w:tcBorders>
              <w:top w:val="single" w:sz="4" w:space="0" w:color="000000"/>
            </w:tcBorders>
            <w:vAlign w:val="center"/>
          </w:tcPr>
          <w:p w14:paraId="749EFDE8" w14:textId="77777777" w:rsidR="00D31E6D" w:rsidRPr="00361139" w:rsidRDefault="00D31E6D" w:rsidP="008144F7">
            <w:pPr>
              <w:ind w:right="27" w:firstLine="24"/>
              <w:jc w:val="right"/>
              <w:rPr>
                <w:rFonts w:asciiTheme="majorBidi" w:hAnsiTheme="majorBidi" w:cstheme="majorBidi"/>
                <w:sz w:val="18"/>
                <w:szCs w:val="18"/>
              </w:rPr>
            </w:pPr>
            <w:r w:rsidRPr="00361139">
              <w:rPr>
                <w:rFonts w:asciiTheme="majorBidi" w:hAnsiTheme="majorBidi" w:cstheme="majorBidi"/>
                <w:sz w:val="18"/>
                <w:szCs w:val="18"/>
              </w:rPr>
              <w:t>1.710.949</w:t>
            </w:r>
          </w:p>
        </w:tc>
      </w:tr>
      <w:tr w:rsidR="00D31E6D" w:rsidRPr="00361139" w14:paraId="0AFEBE9A" w14:textId="77777777" w:rsidTr="00D31E6D">
        <w:trPr>
          <w:cantSplit/>
          <w:trHeight w:val="567"/>
        </w:trPr>
        <w:tc>
          <w:tcPr>
            <w:tcW w:w="1533" w:type="dxa"/>
            <w:gridSpan w:val="4"/>
            <w:vMerge/>
            <w:vAlign w:val="center"/>
          </w:tcPr>
          <w:p w14:paraId="450A386C" w14:textId="77777777" w:rsidR="00D31E6D" w:rsidRPr="00361139" w:rsidRDefault="00D31E6D" w:rsidP="008144F7">
            <w:pPr>
              <w:ind w:right="-81"/>
              <w:jc w:val="center"/>
              <w:rPr>
                <w:rFonts w:asciiTheme="majorBidi" w:hAnsiTheme="majorBidi" w:cstheme="majorBidi"/>
                <w:sz w:val="18"/>
                <w:szCs w:val="18"/>
              </w:rPr>
            </w:pPr>
          </w:p>
        </w:tc>
        <w:tc>
          <w:tcPr>
            <w:tcW w:w="1546" w:type="dxa"/>
            <w:gridSpan w:val="5"/>
            <w:vAlign w:val="center"/>
          </w:tcPr>
          <w:p w14:paraId="34234E1E"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2nd Round (2019)</w:t>
            </w:r>
          </w:p>
        </w:tc>
        <w:tc>
          <w:tcPr>
            <w:tcW w:w="1293" w:type="dxa"/>
            <w:gridSpan w:val="5"/>
            <w:vAlign w:val="center"/>
          </w:tcPr>
          <w:p w14:paraId="4978A84B"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10</w:t>
            </w:r>
          </w:p>
        </w:tc>
        <w:tc>
          <w:tcPr>
            <w:tcW w:w="1423" w:type="dxa"/>
            <w:gridSpan w:val="3"/>
            <w:vAlign w:val="center"/>
          </w:tcPr>
          <w:p w14:paraId="34DD2574" w14:textId="77777777" w:rsidR="00D31E6D" w:rsidRPr="00361139" w:rsidRDefault="00D31E6D" w:rsidP="008144F7">
            <w:pPr>
              <w:ind w:right="-81" w:firstLine="59"/>
              <w:jc w:val="center"/>
              <w:rPr>
                <w:rFonts w:asciiTheme="majorBidi" w:hAnsiTheme="majorBidi" w:cstheme="majorBidi"/>
                <w:sz w:val="18"/>
                <w:szCs w:val="18"/>
              </w:rPr>
            </w:pPr>
            <w:r w:rsidRPr="00361139">
              <w:rPr>
                <w:rFonts w:asciiTheme="majorBidi" w:hAnsiTheme="majorBidi" w:cstheme="majorBidi"/>
                <w:sz w:val="18"/>
                <w:szCs w:val="18"/>
              </w:rPr>
              <w:t>10</w:t>
            </w:r>
          </w:p>
        </w:tc>
        <w:tc>
          <w:tcPr>
            <w:tcW w:w="1680" w:type="dxa"/>
            <w:gridSpan w:val="5"/>
            <w:vAlign w:val="center"/>
          </w:tcPr>
          <w:p w14:paraId="22F2B5AC" w14:textId="77777777" w:rsidR="00D31E6D" w:rsidRPr="00361139" w:rsidRDefault="00D31E6D" w:rsidP="008144F7">
            <w:pPr>
              <w:ind w:right="33" w:firstLine="22"/>
              <w:jc w:val="right"/>
              <w:rPr>
                <w:rFonts w:asciiTheme="majorBidi" w:hAnsiTheme="majorBidi" w:cstheme="majorBidi"/>
                <w:sz w:val="18"/>
                <w:szCs w:val="18"/>
              </w:rPr>
            </w:pPr>
            <w:r w:rsidRPr="00361139">
              <w:rPr>
                <w:rFonts w:asciiTheme="majorBidi" w:hAnsiTheme="majorBidi" w:cstheme="majorBidi"/>
                <w:sz w:val="18"/>
                <w:szCs w:val="18"/>
              </w:rPr>
              <w:t>1.977.564</w:t>
            </w:r>
          </w:p>
        </w:tc>
        <w:tc>
          <w:tcPr>
            <w:tcW w:w="1680" w:type="dxa"/>
            <w:gridSpan w:val="3"/>
            <w:vAlign w:val="center"/>
          </w:tcPr>
          <w:p w14:paraId="54305BDA"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440.808</w:t>
            </w:r>
          </w:p>
        </w:tc>
        <w:tc>
          <w:tcPr>
            <w:tcW w:w="1680" w:type="dxa"/>
            <w:gridSpan w:val="5"/>
            <w:vAlign w:val="center"/>
          </w:tcPr>
          <w:p w14:paraId="5E40A843"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2.418.372</w:t>
            </w:r>
          </w:p>
        </w:tc>
        <w:tc>
          <w:tcPr>
            <w:tcW w:w="1678" w:type="dxa"/>
            <w:vAlign w:val="center"/>
          </w:tcPr>
          <w:p w14:paraId="71840C05"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622.124</w:t>
            </w:r>
          </w:p>
        </w:tc>
        <w:tc>
          <w:tcPr>
            <w:tcW w:w="1678" w:type="dxa"/>
            <w:vAlign w:val="center"/>
          </w:tcPr>
          <w:p w14:paraId="71CE1B6B" w14:textId="77777777" w:rsidR="00D31E6D" w:rsidRPr="00361139" w:rsidRDefault="00D31E6D" w:rsidP="008144F7">
            <w:pPr>
              <w:ind w:right="27" w:firstLine="24"/>
              <w:jc w:val="right"/>
              <w:rPr>
                <w:rFonts w:asciiTheme="majorBidi" w:hAnsiTheme="majorBidi" w:cstheme="majorBidi"/>
                <w:sz w:val="18"/>
                <w:szCs w:val="18"/>
              </w:rPr>
            </w:pPr>
            <w:r w:rsidRPr="00361139">
              <w:rPr>
                <w:rFonts w:asciiTheme="majorBidi" w:hAnsiTheme="majorBidi" w:cstheme="majorBidi"/>
                <w:sz w:val="18"/>
                <w:szCs w:val="18"/>
              </w:rPr>
              <w:t>3.040.496</w:t>
            </w:r>
          </w:p>
        </w:tc>
      </w:tr>
      <w:tr w:rsidR="00D31E6D" w:rsidRPr="00361139" w14:paraId="3A358A04" w14:textId="77777777" w:rsidTr="00D31E6D">
        <w:trPr>
          <w:cantSplit/>
          <w:trHeight w:val="567"/>
        </w:trPr>
        <w:tc>
          <w:tcPr>
            <w:tcW w:w="1533" w:type="dxa"/>
            <w:gridSpan w:val="4"/>
            <w:vMerge/>
            <w:tcBorders>
              <w:bottom w:val="single" w:sz="4" w:space="0" w:color="000000"/>
            </w:tcBorders>
            <w:vAlign w:val="center"/>
          </w:tcPr>
          <w:p w14:paraId="69E2CE9E" w14:textId="77777777" w:rsidR="00D31E6D" w:rsidRPr="00361139" w:rsidRDefault="00D31E6D" w:rsidP="008144F7">
            <w:pPr>
              <w:ind w:right="-81"/>
              <w:jc w:val="center"/>
              <w:rPr>
                <w:rFonts w:asciiTheme="majorBidi" w:hAnsiTheme="majorBidi" w:cstheme="majorBidi"/>
                <w:sz w:val="18"/>
                <w:szCs w:val="18"/>
              </w:rPr>
            </w:pPr>
          </w:p>
        </w:tc>
        <w:tc>
          <w:tcPr>
            <w:tcW w:w="1546" w:type="dxa"/>
            <w:gridSpan w:val="5"/>
            <w:tcBorders>
              <w:bottom w:val="single" w:sz="4" w:space="0" w:color="000000"/>
            </w:tcBorders>
            <w:vAlign w:val="center"/>
          </w:tcPr>
          <w:p w14:paraId="3D1D77D6" w14:textId="20139F0B"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3rd Round (2020</w:t>
            </w:r>
            <w:r w:rsidR="00BF549F" w:rsidRPr="00361139">
              <w:rPr>
                <w:rFonts w:ascii="Symbol" w:eastAsia="Symbol" w:hAnsi="Symbol" w:cs="Symbol"/>
              </w:rPr>
              <w:t></w:t>
            </w:r>
            <w:r w:rsidRPr="00361139">
              <w:rPr>
                <w:rFonts w:asciiTheme="majorBidi" w:hAnsiTheme="majorBidi" w:cstheme="majorBidi"/>
                <w:sz w:val="18"/>
                <w:szCs w:val="18"/>
              </w:rPr>
              <w:t>2021)</w:t>
            </w:r>
          </w:p>
        </w:tc>
        <w:tc>
          <w:tcPr>
            <w:tcW w:w="1293" w:type="dxa"/>
            <w:gridSpan w:val="5"/>
            <w:vAlign w:val="center"/>
          </w:tcPr>
          <w:p w14:paraId="2E8B30EC" w14:textId="77777777" w:rsidR="00D31E6D" w:rsidRPr="00361139" w:rsidRDefault="00D31E6D" w:rsidP="008144F7">
            <w:pPr>
              <w:ind w:right="-81"/>
              <w:jc w:val="center"/>
              <w:rPr>
                <w:rFonts w:asciiTheme="majorBidi" w:hAnsiTheme="majorBidi" w:cstheme="majorBidi"/>
                <w:sz w:val="18"/>
                <w:szCs w:val="18"/>
              </w:rPr>
            </w:pPr>
            <w:r w:rsidRPr="00361139">
              <w:rPr>
                <w:rFonts w:asciiTheme="majorBidi" w:hAnsiTheme="majorBidi" w:cstheme="majorBidi"/>
                <w:sz w:val="18"/>
                <w:szCs w:val="18"/>
              </w:rPr>
              <w:t>9</w:t>
            </w:r>
          </w:p>
        </w:tc>
        <w:tc>
          <w:tcPr>
            <w:tcW w:w="1423" w:type="dxa"/>
            <w:gridSpan w:val="3"/>
            <w:vAlign w:val="center"/>
          </w:tcPr>
          <w:p w14:paraId="2CE0A1F5" w14:textId="77777777" w:rsidR="00D31E6D" w:rsidRPr="00361139" w:rsidRDefault="00D31E6D" w:rsidP="008144F7">
            <w:pPr>
              <w:ind w:right="-81" w:firstLine="59"/>
              <w:jc w:val="center"/>
              <w:rPr>
                <w:rFonts w:asciiTheme="majorBidi" w:hAnsiTheme="majorBidi" w:cstheme="majorBidi"/>
                <w:sz w:val="18"/>
                <w:szCs w:val="18"/>
              </w:rPr>
            </w:pPr>
            <w:r w:rsidRPr="00361139">
              <w:rPr>
                <w:rFonts w:asciiTheme="majorBidi" w:hAnsiTheme="majorBidi" w:cstheme="majorBidi"/>
                <w:sz w:val="18"/>
                <w:szCs w:val="18"/>
              </w:rPr>
              <w:t>11</w:t>
            </w:r>
          </w:p>
        </w:tc>
        <w:tc>
          <w:tcPr>
            <w:tcW w:w="1680" w:type="dxa"/>
            <w:gridSpan w:val="5"/>
            <w:vAlign w:val="center"/>
          </w:tcPr>
          <w:p w14:paraId="40B1EDC6" w14:textId="77777777" w:rsidR="00D31E6D" w:rsidRPr="00361139" w:rsidRDefault="00D31E6D" w:rsidP="008144F7">
            <w:pPr>
              <w:ind w:right="33" w:firstLine="22"/>
              <w:jc w:val="right"/>
              <w:rPr>
                <w:rFonts w:asciiTheme="majorBidi" w:hAnsiTheme="majorBidi" w:cstheme="majorBidi"/>
                <w:sz w:val="18"/>
                <w:szCs w:val="18"/>
              </w:rPr>
            </w:pPr>
            <w:r w:rsidRPr="00361139">
              <w:rPr>
                <w:rFonts w:asciiTheme="majorBidi" w:hAnsiTheme="majorBidi" w:cstheme="majorBidi"/>
                <w:sz w:val="18"/>
                <w:szCs w:val="18"/>
              </w:rPr>
              <w:t>2.193.842</w:t>
            </w:r>
          </w:p>
        </w:tc>
        <w:tc>
          <w:tcPr>
            <w:tcW w:w="1680" w:type="dxa"/>
            <w:gridSpan w:val="3"/>
            <w:vAlign w:val="center"/>
          </w:tcPr>
          <w:p w14:paraId="04FBA07F"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280.069</w:t>
            </w:r>
          </w:p>
        </w:tc>
        <w:tc>
          <w:tcPr>
            <w:tcW w:w="1680" w:type="dxa"/>
            <w:gridSpan w:val="5"/>
            <w:vAlign w:val="center"/>
          </w:tcPr>
          <w:p w14:paraId="4448DA44"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2.473.911</w:t>
            </w:r>
          </w:p>
        </w:tc>
        <w:tc>
          <w:tcPr>
            <w:tcW w:w="1678" w:type="dxa"/>
            <w:vAlign w:val="center"/>
          </w:tcPr>
          <w:p w14:paraId="39EA2A09" w14:textId="77777777" w:rsidR="00D31E6D" w:rsidRPr="00361139" w:rsidRDefault="00D31E6D" w:rsidP="008144F7">
            <w:pPr>
              <w:jc w:val="right"/>
              <w:rPr>
                <w:rFonts w:asciiTheme="majorBidi" w:hAnsiTheme="majorBidi" w:cstheme="majorBidi"/>
                <w:sz w:val="18"/>
                <w:szCs w:val="18"/>
              </w:rPr>
            </w:pPr>
            <w:r w:rsidRPr="00361139">
              <w:rPr>
                <w:rFonts w:asciiTheme="majorBidi" w:hAnsiTheme="majorBidi" w:cstheme="majorBidi"/>
                <w:sz w:val="18"/>
                <w:szCs w:val="18"/>
              </w:rPr>
              <w:t>1.633.662</w:t>
            </w:r>
          </w:p>
        </w:tc>
        <w:tc>
          <w:tcPr>
            <w:tcW w:w="1678" w:type="dxa"/>
            <w:vAlign w:val="center"/>
          </w:tcPr>
          <w:p w14:paraId="675B721C" w14:textId="77777777" w:rsidR="00D31E6D" w:rsidRPr="00361139" w:rsidRDefault="00D31E6D" w:rsidP="008144F7">
            <w:pPr>
              <w:ind w:right="27" w:firstLine="24"/>
              <w:jc w:val="right"/>
              <w:rPr>
                <w:rFonts w:asciiTheme="majorBidi" w:hAnsiTheme="majorBidi" w:cstheme="majorBidi"/>
                <w:sz w:val="18"/>
                <w:szCs w:val="18"/>
              </w:rPr>
            </w:pPr>
            <w:r w:rsidRPr="00361139">
              <w:rPr>
                <w:rFonts w:asciiTheme="majorBidi" w:hAnsiTheme="majorBidi" w:cstheme="majorBidi"/>
                <w:sz w:val="18"/>
                <w:szCs w:val="18"/>
              </w:rPr>
              <w:t>4.107.573</w:t>
            </w:r>
          </w:p>
        </w:tc>
      </w:tr>
      <w:tr w:rsidR="00D31E6D" w:rsidRPr="00361139" w14:paraId="14EB5FC9" w14:textId="77777777" w:rsidTr="00D31E6D">
        <w:trPr>
          <w:cantSplit/>
          <w:trHeight w:val="397"/>
        </w:trPr>
        <w:tc>
          <w:tcPr>
            <w:tcW w:w="1533" w:type="dxa"/>
            <w:gridSpan w:val="4"/>
            <w:tcBorders>
              <w:bottom w:val="single" w:sz="4" w:space="0" w:color="000000"/>
              <w:right w:val="nil"/>
            </w:tcBorders>
            <w:vAlign w:val="center"/>
          </w:tcPr>
          <w:p w14:paraId="32FCA03C" w14:textId="77777777" w:rsidR="00D31E6D" w:rsidRPr="00361139" w:rsidRDefault="00D31E6D" w:rsidP="008144F7">
            <w:pPr>
              <w:ind w:right="-81"/>
              <w:jc w:val="right"/>
              <w:rPr>
                <w:rFonts w:asciiTheme="majorBidi" w:hAnsiTheme="majorBidi" w:cstheme="majorBidi"/>
                <w:i/>
                <w:sz w:val="18"/>
                <w:szCs w:val="18"/>
              </w:rPr>
            </w:pPr>
            <w:r w:rsidRPr="00361139">
              <w:rPr>
                <w:rFonts w:asciiTheme="majorBidi" w:hAnsiTheme="majorBidi" w:cstheme="majorBidi"/>
                <w:i/>
                <w:sz w:val="18"/>
                <w:szCs w:val="18"/>
              </w:rPr>
              <w:t>Sub-totals</w:t>
            </w:r>
          </w:p>
        </w:tc>
        <w:tc>
          <w:tcPr>
            <w:tcW w:w="1546" w:type="dxa"/>
            <w:gridSpan w:val="5"/>
            <w:tcBorders>
              <w:left w:val="nil"/>
              <w:bottom w:val="single" w:sz="4" w:space="0" w:color="000000"/>
            </w:tcBorders>
            <w:vAlign w:val="center"/>
          </w:tcPr>
          <w:p w14:paraId="209BDD0A" w14:textId="77777777" w:rsidR="00D31E6D" w:rsidRPr="00361139" w:rsidRDefault="00D31E6D" w:rsidP="008144F7">
            <w:pPr>
              <w:ind w:right="-81"/>
              <w:jc w:val="center"/>
              <w:rPr>
                <w:rFonts w:asciiTheme="majorBidi" w:hAnsiTheme="majorBidi" w:cstheme="majorBidi"/>
                <w:i/>
                <w:sz w:val="18"/>
                <w:szCs w:val="18"/>
              </w:rPr>
            </w:pPr>
          </w:p>
        </w:tc>
        <w:tc>
          <w:tcPr>
            <w:tcW w:w="1293" w:type="dxa"/>
            <w:gridSpan w:val="5"/>
            <w:tcBorders>
              <w:bottom w:val="single" w:sz="4" w:space="0" w:color="000000"/>
            </w:tcBorders>
            <w:vAlign w:val="center"/>
          </w:tcPr>
          <w:p w14:paraId="167B87CD" w14:textId="77777777" w:rsidR="00D31E6D" w:rsidRPr="00361139" w:rsidRDefault="00D31E6D" w:rsidP="008144F7">
            <w:pPr>
              <w:ind w:right="-81"/>
              <w:jc w:val="center"/>
              <w:rPr>
                <w:rFonts w:asciiTheme="majorBidi" w:hAnsiTheme="majorBidi" w:cstheme="majorBidi"/>
                <w:i/>
                <w:sz w:val="18"/>
                <w:szCs w:val="18"/>
              </w:rPr>
            </w:pPr>
            <w:r w:rsidRPr="00361139">
              <w:rPr>
                <w:rFonts w:asciiTheme="majorBidi" w:hAnsiTheme="majorBidi" w:cstheme="majorBidi"/>
                <w:i/>
                <w:sz w:val="18"/>
                <w:szCs w:val="18"/>
              </w:rPr>
              <w:t>24</w:t>
            </w:r>
          </w:p>
        </w:tc>
        <w:tc>
          <w:tcPr>
            <w:tcW w:w="1423" w:type="dxa"/>
            <w:gridSpan w:val="3"/>
            <w:tcBorders>
              <w:bottom w:val="single" w:sz="4" w:space="0" w:color="000000"/>
            </w:tcBorders>
            <w:vAlign w:val="center"/>
          </w:tcPr>
          <w:p w14:paraId="1C157BAC" w14:textId="77777777" w:rsidR="00D31E6D" w:rsidRPr="00361139" w:rsidRDefault="00D31E6D" w:rsidP="008144F7">
            <w:pPr>
              <w:ind w:right="-81" w:firstLine="59"/>
              <w:jc w:val="center"/>
              <w:rPr>
                <w:rFonts w:asciiTheme="majorBidi" w:hAnsiTheme="majorBidi" w:cstheme="majorBidi"/>
                <w:i/>
                <w:sz w:val="18"/>
                <w:szCs w:val="18"/>
              </w:rPr>
            </w:pPr>
            <w:r w:rsidRPr="00361139">
              <w:rPr>
                <w:rFonts w:asciiTheme="majorBidi" w:hAnsiTheme="majorBidi" w:cstheme="majorBidi"/>
                <w:i/>
                <w:sz w:val="18"/>
                <w:szCs w:val="18"/>
              </w:rPr>
              <w:t>24</w:t>
            </w:r>
          </w:p>
        </w:tc>
        <w:tc>
          <w:tcPr>
            <w:tcW w:w="1680" w:type="dxa"/>
            <w:gridSpan w:val="5"/>
            <w:tcBorders>
              <w:bottom w:val="single" w:sz="4" w:space="0" w:color="000000"/>
            </w:tcBorders>
            <w:vAlign w:val="center"/>
          </w:tcPr>
          <w:p w14:paraId="7F3631CC" w14:textId="77777777" w:rsidR="00D31E6D" w:rsidRPr="00361139" w:rsidRDefault="00D31E6D" w:rsidP="008144F7">
            <w:pPr>
              <w:ind w:right="33" w:firstLine="22"/>
              <w:jc w:val="right"/>
              <w:rPr>
                <w:rFonts w:asciiTheme="majorBidi" w:hAnsiTheme="majorBidi" w:cstheme="majorBidi"/>
                <w:i/>
                <w:sz w:val="18"/>
                <w:szCs w:val="18"/>
              </w:rPr>
            </w:pPr>
            <w:r w:rsidRPr="00361139">
              <w:rPr>
                <w:rFonts w:asciiTheme="majorBidi" w:hAnsiTheme="majorBidi" w:cstheme="majorBidi"/>
                <w:i/>
                <w:sz w:val="18"/>
                <w:szCs w:val="18"/>
              </w:rPr>
              <w:t>5.133.069</w:t>
            </w:r>
          </w:p>
        </w:tc>
        <w:tc>
          <w:tcPr>
            <w:tcW w:w="1680" w:type="dxa"/>
            <w:gridSpan w:val="3"/>
            <w:tcBorders>
              <w:bottom w:val="single" w:sz="4" w:space="0" w:color="000000"/>
            </w:tcBorders>
            <w:vAlign w:val="center"/>
          </w:tcPr>
          <w:p w14:paraId="5D2167C7"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1.042.753</w:t>
            </w:r>
          </w:p>
        </w:tc>
        <w:tc>
          <w:tcPr>
            <w:tcW w:w="1680" w:type="dxa"/>
            <w:gridSpan w:val="5"/>
            <w:tcBorders>
              <w:bottom w:val="single" w:sz="4" w:space="0" w:color="000000"/>
            </w:tcBorders>
            <w:vAlign w:val="center"/>
          </w:tcPr>
          <w:p w14:paraId="6597231E"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6.175.822</w:t>
            </w:r>
          </w:p>
        </w:tc>
        <w:tc>
          <w:tcPr>
            <w:tcW w:w="1678" w:type="dxa"/>
            <w:tcBorders>
              <w:bottom w:val="single" w:sz="4" w:space="0" w:color="000000"/>
            </w:tcBorders>
            <w:vAlign w:val="center"/>
          </w:tcPr>
          <w:p w14:paraId="722B3054" w14:textId="77777777" w:rsidR="00D31E6D" w:rsidRPr="00361139" w:rsidRDefault="00D31E6D" w:rsidP="008144F7">
            <w:pPr>
              <w:jc w:val="right"/>
              <w:rPr>
                <w:rFonts w:asciiTheme="majorBidi" w:hAnsiTheme="majorBidi" w:cstheme="majorBidi"/>
                <w:i/>
                <w:sz w:val="18"/>
                <w:szCs w:val="18"/>
              </w:rPr>
            </w:pPr>
            <w:r w:rsidRPr="00361139">
              <w:rPr>
                <w:rFonts w:asciiTheme="majorBidi" w:hAnsiTheme="majorBidi" w:cstheme="majorBidi"/>
                <w:i/>
                <w:sz w:val="18"/>
                <w:szCs w:val="18"/>
              </w:rPr>
              <w:t>2.683.196</w:t>
            </w:r>
          </w:p>
        </w:tc>
        <w:tc>
          <w:tcPr>
            <w:tcW w:w="1678" w:type="dxa"/>
            <w:tcBorders>
              <w:bottom w:val="single" w:sz="4" w:space="0" w:color="000000"/>
            </w:tcBorders>
            <w:vAlign w:val="center"/>
          </w:tcPr>
          <w:p w14:paraId="7DE9FF12" w14:textId="77777777" w:rsidR="00D31E6D" w:rsidRPr="00361139" w:rsidRDefault="00D31E6D" w:rsidP="008144F7">
            <w:pPr>
              <w:ind w:right="27" w:firstLine="24"/>
              <w:jc w:val="right"/>
              <w:rPr>
                <w:rFonts w:asciiTheme="majorBidi" w:hAnsiTheme="majorBidi" w:cstheme="majorBidi"/>
                <w:i/>
                <w:sz w:val="18"/>
                <w:szCs w:val="18"/>
              </w:rPr>
            </w:pPr>
            <w:r w:rsidRPr="00361139">
              <w:rPr>
                <w:rFonts w:asciiTheme="majorBidi" w:hAnsiTheme="majorBidi" w:cstheme="majorBidi"/>
                <w:i/>
                <w:sz w:val="18"/>
                <w:szCs w:val="18"/>
              </w:rPr>
              <w:t>8.859.018</w:t>
            </w:r>
          </w:p>
        </w:tc>
      </w:tr>
      <w:tr w:rsidR="00D31E6D" w:rsidRPr="00361139" w14:paraId="24059AF2" w14:textId="77777777" w:rsidTr="00D31E6D">
        <w:tblPrEx>
          <w:jc w:val="center"/>
          <w:tblInd w:w="0" w:type="dxa"/>
        </w:tblPrEx>
        <w:trPr>
          <w:gridAfter w:val="3"/>
          <w:wAfter w:w="3740" w:type="dxa"/>
          <w:cantSplit/>
          <w:trHeight w:hRule="exact" w:val="57"/>
          <w:jc w:val="center"/>
        </w:trPr>
        <w:tc>
          <w:tcPr>
            <w:tcW w:w="1253" w:type="dxa"/>
            <w:gridSpan w:val="3"/>
            <w:tcBorders>
              <w:left w:val="nil"/>
              <w:right w:val="nil"/>
            </w:tcBorders>
            <w:vAlign w:val="center"/>
          </w:tcPr>
          <w:p w14:paraId="24C65A71" w14:textId="77777777" w:rsidR="00D31E6D" w:rsidRPr="00361139" w:rsidRDefault="00D31E6D" w:rsidP="008144F7">
            <w:pPr>
              <w:ind w:right="-81" w:hanging="28"/>
              <w:jc w:val="center"/>
              <w:rPr>
                <w:rFonts w:asciiTheme="majorBidi" w:hAnsiTheme="majorBidi" w:cstheme="majorBidi"/>
                <w:sz w:val="18"/>
                <w:szCs w:val="18"/>
              </w:rPr>
            </w:pPr>
          </w:p>
        </w:tc>
        <w:tc>
          <w:tcPr>
            <w:tcW w:w="765" w:type="dxa"/>
            <w:gridSpan w:val="3"/>
            <w:tcBorders>
              <w:left w:val="nil"/>
              <w:right w:val="nil"/>
            </w:tcBorders>
            <w:vAlign w:val="center"/>
          </w:tcPr>
          <w:p w14:paraId="68887245" w14:textId="77777777" w:rsidR="00D31E6D" w:rsidRPr="00361139" w:rsidRDefault="00D31E6D" w:rsidP="008144F7">
            <w:pPr>
              <w:ind w:right="-81" w:hanging="28"/>
              <w:jc w:val="center"/>
              <w:rPr>
                <w:rFonts w:asciiTheme="majorBidi" w:hAnsiTheme="majorBidi" w:cstheme="majorBidi"/>
                <w:sz w:val="18"/>
                <w:szCs w:val="18"/>
              </w:rPr>
            </w:pPr>
          </w:p>
        </w:tc>
        <w:tc>
          <w:tcPr>
            <w:tcW w:w="765" w:type="dxa"/>
            <w:gridSpan w:val="2"/>
            <w:tcBorders>
              <w:left w:val="nil"/>
              <w:right w:val="nil"/>
            </w:tcBorders>
            <w:vAlign w:val="center"/>
          </w:tcPr>
          <w:p w14:paraId="5594BD5F" w14:textId="77777777" w:rsidR="00D31E6D" w:rsidRPr="00361139" w:rsidRDefault="00D31E6D" w:rsidP="008144F7">
            <w:pPr>
              <w:ind w:right="-81" w:hanging="28"/>
              <w:jc w:val="center"/>
              <w:rPr>
                <w:rFonts w:asciiTheme="majorBidi" w:hAnsiTheme="majorBidi" w:cstheme="majorBidi"/>
                <w:sz w:val="18"/>
                <w:szCs w:val="18"/>
              </w:rPr>
            </w:pPr>
          </w:p>
        </w:tc>
        <w:tc>
          <w:tcPr>
            <w:tcW w:w="766" w:type="dxa"/>
            <w:gridSpan w:val="3"/>
            <w:tcBorders>
              <w:left w:val="nil"/>
              <w:right w:val="nil"/>
            </w:tcBorders>
            <w:vAlign w:val="center"/>
          </w:tcPr>
          <w:p w14:paraId="4631CC77" w14:textId="77777777" w:rsidR="00D31E6D" w:rsidRPr="00361139" w:rsidRDefault="00D31E6D" w:rsidP="008144F7">
            <w:pPr>
              <w:ind w:right="-81" w:hanging="28"/>
              <w:jc w:val="center"/>
              <w:rPr>
                <w:rFonts w:asciiTheme="majorBidi" w:hAnsiTheme="majorBidi" w:cstheme="majorBidi"/>
                <w:sz w:val="18"/>
                <w:szCs w:val="18"/>
              </w:rPr>
            </w:pPr>
          </w:p>
        </w:tc>
        <w:tc>
          <w:tcPr>
            <w:tcW w:w="765" w:type="dxa"/>
            <w:gridSpan w:val="2"/>
            <w:tcBorders>
              <w:left w:val="nil"/>
              <w:right w:val="nil"/>
            </w:tcBorders>
            <w:vAlign w:val="center"/>
          </w:tcPr>
          <w:p w14:paraId="7F7DBABB" w14:textId="77777777" w:rsidR="00D31E6D" w:rsidRPr="00361139" w:rsidRDefault="00D31E6D" w:rsidP="008144F7">
            <w:pPr>
              <w:ind w:right="-81" w:firstLine="7"/>
              <w:jc w:val="center"/>
              <w:rPr>
                <w:rFonts w:asciiTheme="majorBidi" w:hAnsiTheme="majorBidi" w:cstheme="majorBidi"/>
                <w:sz w:val="18"/>
                <w:szCs w:val="18"/>
              </w:rPr>
            </w:pPr>
          </w:p>
        </w:tc>
        <w:tc>
          <w:tcPr>
            <w:tcW w:w="1022" w:type="dxa"/>
            <w:gridSpan w:val="3"/>
            <w:tcBorders>
              <w:left w:val="nil"/>
              <w:right w:val="nil"/>
            </w:tcBorders>
            <w:vAlign w:val="center"/>
          </w:tcPr>
          <w:p w14:paraId="15719F68" w14:textId="77777777" w:rsidR="00D31E6D" w:rsidRPr="00361139" w:rsidRDefault="00D31E6D" w:rsidP="008144F7">
            <w:pPr>
              <w:ind w:right="-81" w:hanging="28"/>
              <w:jc w:val="center"/>
              <w:rPr>
                <w:rFonts w:asciiTheme="majorBidi" w:hAnsiTheme="majorBidi" w:cstheme="majorBidi"/>
                <w:sz w:val="18"/>
                <w:szCs w:val="18"/>
              </w:rPr>
            </w:pPr>
          </w:p>
        </w:tc>
        <w:tc>
          <w:tcPr>
            <w:tcW w:w="1022" w:type="dxa"/>
            <w:gridSpan w:val="3"/>
            <w:tcBorders>
              <w:left w:val="nil"/>
              <w:right w:val="nil"/>
            </w:tcBorders>
            <w:vAlign w:val="center"/>
          </w:tcPr>
          <w:p w14:paraId="42FD1BD8" w14:textId="77777777" w:rsidR="00D31E6D" w:rsidRPr="00361139" w:rsidRDefault="00D31E6D" w:rsidP="008144F7">
            <w:pPr>
              <w:ind w:right="-81" w:hanging="19"/>
              <w:jc w:val="center"/>
              <w:rPr>
                <w:rFonts w:asciiTheme="majorBidi" w:hAnsiTheme="majorBidi" w:cstheme="majorBidi"/>
                <w:sz w:val="18"/>
                <w:szCs w:val="18"/>
              </w:rPr>
            </w:pPr>
          </w:p>
        </w:tc>
        <w:tc>
          <w:tcPr>
            <w:tcW w:w="1023" w:type="dxa"/>
            <w:gridSpan w:val="2"/>
            <w:tcBorders>
              <w:left w:val="nil"/>
              <w:right w:val="nil"/>
            </w:tcBorders>
            <w:vAlign w:val="center"/>
          </w:tcPr>
          <w:p w14:paraId="0321F6C1" w14:textId="77777777" w:rsidR="00D31E6D" w:rsidRPr="00361139" w:rsidRDefault="00D31E6D" w:rsidP="008144F7">
            <w:pPr>
              <w:ind w:right="-81" w:hanging="28"/>
              <w:jc w:val="center"/>
              <w:rPr>
                <w:rFonts w:asciiTheme="majorBidi" w:hAnsiTheme="majorBidi" w:cstheme="majorBidi"/>
                <w:sz w:val="18"/>
                <w:szCs w:val="18"/>
              </w:rPr>
            </w:pPr>
          </w:p>
        </w:tc>
        <w:tc>
          <w:tcPr>
            <w:tcW w:w="1023" w:type="dxa"/>
            <w:gridSpan w:val="3"/>
            <w:tcBorders>
              <w:left w:val="nil"/>
              <w:right w:val="nil"/>
            </w:tcBorders>
            <w:vAlign w:val="center"/>
          </w:tcPr>
          <w:p w14:paraId="4903EFF4" w14:textId="77777777" w:rsidR="00D31E6D" w:rsidRPr="00361139" w:rsidRDefault="00D31E6D" w:rsidP="008144F7">
            <w:pPr>
              <w:ind w:right="-81" w:hanging="28"/>
              <w:jc w:val="center"/>
              <w:rPr>
                <w:rFonts w:asciiTheme="majorBidi" w:hAnsiTheme="majorBidi" w:cstheme="majorBidi"/>
                <w:sz w:val="18"/>
                <w:szCs w:val="18"/>
              </w:rPr>
            </w:pPr>
          </w:p>
        </w:tc>
        <w:tc>
          <w:tcPr>
            <w:tcW w:w="1023" w:type="dxa"/>
            <w:gridSpan w:val="3"/>
            <w:tcBorders>
              <w:left w:val="nil"/>
              <w:right w:val="nil"/>
            </w:tcBorders>
            <w:vAlign w:val="center"/>
          </w:tcPr>
          <w:p w14:paraId="37193311" w14:textId="77777777" w:rsidR="00D31E6D" w:rsidRPr="00361139" w:rsidRDefault="00D31E6D" w:rsidP="008144F7">
            <w:pPr>
              <w:ind w:right="-81" w:hanging="28"/>
              <w:jc w:val="center"/>
              <w:rPr>
                <w:rFonts w:asciiTheme="majorBidi" w:hAnsiTheme="majorBidi" w:cstheme="majorBidi"/>
                <w:sz w:val="18"/>
                <w:szCs w:val="18"/>
              </w:rPr>
            </w:pPr>
          </w:p>
        </w:tc>
        <w:tc>
          <w:tcPr>
            <w:tcW w:w="1024" w:type="dxa"/>
            <w:gridSpan w:val="2"/>
            <w:tcBorders>
              <w:left w:val="nil"/>
              <w:right w:val="nil"/>
            </w:tcBorders>
            <w:vAlign w:val="center"/>
          </w:tcPr>
          <w:p w14:paraId="5CC8F255" w14:textId="77777777" w:rsidR="00D31E6D" w:rsidRPr="00361139" w:rsidRDefault="00D31E6D" w:rsidP="008144F7">
            <w:pPr>
              <w:ind w:right="-81" w:hanging="28"/>
              <w:jc w:val="center"/>
              <w:rPr>
                <w:rFonts w:asciiTheme="majorBidi" w:hAnsiTheme="majorBidi" w:cstheme="majorBidi"/>
                <w:sz w:val="18"/>
                <w:szCs w:val="18"/>
              </w:rPr>
            </w:pPr>
          </w:p>
        </w:tc>
      </w:tr>
      <w:tr w:rsidR="00D31E6D" w:rsidRPr="00361139" w14:paraId="4C54E677" w14:textId="77777777" w:rsidTr="00D31E6D">
        <w:trPr>
          <w:cantSplit/>
          <w:trHeight w:val="567"/>
        </w:trPr>
        <w:tc>
          <w:tcPr>
            <w:tcW w:w="1533" w:type="dxa"/>
            <w:gridSpan w:val="4"/>
            <w:tcBorders>
              <w:right w:val="nil"/>
            </w:tcBorders>
            <w:vAlign w:val="center"/>
          </w:tcPr>
          <w:p w14:paraId="0615F741" w14:textId="77777777" w:rsidR="00D31E6D" w:rsidRPr="00361139" w:rsidRDefault="00D31E6D" w:rsidP="008144F7">
            <w:pPr>
              <w:ind w:right="-81"/>
              <w:jc w:val="center"/>
              <w:rPr>
                <w:rFonts w:asciiTheme="majorBidi" w:hAnsiTheme="majorBidi" w:cstheme="majorBidi"/>
                <w:b/>
                <w:sz w:val="18"/>
                <w:szCs w:val="18"/>
              </w:rPr>
            </w:pPr>
            <w:r w:rsidRPr="00361139">
              <w:rPr>
                <w:rFonts w:asciiTheme="majorBidi" w:hAnsiTheme="majorBidi" w:cstheme="majorBidi"/>
                <w:b/>
                <w:sz w:val="18"/>
                <w:szCs w:val="18"/>
              </w:rPr>
              <w:t>Totals</w:t>
            </w:r>
          </w:p>
        </w:tc>
        <w:tc>
          <w:tcPr>
            <w:tcW w:w="1546" w:type="dxa"/>
            <w:gridSpan w:val="5"/>
            <w:tcBorders>
              <w:left w:val="nil"/>
              <w:bottom w:val="single" w:sz="4" w:space="0" w:color="000000"/>
            </w:tcBorders>
            <w:vAlign w:val="center"/>
          </w:tcPr>
          <w:p w14:paraId="13BB3B14" w14:textId="77777777" w:rsidR="00D31E6D" w:rsidRPr="00361139" w:rsidRDefault="00D31E6D" w:rsidP="008144F7">
            <w:pPr>
              <w:ind w:right="-81"/>
              <w:jc w:val="center"/>
              <w:rPr>
                <w:rFonts w:asciiTheme="majorBidi" w:hAnsiTheme="majorBidi" w:cstheme="majorBidi"/>
                <w:b/>
                <w:sz w:val="18"/>
                <w:szCs w:val="18"/>
              </w:rPr>
            </w:pPr>
          </w:p>
        </w:tc>
        <w:tc>
          <w:tcPr>
            <w:tcW w:w="1293" w:type="dxa"/>
            <w:gridSpan w:val="5"/>
            <w:tcBorders>
              <w:bottom w:val="single" w:sz="4" w:space="0" w:color="000000"/>
            </w:tcBorders>
            <w:vAlign w:val="center"/>
          </w:tcPr>
          <w:p w14:paraId="10D6262A" w14:textId="77777777" w:rsidR="00D31E6D" w:rsidRPr="00361139" w:rsidRDefault="00D31E6D" w:rsidP="008144F7">
            <w:pPr>
              <w:ind w:right="-81"/>
              <w:jc w:val="center"/>
              <w:rPr>
                <w:rFonts w:asciiTheme="majorBidi" w:hAnsiTheme="majorBidi" w:cstheme="majorBidi"/>
                <w:b/>
                <w:sz w:val="18"/>
                <w:szCs w:val="18"/>
              </w:rPr>
            </w:pPr>
            <w:r w:rsidRPr="00361139">
              <w:rPr>
                <w:rFonts w:asciiTheme="majorBidi" w:hAnsiTheme="majorBidi" w:cstheme="majorBidi"/>
                <w:b/>
                <w:sz w:val="18"/>
                <w:szCs w:val="18"/>
              </w:rPr>
              <w:t>135</w:t>
            </w:r>
          </w:p>
        </w:tc>
        <w:tc>
          <w:tcPr>
            <w:tcW w:w="1423" w:type="dxa"/>
            <w:gridSpan w:val="3"/>
            <w:tcBorders>
              <w:bottom w:val="single" w:sz="4" w:space="0" w:color="000000"/>
            </w:tcBorders>
            <w:vAlign w:val="center"/>
          </w:tcPr>
          <w:p w14:paraId="0282E012" w14:textId="77777777" w:rsidR="00D31E6D" w:rsidRPr="00361139" w:rsidRDefault="00D31E6D" w:rsidP="008144F7">
            <w:pPr>
              <w:ind w:right="-81" w:firstLine="59"/>
              <w:jc w:val="center"/>
              <w:rPr>
                <w:rFonts w:asciiTheme="majorBidi" w:hAnsiTheme="majorBidi" w:cstheme="majorBidi"/>
                <w:b/>
                <w:sz w:val="18"/>
                <w:szCs w:val="18"/>
              </w:rPr>
            </w:pPr>
            <w:r w:rsidRPr="00361139">
              <w:rPr>
                <w:rFonts w:asciiTheme="majorBidi" w:hAnsiTheme="majorBidi" w:cstheme="majorBidi"/>
                <w:b/>
                <w:sz w:val="18"/>
                <w:szCs w:val="18"/>
              </w:rPr>
              <w:t>126</w:t>
            </w:r>
          </w:p>
        </w:tc>
        <w:tc>
          <w:tcPr>
            <w:tcW w:w="1680" w:type="dxa"/>
            <w:gridSpan w:val="5"/>
            <w:tcBorders>
              <w:bottom w:val="single" w:sz="4" w:space="0" w:color="000000"/>
            </w:tcBorders>
            <w:vAlign w:val="center"/>
          </w:tcPr>
          <w:p w14:paraId="71DAB89A" w14:textId="77777777" w:rsidR="00D31E6D" w:rsidRPr="00361139" w:rsidRDefault="00D31E6D" w:rsidP="008144F7">
            <w:pPr>
              <w:ind w:right="33" w:firstLine="22"/>
              <w:jc w:val="right"/>
              <w:rPr>
                <w:rFonts w:asciiTheme="majorBidi" w:hAnsiTheme="majorBidi" w:cstheme="majorBidi"/>
                <w:b/>
                <w:sz w:val="18"/>
                <w:szCs w:val="18"/>
              </w:rPr>
            </w:pPr>
            <w:r w:rsidRPr="00361139">
              <w:rPr>
                <w:rFonts w:asciiTheme="majorBidi" w:hAnsiTheme="majorBidi" w:cstheme="majorBidi"/>
                <w:b/>
                <w:sz w:val="18"/>
                <w:szCs w:val="18"/>
              </w:rPr>
              <w:t>480.106.559</w:t>
            </w:r>
          </w:p>
        </w:tc>
        <w:tc>
          <w:tcPr>
            <w:tcW w:w="1680" w:type="dxa"/>
            <w:gridSpan w:val="3"/>
            <w:tcBorders>
              <w:bottom w:val="single" w:sz="4" w:space="0" w:color="000000"/>
            </w:tcBorders>
            <w:vAlign w:val="center"/>
          </w:tcPr>
          <w:p w14:paraId="6EE8D046" w14:textId="77777777" w:rsidR="00D31E6D" w:rsidRPr="00361139" w:rsidRDefault="00D31E6D" w:rsidP="008144F7">
            <w:pPr>
              <w:jc w:val="right"/>
              <w:rPr>
                <w:rFonts w:asciiTheme="majorBidi" w:hAnsiTheme="majorBidi" w:cstheme="majorBidi"/>
                <w:b/>
                <w:sz w:val="18"/>
                <w:szCs w:val="18"/>
              </w:rPr>
            </w:pPr>
            <w:r w:rsidRPr="00361139">
              <w:rPr>
                <w:rFonts w:asciiTheme="majorBidi" w:hAnsiTheme="majorBidi" w:cstheme="majorBidi"/>
                <w:b/>
                <w:sz w:val="18"/>
                <w:szCs w:val="18"/>
              </w:rPr>
              <w:t>44.397.488</w:t>
            </w:r>
          </w:p>
        </w:tc>
        <w:tc>
          <w:tcPr>
            <w:tcW w:w="1680" w:type="dxa"/>
            <w:gridSpan w:val="5"/>
            <w:tcBorders>
              <w:bottom w:val="single" w:sz="4" w:space="0" w:color="000000"/>
            </w:tcBorders>
            <w:vAlign w:val="center"/>
          </w:tcPr>
          <w:p w14:paraId="748B0696" w14:textId="77777777" w:rsidR="00D31E6D" w:rsidRPr="00361139" w:rsidRDefault="00D31E6D" w:rsidP="008144F7">
            <w:pPr>
              <w:jc w:val="right"/>
              <w:rPr>
                <w:rFonts w:asciiTheme="majorBidi" w:hAnsiTheme="majorBidi" w:cstheme="majorBidi"/>
                <w:b/>
                <w:sz w:val="18"/>
                <w:szCs w:val="18"/>
              </w:rPr>
            </w:pPr>
            <w:r w:rsidRPr="00361139">
              <w:rPr>
                <w:rFonts w:asciiTheme="majorBidi" w:hAnsiTheme="majorBidi" w:cstheme="majorBidi"/>
                <w:b/>
                <w:sz w:val="18"/>
                <w:szCs w:val="18"/>
              </w:rPr>
              <w:t>524.504.047</w:t>
            </w:r>
          </w:p>
        </w:tc>
        <w:tc>
          <w:tcPr>
            <w:tcW w:w="1678" w:type="dxa"/>
            <w:tcBorders>
              <w:bottom w:val="single" w:sz="4" w:space="0" w:color="000000"/>
            </w:tcBorders>
            <w:vAlign w:val="center"/>
          </w:tcPr>
          <w:p w14:paraId="14889DC2" w14:textId="77777777" w:rsidR="00D31E6D" w:rsidRPr="00361139" w:rsidRDefault="00D31E6D" w:rsidP="008144F7">
            <w:pPr>
              <w:jc w:val="right"/>
              <w:rPr>
                <w:rFonts w:asciiTheme="majorBidi" w:hAnsiTheme="majorBidi" w:cstheme="majorBidi"/>
                <w:b/>
                <w:sz w:val="18"/>
                <w:szCs w:val="18"/>
              </w:rPr>
            </w:pPr>
            <w:r w:rsidRPr="00361139">
              <w:rPr>
                <w:rFonts w:asciiTheme="majorBidi" w:hAnsiTheme="majorBidi" w:cstheme="majorBidi"/>
                <w:b/>
                <w:sz w:val="18"/>
                <w:szCs w:val="18"/>
              </w:rPr>
              <w:t>2.751.461.699</w:t>
            </w:r>
          </w:p>
        </w:tc>
        <w:tc>
          <w:tcPr>
            <w:tcW w:w="1678" w:type="dxa"/>
            <w:tcBorders>
              <w:bottom w:val="single" w:sz="4" w:space="0" w:color="000000"/>
            </w:tcBorders>
            <w:vAlign w:val="center"/>
          </w:tcPr>
          <w:p w14:paraId="5818D94B" w14:textId="77777777" w:rsidR="00D31E6D" w:rsidRPr="00361139" w:rsidRDefault="00D31E6D" w:rsidP="008144F7">
            <w:pPr>
              <w:ind w:right="27" w:firstLine="24"/>
              <w:jc w:val="right"/>
              <w:rPr>
                <w:rFonts w:asciiTheme="majorBidi" w:hAnsiTheme="majorBidi" w:cstheme="majorBidi"/>
                <w:b/>
                <w:sz w:val="18"/>
                <w:szCs w:val="18"/>
              </w:rPr>
            </w:pPr>
            <w:r w:rsidRPr="00361139">
              <w:rPr>
                <w:rFonts w:asciiTheme="majorBidi" w:hAnsiTheme="majorBidi" w:cstheme="majorBidi"/>
                <w:b/>
                <w:sz w:val="18"/>
                <w:szCs w:val="18"/>
              </w:rPr>
              <w:t>3.275.965.746</w:t>
            </w:r>
          </w:p>
        </w:tc>
      </w:tr>
      <w:tr w:rsidR="00D31E6D" w:rsidRPr="00361139" w14:paraId="48BB07FD" w14:textId="77777777" w:rsidTr="00D31E6D">
        <w:trPr>
          <w:cantSplit/>
          <w:trHeight w:val="397"/>
        </w:trPr>
        <w:tc>
          <w:tcPr>
            <w:tcW w:w="1533" w:type="dxa"/>
            <w:gridSpan w:val="4"/>
            <w:tcBorders>
              <w:bottom w:val="single" w:sz="2" w:space="0" w:color="000000"/>
              <w:right w:val="nil"/>
            </w:tcBorders>
            <w:vAlign w:val="center"/>
          </w:tcPr>
          <w:p w14:paraId="701A435C" w14:textId="77777777" w:rsidR="00D31E6D" w:rsidRPr="00361139" w:rsidRDefault="00D31E6D" w:rsidP="008144F7">
            <w:pPr>
              <w:ind w:right="-81"/>
              <w:jc w:val="center"/>
              <w:rPr>
                <w:rFonts w:asciiTheme="majorBidi" w:hAnsiTheme="majorBidi" w:cstheme="majorBidi"/>
                <w:i/>
                <w:sz w:val="18"/>
                <w:szCs w:val="18"/>
              </w:rPr>
            </w:pPr>
            <w:r w:rsidRPr="00361139">
              <w:rPr>
                <w:rFonts w:asciiTheme="majorBidi" w:hAnsiTheme="majorBidi" w:cstheme="majorBidi"/>
                <w:i/>
                <w:sz w:val="18"/>
                <w:szCs w:val="18"/>
              </w:rPr>
              <w:t>(%)</w:t>
            </w:r>
          </w:p>
        </w:tc>
        <w:tc>
          <w:tcPr>
            <w:tcW w:w="1546" w:type="dxa"/>
            <w:gridSpan w:val="5"/>
            <w:tcBorders>
              <w:left w:val="nil"/>
              <w:bottom w:val="single" w:sz="2" w:space="0" w:color="000000"/>
              <w:right w:val="nil"/>
            </w:tcBorders>
            <w:vAlign w:val="center"/>
          </w:tcPr>
          <w:p w14:paraId="3A972259" w14:textId="77777777" w:rsidR="00D31E6D" w:rsidRPr="00361139" w:rsidRDefault="00D31E6D" w:rsidP="008144F7">
            <w:pPr>
              <w:ind w:right="-81"/>
              <w:jc w:val="center"/>
              <w:rPr>
                <w:rFonts w:asciiTheme="majorBidi" w:hAnsiTheme="majorBidi" w:cstheme="majorBidi"/>
                <w:i/>
                <w:sz w:val="18"/>
                <w:szCs w:val="18"/>
              </w:rPr>
            </w:pPr>
          </w:p>
        </w:tc>
        <w:tc>
          <w:tcPr>
            <w:tcW w:w="1293" w:type="dxa"/>
            <w:gridSpan w:val="5"/>
            <w:tcBorders>
              <w:left w:val="nil"/>
              <w:bottom w:val="single" w:sz="2" w:space="0" w:color="000000"/>
              <w:right w:val="nil"/>
            </w:tcBorders>
            <w:vAlign w:val="center"/>
          </w:tcPr>
          <w:p w14:paraId="530D88F9" w14:textId="77777777" w:rsidR="00D31E6D" w:rsidRPr="00361139" w:rsidRDefault="00D31E6D" w:rsidP="008144F7">
            <w:pPr>
              <w:ind w:right="-81"/>
              <w:jc w:val="center"/>
              <w:rPr>
                <w:rFonts w:asciiTheme="majorBidi" w:hAnsiTheme="majorBidi" w:cstheme="majorBidi"/>
                <w:i/>
                <w:sz w:val="18"/>
                <w:szCs w:val="18"/>
              </w:rPr>
            </w:pPr>
          </w:p>
        </w:tc>
        <w:tc>
          <w:tcPr>
            <w:tcW w:w="1423" w:type="dxa"/>
            <w:gridSpan w:val="3"/>
            <w:tcBorders>
              <w:left w:val="nil"/>
              <w:bottom w:val="single" w:sz="2" w:space="0" w:color="000000"/>
              <w:right w:val="single" w:sz="4" w:space="0" w:color="000000"/>
            </w:tcBorders>
            <w:vAlign w:val="center"/>
          </w:tcPr>
          <w:p w14:paraId="494C8DBA" w14:textId="77777777" w:rsidR="00D31E6D" w:rsidRPr="00361139" w:rsidRDefault="00D31E6D" w:rsidP="008144F7">
            <w:pPr>
              <w:ind w:right="-81" w:firstLine="59"/>
              <w:jc w:val="center"/>
              <w:rPr>
                <w:rFonts w:asciiTheme="majorBidi" w:hAnsiTheme="majorBidi" w:cstheme="majorBidi"/>
                <w:i/>
                <w:sz w:val="18"/>
                <w:szCs w:val="18"/>
              </w:rPr>
            </w:pPr>
          </w:p>
        </w:tc>
        <w:tc>
          <w:tcPr>
            <w:tcW w:w="1680" w:type="dxa"/>
            <w:gridSpan w:val="5"/>
            <w:tcBorders>
              <w:left w:val="single" w:sz="4" w:space="0" w:color="000000"/>
              <w:bottom w:val="single" w:sz="2" w:space="0" w:color="000000"/>
              <w:right w:val="single" w:sz="4" w:space="0" w:color="000000"/>
            </w:tcBorders>
            <w:vAlign w:val="center"/>
          </w:tcPr>
          <w:p w14:paraId="18E5E72C" w14:textId="77777777" w:rsidR="00D31E6D" w:rsidRPr="00361139" w:rsidRDefault="00D31E6D" w:rsidP="008144F7">
            <w:pPr>
              <w:ind w:right="33" w:firstLine="22"/>
              <w:jc w:val="center"/>
              <w:rPr>
                <w:rFonts w:asciiTheme="majorBidi" w:hAnsiTheme="majorBidi" w:cstheme="majorBidi"/>
                <w:i/>
                <w:sz w:val="18"/>
                <w:szCs w:val="18"/>
              </w:rPr>
            </w:pPr>
            <w:r w:rsidRPr="00361139">
              <w:rPr>
                <w:rFonts w:asciiTheme="majorBidi" w:hAnsiTheme="majorBidi" w:cstheme="majorBidi"/>
                <w:i/>
                <w:sz w:val="18"/>
                <w:szCs w:val="18"/>
              </w:rPr>
              <w:t>(92%</w:t>
            </w:r>
          </w:p>
        </w:tc>
        <w:tc>
          <w:tcPr>
            <w:tcW w:w="1680" w:type="dxa"/>
            <w:gridSpan w:val="3"/>
            <w:tcBorders>
              <w:left w:val="single" w:sz="4" w:space="0" w:color="000000"/>
              <w:bottom w:val="single" w:sz="2" w:space="0" w:color="000000"/>
              <w:right w:val="single" w:sz="4" w:space="0" w:color="000000"/>
            </w:tcBorders>
            <w:vAlign w:val="center"/>
          </w:tcPr>
          <w:p w14:paraId="46E24B37" w14:textId="77777777" w:rsidR="00D31E6D" w:rsidRPr="00361139" w:rsidRDefault="00D31E6D" w:rsidP="008144F7">
            <w:pPr>
              <w:jc w:val="center"/>
              <w:rPr>
                <w:rFonts w:asciiTheme="majorBidi" w:hAnsiTheme="majorBidi" w:cstheme="majorBidi"/>
                <w:i/>
                <w:sz w:val="18"/>
                <w:szCs w:val="18"/>
              </w:rPr>
            </w:pPr>
            <w:r w:rsidRPr="00361139">
              <w:rPr>
                <w:rFonts w:asciiTheme="majorBidi" w:hAnsiTheme="majorBidi" w:cstheme="majorBidi"/>
                <w:i/>
                <w:sz w:val="18"/>
                <w:szCs w:val="18"/>
              </w:rPr>
              <w:t>8%</w:t>
            </w:r>
          </w:p>
        </w:tc>
        <w:tc>
          <w:tcPr>
            <w:tcW w:w="1680" w:type="dxa"/>
            <w:gridSpan w:val="5"/>
            <w:tcBorders>
              <w:left w:val="single" w:sz="4" w:space="0" w:color="000000"/>
              <w:bottom w:val="single" w:sz="2" w:space="0" w:color="000000"/>
              <w:right w:val="single" w:sz="4" w:space="0" w:color="000000"/>
            </w:tcBorders>
            <w:vAlign w:val="center"/>
          </w:tcPr>
          <w:p w14:paraId="726C5AB7" w14:textId="77777777" w:rsidR="00D31E6D" w:rsidRPr="00361139" w:rsidRDefault="00D31E6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100%</w:t>
            </w:r>
            <w:r w:rsidRPr="00361139">
              <w:rPr>
                <w:rFonts w:asciiTheme="majorBidi" w:hAnsiTheme="majorBidi" w:cstheme="majorBidi"/>
                <w:i/>
                <w:sz w:val="18"/>
                <w:szCs w:val="18"/>
              </w:rPr>
              <w:t>) - (16%</w:t>
            </w:r>
          </w:p>
        </w:tc>
        <w:tc>
          <w:tcPr>
            <w:tcW w:w="1678" w:type="dxa"/>
            <w:tcBorders>
              <w:left w:val="single" w:sz="4" w:space="0" w:color="000000"/>
              <w:bottom w:val="single" w:sz="2" w:space="0" w:color="000000"/>
              <w:right w:val="single" w:sz="4" w:space="0" w:color="000000"/>
            </w:tcBorders>
            <w:vAlign w:val="center"/>
          </w:tcPr>
          <w:p w14:paraId="41E1013C" w14:textId="77777777" w:rsidR="00D31E6D" w:rsidRPr="00361139" w:rsidRDefault="00D31E6D" w:rsidP="008144F7">
            <w:pPr>
              <w:jc w:val="center"/>
              <w:rPr>
                <w:rFonts w:asciiTheme="majorBidi" w:hAnsiTheme="majorBidi" w:cstheme="majorBidi"/>
                <w:i/>
                <w:sz w:val="18"/>
                <w:szCs w:val="18"/>
              </w:rPr>
            </w:pPr>
            <w:r w:rsidRPr="00361139">
              <w:rPr>
                <w:rFonts w:asciiTheme="majorBidi" w:hAnsiTheme="majorBidi" w:cstheme="majorBidi"/>
                <w:i/>
                <w:sz w:val="18"/>
                <w:szCs w:val="18"/>
              </w:rPr>
              <w:t>84%</w:t>
            </w:r>
          </w:p>
        </w:tc>
        <w:tc>
          <w:tcPr>
            <w:tcW w:w="1678" w:type="dxa"/>
            <w:tcBorders>
              <w:left w:val="single" w:sz="4" w:space="0" w:color="000000"/>
              <w:bottom w:val="single" w:sz="2" w:space="0" w:color="000000"/>
            </w:tcBorders>
            <w:vAlign w:val="center"/>
          </w:tcPr>
          <w:p w14:paraId="6FF94438" w14:textId="77777777" w:rsidR="00D31E6D" w:rsidRPr="00361139" w:rsidRDefault="00D31E6D" w:rsidP="008144F7">
            <w:pPr>
              <w:ind w:right="27" w:firstLine="24"/>
              <w:jc w:val="center"/>
              <w:rPr>
                <w:rFonts w:asciiTheme="majorBidi" w:hAnsiTheme="majorBidi" w:cstheme="majorBidi"/>
                <w:b/>
                <w:i/>
                <w:sz w:val="18"/>
                <w:szCs w:val="18"/>
              </w:rPr>
            </w:pPr>
            <w:r w:rsidRPr="00361139">
              <w:rPr>
                <w:rFonts w:asciiTheme="majorBidi" w:hAnsiTheme="majorBidi" w:cstheme="majorBidi"/>
                <w:b/>
                <w:i/>
                <w:sz w:val="18"/>
                <w:szCs w:val="18"/>
              </w:rPr>
              <w:t>100%</w:t>
            </w:r>
            <w:r w:rsidRPr="00361139">
              <w:rPr>
                <w:rFonts w:asciiTheme="majorBidi" w:hAnsiTheme="majorBidi" w:cstheme="majorBidi"/>
                <w:i/>
                <w:sz w:val="18"/>
                <w:szCs w:val="18"/>
              </w:rPr>
              <w:t>)</w:t>
            </w:r>
          </w:p>
        </w:tc>
      </w:tr>
    </w:tbl>
    <w:p w14:paraId="06505EBB" w14:textId="77777777" w:rsidR="00D31E6D" w:rsidRPr="00361139" w:rsidRDefault="00D31E6D" w:rsidP="00D31E6D">
      <w:pPr>
        <w:pStyle w:val="Normal-pool"/>
        <w:rPr>
          <w:lang w:val="en-GB"/>
        </w:rPr>
      </w:pPr>
    </w:p>
    <w:p w14:paraId="737CF799" w14:textId="77777777" w:rsidR="00D31E6D" w:rsidRPr="00361139" w:rsidRDefault="00D31E6D" w:rsidP="00D31E6D">
      <w:pPr>
        <w:pStyle w:val="Normal-pool"/>
        <w:rPr>
          <w:lang w:val="en-GB"/>
        </w:rPr>
      </w:pPr>
    </w:p>
    <w:p w14:paraId="2A77FF31" w14:textId="77777777" w:rsidR="00D31E6D" w:rsidRPr="00361139" w:rsidRDefault="00D31E6D" w:rsidP="00E248AD">
      <w:pPr>
        <w:pStyle w:val="NormalNonumber"/>
        <w:rPr>
          <w:lang w:val="en-GB"/>
        </w:rPr>
        <w:sectPr w:rsidR="00D31E6D" w:rsidRPr="00361139" w:rsidSect="00446EAC">
          <w:pgSz w:w="16839" w:h="11907" w:orient="landscape"/>
          <w:pgMar w:top="907" w:right="992" w:bottom="1418" w:left="1418" w:header="539" w:footer="975" w:gutter="0"/>
          <w:cols w:space="720"/>
          <w:docGrid w:linePitch="272"/>
        </w:sectPr>
      </w:pPr>
    </w:p>
    <w:p w14:paraId="4EDB9FF7" w14:textId="411567BC" w:rsidR="00CC73DD" w:rsidRPr="00361139" w:rsidRDefault="00CC73DD" w:rsidP="002E372A">
      <w:pPr>
        <w:pStyle w:val="Titletable"/>
        <w:rPr>
          <w:lang w:val="en-GB"/>
        </w:rPr>
      </w:pPr>
      <w:bookmarkStart w:id="157" w:name="_Toc139982228"/>
      <w:bookmarkStart w:id="158" w:name="_Toc139983940"/>
      <w:r w:rsidRPr="00361139">
        <w:rPr>
          <w:b w:val="0"/>
          <w:bCs w:val="0"/>
          <w:lang w:val="en-GB"/>
        </w:rPr>
        <w:lastRenderedPageBreak/>
        <w:t>Table 2</w:t>
      </w:r>
      <w:r w:rsidR="002E372A" w:rsidRPr="00361139">
        <w:rPr>
          <w:lang w:val="en-GB"/>
        </w:rPr>
        <w:t xml:space="preserve"> </w:t>
      </w:r>
      <w:r w:rsidR="002E372A" w:rsidRPr="00361139">
        <w:rPr>
          <w:lang w:val="en-GB"/>
        </w:rPr>
        <w:br/>
      </w:r>
      <w:r w:rsidRPr="00361139">
        <w:rPr>
          <w:lang w:val="en-GB"/>
        </w:rPr>
        <w:t>Number of the GEF-funded projects that were active in the period under review, by cycle and project category.</w:t>
      </w:r>
      <w:bookmarkEnd w:id="157"/>
      <w:bookmarkEnd w:id="15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0"/>
        <w:gridCol w:w="1581"/>
        <w:gridCol w:w="1581"/>
        <w:gridCol w:w="1582"/>
        <w:gridCol w:w="1581"/>
        <w:gridCol w:w="1582"/>
      </w:tblGrid>
      <w:tr w:rsidR="00CC73DD" w:rsidRPr="00361139" w14:paraId="28B480A9" w14:textId="77777777" w:rsidTr="008144F7">
        <w:trPr>
          <w:cantSplit/>
          <w:trHeight w:hRule="exact" w:val="113"/>
          <w:jc w:val="center"/>
        </w:trPr>
        <w:tc>
          <w:tcPr>
            <w:tcW w:w="1540" w:type="dxa"/>
            <w:tcBorders>
              <w:top w:val="single" w:sz="4" w:space="0" w:color="auto"/>
              <w:left w:val="single" w:sz="4" w:space="0" w:color="auto"/>
              <w:bottom w:val="nil"/>
              <w:right w:val="single" w:sz="4" w:space="0" w:color="auto"/>
            </w:tcBorders>
            <w:shd w:val="clear" w:color="auto" w:fill="B6DDE8"/>
            <w:vAlign w:val="center"/>
          </w:tcPr>
          <w:p w14:paraId="5A94A9DC" w14:textId="77777777" w:rsidR="00CC73DD" w:rsidRPr="00361139" w:rsidRDefault="00CC73DD" w:rsidP="008144F7">
            <w:pPr>
              <w:ind w:left="28" w:right="28" w:hanging="28"/>
              <w:jc w:val="center"/>
              <w:rPr>
                <w:rFonts w:asciiTheme="majorBidi" w:hAnsiTheme="majorBidi" w:cstheme="majorBidi"/>
                <w:b/>
                <w:sz w:val="18"/>
                <w:szCs w:val="18"/>
              </w:rPr>
            </w:pPr>
          </w:p>
        </w:tc>
        <w:tc>
          <w:tcPr>
            <w:tcW w:w="1541" w:type="dxa"/>
            <w:tcBorders>
              <w:top w:val="single" w:sz="4" w:space="0" w:color="auto"/>
              <w:left w:val="single" w:sz="4" w:space="0" w:color="auto"/>
              <w:bottom w:val="nil"/>
              <w:right w:val="single" w:sz="4" w:space="0" w:color="auto"/>
            </w:tcBorders>
            <w:shd w:val="clear" w:color="auto" w:fill="B6DDE8"/>
            <w:vAlign w:val="center"/>
          </w:tcPr>
          <w:p w14:paraId="144542AD" w14:textId="77777777" w:rsidR="00CC73DD" w:rsidRPr="00361139" w:rsidRDefault="00CC73DD" w:rsidP="008144F7">
            <w:pPr>
              <w:ind w:left="28" w:right="28" w:hanging="28"/>
              <w:jc w:val="center"/>
              <w:rPr>
                <w:rFonts w:asciiTheme="majorBidi" w:hAnsiTheme="majorBidi" w:cstheme="majorBidi"/>
                <w:b/>
                <w:sz w:val="18"/>
                <w:szCs w:val="18"/>
              </w:rPr>
            </w:pPr>
          </w:p>
        </w:tc>
        <w:tc>
          <w:tcPr>
            <w:tcW w:w="1540" w:type="dxa"/>
            <w:tcBorders>
              <w:top w:val="single" w:sz="4" w:space="0" w:color="auto"/>
              <w:left w:val="single" w:sz="4" w:space="0" w:color="auto"/>
              <w:bottom w:val="nil"/>
              <w:right w:val="single" w:sz="4" w:space="0" w:color="auto"/>
            </w:tcBorders>
            <w:shd w:val="clear" w:color="auto" w:fill="B6DDE8"/>
            <w:vAlign w:val="center"/>
          </w:tcPr>
          <w:p w14:paraId="401BB3F3" w14:textId="77777777" w:rsidR="00CC73DD" w:rsidRPr="00361139" w:rsidRDefault="00CC73DD" w:rsidP="008144F7">
            <w:pPr>
              <w:ind w:left="28" w:right="28" w:hanging="28"/>
              <w:jc w:val="center"/>
              <w:rPr>
                <w:rFonts w:asciiTheme="majorBidi" w:hAnsiTheme="majorBidi" w:cstheme="majorBidi"/>
                <w:b/>
                <w:sz w:val="18"/>
                <w:szCs w:val="18"/>
              </w:rPr>
            </w:pPr>
          </w:p>
        </w:tc>
        <w:tc>
          <w:tcPr>
            <w:tcW w:w="1541" w:type="dxa"/>
            <w:tcBorders>
              <w:top w:val="single" w:sz="4" w:space="0" w:color="auto"/>
              <w:left w:val="single" w:sz="4" w:space="0" w:color="auto"/>
              <w:bottom w:val="nil"/>
              <w:right w:val="single" w:sz="4" w:space="0" w:color="auto"/>
            </w:tcBorders>
            <w:shd w:val="clear" w:color="auto" w:fill="B6DDE8"/>
            <w:vAlign w:val="center"/>
          </w:tcPr>
          <w:p w14:paraId="01D34799" w14:textId="77777777" w:rsidR="00CC73DD" w:rsidRPr="00361139" w:rsidRDefault="00CC73DD" w:rsidP="008144F7">
            <w:pPr>
              <w:ind w:left="28" w:right="28" w:hanging="28"/>
              <w:jc w:val="center"/>
              <w:rPr>
                <w:rFonts w:asciiTheme="majorBidi" w:hAnsiTheme="majorBidi" w:cstheme="majorBidi"/>
                <w:b/>
                <w:sz w:val="18"/>
                <w:szCs w:val="18"/>
              </w:rPr>
            </w:pPr>
          </w:p>
        </w:tc>
        <w:tc>
          <w:tcPr>
            <w:tcW w:w="1540" w:type="dxa"/>
            <w:tcBorders>
              <w:bottom w:val="nil"/>
            </w:tcBorders>
            <w:shd w:val="clear" w:color="auto" w:fill="B6DDE8"/>
            <w:vAlign w:val="center"/>
          </w:tcPr>
          <w:p w14:paraId="216E75A7" w14:textId="77777777" w:rsidR="00CC73DD" w:rsidRPr="00361139" w:rsidRDefault="00CC73DD" w:rsidP="008144F7">
            <w:pPr>
              <w:ind w:left="28" w:right="28" w:firstLine="7"/>
              <w:jc w:val="center"/>
              <w:rPr>
                <w:rFonts w:asciiTheme="majorBidi" w:hAnsiTheme="majorBidi" w:cstheme="majorBidi"/>
                <w:b/>
                <w:sz w:val="18"/>
                <w:szCs w:val="18"/>
              </w:rPr>
            </w:pPr>
          </w:p>
        </w:tc>
        <w:tc>
          <w:tcPr>
            <w:tcW w:w="1541" w:type="dxa"/>
            <w:tcBorders>
              <w:bottom w:val="nil"/>
            </w:tcBorders>
            <w:shd w:val="clear" w:color="auto" w:fill="B6DDE8"/>
          </w:tcPr>
          <w:p w14:paraId="25A43C92" w14:textId="77777777" w:rsidR="00CC73DD" w:rsidRPr="00361139" w:rsidRDefault="00CC73DD" w:rsidP="008144F7">
            <w:pPr>
              <w:ind w:left="28" w:right="28" w:hanging="28"/>
              <w:jc w:val="center"/>
              <w:rPr>
                <w:rFonts w:asciiTheme="majorBidi" w:hAnsiTheme="majorBidi" w:cstheme="majorBidi"/>
                <w:b/>
                <w:sz w:val="18"/>
                <w:szCs w:val="18"/>
              </w:rPr>
            </w:pPr>
          </w:p>
        </w:tc>
      </w:tr>
      <w:tr w:rsidR="00CC73DD" w:rsidRPr="00361139" w14:paraId="09C99C66" w14:textId="77777777" w:rsidTr="008144F7">
        <w:trPr>
          <w:cantSplit/>
          <w:jc w:val="center"/>
        </w:trPr>
        <w:tc>
          <w:tcPr>
            <w:tcW w:w="1540" w:type="dxa"/>
            <w:tcBorders>
              <w:top w:val="nil"/>
              <w:left w:val="single" w:sz="4" w:space="0" w:color="auto"/>
              <w:bottom w:val="nil"/>
              <w:right w:val="single" w:sz="4" w:space="0" w:color="auto"/>
            </w:tcBorders>
            <w:shd w:val="clear" w:color="auto" w:fill="B6DDE8"/>
            <w:vAlign w:val="center"/>
          </w:tcPr>
          <w:p w14:paraId="2FB8A225"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GEF Projects Cycle</w:t>
            </w:r>
          </w:p>
        </w:tc>
        <w:tc>
          <w:tcPr>
            <w:tcW w:w="1541" w:type="dxa"/>
            <w:tcBorders>
              <w:top w:val="nil"/>
              <w:left w:val="single" w:sz="4" w:space="0" w:color="auto"/>
              <w:bottom w:val="nil"/>
              <w:right w:val="single" w:sz="4" w:space="0" w:color="auto"/>
            </w:tcBorders>
            <w:shd w:val="clear" w:color="auto" w:fill="B6DDE8"/>
            <w:vAlign w:val="center"/>
          </w:tcPr>
          <w:p w14:paraId="59313B9C"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 xml:space="preserve">No. of </w:t>
            </w:r>
            <w:r w:rsidRPr="00361139">
              <w:rPr>
                <w:rFonts w:asciiTheme="majorBidi" w:hAnsiTheme="majorBidi" w:cstheme="majorBidi"/>
                <w:b/>
                <w:sz w:val="18"/>
                <w:szCs w:val="18"/>
              </w:rPr>
              <w:br/>
              <w:t>EA projects</w:t>
            </w:r>
          </w:p>
        </w:tc>
        <w:tc>
          <w:tcPr>
            <w:tcW w:w="1540" w:type="dxa"/>
            <w:tcBorders>
              <w:top w:val="nil"/>
              <w:left w:val="single" w:sz="4" w:space="0" w:color="auto"/>
              <w:bottom w:val="nil"/>
              <w:right w:val="single" w:sz="4" w:space="0" w:color="auto"/>
            </w:tcBorders>
            <w:shd w:val="clear" w:color="auto" w:fill="B6DDE8"/>
            <w:vAlign w:val="center"/>
          </w:tcPr>
          <w:p w14:paraId="50C8A52A" w14:textId="69763A16"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No. of</w:t>
            </w:r>
            <w:r w:rsidR="00BF549F" w:rsidRPr="00361139">
              <w:rPr>
                <w:rFonts w:asciiTheme="majorBidi" w:hAnsiTheme="majorBidi" w:cstheme="majorBidi"/>
                <w:b/>
                <w:sz w:val="18"/>
                <w:szCs w:val="18"/>
              </w:rPr>
              <w:t xml:space="preserve"> </w:t>
            </w:r>
            <w:r w:rsidRPr="00361139">
              <w:rPr>
                <w:rFonts w:asciiTheme="majorBidi" w:hAnsiTheme="majorBidi" w:cstheme="majorBidi"/>
                <w:b/>
                <w:sz w:val="18"/>
                <w:szCs w:val="18"/>
              </w:rPr>
              <w:br/>
              <w:t>MSP projects</w:t>
            </w:r>
          </w:p>
        </w:tc>
        <w:tc>
          <w:tcPr>
            <w:tcW w:w="1541" w:type="dxa"/>
            <w:tcBorders>
              <w:top w:val="nil"/>
              <w:left w:val="single" w:sz="4" w:space="0" w:color="auto"/>
              <w:bottom w:val="nil"/>
              <w:right w:val="single" w:sz="4" w:space="0" w:color="auto"/>
            </w:tcBorders>
            <w:shd w:val="clear" w:color="auto" w:fill="B6DDE8"/>
            <w:vAlign w:val="center"/>
          </w:tcPr>
          <w:p w14:paraId="3C751FC3"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 xml:space="preserve">No. of </w:t>
            </w:r>
            <w:r w:rsidRPr="00361139">
              <w:rPr>
                <w:rFonts w:asciiTheme="majorBidi" w:hAnsiTheme="majorBidi" w:cstheme="majorBidi"/>
                <w:b/>
                <w:sz w:val="18"/>
                <w:szCs w:val="18"/>
              </w:rPr>
              <w:br/>
              <w:t>FSP projects</w:t>
            </w:r>
          </w:p>
        </w:tc>
        <w:tc>
          <w:tcPr>
            <w:tcW w:w="1540" w:type="dxa"/>
            <w:tcBorders>
              <w:top w:val="nil"/>
              <w:bottom w:val="nil"/>
            </w:tcBorders>
            <w:shd w:val="clear" w:color="auto" w:fill="B6DDE8"/>
            <w:vAlign w:val="center"/>
          </w:tcPr>
          <w:p w14:paraId="74505E11" w14:textId="299BE462" w:rsidR="00CC73DD" w:rsidRPr="00361139" w:rsidRDefault="00CC73DD" w:rsidP="008144F7">
            <w:pPr>
              <w:ind w:left="28" w:right="28" w:firstLine="7"/>
              <w:jc w:val="center"/>
              <w:rPr>
                <w:rFonts w:asciiTheme="majorBidi" w:hAnsiTheme="majorBidi" w:cstheme="majorBidi"/>
                <w:b/>
                <w:sz w:val="18"/>
                <w:szCs w:val="18"/>
              </w:rPr>
            </w:pPr>
            <w:r w:rsidRPr="00361139">
              <w:rPr>
                <w:rFonts w:asciiTheme="majorBidi" w:hAnsiTheme="majorBidi" w:cstheme="majorBidi"/>
                <w:b/>
                <w:sz w:val="18"/>
                <w:szCs w:val="18"/>
              </w:rPr>
              <w:t>No. of</w:t>
            </w:r>
            <w:r w:rsidR="00BF549F" w:rsidRPr="00361139">
              <w:rPr>
                <w:rFonts w:asciiTheme="majorBidi" w:hAnsiTheme="majorBidi" w:cstheme="majorBidi"/>
                <w:b/>
                <w:sz w:val="18"/>
                <w:szCs w:val="18"/>
              </w:rPr>
              <w:t xml:space="preserve"> </w:t>
            </w:r>
            <w:r w:rsidRPr="00361139">
              <w:rPr>
                <w:rFonts w:asciiTheme="majorBidi" w:hAnsiTheme="majorBidi" w:cstheme="majorBidi"/>
                <w:b/>
                <w:sz w:val="18"/>
                <w:szCs w:val="18"/>
              </w:rPr>
              <w:br/>
              <w:t>PDF projects</w:t>
            </w:r>
          </w:p>
        </w:tc>
        <w:tc>
          <w:tcPr>
            <w:tcW w:w="1541" w:type="dxa"/>
            <w:tcBorders>
              <w:top w:val="nil"/>
              <w:bottom w:val="nil"/>
            </w:tcBorders>
            <w:shd w:val="clear" w:color="auto" w:fill="B6DDE8"/>
          </w:tcPr>
          <w:p w14:paraId="4A35B766"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Total number of projects funded</w:t>
            </w:r>
          </w:p>
        </w:tc>
      </w:tr>
      <w:tr w:rsidR="00CC73DD" w:rsidRPr="00361139" w14:paraId="217A49BB" w14:textId="77777777" w:rsidTr="008144F7">
        <w:trPr>
          <w:cantSplit/>
          <w:trHeight w:val="567"/>
          <w:jc w:val="center"/>
        </w:trPr>
        <w:tc>
          <w:tcPr>
            <w:tcW w:w="1540" w:type="dxa"/>
            <w:tcBorders>
              <w:top w:val="nil"/>
              <w:left w:val="single" w:sz="4" w:space="0" w:color="auto"/>
              <w:bottom w:val="single" w:sz="4" w:space="0" w:color="auto"/>
              <w:right w:val="single" w:sz="4" w:space="0" w:color="auto"/>
            </w:tcBorders>
            <w:shd w:val="clear" w:color="auto" w:fill="B6DDE8"/>
            <w:vAlign w:val="center"/>
          </w:tcPr>
          <w:p w14:paraId="1681AE74" w14:textId="77777777" w:rsidR="00CC73DD" w:rsidRPr="00361139" w:rsidRDefault="00CC73DD" w:rsidP="008144F7">
            <w:pPr>
              <w:ind w:hanging="28"/>
              <w:jc w:val="center"/>
              <w:rPr>
                <w:rFonts w:asciiTheme="majorBidi" w:hAnsiTheme="majorBidi" w:cstheme="majorBidi"/>
                <w:i/>
                <w:sz w:val="18"/>
                <w:szCs w:val="18"/>
              </w:rPr>
            </w:pPr>
          </w:p>
        </w:tc>
        <w:tc>
          <w:tcPr>
            <w:tcW w:w="1541" w:type="dxa"/>
            <w:tcBorders>
              <w:top w:val="nil"/>
              <w:left w:val="single" w:sz="4" w:space="0" w:color="auto"/>
              <w:bottom w:val="single" w:sz="4" w:space="0" w:color="auto"/>
              <w:right w:val="single" w:sz="4" w:space="0" w:color="auto"/>
            </w:tcBorders>
            <w:shd w:val="clear" w:color="auto" w:fill="B6DDE8"/>
            <w:vAlign w:val="center"/>
          </w:tcPr>
          <w:p w14:paraId="080E50DD"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(a)</w:t>
            </w:r>
          </w:p>
        </w:tc>
        <w:tc>
          <w:tcPr>
            <w:tcW w:w="1540" w:type="dxa"/>
            <w:tcBorders>
              <w:top w:val="nil"/>
              <w:left w:val="single" w:sz="4" w:space="0" w:color="auto"/>
              <w:bottom w:val="single" w:sz="4" w:space="0" w:color="auto"/>
              <w:right w:val="single" w:sz="4" w:space="0" w:color="auto"/>
            </w:tcBorders>
            <w:shd w:val="clear" w:color="auto" w:fill="B6DDE8"/>
            <w:vAlign w:val="center"/>
          </w:tcPr>
          <w:p w14:paraId="2840F505"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(b)</w:t>
            </w:r>
          </w:p>
        </w:tc>
        <w:tc>
          <w:tcPr>
            <w:tcW w:w="1541" w:type="dxa"/>
            <w:tcBorders>
              <w:top w:val="nil"/>
              <w:left w:val="single" w:sz="4" w:space="0" w:color="auto"/>
              <w:bottom w:val="single" w:sz="4" w:space="0" w:color="auto"/>
              <w:right w:val="single" w:sz="4" w:space="0" w:color="auto"/>
            </w:tcBorders>
            <w:shd w:val="clear" w:color="auto" w:fill="B6DDE8"/>
            <w:vAlign w:val="center"/>
          </w:tcPr>
          <w:p w14:paraId="5F048646"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(c)</w:t>
            </w:r>
          </w:p>
        </w:tc>
        <w:tc>
          <w:tcPr>
            <w:tcW w:w="1540" w:type="dxa"/>
            <w:tcBorders>
              <w:top w:val="nil"/>
              <w:left w:val="single" w:sz="4" w:space="0" w:color="auto"/>
              <w:bottom w:val="single" w:sz="4" w:space="0" w:color="auto"/>
              <w:right w:val="single" w:sz="4" w:space="0" w:color="auto"/>
            </w:tcBorders>
            <w:shd w:val="clear" w:color="auto" w:fill="B6DDE8"/>
            <w:vAlign w:val="center"/>
          </w:tcPr>
          <w:p w14:paraId="4BA013E1" w14:textId="77777777" w:rsidR="00CC73DD" w:rsidRPr="00361139" w:rsidRDefault="00CC73DD" w:rsidP="008144F7">
            <w:pPr>
              <w:ind w:firstLine="7"/>
              <w:jc w:val="center"/>
              <w:rPr>
                <w:rFonts w:asciiTheme="majorBidi" w:hAnsiTheme="majorBidi" w:cstheme="majorBidi"/>
                <w:i/>
                <w:sz w:val="18"/>
                <w:szCs w:val="18"/>
              </w:rPr>
            </w:pPr>
            <w:r w:rsidRPr="00361139">
              <w:rPr>
                <w:rFonts w:asciiTheme="majorBidi" w:hAnsiTheme="majorBidi" w:cstheme="majorBidi"/>
                <w:i/>
                <w:sz w:val="18"/>
                <w:szCs w:val="18"/>
              </w:rPr>
              <w:t>(d)</w:t>
            </w:r>
          </w:p>
        </w:tc>
        <w:tc>
          <w:tcPr>
            <w:tcW w:w="1541" w:type="dxa"/>
            <w:tcBorders>
              <w:top w:val="nil"/>
              <w:left w:val="single" w:sz="4" w:space="0" w:color="auto"/>
              <w:bottom w:val="single" w:sz="4" w:space="0" w:color="auto"/>
              <w:right w:val="single" w:sz="4" w:space="0" w:color="auto"/>
            </w:tcBorders>
            <w:shd w:val="clear" w:color="auto" w:fill="B6DDE8"/>
            <w:vAlign w:val="center"/>
          </w:tcPr>
          <w:p w14:paraId="57278085"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w:t>
            </w:r>
            <w:proofErr w:type="spellStart"/>
            <w:r w:rsidRPr="00361139">
              <w:rPr>
                <w:rFonts w:asciiTheme="majorBidi" w:hAnsiTheme="majorBidi" w:cstheme="majorBidi"/>
                <w:i/>
                <w:sz w:val="18"/>
                <w:szCs w:val="18"/>
              </w:rPr>
              <w:t>a+b+c+d</w:t>
            </w:r>
            <w:proofErr w:type="spellEnd"/>
            <w:r w:rsidRPr="00361139">
              <w:rPr>
                <w:rFonts w:asciiTheme="majorBidi" w:hAnsiTheme="majorBidi" w:cstheme="majorBidi"/>
                <w:i/>
                <w:sz w:val="18"/>
                <w:szCs w:val="18"/>
              </w:rPr>
              <w:t>)</w:t>
            </w:r>
          </w:p>
        </w:tc>
      </w:tr>
      <w:tr w:rsidR="00CC73DD" w:rsidRPr="00361139" w14:paraId="06C74ED0" w14:textId="77777777" w:rsidTr="008144F7">
        <w:trPr>
          <w:cantSplit/>
          <w:trHeight w:hRule="exact" w:val="57"/>
          <w:jc w:val="center"/>
        </w:trPr>
        <w:tc>
          <w:tcPr>
            <w:tcW w:w="1540" w:type="dxa"/>
            <w:tcBorders>
              <w:top w:val="single" w:sz="4" w:space="0" w:color="auto"/>
              <w:left w:val="nil"/>
              <w:right w:val="nil"/>
            </w:tcBorders>
            <w:vAlign w:val="center"/>
          </w:tcPr>
          <w:p w14:paraId="6B6B557C"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top w:val="single" w:sz="4" w:space="0" w:color="auto"/>
              <w:left w:val="nil"/>
              <w:right w:val="nil"/>
            </w:tcBorders>
            <w:vAlign w:val="center"/>
          </w:tcPr>
          <w:p w14:paraId="0FBB6BFD" w14:textId="77777777" w:rsidR="00CC73DD" w:rsidRPr="00361139" w:rsidRDefault="00CC73DD" w:rsidP="008144F7">
            <w:pPr>
              <w:ind w:hanging="28"/>
              <w:jc w:val="center"/>
              <w:rPr>
                <w:rFonts w:asciiTheme="majorBidi" w:hAnsiTheme="majorBidi" w:cstheme="majorBidi"/>
                <w:sz w:val="18"/>
                <w:szCs w:val="18"/>
              </w:rPr>
            </w:pPr>
          </w:p>
        </w:tc>
        <w:tc>
          <w:tcPr>
            <w:tcW w:w="1540" w:type="dxa"/>
            <w:tcBorders>
              <w:top w:val="single" w:sz="4" w:space="0" w:color="auto"/>
              <w:left w:val="nil"/>
              <w:right w:val="nil"/>
            </w:tcBorders>
            <w:vAlign w:val="center"/>
          </w:tcPr>
          <w:p w14:paraId="242A78CB" w14:textId="77777777" w:rsidR="00CC73DD" w:rsidRPr="00361139" w:rsidRDefault="00CC73DD" w:rsidP="008144F7">
            <w:pPr>
              <w:ind w:hanging="28"/>
              <w:jc w:val="center"/>
              <w:rPr>
                <w:rFonts w:asciiTheme="majorBidi" w:hAnsiTheme="majorBidi" w:cstheme="majorBidi"/>
                <w:sz w:val="18"/>
                <w:szCs w:val="18"/>
              </w:rPr>
            </w:pPr>
          </w:p>
        </w:tc>
        <w:tc>
          <w:tcPr>
            <w:tcW w:w="1541" w:type="dxa"/>
            <w:tcBorders>
              <w:top w:val="single" w:sz="4" w:space="0" w:color="auto"/>
              <w:left w:val="nil"/>
              <w:right w:val="nil"/>
            </w:tcBorders>
            <w:vAlign w:val="center"/>
          </w:tcPr>
          <w:p w14:paraId="0C68B9D9" w14:textId="77777777" w:rsidR="00CC73DD" w:rsidRPr="00361139" w:rsidRDefault="00CC73DD" w:rsidP="008144F7">
            <w:pPr>
              <w:ind w:hanging="28"/>
              <w:jc w:val="center"/>
              <w:rPr>
                <w:rFonts w:asciiTheme="majorBidi" w:hAnsiTheme="majorBidi" w:cstheme="majorBidi"/>
                <w:sz w:val="18"/>
                <w:szCs w:val="18"/>
              </w:rPr>
            </w:pPr>
          </w:p>
        </w:tc>
        <w:tc>
          <w:tcPr>
            <w:tcW w:w="1540" w:type="dxa"/>
            <w:tcBorders>
              <w:top w:val="single" w:sz="4" w:space="0" w:color="auto"/>
              <w:left w:val="nil"/>
              <w:right w:val="nil"/>
            </w:tcBorders>
            <w:vAlign w:val="center"/>
          </w:tcPr>
          <w:p w14:paraId="28AE72DB" w14:textId="77777777" w:rsidR="00CC73DD" w:rsidRPr="00361139" w:rsidRDefault="00CC73DD" w:rsidP="008144F7">
            <w:pPr>
              <w:ind w:firstLine="7"/>
              <w:jc w:val="center"/>
              <w:rPr>
                <w:rFonts w:asciiTheme="majorBidi" w:hAnsiTheme="majorBidi" w:cstheme="majorBidi"/>
                <w:sz w:val="18"/>
                <w:szCs w:val="18"/>
              </w:rPr>
            </w:pPr>
          </w:p>
        </w:tc>
        <w:tc>
          <w:tcPr>
            <w:tcW w:w="1541" w:type="dxa"/>
            <w:tcBorders>
              <w:top w:val="single" w:sz="4" w:space="0" w:color="auto"/>
              <w:left w:val="nil"/>
              <w:right w:val="nil"/>
            </w:tcBorders>
            <w:vAlign w:val="center"/>
          </w:tcPr>
          <w:p w14:paraId="4778F7CD" w14:textId="77777777" w:rsidR="00CC73DD" w:rsidRPr="00361139" w:rsidRDefault="00CC73DD" w:rsidP="008144F7">
            <w:pPr>
              <w:ind w:hanging="28"/>
              <w:jc w:val="center"/>
              <w:rPr>
                <w:rFonts w:asciiTheme="majorBidi" w:hAnsiTheme="majorBidi" w:cstheme="majorBidi"/>
                <w:sz w:val="18"/>
                <w:szCs w:val="18"/>
              </w:rPr>
            </w:pPr>
          </w:p>
        </w:tc>
      </w:tr>
      <w:tr w:rsidR="00CC73DD" w:rsidRPr="00361139" w14:paraId="3E5EB76E" w14:textId="77777777" w:rsidTr="008144F7">
        <w:trPr>
          <w:cantSplit/>
          <w:jc w:val="center"/>
        </w:trPr>
        <w:tc>
          <w:tcPr>
            <w:tcW w:w="1540" w:type="dxa"/>
            <w:tcBorders>
              <w:top w:val="single" w:sz="4" w:space="0" w:color="auto"/>
            </w:tcBorders>
            <w:vAlign w:val="center"/>
          </w:tcPr>
          <w:p w14:paraId="27274526" w14:textId="721B59D6" w:rsidR="00CC73DD" w:rsidRPr="00361139" w:rsidRDefault="00CC73DD" w:rsidP="008144F7">
            <w:pPr>
              <w:ind w:right="-81" w:hanging="28"/>
              <w:jc w:val="center"/>
              <w:rPr>
                <w:rFonts w:asciiTheme="majorBidi" w:hAnsiTheme="majorBidi" w:cstheme="majorBidi"/>
                <w:sz w:val="18"/>
                <w:szCs w:val="18"/>
              </w:rPr>
            </w:pPr>
            <w:r w:rsidRPr="00361139">
              <w:rPr>
                <w:rFonts w:asciiTheme="majorBidi" w:hAnsiTheme="majorBidi" w:cstheme="majorBidi"/>
                <w:sz w:val="18"/>
                <w:szCs w:val="18"/>
              </w:rPr>
              <w:t>GEF-6</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(2014-2018)</w:t>
            </w:r>
          </w:p>
        </w:tc>
        <w:tc>
          <w:tcPr>
            <w:tcW w:w="1541" w:type="dxa"/>
            <w:tcBorders>
              <w:top w:val="single" w:sz="4" w:space="0" w:color="auto"/>
            </w:tcBorders>
            <w:vAlign w:val="center"/>
          </w:tcPr>
          <w:p w14:paraId="28949680"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45</w:t>
            </w:r>
          </w:p>
        </w:tc>
        <w:tc>
          <w:tcPr>
            <w:tcW w:w="1540" w:type="dxa"/>
            <w:tcBorders>
              <w:top w:val="single" w:sz="4" w:space="0" w:color="auto"/>
            </w:tcBorders>
            <w:vAlign w:val="center"/>
          </w:tcPr>
          <w:p w14:paraId="675E8237"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3</w:t>
            </w:r>
          </w:p>
        </w:tc>
        <w:tc>
          <w:tcPr>
            <w:tcW w:w="1541" w:type="dxa"/>
            <w:tcBorders>
              <w:top w:val="single" w:sz="4" w:space="0" w:color="auto"/>
            </w:tcBorders>
            <w:vAlign w:val="center"/>
          </w:tcPr>
          <w:p w14:paraId="2FB67064"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17</w:t>
            </w:r>
          </w:p>
        </w:tc>
        <w:tc>
          <w:tcPr>
            <w:tcW w:w="1540" w:type="dxa"/>
            <w:tcBorders>
              <w:top w:val="single" w:sz="4" w:space="0" w:color="auto"/>
            </w:tcBorders>
            <w:vAlign w:val="center"/>
          </w:tcPr>
          <w:p w14:paraId="05028233" w14:textId="77777777" w:rsidR="00CC73DD" w:rsidRPr="00361139" w:rsidRDefault="00CC73DD" w:rsidP="008144F7">
            <w:pPr>
              <w:ind w:firstLine="7"/>
              <w:jc w:val="center"/>
              <w:rPr>
                <w:rFonts w:asciiTheme="majorBidi" w:hAnsiTheme="majorBidi" w:cstheme="majorBidi"/>
                <w:sz w:val="18"/>
                <w:szCs w:val="18"/>
              </w:rPr>
            </w:pPr>
            <w:r w:rsidRPr="00361139">
              <w:rPr>
                <w:rFonts w:asciiTheme="majorBidi" w:hAnsiTheme="majorBidi" w:cstheme="majorBidi"/>
                <w:sz w:val="18"/>
                <w:szCs w:val="18"/>
              </w:rPr>
              <w:t>0</w:t>
            </w:r>
          </w:p>
        </w:tc>
        <w:tc>
          <w:tcPr>
            <w:tcW w:w="1541" w:type="dxa"/>
            <w:tcBorders>
              <w:top w:val="single" w:sz="4" w:space="0" w:color="auto"/>
            </w:tcBorders>
            <w:vAlign w:val="center"/>
          </w:tcPr>
          <w:p w14:paraId="4C499826"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65</w:t>
            </w:r>
          </w:p>
        </w:tc>
      </w:tr>
      <w:tr w:rsidR="00CC73DD" w:rsidRPr="00361139" w14:paraId="2A9B0AA0" w14:textId="77777777" w:rsidTr="008144F7">
        <w:trPr>
          <w:cantSplit/>
          <w:jc w:val="center"/>
        </w:trPr>
        <w:tc>
          <w:tcPr>
            <w:tcW w:w="1540" w:type="dxa"/>
            <w:vAlign w:val="center"/>
          </w:tcPr>
          <w:p w14:paraId="52AFD7B1" w14:textId="48C659F3" w:rsidR="00CC73DD" w:rsidRPr="00361139" w:rsidRDefault="00CC73DD" w:rsidP="008144F7">
            <w:pPr>
              <w:ind w:right="-81" w:hanging="28"/>
              <w:jc w:val="center"/>
              <w:rPr>
                <w:rFonts w:asciiTheme="majorBidi" w:hAnsiTheme="majorBidi" w:cstheme="majorBidi"/>
                <w:sz w:val="18"/>
                <w:szCs w:val="18"/>
              </w:rPr>
            </w:pPr>
            <w:r w:rsidRPr="00361139">
              <w:rPr>
                <w:rFonts w:asciiTheme="majorBidi" w:hAnsiTheme="majorBidi" w:cstheme="majorBidi"/>
                <w:sz w:val="18"/>
                <w:szCs w:val="18"/>
              </w:rPr>
              <w:t>GEF-7</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(2018-2022)</w:t>
            </w:r>
          </w:p>
        </w:tc>
        <w:tc>
          <w:tcPr>
            <w:tcW w:w="1541" w:type="dxa"/>
            <w:vAlign w:val="center"/>
          </w:tcPr>
          <w:p w14:paraId="3EF28E3F"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25</w:t>
            </w:r>
          </w:p>
        </w:tc>
        <w:tc>
          <w:tcPr>
            <w:tcW w:w="1540" w:type="dxa"/>
            <w:vAlign w:val="center"/>
          </w:tcPr>
          <w:p w14:paraId="7A47E4C5"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5</w:t>
            </w:r>
          </w:p>
        </w:tc>
        <w:tc>
          <w:tcPr>
            <w:tcW w:w="1541" w:type="dxa"/>
            <w:vAlign w:val="center"/>
          </w:tcPr>
          <w:p w14:paraId="33204A42"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14</w:t>
            </w:r>
          </w:p>
        </w:tc>
        <w:tc>
          <w:tcPr>
            <w:tcW w:w="1540" w:type="dxa"/>
            <w:vAlign w:val="center"/>
          </w:tcPr>
          <w:p w14:paraId="78CDA701" w14:textId="77777777" w:rsidR="00CC73DD" w:rsidRPr="00361139" w:rsidRDefault="00CC73DD" w:rsidP="008144F7">
            <w:pPr>
              <w:ind w:firstLine="7"/>
              <w:jc w:val="center"/>
              <w:rPr>
                <w:rFonts w:asciiTheme="majorBidi" w:hAnsiTheme="majorBidi" w:cstheme="majorBidi"/>
                <w:sz w:val="18"/>
                <w:szCs w:val="18"/>
              </w:rPr>
            </w:pPr>
            <w:r w:rsidRPr="00361139">
              <w:rPr>
                <w:rFonts w:asciiTheme="majorBidi" w:hAnsiTheme="majorBidi" w:cstheme="majorBidi"/>
                <w:sz w:val="18"/>
                <w:szCs w:val="18"/>
              </w:rPr>
              <w:t>2</w:t>
            </w:r>
          </w:p>
        </w:tc>
        <w:tc>
          <w:tcPr>
            <w:tcW w:w="1541" w:type="dxa"/>
            <w:vAlign w:val="center"/>
          </w:tcPr>
          <w:p w14:paraId="048CDA30" w14:textId="77777777" w:rsidR="00CC73DD" w:rsidRPr="00361139" w:rsidRDefault="00CC73DD" w:rsidP="008144F7">
            <w:pPr>
              <w:ind w:hanging="28"/>
              <w:jc w:val="center"/>
              <w:rPr>
                <w:rFonts w:asciiTheme="majorBidi" w:hAnsiTheme="majorBidi" w:cstheme="majorBidi"/>
                <w:sz w:val="18"/>
                <w:szCs w:val="18"/>
              </w:rPr>
            </w:pPr>
            <w:r w:rsidRPr="00361139">
              <w:rPr>
                <w:rFonts w:asciiTheme="majorBidi" w:hAnsiTheme="majorBidi" w:cstheme="majorBidi"/>
                <w:sz w:val="18"/>
                <w:szCs w:val="18"/>
              </w:rPr>
              <w:t>46</w:t>
            </w:r>
          </w:p>
        </w:tc>
      </w:tr>
      <w:tr w:rsidR="00CC73DD" w:rsidRPr="00361139" w14:paraId="0DB07D37" w14:textId="77777777" w:rsidTr="008144F7">
        <w:trPr>
          <w:cantSplit/>
          <w:trHeight w:hRule="exact" w:val="57"/>
          <w:jc w:val="center"/>
        </w:trPr>
        <w:tc>
          <w:tcPr>
            <w:tcW w:w="1540" w:type="dxa"/>
            <w:tcBorders>
              <w:left w:val="nil"/>
              <w:bottom w:val="single" w:sz="4" w:space="0" w:color="000000"/>
              <w:right w:val="nil"/>
            </w:tcBorders>
            <w:vAlign w:val="center"/>
          </w:tcPr>
          <w:p w14:paraId="18F375E4"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4EFE7688" w14:textId="77777777" w:rsidR="00CC73DD" w:rsidRPr="00361139" w:rsidRDefault="00CC73DD" w:rsidP="008144F7">
            <w:pPr>
              <w:ind w:right="-81" w:hanging="28"/>
              <w:jc w:val="center"/>
              <w:rPr>
                <w:rFonts w:asciiTheme="majorBidi" w:hAnsiTheme="majorBidi" w:cstheme="majorBidi"/>
                <w:sz w:val="18"/>
                <w:szCs w:val="18"/>
              </w:rPr>
            </w:pPr>
          </w:p>
        </w:tc>
        <w:tc>
          <w:tcPr>
            <w:tcW w:w="1540" w:type="dxa"/>
            <w:tcBorders>
              <w:left w:val="nil"/>
              <w:bottom w:val="single" w:sz="4" w:space="0" w:color="000000"/>
              <w:right w:val="nil"/>
            </w:tcBorders>
            <w:vAlign w:val="center"/>
          </w:tcPr>
          <w:p w14:paraId="13161CEB"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52603139" w14:textId="77777777" w:rsidR="00CC73DD" w:rsidRPr="00361139" w:rsidRDefault="00CC73DD" w:rsidP="008144F7">
            <w:pPr>
              <w:ind w:right="-81" w:hanging="28"/>
              <w:jc w:val="center"/>
              <w:rPr>
                <w:rFonts w:asciiTheme="majorBidi" w:hAnsiTheme="majorBidi" w:cstheme="majorBidi"/>
                <w:sz w:val="18"/>
                <w:szCs w:val="18"/>
              </w:rPr>
            </w:pPr>
          </w:p>
        </w:tc>
        <w:tc>
          <w:tcPr>
            <w:tcW w:w="1540" w:type="dxa"/>
            <w:tcBorders>
              <w:left w:val="nil"/>
              <w:bottom w:val="single" w:sz="4" w:space="0" w:color="000000"/>
              <w:right w:val="nil"/>
            </w:tcBorders>
            <w:vAlign w:val="center"/>
          </w:tcPr>
          <w:p w14:paraId="4F4D26FB" w14:textId="77777777" w:rsidR="00CC73DD" w:rsidRPr="00361139" w:rsidRDefault="00CC73DD" w:rsidP="008144F7">
            <w:pPr>
              <w:ind w:right="-81" w:firstLine="7"/>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5DDD4BC4" w14:textId="77777777" w:rsidR="00CC73DD" w:rsidRPr="00361139" w:rsidRDefault="00CC73DD" w:rsidP="008144F7">
            <w:pPr>
              <w:ind w:right="-81" w:hanging="28"/>
              <w:jc w:val="center"/>
              <w:rPr>
                <w:rFonts w:asciiTheme="majorBidi" w:hAnsiTheme="majorBidi" w:cstheme="majorBidi"/>
                <w:sz w:val="18"/>
                <w:szCs w:val="18"/>
              </w:rPr>
            </w:pPr>
          </w:p>
        </w:tc>
      </w:tr>
      <w:tr w:rsidR="00CC73DD" w:rsidRPr="00361139" w14:paraId="722F0700" w14:textId="77777777" w:rsidTr="008144F7">
        <w:trPr>
          <w:cantSplit/>
          <w:jc w:val="center"/>
        </w:trPr>
        <w:tc>
          <w:tcPr>
            <w:tcW w:w="1540" w:type="dxa"/>
            <w:tcBorders>
              <w:bottom w:val="nil"/>
            </w:tcBorders>
            <w:vAlign w:val="center"/>
          </w:tcPr>
          <w:p w14:paraId="46C066BF"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Totals</w:t>
            </w:r>
          </w:p>
        </w:tc>
        <w:tc>
          <w:tcPr>
            <w:tcW w:w="1541" w:type="dxa"/>
            <w:tcBorders>
              <w:bottom w:val="nil"/>
              <w:right w:val="nil"/>
            </w:tcBorders>
            <w:vAlign w:val="center"/>
          </w:tcPr>
          <w:p w14:paraId="5E3276F7"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70</w:t>
            </w:r>
          </w:p>
        </w:tc>
        <w:tc>
          <w:tcPr>
            <w:tcW w:w="1540" w:type="dxa"/>
            <w:tcBorders>
              <w:left w:val="nil"/>
              <w:bottom w:val="nil"/>
              <w:right w:val="nil"/>
            </w:tcBorders>
            <w:vAlign w:val="center"/>
          </w:tcPr>
          <w:p w14:paraId="510AC9CE"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8</w:t>
            </w:r>
          </w:p>
        </w:tc>
        <w:tc>
          <w:tcPr>
            <w:tcW w:w="1541" w:type="dxa"/>
            <w:tcBorders>
              <w:left w:val="nil"/>
              <w:bottom w:val="nil"/>
              <w:right w:val="nil"/>
            </w:tcBorders>
            <w:vAlign w:val="center"/>
          </w:tcPr>
          <w:p w14:paraId="25ECC924"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31</w:t>
            </w:r>
          </w:p>
        </w:tc>
        <w:tc>
          <w:tcPr>
            <w:tcW w:w="1540" w:type="dxa"/>
            <w:tcBorders>
              <w:left w:val="nil"/>
              <w:bottom w:val="nil"/>
              <w:right w:val="nil"/>
            </w:tcBorders>
            <w:vAlign w:val="center"/>
          </w:tcPr>
          <w:p w14:paraId="07ED33BD" w14:textId="77777777" w:rsidR="00CC73DD" w:rsidRPr="00361139" w:rsidRDefault="00CC73DD" w:rsidP="008144F7">
            <w:pPr>
              <w:ind w:firstLine="7"/>
              <w:jc w:val="center"/>
              <w:rPr>
                <w:rFonts w:asciiTheme="majorBidi" w:hAnsiTheme="majorBidi" w:cstheme="majorBidi"/>
                <w:b/>
                <w:i/>
                <w:sz w:val="18"/>
                <w:szCs w:val="18"/>
              </w:rPr>
            </w:pPr>
            <w:r w:rsidRPr="00361139">
              <w:rPr>
                <w:rFonts w:asciiTheme="majorBidi" w:hAnsiTheme="majorBidi" w:cstheme="majorBidi"/>
                <w:b/>
                <w:i/>
                <w:sz w:val="18"/>
                <w:szCs w:val="18"/>
              </w:rPr>
              <w:t>2</w:t>
            </w:r>
          </w:p>
        </w:tc>
        <w:tc>
          <w:tcPr>
            <w:tcW w:w="1541" w:type="dxa"/>
            <w:tcBorders>
              <w:left w:val="nil"/>
              <w:bottom w:val="nil"/>
            </w:tcBorders>
            <w:vAlign w:val="center"/>
          </w:tcPr>
          <w:p w14:paraId="31E67BFA"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111</w:t>
            </w:r>
          </w:p>
        </w:tc>
      </w:tr>
      <w:tr w:rsidR="00CC73DD" w:rsidRPr="00361139" w14:paraId="60CEDFF4" w14:textId="77777777" w:rsidTr="008144F7">
        <w:trPr>
          <w:cantSplit/>
          <w:jc w:val="center"/>
        </w:trPr>
        <w:tc>
          <w:tcPr>
            <w:tcW w:w="1540" w:type="dxa"/>
            <w:tcBorders>
              <w:top w:val="nil"/>
            </w:tcBorders>
            <w:vAlign w:val="center"/>
          </w:tcPr>
          <w:p w14:paraId="112C7B65"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w:t>
            </w:r>
          </w:p>
        </w:tc>
        <w:tc>
          <w:tcPr>
            <w:tcW w:w="1541" w:type="dxa"/>
            <w:tcBorders>
              <w:top w:val="nil"/>
              <w:bottom w:val="single" w:sz="4" w:space="0" w:color="000000"/>
              <w:right w:val="nil"/>
            </w:tcBorders>
            <w:vAlign w:val="center"/>
          </w:tcPr>
          <w:p w14:paraId="728696D9"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(63%)</w:t>
            </w:r>
          </w:p>
        </w:tc>
        <w:tc>
          <w:tcPr>
            <w:tcW w:w="1540" w:type="dxa"/>
            <w:tcBorders>
              <w:top w:val="nil"/>
              <w:left w:val="nil"/>
              <w:bottom w:val="single" w:sz="4" w:space="0" w:color="000000"/>
              <w:right w:val="nil"/>
            </w:tcBorders>
            <w:vAlign w:val="center"/>
          </w:tcPr>
          <w:p w14:paraId="3055F5C6"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(7%)</w:t>
            </w:r>
          </w:p>
        </w:tc>
        <w:tc>
          <w:tcPr>
            <w:tcW w:w="1541" w:type="dxa"/>
            <w:tcBorders>
              <w:top w:val="nil"/>
              <w:left w:val="nil"/>
              <w:bottom w:val="single" w:sz="4" w:space="0" w:color="000000"/>
              <w:right w:val="nil"/>
            </w:tcBorders>
            <w:vAlign w:val="center"/>
          </w:tcPr>
          <w:p w14:paraId="6CC278FB"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(28%)</w:t>
            </w:r>
          </w:p>
        </w:tc>
        <w:tc>
          <w:tcPr>
            <w:tcW w:w="1540" w:type="dxa"/>
            <w:tcBorders>
              <w:top w:val="nil"/>
              <w:left w:val="nil"/>
              <w:bottom w:val="single" w:sz="4" w:space="0" w:color="000000"/>
              <w:right w:val="nil"/>
            </w:tcBorders>
            <w:vAlign w:val="center"/>
          </w:tcPr>
          <w:p w14:paraId="7BA81D08"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(2%)</w:t>
            </w:r>
          </w:p>
        </w:tc>
        <w:tc>
          <w:tcPr>
            <w:tcW w:w="1541" w:type="dxa"/>
            <w:tcBorders>
              <w:top w:val="nil"/>
              <w:left w:val="nil"/>
              <w:bottom w:val="single" w:sz="4" w:space="0" w:color="000000"/>
            </w:tcBorders>
            <w:vAlign w:val="center"/>
          </w:tcPr>
          <w:p w14:paraId="7B6EB2D0"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(100%)</w:t>
            </w:r>
          </w:p>
        </w:tc>
      </w:tr>
    </w:tbl>
    <w:p w14:paraId="72B338C3" w14:textId="227D3359" w:rsidR="00CC73DD" w:rsidRPr="00361139" w:rsidRDefault="00CC73DD" w:rsidP="00FA47A8">
      <w:pPr>
        <w:pStyle w:val="Titletable"/>
        <w:spacing w:before="240"/>
        <w:rPr>
          <w:lang w:val="en-GB"/>
        </w:rPr>
      </w:pPr>
      <w:bookmarkStart w:id="159" w:name="_Toc139982229"/>
      <w:bookmarkStart w:id="160" w:name="_Toc139983941"/>
      <w:r w:rsidRPr="00361139">
        <w:rPr>
          <w:b w:val="0"/>
          <w:bCs w:val="0"/>
          <w:lang w:val="en-GB"/>
        </w:rPr>
        <w:t>Table 3</w:t>
      </w:r>
      <w:r w:rsidR="002E372A" w:rsidRPr="00361139">
        <w:rPr>
          <w:lang w:val="en-GB"/>
        </w:rPr>
        <w:t xml:space="preserve"> </w:t>
      </w:r>
      <w:r w:rsidR="002E372A" w:rsidRPr="00361139">
        <w:rPr>
          <w:lang w:val="en-GB"/>
        </w:rPr>
        <w:br/>
      </w:r>
      <w:r w:rsidRPr="00361139">
        <w:rPr>
          <w:lang w:val="en-GB"/>
        </w:rPr>
        <w:t>Total funding of the GEF-funded projects that were active in the period under review, by cycle and project category</w:t>
      </w:r>
      <w:r w:rsidRPr="00361139">
        <w:rPr>
          <w:vertAlign w:val="superscript"/>
          <w:lang w:val="en-GB"/>
        </w:rPr>
        <w:t>9</w:t>
      </w:r>
      <w:r w:rsidRPr="00361139">
        <w:rPr>
          <w:lang w:val="en-GB"/>
        </w:rPr>
        <w:t>.</w:t>
      </w:r>
      <w:bookmarkEnd w:id="159"/>
      <w:bookmarkEnd w:id="16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0"/>
        <w:gridCol w:w="1581"/>
        <w:gridCol w:w="1581"/>
        <w:gridCol w:w="1582"/>
        <w:gridCol w:w="1581"/>
        <w:gridCol w:w="1582"/>
      </w:tblGrid>
      <w:tr w:rsidR="00CC73DD" w:rsidRPr="00361139" w14:paraId="4C265F0C" w14:textId="77777777" w:rsidTr="008144F7">
        <w:trPr>
          <w:cantSplit/>
          <w:trHeight w:hRule="exact" w:val="113"/>
          <w:jc w:val="center"/>
        </w:trPr>
        <w:tc>
          <w:tcPr>
            <w:tcW w:w="1540" w:type="dxa"/>
            <w:tcBorders>
              <w:bottom w:val="nil"/>
            </w:tcBorders>
            <w:shd w:val="clear" w:color="auto" w:fill="B6DDE8"/>
            <w:vAlign w:val="center"/>
          </w:tcPr>
          <w:p w14:paraId="60958E0B" w14:textId="77777777" w:rsidR="00CC73DD" w:rsidRPr="00361139" w:rsidRDefault="00CC73DD" w:rsidP="008144F7">
            <w:pPr>
              <w:ind w:left="28" w:right="28" w:hanging="28"/>
              <w:jc w:val="center"/>
              <w:rPr>
                <w:rFonts w:asciiTheme="majorBidi" w:hAnsiTheme="majorBidi" w:cstheme="majorBidi"/>
                <w:b/>
                <w:sz w:val="18"/>
                <w:szCs w:val="18"/>
              </w:rPr>
            </w:pPr>
          </w:p>
        </w:tc>
        <w:tc>
          <w:tcPr>
            <w:tcW w:w="1541" w:type="dxa"/>
            <w:tcBorders>
              <w:bottom w:val="nil"/>
            </w:tcBorders>
            <w:shd w:val="clear" w:color="auto" w:fill="B6DDE8"/>
            <w:vAlign w:val="center"/>
          </w:tcPr>
          <w:p w14:paraId="647729EA" w14:textId="77777777" w:rsidR="00CC73DD" w:rsidRPr="00361139" w:rsidRDefault="00CC73DD" w:rsidP="008144F7">
            <w:pPr>
              <w:ind w:left="28" w:right="28" w:hanging="19"/>
              <w:jc w:val="center"/>
              <w:rPr>
                <w:rFonts w:asciiTheme="majorBidi" w:hAnsiTheme="majorBidi" w:cstheme="majorBidi"/>
                <w:b/>
                <w:sz w:val="18"/>
                <w:szCs w:val="18"/>
              </w:rPr>
            </w:pPr>
          </w:p>
        </w:tc>
        <w:tc>
          <w:tcPr>
            <w:tcW w:w="1540" w:type="dxa"/>
            <w:tcBorders>
              <w:bottom w:val="nil"/>
            </w:tcBorders>
            <w:shd w:val="clear" w:color="auto" w:fill="B6DDE8"/>
            <w:vAlign w:val="center"/>
          </w:tcPr>
          <w:p w14:paraId="4A8FE1C1" w14:textId="77777777" w:rsidR="00CC73DD" w:rsidRPr="00361139" w:rsidRDefault="00CC73DD" w:rsidP="008144F7">
            <w:pPr>
              <w:ind w:left="28" w:right="28" w:hanging="28"/>
              <w:jc w:val="center"/>
              <w:rPr>
                <w:rFonts w:asciiTheme="majorBidi" w:hAnsiTheme="majorBidi" w:cstheme="majorBidi"/>
                <w:b/>
                <w:sz w:val="18"/>
                <w:szCs w:val="18"/>
              </w:rPr>
            </w:pPr>
          </w:p>
        </w:tc>
        <w:tc>
          <w:tcPr>
            <w:tcW w:w="1541" w:type="dxa"/>
            <w:tcBorders>
              <w:bottom w:val="nil"/>
            </w:tcBorders>
            <w:shd w:val="clear" w:color="auto" w:fill="B6DDE8"/>
            <w:vAlign w:val="center"/>
          </w:tcPr>
          <w:p w14:paraId="0CD48A99" w14:textId="77777777" w:rsidR="00CC73DD" w:rsidRPr="00361139" w:rsidRDefault="00CC73DD" w:rsidP="008144F7">
            <w:pPr>
              <w:ind w:left="28" w:right="28" w:hanging="28"/>
              <w:jc w:val="center"/>
              <w:rPr>
                <w:rFonts w:asciiTheme="majorBidi" w:hAnsiTheme="majorBidi" w:cstheme="majorBidi"/>
                <w:b/>
                <w:sz w:val="18"/>
                <w:szCs w:val="18"/>
              </w:rPr>
            </w:pPr>
          </w:p>
        </w:tc>
        <w:tc>
          <w:tcPr>
            <w:tcW w:w="1540" w:type="dxa"/>
            <w:tcBorders>
              <w:bottom w:val="nil"/>
            </w:tcBorders>
            <w:shd w:val="clear" w:color="auto" w:fill="B6DDE8"/>
            <w:vAlign w:val="center"/>
          </w:tcPr>
          <w:p w14:paraId="50D5CF1F" w14:textId="77777777" w:rsidR="00CC73DD" w:rsidRPr="00361139" w:rsidRDefault="00CC73DD" w:rsidP="008144F7">
            <w:pPr>
              <w:ind w:left="28" w:right="28" w:hanging="28"/>
              <w:jc w:val="center"/>
              <w:rPr>
                <w:rFonts w:asciiTheme="majorBidi" w:hAnsiTheme="majorBidi" w:cstheme="majorBidi"/>
                <w:b/>
                <w:sz w:val="18"/>
                <w:szCs w:val="18"/>
              </w:rPr>
            </w:pPr>
          </w:p>
        </w:tc>
        <w:tc>
          <w:tcPr>
            <w:tcW w:w="1541" w:type="dxa"/>
            <w:tcBorders>
              <w:bottom w:val="nil"/>
            </w:tcBorders>
            <w:shd w:val="clear" w:color="auto" w:fill="B6DDE8"/>
            <w:vAlign w:val="center"/>
          </w:tcPr>
          <w:p w14:paraId="3577B34D" w14:textId="77777777" w:rsidR="00CC73DD" w:rsidRPr="00361139" w:rsidRDefault="00CC73DD" w:rsidP="008144F7">
            <w:pPr>
              <w:ind w:left="28" w:right="28" w:hanging="28"/>
              <w:jc w:val="center"/>
              <w:rPr>
                <w:rFonts w:asciiTheme="majorBidi" w:hAnsiTheme="majorBidi" w:cstheme="majorBidi"/>
                <w:b/>
                <w:sz w:val="18"/>
                <w:szCs w:val="18"/>
              </w:rPr>
            </w:pPr>
          </w:p>
        </w:tc>
      </w:tr>
      <w:tr w:rsidR="00CC73DD" w:rsidRPr="00361139" w14:paraId="039476AA" w14:textId="77777777" w:rsidTr="008144F7">
        <w:trPr>
          <w:cantSplit/>
          <w:jc w:val="center"/>
        </w:trPr>
        <w:tc>
          <w:tcPr>
            <w:tcW w:w="1540" w:type="dxa"/>
            <w:tcBorders>
              <w:top w:val="nil"/>
              <w:bottom w:val="nil"/>
            </w:tcBorders>
            <w:shd w:val="clear" w:color="auto" w:fill="B6DDE8"/>
            <w:vAlign w:val="center"/>
          </w:tcPr>
          <w:p w14:paraId="77193389"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GEF Projects Cycle</w:t>
            </w:r>
          </w:p>
        </w:tc>
        <w:tc>
          <w:tcPr>
            <w:tcW w:w="1541" w:type="dxa"/>
            <w:tcBorders>
              <w:top w:val="nil"/>
              <w:bottom w:val="nil"/>
            </w:tcBorders>
            <w:shd w:val="clear" w:color="auto" w:fill="B6DDE8"/>
            <w:vAlign w:val="center"/>
          </w:tcPr>
          <w:p w14:paraId="1CDB095B" w14:textId="77777777" w:rsidR="00CC73DD" w:rsidRPr="00361139" w:rsidRDefault="00CC73DD" w:rsidP="008144F7">
            <w:pPr>
              <w:ind w:left="28" w:right="28" w:hanging="19"/>
              <w:jc w:val="center"/>
              <w:rPr>
                <w:rFonts w:asciiTheme="majorBidi" w:hAnsiTheme="majorBidi" w:cstheme="majorBidi"/>
                <w:b/>
                <w:sz w:val="18"/>
                <w:szCs w:val="18"/>
              </w:rPr>
            </w:pPr>
            <w:r w:rsidRPr="00361139">
              <w:rPr>
                <w:rFonts w:asciiTheme="majorBidi" w:hAnsiTheme="majorBidi" w:cstheme="majorBidi"/>
                <w:b/>
                <w:sz w:val="18"/>
                <w:szCs w:val="18"/>
              </w:rPr>
              <w:t>Total EA funding</w:t>
            </w:r>
          </w:p>
          <w:p w14:paraId="1A02A1D5" w14:textId="77777777" w:rsidR="00CC73DD" w:rsidRPr="00361139" w:rsidRDefault="00CC73DD" w:rsidP="008144F7">
            <w:pPr>
              <w:ind w:left="28" w:right="28" w:hanging="19"/>
              <w:jc w:val="center"/>
              <w:rPr>
                <w:rFonts w:asciiTheme="majorBidi" w:hAnsiTheme="majorBidi" w:cstheme="majorBidi"/>
                <w:b/>
                <w:sz w:val="18"/>
                <w:szCs w:val="18"/>
              </w:rPr>
            </w:pPr>
            <w:r w:rsidRPr="00361139">
              <w:rPr>
                <w:rFonts w:asciiTheme="majorBidi" w:hAnsiTheme="majorBidi" w:cstheme="majorBidi"/>
                <w:b/>
                <w:sz w:val="18"/>
                <w:szCs w:val="18"/>
              </w:rPr>
              <w:t>(USD)</w:t>
            </w:r>
          </w:p>
        </w:tc>
        <w:tc>
          <w:tcPr>
            <w:tcW w:w="1540" w:type="dxa"/>
            <w:tcBorders>
              <w:top w:val="nil"/>
              <w:bottom w:val="nil"/>
            </w:tcBorders>
            <w:shd w:val="clear" w:color="auto" w:fill="B6DDE8"/>
            <w:vAlign w:val="center"/>
          </w:tcPr>
          <w:p w14:paraId="72071D93"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Total MSP funding</w:t>
            </w:r>
          </w:p>
          <w:p w14:paraId="16068F42"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(USD)</w:t>
            </w:r>
          </w:p>
        </w:tc>
        <w:tc>
          <w:tcPr>
            <w:tcW w:w="1541" w:type="dxa"/>
            <w:tcBorders>
              <w:top w:val="nil"/>
              <w:bottom w:val="nil"/>
            </w:tcBorders>
            <w:shd w:val="clear" w:color="auto" w:fill="B6DDE8"/>
            <w:vAlign w:val="center"/>
          </w:tcPr>
          <w:p w14:paraId="14B29E63"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Total FSP funding</w:t>
            </w:r>
          </w:p>
          <w:p w14:paraId="2372F36A"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(USD)</w:t>
            </w:r>
          </w:p>
        </w:tc>
        <w:tc>
          <w:tcPr>
            <w:tcW w:w="1540" w:type="dxa"/>
            <w:tcBorders>
              <w:top w:val="nil"/>
              <w:bottom w:val="nil"/>
            </w:tcBorders>
            <w:shd w:val="clear" w:color="auto" w:fill="B6DDE8"/>
            <w:vAlign w:val="center"/>
          </w:tcPr>
          <w:p w14:paraId="0BF0ECDF"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Total PDF funding</w:t>
            </w:r>
          </w:p>
          <w:p w14:paraId="34BBE5CD"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(USD)</w:t>
            </w:r>
          </w:p>
        </w:tc>
        <w:tc>
          <w:tcPr>
            <w:tcW w:w="1541" w:type="dxa"/>
            <w:tcBorders>
              <w:top w:val="nil"/>
              <w:bottom w:val="nil"/>
            </w:tcBorders>
            <w:shd w:val="clear" w:color="auto" w:fill="B6DDE8"/>
            <w:vAlign w:val="center"/>
          </w:tcPr>
          <w:p w14:paraId="276BCB8E"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 xml:space="preserve">Total projects </w:t>
            </w:r>
            <w:r w:rsidRPr="00361139">
              <w:rPr>
                <w:rFonts w:asciiTheme="majorBidi" w:hAnsiTheme="majorBidi" w:cstheme="majorBidi"/>
                <w:b/>
                <w:sz w:val="18"/>
                <w:szCs w:val="18"/>
              </w:rPr>
              <w:br/>
              <w:t>funding</w:t>
            </w:r>
          </w:p>
          <w:p w14:paraId="6D6CD782" w14:textId="77777777" w:rsidR="00CC73DD" w:rsidRPr="00361139" w:rsidRDefault="00CC73DD" w:rsidP="008144F7">
            <w:pPr>
              <w:ind w:left="28" w:right="28" w:hanging="28"/>
              <w:jc w:val="center"/>
              <w:rPr>
                <w:rFonts w:asciiTheme="majorBidi" w:hAnsiTheme="majorBidi" w:cstheme="majorBidi"/>
                <w:b/>
                <w:sz w:val="18"/>
                <w:szCs w:val="18"/>
              </w:rPr>
            </w:pPr>
            <w:r w:rsidRPr="00361139">
              <w:rPr>
                <w:rFonts w:asciiTheme="majorBidi" w:hAnsiTheme="majorBidi" w:cstheme="majorBidi"/>
                <w:b/>
                <w:sz w:val="18"/>
                <w:szCs w:val="18"/>
              </w:rPr>
              <w:t>(USD)</w:t>
            </w:r>
          </w:p>
        </w:tc>
      </w:tr>
      <w:tr w:rsidR="00CC73DD" w:rsidRPr="00361139" w14:paraId="0AEC7DEE" w14:textId="77777777" w:rsidTr="008144F7">
        <w:trPr>
          <w:cantSplit/>
          <w:trHeight w:val="567"/>
          <w:jc w:val="center"/>
        </w:trPr>
        <w:tc>
          <w:tcPr>
            <w:tcW w:w="1540" w:type="dxa"/>
            <w:tcBorders>
              <w:top w:val="nil"/>
              <w:left w:val="single" w:sz="4" w:space="0" w:color="auto"/>
              <w:bottom w:val="single" w:sz="4" w:space="0" w:color="auto"/>
              <w:right w:val="single" w:sz="4" w:space="0" w:color="auto"/>
            </w:tcBorders>
            <w:shd w:val="clear" w:color="auto" w:fill="B6DDE8"/>
            <w:vAlign w:val="center"/>
          </w:tcPr>
          <w:p w14:paraId="7199028A" w14:textId="77777777" w:rsidR="00CC73DD" w:rsidRPr="00361139" w:rsidRDefault="00CC73DD" w:rsidP="008144F7">
            <w:pPr>
              <w:ind w:hanging="28"/>
              <w:jc w:val="center"/>
              <w:rPr>
                <w:rFonts w:asciiTheme="majorBidi" w:hAnsiTheme="majorBidi" w:cstheme="majorBidi"/>
                <w:i/>
                <w:sz w:val="18"/>
                <w:szCs w:val="18"/>
              </w:rPr>
            </w:pPr>
          </w:p>
        </w:tc>
        <w:tc>
          <w:tcPr>
            <w:tcW w:w="1541" w:type="dxa"/>
            <w:tcBorders>
              <w:top w:val="nil"/>
              <w:left w:val="single" w:sz="4" w:space="0" w:color="auto"/>
              <w:bottom w:val="single" w:sz="4" w:space="0" w:color="auto"/>
              <w:right w:val="single" w:sz="4" w:space="0" w:color="auto"/>
            </w:tcBorders>
            <w:shd w:val="clear" w:color="auto" w:fill="B6DDE8"/>
            <w:vAlign w:val="center"/>
          </w:tcPr>
          <w:p w14:paraId="16035D79" w14:textId="77777777" w:rsidR="00CC73DD" w:rsidRPr="00361139" w:rsidRDefault="00CC73DD" w:rsidP="008144F7">
            <w:pPr>
              <w:ind w:hanging="19"/>
              <w:jc w:val="center"/>
              <w:rPr>
                <w:rFonts w:asciiTheme="majorBidi" w:hAnsiTheme="majorBidi" w:cstheme="majorBidi"/>
                <w:i/>
                <w:sz w:val="18"/>
                <w:szCs w:val="18"/>
              </w:rPr>
            </w:pPr>
            <w:r w:rsidRPr="00361139">
              <w:rPr>
                <w:rFonts w:asciiTheme="majorBidi" w:hAnsiTheme="majorBidi" w:cstheme="majorBidi"/>
                <w:i/>
                <w:sz w:val="18"/>
                <w:szCs w:val="18"/>
              </w:rPr>
              <w:t>(a)</w:t>
            </w:r>
          </w:p>
        </w:tc>
        <w:tc>
          <w:tcPr>
            <w:tcW w:w="1540" w:type="dxa"/>
            <w:tcBorders>
              <w:top w:val="nil"/>
              <w:left w:val="single" w:sz="4" w:space="0" w:color="auto"/>
              <w:bottom w:val="single" w:sz="4" w:space="0" w:color="auto"/>
              <w:right w:val="single" w:sz="4" w:space="0" w:color="auto"/>
            </w:tcBorders>
            <w:shd w:val="clear" w:color="auto" w:fill="B6DDE8"/>
            <w:vAlign w:val="center"/>
          </w:tcPr>
          <w:p w14:paraId="1A25AFD2"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(b)</w:t>
            </w:r>
          </w:p>
        </w:tc>
        <w:tc>
          <w:tcPr>
            <w:tcW w:w="1541" w:type="dxa"/>
            <w:tcBorders>
              <w:top w:val="nil"/>
              <w:left w:val="single" w:sz="4" w:space="0" w:color="auto"/>
              <w:bottom w:val="single" w:sz="4" w:space="0" w:color="auto"/>
              <w:right w:val="single" w:sz="4" w:space="0" w:color="auto"/>
            </w:tcBorders>
            <w:shd w:val="clear" w:color="auto" w:fill="B6DDE8"/>
            <w:vAlign w:val="center"/>
          </w:tcPr>
          <w:p w14:paraId="32D6BBFE"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(c)</w:t>
            </w:r>
          </w:p>
        </w:tc>
        <w:tc>
          <w:tcPr>
            <w:tcW w:w="1540" w:type="dxa"/>
            <w:tcBorders>
              <w:top w:val="nil"/>
              <w:left w:val="single" w:sz="4" w:space="0" w:color="auto"/>
              <w:bottom w:val="single" w:sz="4" w:space="0" w:color="auto"/>
              <w:right w:val="single" w:sz="4" w:space="0" w:color="auto"/>
            </w:tcBorders>
            <w:shd w:val="clear" w:color="auto" w:fill="B6DDE8"/>
            <w:vAlign w:val="center"/>
          </w:tcPr>
          <w:p w14:paraId="72F6DBA8"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(d)</w:t>
            </w:r>
          </w:p>
        </w:tc>
        <w:tc>
          <w:tcPr>
            <w:tcW w:w="1541" w:type="dxa"/>
            <w:tcBorders>
              <w:top w:val="nil"/>
              <w:left w:val="single" w:sz="4" w:space="0" w:color="auto"/>
              <w:bottom w:val="single" w:sz="4" w:space="0" w:color="auto"/>
              <w:right w:val="single" w:sz="4" w:space="0" w:color="auto"/>
            </w:tcBorders>
            <w:shd w:val="clear" w:color="auto" w:fill="B6DDE8"/>
            <w:vAlign w:val="center"/>
          </w:tcPr>
          <w:p w14:paraId="0355BAD0" w14:textId="77777777" w:rsidR="00CC73DD" w:rsidRPr="00361139" w:rsidRDefault="00CC73DD" w:rsidP="008144F7">
            <w:pPr>
              <w:ind w:hanging="28"/>
              <w:jc w:val="center"/>
              <w:rPr>
                <w:rFonts w:asciiTheme="majorBidi" w:hAnsiTheme="majorBidi" w:cstheme="majorBidi"/>
                <w:i/>
                <w:sz w:val="18"/>
                <w:szCs w:val="18"/>
              </w:rPr>
            </w:pPr>
            <w:r w:rsidRPr="00361139">
              <w:rPr>
                <w:rFonts w:asciiTheme="majorBidi" w:hAnsiTheme="majorBidi" w:cstheme="majorBidi"/>
                <w:i/>
                <w:sz w:val="18"/>
                <w:szCs w:val="18"/>
              </w:rPr>
              <w:t>(</w:t>
            </w:r>
            <w:proofErr w:type="spellStart"/>
            <w:r w:rsidRPr="00361139">
              <w:rPr>
                <w:rFonts w:asciiTheme="majorBidi" w:hAnsiTheme="majorBidi" w:cstheme="majorBidi"/>
                <w:i/>
                <w:sz w:val="18"/>
                <w:szCs w:val="18"/>
              </w:rPr>
              <w:t>a+b+c+d</w:t>
            </w:r>
            <w:proofErr w:type="spellEnd"/>
            <w:r w:rsidRPr="00361139">
              <w:rPr>
                <w:rFonts w:asciiTheme="majorBidi" w:hAnsiTheme="majorBidi" w:cstheme="majorBidi"/>
                <w:i/>
                <w:sz w:val="18"/>
                <w:szCs w:val="18"/>
              </w:rPr>
              <w:t>)</w:t>
            </w:r>
          </w:p>
        </w:tc>
      </w:tr>
      <w:tr w:rsidR="00CC73DD" w:rsidRPr="00361139" w14:paraId="43BFB800" w14:textId="77777777" w:rsidTr="008144F7">
        <w:trPr>
          <w:cantSplit/>
          <w:trHeight w:hRule="exact" w:val="57"/>
          <w:jc w:val="center"/>
        </w:trPr>
        <w:tc>
          <w:tcPr>
            <w:tcW w:w="1540" w:type="dxa"/>
            <w:tcBorders>
              <w:top w:val="single" w:sz="4" w:space="0" w:color="auto"/>
              <w:left w:val="nil"/>
              <w:right w:val="nil"/>
            </w:tcBorders>
            <w:vAlign w:val="center"/>
          </w:tcPr>
          <w:p w14:paraId="2DA7C810"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top w:val="single" w:sz="4" w:space="0" w:color="auto"/>
              <w:left w:val="nil"/>
              <w:right w:val="nil"/>
            </w:tcBorders>
            <w:vAlign w:val="center"/>
          </w:tcPr>
          <w:p w14:paraId="18B2D4EC" w14:textId="77777777" w:rsidR="00CC73DD" w:rsidRPr="00361139" w:rsidRDefault="00CC73DD" w:rsidP="008144F7">
            <w:pPr>
              <w:ind w:hanging="19"/>
              <w:jc w:val="right"/>
              <w:rPr>
                <w:rFonts w:asciiTheme="majorBidi" w:hAnsiTheme="majorBidi" w:cstheme="majorBidi"/>
                <w:sz w:val="18"/>
                <w:szCs w:val="18"/>
              </w:rPr>
            </w:pPr>
          </w:p>
        </w:tc>
        <w:tc>
          <w:tcPr>
            <w:tcW w:w="1540" w:type="dxa"/>
            <w:tcBorders>
              <w:top w:val="single" w:sz="4" w:space="0" w:color="auto"/>
              <w:left w:val="nil"/>
              <w:right w:val="nil"/>
            </w:tcBorders>
            <w:vAlign w:val="center"/>
          </w:tcPr>
          <w:p w14:paraId="1F9F23AC" w14:textId="77777777" w:rsidR="00CC73DD" w:rsidRPr="00361139" w:rsidRDefault="00CC73DD" w:rsidP="008144F7">
            <w:pPr>
              <w:ind w:hanging="28"/>
              <w:jc w:val="right"/>
              <w:rPr>
                <w:rFonts w:asciiTheme="majorBidi" w:hAnsiTheme="majorBidi" w:cstheme="majorBidi"/>
                <w:sz w:val="18"/>
                <w:szCs w:val="18"/>
              </w:rPr>
            </w:pPr>
          </w:p>
        </w:tc>
        <w:tc>
          <w:tcPr>
            <w:tcW w:w="1541" w:type="dxa"/>
            <w:tcBorders>
              <w:top w:val="single" w:sz="4" w:space="0" w:color="auto"/>
              <w:left w:val="nil"/>
              <w:right w:val="nil"/>
            </w:tcBorders>
            <w:vAlign w:val="center"/>
          </w:tcPr>
          <w:p w14:paraId="37285154" w14:textId="77777777" w:rsidR="00CC73DD" w:rsidRPr="00361139" w:rsidRDefault="00CC73DD" w:rsidP="008144F7">
            <w:pPr>
              <w:ind w:hanging="28"/>
              <w:jc w:val="right"/>
              <w:rPr>
                <w:rFonts w:asciiTheme="majorBidi" w:hAnsiTheme="majorBidi" w:cstheme="majorBidi"/>
                <w:sz w:val="18"/>
                <w:szCs w:val="18"/>
              </w:rPr>
            </w:pPr>
          </w:p>
        </w:tc>
        <w:tc>
          <w:tcPr>
            <w:tcW w:w="1540" w:type="dxa"/>
            <w:tcBorders>
              <w:top w:val="single" w:sz="4" w:space="0" w:color="auto"/>
              <w:left w:val="nil"/>
              <w:right w:val="nil"/>
            </w:tcBorders>
            <w:vAlign w:val="center"/>
          </w:tcPr>
          <w:p w14:paraId="20C4E72C" w14:textId="77777777" w:rsidR="00CC73DD" w:rsidRPr="00361139" w:rsidRDefault="00CC73DD" w:rsidP="008144F7">
            <w:pPr>
              <w:ind w:hanging="28"/>
              <w:jc w:val="right"/>
              <w:rPr>
                <w:rFonts w:asciiTheme="majorBidi" w:hAnsiTheme="majorBidi" w:cstheme="majorBidi"/>
                <w:sz w:val="18"/>
                <w:szCs w:val="18"/>
              </w:rPr>
            </w:pPr>
          </w:p>
        </w:tc>
        <w:tc>
          <w:tcPr>
            <w:tcW w:w="1541" w:type="dxa"/>
            <w:tcBorders>
              <w:top w:val="single" w:sz="4" w:space="0" w:color="auto"/>
              <w:left w:val="nil"/>
              <w:right w:val="nil"/>
            </w:tcBorders>
            <w:vAlign w:val="center"/>
          </w:tcPr>
          <w:p w14:paraId="3CE54CCA" w14:textId="77777777" w:rsidR="00CC73DD" w:rsidRPr="00361139" w:rsidRDefault="00CC73DD" w:rsidP="008144F7">
            <w:pPr>
              <w:ind w:hanging="28"/>
              <w:jc w:val="right"/>
              <w:rPr>
                <w:rFonts w:asciiTheme="majorBidi" w:hAnsiTheme="majorBidi" w:cstheme="majorBidi"/>
                <w:sz w:val="18"/>
                <w:szCs w:val="18"/>
              </w:rPr>
            </w:pPr>
          </w:p>
        </w:tc>
      </w:tr>
      <w:tr w:rsidR="00CC73DD" w:rsidRPr="00361139" w14:paraId="354F148A" w14:textId="77777777" w:rsidTr="008144F7">
        <w:trPr>
          <w:cantSplit/>
          <w:jc w:val="center"/>
        </w:trPr>
        <w:tc>
          <w:tcPr>
            <w:tcW w:w="1540" w:type="dxa"/>
            <w:tcBorders>
              <w:top w:val="single" w:sz="4" w:space="0" w:color="auto"/>
            </w:tcBorders>
            <w:vAlign w:val="center"/>
          </w:tcPr>
          <w:p w14:paraId="2D02B0F1" w14:textId="3DBA538A" w:rsidR="00CC73DD" w:rsidRPr="00361139" w:rsidRDefault="00CC73DD" w:rsidP="008144F7">
            <w:pPr>
              <w:ind w:right="-81" w:hanging="28"/>
              <w:jc w:val="center"/>
              <w:rPr>
                <w:rFonts w:asciiTheme="majorBidi" w:hAnsiTheme="majorBidi" w:cstheme="majorBidi"/>
                <w:sz w:val="18"/>
                <w:szCs w:val="18"/>
              </w:rPr>
            </w:pPr>
            <w:r w:rsidRPr="00361139">
              <w:rPr>
                <w:rFonts w:asciiTheme="majorBidi" w:hAnsiTheme="majorBidi" w:cstheme="majorBidi"/>
                <w:sz w:val="18"/>
                <w:szCs w:val="18"/>
              </w:rPr>
              <w:t>GEF-6</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(2014-2018)</w:t>
            </w:r>
          </w:p>
        </w:tc>
        <w:tc>
          <w:tcPr>
            <w:tcW w:w="1541" w:type="dxa"/>
            <w:tcBorders>
              <w:top w:val="single" w:sz="4" w:space="0" w:color="auto"/>
            </w:tcBorders>
            <w:vAlign w:val="center"/>
          </w:tcPr>
          <w:p w14:paraId="5B4AD854" w14:textId="77777777" w:rsidR="00CC73DD" w:rsidRPr="00361139" w:rsidRDefault="00CC73DD" w:rsidP="008144F7">
            <w:pPr>
              <w:ind w:hanging="19"/>
              <w:jc w:val="right"/>
              <w:rPr>
                <w:rFonts w:asciiTheme="majorBidi" w:hAnsiTheme="majorBidi" w:cstheme="majorBidi"/>
                <w:sz w:val="18"/>
                <w:szCs w:val="18"/>
              </w:rPr>
            </w:pPr>
            <w:r w:rsidRPr="00361139">
              <w:rPr>
                <w:rFonts w:asciiTheme="majorBidi" w:hAnsiTheme="majorBidi" w:cstheme="majorBidi"/>
                <w:sz w:val="18"/>
                <w:szCs w:val="18"/>
              </w:rPr>
              <w:t>28.933.125</w:t>
            </w:r>
          </w:p>
        </w:tc>
        <w:tc>
          <w:tcPr>
            <w:tcW w:w="1540" w:type="dxa"/>
            <w:tcBorders>
              <w:top w:val="single" w:sz="4" w:space="0" w:color="auto"/>
            </w:tcBorders>
            <w:vAlign w:val="center"/>
          </w:tcPr>
          <w:p w14:paraId="6159F2FE"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5.136.031</w:t>
            </w:r>
          </w:p>
        </w:tc>
        <w:tc>
          <w:tcPr>
            <w:tcW w:w="1541" w:type="dxa"/>
            <w:tcBorders>
              <w:top w:val="single" w:sz="4" w:space="0" w:color="auto"/>
            </w:tcBorders>
            <w:vAlign w:val="center"/>
          </w:tcPr>
          <w:p w14:paraId="52CBEA5E"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141.791.000</w:t>
            </w:r>
          </w:p>
        </w:tc>
        <w:tc>
          <w:tcPr>
            <w:tcW w:w="1540" w:type="dxa"/>
            <w:tcBorders>
              <w:top w:val="single" w:sz="4" w:space="0" w:color="auto"/>
            </w:tcBorders>
            <w:vAlign w:val="center"/>
          </w:tcPr>
          <w:p w14:paraId="73EAE7CB"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0</w:t>
            </w:r>
          </w:p>
        </w:tc>
        <w:tc>
          <w:tcPr>
            <w:tcW w:w="1541" w:type="dxa"/>
            <w:tcBorders>
              <w:top w:val="single" w:sz="4" w:space="0" w:color="auto"/>
            </w:tcBorders>
            <w:vAlign w:val="center"/>
          </w:tcPr>
          <w:p w14:paraId="15CB5A2C"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175.860.156</w:t>
            </w:r>
          </w:p>
        </w:tc>
      </w:tr>
      <w:tr w:rsidR="00CC73DD" w:rsidRPr="00361139" w14:paraId="77C4D84A" w14:textId="77777777" w:rsidTr="008144F7">
        <w:trPr>
          <w:cantSplit/>
          <w:jc w:val="center"/>
        </w:trPr>
        <w:tc>
          <w:tcPr>
            <w:tcW w:w="1540" w:type="dxa"/>
            <w:vAlign w:val="center"/>
          </w:tcPr>
          <w:p w14:paraId="35D3C1B5" w14:textId="069E46EC" w:rsidR="00CC73DD" w:rsidRPr="00361139" w:rsidRDefault="00CC73DD" w:rsidP="008144F7">
            <w:pPr>
              <w:ind w:right="-81" w:hanging="28"/>
              <w:jc w:val="center"/>
              <w:rPr>
                <w:rFonts w:asciiTheme="majorBidi" w:hAnsiTheme="majorBidi" w:cstheme="majorBidi"/>
                <w:sz w:val="18"/>
                <w:szCs w:val="18"/>
              </w:rPr>
            </w:pPr>
            <w:r w:rsidRPr="00361139">
              <w:rPr>
                <w:rFonts w:asciiTheme="majorBidi" w:hAnsiTheme="majorBidi" w:cstheme="majorBidi"/>
                <w:sz w:val="18"/>
                <w:szCs w:val="18"/>
              </w:rPr>
              <w:t>GEF-7</w:t>
            </w:r>
            <w:r w:rsidR="00BF549F" w:rsidRPr="00361139">
              <w:rPr>
                <w:rFonts w:asciiTheme="majorBidi" w:hAnsiTheme="majorBidi" w:cstheme="majorBidi"/>
                <w:sz w:val="18"/>
                <w:szCs w:val="18"/>
              </w:rPr>
              <w:t xml:space="preserve"> </w:t>
            </w:r>
            <w:r w:rsidRPr="00361139">
              <w:rPr>
                <w:rFonts w:asciiTheme="majorBidi" w:hAnsiTheme="majorBidi" w:cstheme="majorBidi"/>
                <w:sz w:val="18"/>
                <w:szCs w:val="18"/>
              </w:rPr>
              <w:br/>
              <w:t>(2018-2022)</w:t>
            </w:r>
          </w:p>
        </w:tc>
        <w:tc>
          <w:tcPr>
            <w:tcW w:w="1541" w:type="dxa"/>
            <w:vAlign w:val="center"/>
          </w:tcPr>
          <w:p w14:paraId="17BB12D9" w14:textId="77777777" w:rsidR="00CC73DD" w:rsidRPr="00361139" w:rsidRDefault="00CC73DD" w:rsidP="008144F7">
            <w:pPr>
              <w:ind w:hanging="19"/>
              <w:jc w:val="right"/>
              <w:rPr>
                <w:rFonts w:asciiTheme="majorBidi" w:hAnsiTheme="majorBidi" w:cstheme="majorBidi"/>
                <w:sz w:val="18"/>
                <w:szCs w:val="18"/>
              </w:rPr>
            </w:pPr>
            <w:r w:rsidRPr="00361139">
              <w:rPr>
                <w:rFonts w:asciiTheme="majorBidi" w:hAnsiTheme="majorBidi" w:cstheme="majorBidi"/>
                <w:sz w:val="18"/>
                <w:szCs w:val="18"/>
              </w:rPr>
              <w:t>11.919.075</w:t>
            </w:r>
          </w:p>
        </w:tc>
        <w:tc>
          <w:tcPr>
            <w:tcW w:w="1540" w:type="dxa"/>
            <w:vAlign w:val="center"/>
          </w:tcPr>
          <w:p w14:paraId="7ECEDD5A"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9.654.220</w:t>
            </w:r>
          </w:p>
        </w:tc>
        <w:tc>
          <w:tcPr>
            <w:tcW w:w="1541" w:type="dxa"/>
            <w:vAlign w:val="center"/>
          </w:tcPr>
          <w:p w14:paraId="610ED3AF"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158.137.579</w:t>
            </w:r>
          </w:p>
        </w:tc>
        <w:tc>
          <w:tcPr>
            <w:tcW w:w="1540" w:type="dxa"/>
            <w:vAlign w:val="center"/>
          </w:tcPr>
          <w:p w14:paraId="10DBC282"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162.757.195</w:t>
            </w:r>
          </w:p>
        </w:tc>
        <w:tc>
          <w:tcPr>
            <w:tcW w:w="1541" w:type="dxa"/>
            <w:vAlign w:val="center"/>
          </w:tcPr>
          <w:p w14:paraId="59C1B836" w14:textId="77777777" w:rsidR="00CC73DD" w:rsidRPr="00361139" w:rsidRDefault="00CC73DD" w:rsidP="008144F7">
            <w:pPr>
              <w:ind w:hanging="28"/>
              <w:jc w:val="right"/>
              <w:rPr>
                <w:rFonts w:asciiTheme="majorBidi" w:hAnsiTheme="majorBidi" w:cstheme="majorBidi"/>
                <w:sz w:val="18"/>
                <w:szCs w:val="18"/>
              </w:rPr>
            </w:pPr>
            <w:r w:rsidRPr="00361139">
              <w:rPr>
                <w:rFonts w:asciiTheme="majorBidi" w:hAnsiTheme="majorBidi" w:cstheme="majorBidi"/>
                <w:sz w:val="18"/>
                <w:szCs w:val="18"/>
              </w:rPr>
              <w:t>342.468.069</w:t>
            </w:r>
          </w:p>
        </w:tc>
      </w:tr>
      <w:tr w:rsidR="00CC73DD" w:rsidRPr="00361139" w14:paraId="5B25F7AB" w14:textId="77777777" w:rsidTr="008144F7">
        <w:trPr>
          <w:cantSplit/>
          <w:trHeight w:hRule="exact" w:val="57"/>
          <w:jc w:val="center"/>
        </w:trPr>
        <w:tc>
          <w:tcPr>
            <w:tcW w:w="1540" w:type="dxa"/>
            <w:tcBorders>
              <w:left w:val="nil"/>
              <w:bottom w:val="single" w:sz="4" w:space="0" w:color="000000"/>
              <w:right w:val="nil"/>
            </w:tcBorders>
            <w:vAlign w:val="center"/>
          </w:tcPr>
          <w:p w14:paraId="55AA8591"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09D30118" w14:textId="77777777" w:rsidR="00CC73DD" w:rsidRPr="00361139" w:rsidRDefault="00CC73DD" w:rsidP="008144F7">
            <w:pPr>
              <w:ind w:right="-81" w:hanging="19"/>
              <w:jc w:val="center"/>
              <w:rPr>
                <w:rFonts w:asciiTheme="majorBidi" w:hAnsiTheme="majorBidi" w:cstheme="majorBidi"/>
                <w:sz w:val="18"/>
                <w:szCs w:val="18"/>
              </w:rPr>
            </w:pPr>
          </w:p>
        </w:tc>
        <w:tc>
          <w:tcPr>
            <w:tcW w:w="1540" w:type="dxa"/>
            <w:tcBorders>
              <w:left w:val="nil"/>
              <w:bottom w:val="single" w:sz="4" w:space="0" w:color="000000"/>
              <w:right w:val="nil"/>
            </w:tcBorders>
            <w:vAlign w:val="center"/>
          </w:tcPr>
          <w:p w14:paraId="7EDD9B08"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16916D48" w14:textId="77777777" w:rsidR="00CC73DD" w:rsidRPr="00361139" w:rsidRDefault="00CC73DD" w:rsidP="008144F7">
            <w:pPr>
              <w:ind w:right="-81" w:hanging="28"/>
              <w:jc w:val="center"/>
              <w:rPr>
                <w:rFonts w:asciiTheme="majorBidi" w:hAnsiTheme="majorBidi" w:cstheme="majorBidi"/>
                <w:sz w:val="18"/>
                <w:szCs w:val="18"/>
              </w:rPr>
            </w:pPr>
          </w:p>
        </w:tc>
        <w:tc>
          <w:tcPr>
            <w:tcW w:w="1540" w:type="dxa"/>
            <w:tcBorders>
              <w:left w:val="nil"/>
              <w:bottom w:val="single" w:sz="4" w:space="0" w:color="000000"/>
              <w:right w:val="nil"/>
            </w:tcBorders>
            <w:vAlign w:val="center"/>
          </w:tcPr>
          <w:p w14:paraId="641A21DF" w14:textId="77777777" w:rsidR="00CC73DD" w:rsidRPr="00361139" w:rsidRDefault="00CC73DD" w:rsidP="008144F7">
            <w:pPr>
              <w:ind w:right="-81" w:hanging="28"/>
              <w:jc w:val="center"/>
              <w:rPr>
                <w:rFonts w:asciiTheme="majorBidi" w:hAnsiTheme="majorBidi" w:cstheme="majorBidi"/>
                <w:sz w:val="18"/>
                <w:szCs w:val="18"/>
              </w:rPr>
            </w:pPr>
          </w:p>
        </w:tc>
        <w:tc>
          <w:tcPr>
            <w:tcW w:w="1541" w:type="dxa"/>
            <w:tcBorders>
              <w:left w:val="nil"/>
              <w:bottom w:val="single" w:sz="4" w:space="0" w:color="000000"/>
              <w:right w:val="nil"/>
            </w:tcBorders>
            <w:vAlign w:val="center"/>
          </w:tcPr>
          <w:p w14:paraId="59924320" w14:textId="77777777" w:rsidR="00CC73DD" w:rsidRPr="00361139" w:rsidRDefault="00CC73DD" w:rsidP="008144F7">
            <w:pPr>
              <w:ind w:right="-81" w:hanging="28"/>
              <w:jc w:val="center"/>
              <w:rPr>
                <w:rFonts w:asciiTheme="majorBidi" w:hAnsiTheme="majorBidi" w:cstheme="majorBidi"/>
                <w:sz w:val="18"/>
                <w:szCs w:val="18"/>
              </w:rPr>
            </w:pPr>
          </w:p>
        </w:tc>
      </w:tr>
      <w:tr w:rsidR="00CC73DD" w:rsidRPr="00361139" w14:paraId="138B6118" w14:textId="77777777" w:rsidTr="008144F7">
        <w:trPr>
          <w:cantSplit/>
          <w:jc w:val="center"/>
        </w:trPr>
        <w:tc>
          <w:tcPr>
            <w:tcW w:w="1540" w:type="dxa"/>
            <w:tcBorders>
              <w:bottom w:val="nil"/>
            </w:tcBorders>
            <w:vAlign w:val="center"/>
          </w:tcPr>
          <w:p w14:paraId="5A9B3B2E" w14:textId="77777777" w:rsidR="00CC73DD" w:rsidRPr="00361139" w:rsidRDefault="00CC73DD" w:rsidP="008144F7">
            <w:pPr>
              <w:ind w:hanging="28"/>
              <w:jc w:val="center"/>
              <w:rPr>
                <w:rFonts w:asciiTheme="majorBidi" w:hAnsiTheme="majorBidi" w:cstheme="majorBidi"/>
                <w:b/>
                <w:i/>
                <w:sz w:val="18"/>
                <w:szCs w:val="18"/>
              </w:rPr>
            </w:pPr>
            <w:r w:rsidRPr="00361139">
              <w:rPr>
                <w:rFonts w:asciiTheme="majorBidi" w:hAnsiTheme="majorBidi" w:cstheme="majorBidi"/>
                <w:b/>
                <w:i/>
                <w:sz w:val="18"/>
                <w:szCs w:val="18"/>
              </w:rPr>
              <w:t>Totals</w:t>
            </w:r>
          </w:p>
        </w:tc>
        <w:tc>
          <w:tcPr>
            <w:tcW w:w="1541" w:type="dxa"/>
            <w:tcBorders>
              <w:bottom w:val="nil"/>
            </w:tcBorders>
            <w:vAlign w:val="center"/>
          </w:tcPr>
          <w:p w14:paraId="103A284F" w14:textId="77777777" w:rsidR="00CC73DD" w:rsidRPr="00361139" w:rsidRDefault="00CC73DD" w:rsidP="008144F7">
            <w:pPr>
              <w:ind w:hanging="19"/>
              <w:jc w:val="right"/>
              <w:rPr>
                <w:rFonts w:asciiTheme="majorBidi" w:hAnsiTheme="majorBidi" w:cstheme="majorBidi"/>
                <w:b/>
                <w:i/>
                <w:sz w:val="18"/>
                <w:szCs w:val="18"/>
              </w:rPr>
            </w:pPr>
            <w:r w:rsidRPr="00361139">
              <w:rPr>
                <w:rFonts w:asciiTheme="majorBidi" w:hAnsiTheme="majorBidi" w:cstheme="majorBidi"/>
                <w:b/>
                <w:i/>
                <w:sz w:val="18"/>
                <w:szCs w:val="18"/>
              </w:rPr>
              <w:t>40.852.200</w:t>
            </w:r>
          </w:p>
        </w:tc>
        <w:tc>
          <w:tcPr>
            <w:tcW w:w="1540" w:type="dxa"/>
            <w:tcBorders>
              <w:bottom w:val="nil"/>
            </w:tcBorders>
            <w:vAlign w:val="center"/>
          </w:tcPr>
          <w:p w14:paraId="222914F3" w14:textId="77777777" w:rsidR="00CC73DD" w:rsidRPr="00361139" w:rsidRDefault="00CC73DD" w:rsidP="008144F7">
            <w:pPr>
              <w:ind w:hanging="28"/>
              <w:jc w:val="right"/>
              <w:rPr>
                <w:rFonts w:asciiTheme="majorBidi" w:hAnsiTheme="majorBidi" w:cstheme="majorBidi"/>
                <w:b/>
                <w:i/>
                <w:sz w:val="18"/>
                <w:szCs w:val="18"/>
              </w:rPr>
            </w:pPr>
            <w:r w:rsidRPr="00361139">
              <w:rPr>
                <w:rFonts w:asciiTheme="majorBidi" w:hAnsiTheme="majorBidi" w:cstheme="majorBidi"/>
                <w:b/>
                <w:i/>
                <w:sz w:val="18"/>
                <w:szCs w:val="18"/>
              </w:rPr>
              <w:t>14.790.251</w:t>
            </w:r>
          </w:p>
        </w:tc>
        <w:tc>
          <w:tcPr>
            <w:tcW w:w="1541" w:type="dxa"/>
            <w:tcBorders>
              <w:bottom w:val="nil"/>
            </w:tcBorders>
            <w:vAlign w:val="center"/>
          </w:tcPr>
          <w:p w14:paraId="1D15753D" w14:textId="77777777" w:rsidR="00CC73DD" w:rsidRPr="00361139" w:rsidRDefault="00CC73DD" w:rsidP="008144F7">
            <w:pPr>
              <w:ind w:hanging="28"/>
              <w:jc w:val="right"/>
              <w:rPr>
                <w:rFonts w:asciiTheme="majorBidi" w:hAnsiTheme="majorBidi" w:cstheme="majorBidi"/>
                <w:b/>
                <w:i/>
                <w:sz w:val="18"/>
                <w:szCs w:val="18"/>
              </w:rPr>
            </w:pPr>
            <w:r w:rsidRPr="00361139">
              <w:rPr>
                <w:rFonts w:asciiTheme="majorBidi" w:hAnsiTheme="majorBidi" w:cstheme="majorBidi"/>
                <w:b/>
                <w:i/>
                <w:sz w:val="18"/>
                <w:szCs w:val="18"/>
              </w:rPr>
              <w:t>299.928.579</w:t>
            </w:r>
          </w:p>
        </w:tc>
        <w:tc>
          <w:tcPr>
            <w:tcW w:w="1540" w:type="dxa"/>
            <w:tcBorders>
              <w:bottom w:val="nil"/>
            </w:tcBorders>
            <w:vAlign w:val="center"/>
          </w:tcPr>
          <w:p w14:paraId="5B3F5929" w14:textId="77777777" w:rsidR="00CC73DD" w:rsidRPr="00361139" w:rsidRDefault="00CC73DD" w:rsidP="008144F7">
            <w:pPr>
              <w:ind w:hanging="28"/>
              <w:jc w:val="right"/>
              <w:rPr>
                <w:rFonts w:asciiTheme="majorBidi" w:hAnsiTheme="majorBidi" w:cstheme="majorBidi"/>
                <w:b/>
                <w:i/>
                <w:sz w:val="18"/>
                <w:szCs w:val="18"/>
              </w:rPr>
            </w:pPr>
            <w:r w:rsidRPr="00361139">
              <w:rPr>
                <w:rFonts w:asciiTheme="majorBidi" w:hAnsiTheme="majorBidi" w:cstheme="majorBidi"/>
                <w:b/>
                <w:i/>
                <w:sz w:val="18"/>
                <w:szCs w:val="18"/>
              </w:rPr>
              <w:t>162.757.195</w:t>
            </w:r>
          </w:p>
        </w:tc>
        <w:tc>
          <w:tcPr>
            <w:tcW w:w="1541" w:type="dxa"/>
            <w:tcBorders>
              <w:bottom w:val="nil"/>
            </w:tcBorders>
            <w:vAlign w:val="center"/>
          </w:tcPr>
          <w:p w14:paraId="284C55FC" w14:textId="77777777" w:rsidR="00CC73DD" w:rsidRPr="00361139" w:rsidRDefault="00CC73DD" w:rsidP="008144F7">
            <w:pPr>
              <w:ind w:hanging="28"/>
              <w:jc w:val="right"/>
              <w:rPr>
                <w:rFonts w:asciiTheme="majorBidi" w:hAnsiTheme="majorBidi" w:cstheme="majorBidi"/>
                <w:b/>
                <w:i/>
                <w:sz w:val="18"/>
                <w:szCs w:val="18"/>
              </w:rPr>
            </w:pPr>
            <w:r w:rsidRPr="00361139">
              <w:rPr>
                <w:rFonts w:asciiTheme="majorBidi" w:hAnsiTheme="majorBidi" w:cstheme="majorBidi"/>
                <w:b/>
                <w:i/>
                <w:sz w:val="18"/>
                <w:szCs w:val="18"/>
              </w:rPr>
              <w:t>518.328.225</w:t>
            </w:r>
          </w:p>
        </w:tc>
      </w:tr>
      <w:tr w:rsidR="00CC73DD" w:rsidRPr="00361139" w14:paraId="5983B5B0" w14:textId="77777777" w:rsidTr="008144F7">
        <w:trPr>
          <w:cantSplit/>
          <w:jc w:val="center"/>
        </w:trPr>
        <w:tc>
          <w:tcPr>
            <w:tcW w:w="1540" w:type="dxa"/>
            <w:tcBorders>
              <w:top w:val="nil"/>
              <w:bottom w:val="single" w:sz="4" w:space="0" w:color="000000"/>
              <w:right w:val="single" w:sz="4" w:space="0" w:color="000000"/>
            </w:tcBorders>
            <w:vAlign w:val="center"/>
          </w:tcPr>
          <w:p w14:paraId="65188033"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w:t>
            </w:r>
          </w:p>
        </w:tc>
        <w:tc>
          <w:tcPr>
            <w:tcW w:w="1541" w:type="dxa"/>
            <w:tcBorders>
              <w:top w:val="nil"/>
              <w:left w:val="single" w:sz="4" w:space="0" w:color="000000"/>
              <w:bottom w:val="single" w:sz="4" w:space="0" w:color="000000"/>
              <w:right w:val="single" w:sz="4" w:space="0" w:color="000000"/>
            </w:tcBorders>
            <w:vAlign w:val="center"/>
          </w:tcPr>
          <w:p w14:paraId="77FB245A"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(8%)</w:t>
            </w:r>
          </w:p>
        </w:tc>
        <w:tc>
          <w:tcPr>
            <w:tcW w:w="1540" w:type="dxa"/>
            <w:tcBorders>
              <w:top w:val="nil"/>
              <w:left w:val="single" w:sz="4" w:space="0" w:color="000000"/>
              <w:bottom w:val="single" w:sz="4" w:space="0" w:color="000000"/>
              <w:right w:val="single" w:sz="4" w:space="0" w:color="000000"/>
            </w:tcBorders>
            <w:vAlign w:val="center"/>
          </w:tcPr>
          <w:p w14:paraId="78AE8C40"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w:t>
            </w:r>
          </w:p>
        </w:tc>
        <w:tc>
          <w:tcPr>
            <w:tcW w:w="1541" w:type="dxa"/>
            <w:tcBorders>
              <w:top w:val="nil"/>
              <w:left w:val="single" w:sz="4" w:space="0" w:color="000000"/>
              <w:bottom w:val="single" w:sz="4" w:space="0" w:color="000000"/>
              <w:right w:val="single" w:sz="4" w:space="0" w:color="000000"/>
            </w:tcBorders>
            <w:vAlign w:val="center"/>
          </w:tcPr>
          <w:p w14:paraId="5B476151"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(58%)</w:t>
            </w:r>
          </w:p>
        </w:tc>
        <w:tc>
          <w:tcPr>
            <w:tcW w:w="1540" w:type="dxa"/>
            <w:tcBorders>
              <w:top w:val="nil"/>
              <w:left w:val="single" w:sz="4" w:space="0" w:color="000000"/>
              <w:bottom w:val="single" w:sz="4" w:space="0" w:color="000000"/>
              <w:right w:val="single" w:sz="4" w:space="0" w:color="000000"/>
            </w:tcBorders>
            <w:vAlign w:val="center"/>
          </w:tcPr>
          <w:p w14:paraId="5C6D5A2F"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(31%)</w:t>
            </w:r>
          </w:p>
        </w:tc>
        <w:tc>
          <w:tcPr>
            <w:tcW w:w="1541" w:type="dxa"/>
            <w:tcBorders>
              <w:top w:val="nil"/>
              <w:left w:val="single" w:sz="4" w:space="0" w:color="000000"/>
              <w:bottom w:val="single" w:sz="4" w:space="0" w:color="000000"/>
            </w:tcBorders>
            <w:vAlign w:val="center"/>
          </w:tcPr>
          <w:p w14:paraId="6A299D48"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(100%)</w:t>
            </w:r>
          </w:p>
        </w:tc>
      </w:tr>
    </w:tbl>
    <w:p w14:paraId="5A189F68" w14:textId="4773C8B4" w:rsidR="00CC73DD" w:rsidRPr="00361139" w:rsidRDefault="00CC73DD" w:rsidP="00FA47A8">
      <w:pPr>
        <w:pStyle w:val="Titletable"/>
        <w:spacing w:before="240"/>
        <w:rPr>
          <w:lang w:val="en-GB"/>
        </w:rPr>
      </w:pPr>
      <w:bookmarkStart w:id="161" w:name="_Toc139982230"/>
      <w:bookmarkStart w:id="162" w:name="_Toc139983942"/>
      <w:r w:rsidRPr="00361139">
        <w:rPr>
          <w:b w:val="0"/>
          <w:bCs w:val="0"/>
          <w:lang w:val="en-GB"/>
        </w:rPr>
        <w:t>Table 4</w:t>
      </w:r>
      <w:r w:rsidR="002E372A" w:rsidRPr="00361139">
        <w:rPr>
          <w:lang w:val="en-GB"/>
        </w:rPr>
        <w:t xml:space="preserve"> </w:t>
      </w:r>
      <w:r w:rsidR="002E372A" w:rsidRPr="00361139">
        <w:rPr>
          <w:lang w:val="en-GB"/>
        </w:rPr>
        <w:br/>
      </w:r>
      <w:r w:rsidRPr="00361139">
        <w:rPr>
          <w:lang w:val="en-GB"/>
        </w:rPr>
        <w:t>Donors and voluntary contributions to the Specific Trust Fund in the first three rounds of SIP applications (2018-2021).</w:t>
      </w:r>
      <w:bookmarkEnd w:id="161"/>
      <w:bookmarkEnd w:id="162"/>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679"/>
        <w:gridCol w:w="1680"/>
        <w:gridCol w:w="1678"/>
        <w:gridCol w:w="1679"/>
        <w:gridCol w:w="1679"/>
        <w:gridCol w:w="1082"/>
      </w:tblGrid>
      <w:tr w:rsidR="00CC73DD" w:rsidRPr="00361139" w14:paraId="4D8FB3B4" w14:textId="77777777" w:rsidTr="008144F7">
        <w:trPr>
          <w:cantSplit/>
          <w:trHeight w:hRule="exact" w:val="113"/>
          <w:jc w:val="center"/>
        </w:trPr>
        <w:tc>
          <w:tcPr>
            <w:tcW w:w="1637" w:type="dxa"/>
            <w:tcBorders>
              <w:bottom w:val="nil"/>
            </w:tcBorders>
            <w:shd w:val="clear" w:color="auto" w:fill="B6DDE8"/>
            <w:vAlign w:val="center"/>
            <w:hideMark/>
          </w:tcPr>
          <w:p w14:paraId="7DA82C19" w14:textId="77777777" w:rsidR="00CC73DD" w:rsidRPr="00361139" w:rsidRDefault="00CC73DD" w:rsidP="008144F7">
            <w:pPr>
              <w:jc w:val="center"/>
              <w:rPr>
                <w:rFonts w:asciiTheme="majorBidi" w:hAnsiTheme="majorBidi" w:cstheme="majorBidi"/>
                <w:sz w:val="18"/>
                <w:szCs w:val="18"/>
              </w:rPr>
            </w:pPr>
          </w:p>
        </w:tc>
        <w:tc>
          <w:tcPr>
            <w:tcW w:w="1638" w:type="dxa"/>
            <w:tcBorders>
              <w:bottom w:val="nil"/>
            </w:tcBorders>
            <w:shd w:val="clear" w:color="auto" w:fill="B6DDE8"/>
            <w:noWrap/>
            <w:vAlign w:val="center"/>
            <w:hideMark/>
          </w:tcPr>
          <w:p w14:paraId="37B0BAB0" w14:textId="77777777" w:rsidR="00CC73DD" w:rsidRPr="00361139" w:rsidRDefault="00CC73DD" w:rsidP="008144F7">
            <w:pPr>
              <w:jc w:val="center"/>
              <w:rPr>
                <w:rFonts w:asciiTheme="majorBidi" w:hAnsiTheme="majorBidi" w:cstheme="majorBidi"/>
                <w:b/>
                <w:bCs/>
                <w:sz w:val="18"/>
                <w:szCs w:val="18"/>
              </w:rPr>
            </w:pPr>
          </w:p>
        </w:tc>
        <w:tc>
          <w:tcPr>
            <w:tcW w:w="1637" w:type="dxa"/>
            <w:tcBorders>
              <w:bottom w:val="nil"/>
            </w:tcBorders>
            <w:shd w:val="clear" w:color="auto" w:fill="B6DDE8"/>
            <w:noWrap/>
            <w:vAlign w:val="center"/>
            <w:hideMark/>
          </w:tcPr>
          <w:p w14:paraId="11F6B24E" w14:textId="77777777" w:rsidR="00CC73DD" w:rsidRPr="00361139" w:rsidRDefault="00CC73DD" w:rsidP="008144F7">
            <w:pPr>
              <w:jc w:val="center"/>
              <w:rPr>
                <w:rFonts w:asciiTheme="majorBidi" w:hAnsiTheme="majorBidi" w:cstheme="majorBidi"/>
                <w:b/>
                <w:bCs/>
                <w:sz w:val="18"/>
                <w:szCs w:val="18"/>
              </w:rPr>
            </w:pPr>
          </w:p>
        </w:tc>
        <w:tc>
          <w:tcPr>
            <w:tcW w:w="1638" w:type="dxa"/>
            <w:tcBorders>
              <w:bottom w:val="nil"/>
            </w:tcBorders>
            <w:shd w:val="clear" w:color="auto" w:fill="B6DDE8"/>
            <w:noWrap/>
            <w:vAlign w:val="center"/>
            <w:hideMark/>
          </w:tcPr>
          <w:p w14:paraId="40230EF0" w14:textId="77777777" w:rsidR="00CC73DD" w:rsidRPr="00361139" w:rsidRDefault="00CC73DD" w:rsidP="008144F7">
            <w:pPr>
              <w:jc w:val="center"/>
              <w:rPr>
                <w:rFonts w:asciiTheme="majorBidi" w:hAnsiTheme="majorBidi" w:cstheme="majorBidi"/>
                <w:b/>
                <w:bCs/>
                <w:sz w:val="18"/>
                <w:szCs w:val="18"/>
              </w:rPr>
            </w:pPr>
          </w:p>
        </w:tc>
        <w:tc>
          <w:tcPr>
            <w:tcW w:w="1638" w:type="dxa"/>
            <w:tcBorders>
              <w:bottom w:val="nil"/>
            </w:tcBorders>
            <w:shd w:val="clear" w:color="auto" w:fill="B6DDE8"/>
            <w:noWrap/>
            <w:vAlign w:val="center"/>
            <w:hideMark/>
          </w:tcPr>
          <w:p w14:paraId="1C00D44C" w14:textId="77777777" w:rsidR="00CC73DD" w:rsidRPr="00361139" w:rsidRDefault="00CC73DD" w:rsidP="008144F7">
            <w:pPr>
              <w:jc w:val="center"/>
              <w:rPr>
                <w:rFonts w:asciiTheme="majorBidi" w:hAnsiTheme="majorBidi" w:cstheme="majorBidi"/>
                <w:b/>
                <w:bCs/>
                <w:sz w:val="18"/>
                <w:szCs w:val="18"/>
              </w:rPr>
            </w:pPr>
          </w:p>
        </w:tc>
        <w:tc>
          <w:tcPr>
            <w:tcW w:w="1055" w:type="dxa"/>
            <w:tcBorders>
              <w:bottom w:val="nil"/>
            </w:tcBorders>
            <w:shd w:val="clear" w:color="auto" w:fill="B6DDE8"/>
            <w:noWrap/>
            <w:vAlign w:val="center"/>
            <w:hideMark/>
          </w:tcPr>
          <w:p w14:paraId="66DD298B" w14:textId="77777777" w:rsidR="00CC73DD" w:rsidRPr="00361139" w:rsidRDefault="00CC73DD" w:rsidP="008144F7">
            <w:pPr>
              <w:jc w:val="center"/>
              <w:rPr>
                <w:rFonts w:asciiTheme="majorBidi" w:hAnsiTheme="majorBidi" w:cstheme="majorBidi"/>
                <w:b/>
                <w:bCs/>
                <w:sz w:val="18"/>
                <w:szCs w:val="18"/>
              </w:rPr>
            </w:pPr>
          </w:p>
        </w:tc>
      </w:tr>
      <w:tr w:rsidR="00CC73DD" w:rsidRPr="00361139" w14:paraId="20A29C3E" w14:textId="77777777" w:rsidTr="008144F7">
        <w:trPr>
          <w:cantSplit/>
          <w:trHeight w:val="567"/>
          <w:jc w:val="center"/>
        </w:trPr>
        <w:tc>
          <w:tcPr>
            <w:tcW w:w="1637" w:type="dxa"/>
            <w:tcBorders>
              <w:top w:val="nil"/>
              <w:bottom w:val="nil"/>
            </w:tcBorders>
            <w:shd w:val="clear" w:color="auto" w:fill="B6DDE8"/>
            <w:vAlign w:val="center"/>
            <w:hideMark/>
          </w:tcPr>
          <w:p w14:paraId="1CEDE40C"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bCs/>
                <w:sz w:val="18"/>
                <w:szCs w:val="18"/>
              </w:rPr>
              <w:t>Donors</w:t>
            </w:r>
          </w:p>
        </w:tc>
        <w:tc>
          <w:tcPr>
            <w:tcW w:w="1638" w:type="dxa"/>
            <w:tcBorders>
              <w:top w:val="nil"/>
              <w:bottom w:val="nil"/>
            </w:tcBorders>
            <w:shd w:val="clear" w:color="auto" w:fill="B6DDE8"/>
            <w:noWrap/>
            <w:vAlign w:val="center"/>
            <w:hideMark/>
          </w:tcPr>
          <w:p w14:paraId="6D526A29" w14:textId="77777777"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1st Round (2018)</w:t>
            </w:r>
          </w:p>
        </w:tc>
        <w:tc>
          <w:tcPr>
            <w:tcW w:w="1637" w:type="dxa"/>
            <w:tcBorders>
              <w:top w:val="nil"/>
              <w:bottom w:val="nil"/>
            </w:tcBorders>
            <w:shd w:val="clear" w:color="auto" w:fill="B6DDE8"/>
            <w:noWrap/>
            <w:vAlign w:val="center"/>
            <w:hideMark/>
          </w:tcPr>
          <w:p w14:paraId="0DBFA3E1" w14:textId="77777777"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2nd round (2019)</w:t>
            </w:r>
          </w:p>
        </w:tc>
        <w:tc>
          <w:tcPr>
            <w:tcW w:w="1638" w:type="dxa"/>
            <w:tcBorders>
              <w:top w:val="nil"/>
              <w:bottom w:val="nil"/>
            </w:tcBorders>
            <w:shd w:val="clear" w:color="auto" w:fill="B6DDE8"/>
            <w:noWrap/>
            <w:vAlign w:val="center"/>
            <w:hideMark/>
          </w:tcPr>
          <w:p w14:paraId="0BFEA152" w14:textId="5B3AED15"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3rd Round (2020</w:t>
            </w:r>
            <w:r w:rsidR="00924FF6" w:rsidRPr="00361139">
              <w:rPr>
                <w:rFonts w:ascii="Symbol" w:eastAsia="Symbol" w:hAnsi="Symbol" w:cs="Symbol"/>
              </w:rPr>
              <w:t></w:t>
            </w:r>
            <w:r w:rsidRPr="00361139">
              <w:rPr>
                <w:rFonts w:asciiTheme="majorBidi" w:hAnsiTheme="majorBidi" w:cstheme="majorBidi"/>
                <w:b/>
                <w:bCs/>
                <w:sz w:val="18"/>
                <w:szCs w:val="18"/>
              </w:rPr>
              <w:t>2021)</w:t>
            </w:r>
          </w:p>
        </w:tc>
        <w:tc>
          <w:tcPr>
            <w:tcW w:w="1638" w:type="dxa"/>
            <w:tcBorders>
              <w:top w:val="nil"/>
              <w:bottom w:val="nil"/>
            </w:tcBorders>
            <w:shd w:val="clear" w:color="auto" w:fill="B6DDE8"/>
            <w:noWrap/>
            <w:vAlign w:val="center"/>
            <w:hideMark/>
          </w:tcPr>
          <w:p w14:paraId="427F6B34" w14:textId="1886086B"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Total Amount</w:t>
            </w:r>
            <w:r w:rsidR="00924FF6" w:rsidRPr="00361139">
              <w:rPr>
                <w:rFonts w:asciiTheme="majorBidi" w:hAnsiTheme="majorBidi" w:cstheme="majorBidi"/>
                <w:b/>
                <w:bCs/>
                <w:sz w:val="18"/>
                <w:szCs w:val="18"/>
              </w:rPr>
              <w:t xml:space="preserve"> </w:t>
            </w:r>
            <w:r w:rsidRPr="00361139">
              <w:rPr>
                <w:rFonts w:asciiTheme="majorBidi" w:hAnsiTheme="majorBidi" w:cstheme="majorBidi"/>
                <w:b/>
                <w:bCs/>
                <w:sz w:val="18"/>
                <w:szCs w:val="18"/>
              </w:rPr>
              <w:br/>
              <w:t>received</w:t>
            </w:r>
          </w:p>
        </w:tc>
        <w:tc>
          <w:tcPr>
            <w:tcW w:w="1055" w:type="dxa"/>
            <w:tcBorders>
              <w:top w:val="nil"/>
              <w:bottom w:val="nil"/>
            </w:tcBorders>
            <w:shd w:val="clear" w:color="auto" w:fill="B6DDE8"/>
            <w:noWrap/>
            <w:vAlign w:val="center"/>
            <w:hideMark/>
          </w:tcPr>
          <w:p w14:paraId="2D408E5F" w14:textId="77777777" w:rsidR="00CC73DD" w:rsidRPr="00361139" w:rsidRDefault="00CC73DD" w:rsidP="008144F7">
            <w:pPr>
              <w:jc w:val="center"/>
              <w:rPr>
                <w:rFonts w:asciiTheme="majorBidi" w:hAnsiTheme="majorBidi" w:cstheme="majorBidi"/>
                <w:b/>
                <w:bCs/>
                <w:i/>
                <w:sz w:val="18"/>
                <w:szCs w:val="18"/>
              </w:rPr>
            </w:pPr>
            <w:r w:rsidRPr="00361139">
              <w:rPr>
                <w:rFonts w:asciiTheme="majorBidi" w:hAnsiTheme="majorBidi" w:cstheme="majorBidi"/>
                <w:b/>
                <w:bCs/>
                <w:i/>
                <w:sz w:val="18"/>
                <w:szCs w:val="18"/>
              </w:rPr>
              <w:t>(%)</w:t>
            </w:r>
          </w:p>
        </w:tc>
      </w:tr>
      <w:tr w:rsidR="00CC73DD" w:rsidRPr="00361139" w14:paraId="474DDC52" w14:textId="77777777" w:rsidTr="008144F7">
        <w:trPr>
          <w:cantSplit/>
          <w:trHeight w:val="340"/>
          <w:jc w:val="center"/>
        </w:trPr>
        <w:tc>
          <w:tcPr>
            <w:tcW w:w="1637" w:type="dxa"/>
            <w:tcBorders>
              <w:top w:val="nil"/>
              <w:bottom w:val="single" w:sz="8" w:space="0" w:color="000000"/>
            </w:tcBorders>
            <w:shd w:val="clear" w:color="auto" w:fill="B6DDE8"/>
            <w:vAlign w:val="center"/>
            <w:hideMark/>
          </w:tcPr>
          <w:p w14:paraId="1950C62D" w14:textId="77777777" w:rsidR="00CC73DD" w:rsidRPr="00361139" w:rsidRDefault="00CC73DD" w:rsidP="008144F7">
            <w:pPr>
              <w:jc w:val="center"/>
              <w:rPr>
                <w:rFonts w:asciiTheme="majorBidi" w:hAnsiTheme="majorBidi" w:cstheme="majorBidi"/>
                <w:b/>
                <w:bCs/>
                <w:sz w:val="18"/>
                <w:szCs w:val="18"/>
              </w:rPr>
            </w:pPr>
          </w:p>
        </w:tc>
        <w:tc>
          <w:tcPr>
            <w:tcW w:w="1638" w:type="dxa"/>
            <w:tcBorders>
              <w:top w:val="nil"/>
              <w:bottom w:val="single" w:sz="8" w:space="0" w:color="000000"/>
            </w:tcBorders>
            <w:shd w:val="clear" w:color="auto" w:fill="B6DDE8"/>
            <w:noWrap/>
            <w:vAlign w:val="center"/>
            <w:hideMark/>
          </w:tcPr>
          <w:p w14:paraId="4ACF630C"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bCs/>
                <w:sz w:val="18"/>
                <w:szCs w:val="18"/>
              </w:rPr>
              <w:t>(USD)</w:t>
            </w:r>
          </w:p>
        </w:tc>
        <w:tc>
          <w:tcPr>
            <w:tcW w:w="1637" w:type="dxa"/>
            <w:tcBorders>
              <w:top w:val="nil"/>
              <w:bottom w:val="single" w:sz="8" w:space="0" w:color="000000"/>
            </w:tcBorders>
            <w:shd w:val="clear" w:color="auto" w:fill="B6DDE8"/>
            <w:noWrap/>
            <w:vAlign w:val="center"/>
            <w:hideMark/>
          </w:tcPr>
          <w:p w14:paraId="11178DC4"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bCs/>
                <w:sz w:val="18"/>
                <w:szCs w:val="18"/>
              </w:rPr>
              <w:t>(USD)</w:t>
            </w:r>
          </w:p>
        </w:tc>
        <w:tc>
          <w:tcPr>
            <w:tcW w:w="1638" w:type="dxa"/>
            <w:tcBorders>
              <w:top w:val="nil"/>
              <w:bottom w:val="single" w:sz="8" w:space="0" w:color="000000"/>
            </w:tcBorders>
            <w:shd w:val="clear" w:color="auto" w:fill="B6DDE8"/>
            <w:noWrap/>
            <w:vAlign w:val="center"/>
            <w:hideMark/>
          </w:tcPr>
          <w:p w14:paraId="4FA659D7"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bCs/>
                <w:sz w:val="18"/>
                <w:szCs w:val="18"/>
              </w:rPr>
              <w:t>(USD)</w:t>
            </w:r>
          </w:p>
        </w:tc>
        <w:tc>
          <w:tcPr>
            <w:tcW w:w="1638" w:type="dxa"/>
            <w:tcBorders>
              <w:top w:val="nil"/>
              <w:bottom w:val="single" w:sz="8" w:space="0" w:color="000000"/>
            </w:tcBorders>
            <w:shd w:val="clear" w:color="auto" w:fill="B6DDE8"/>
            <w:noWrap/>
            <w:vAlign w:val="center"/>
            <w:hideMark/>
          </w:tcPr>
          <w:p w14:paraId="3BD16B71" w14:textId="77777777"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(USD)</w:t>
            </w:r>
          </w:p>
        </w:tc>
        <w:tc>
          <w:tcPr>
            <w:tcW w:w="1055" w:type="dxa"/>
            <w:tcBorders>
              <w:top w:val="nil"/>
              <w:bottom w:val="single" w:sz="8" w:space="0" w:color="000000"/>
            </w:tcBorders>
            <w:shd w:val="clear" w:color="auto" w:fill="B6DDE8"/>
            <w:noWrap/>
            <w:vAlign w:val="center"/>
            <w:hideMark/>
          </w:tcPr>
          <w:p w14:paraId="6C139BD3" w14:textId="77777777" w:rsidR="00CC73DD" w:rsidRPr="00361139" w:rsidRDefault="00CC73DD" w:rsidP="008144F7">
            <w:pPr>
              <w:jc w:val="center"/>
              <w:rPr>
                <w:rFonts w:asciiTheme="majorBidi" w:hAnsiTheme="majorBidi" w:cstheme="majorBidi"/>
                <w:b/>
                <w:bCs/>
                <w:sz w:val="18"/>
                <w:szCs w:val="18"/>
              </w:rPr>
            </w:pPr>
          </w:p>
        </w:tc>
      </w:tr>
      <w:tr w:rsidR="00CC73DD" w:rsidRPr="00361139" w14:paraId="1EFBF585" w14:textId="77777777" w:rsidTr="008144F7">
        <w:trPr>
          <w:cantSplit/>
          <w:trHeight w:hRule="exact" w:val="57"/>
          <w:jc w:val="center"/>
        </w:trPr>
        <w:tc>
          <w:tcPr>
            <w:tcW w:w="1637" w:type="dxa"/>
            <w:tcBorders>
              <w:left w:val="nil"/>
              <w:right w:val="nil"/>
            </w:tcBorders>
            <w:shd w:val="clear" w:color="auto" w:fill="auto"/>
            <w:vAlign w:val="center"/>
            <w:hideMark/>
          </w:tcPr>
          <w:p w14:paraId="110A1A92"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 </w:t>
            </w:r>
          </w:p>
        </w:tc>
        <w:tc>
          <w:tcPr>
            <w:tcW w:w="1638" w:type="dxa"/>
            <w:tcBorders>
              <w:left w:val="nil"/>
              <w:right w:val="nil"/>
            </w:tcBorders>
            <w:shd w:val="clear" w:color="auto" w:fill="auto"/>
            <w:noWrap/>
            <w:vAlign w:val="center"/>
            <w:hideMark/>
          </w:tcPr>
          <w:p w14:paraId="4BAA1247" w14:textId="77777777" w:rsidR="00CC73DD" w:rsidRPr="00361139" w:rsidRDefault="00CC73DD" w:rsidP="008144F7">
            <w:pPr>
              <w:jc w:val="center"/>
              <w:rPr>
                <w:rFonts w:asciiTheme="majorBidi" w:hAnsiTheme="majorBidi" w:cstheme="majorBidi"/>
                <w:b/>
                <w:bCs/>
                <w:sz w:val="18"/>
                <w:szCs w:val="18"/>
              </w:rPr>
            </w:pPr>
          </w:p>
        </w:tc>
        <w:tc>
          <w:tcPr>
            <w:tcW w:w="1637" w:type="dxa"/>
            <w:tcBorders>
              <w:left w:val="nil"/>
              <w:right w:val="nil"/>
            </w:tcBorders>
            <w:shd w:val="clear" w:color="auto" w:fill="auto"/>
            <w:noWrap/>
            <w:vAlign w:val="center"/>
            <w:hideMark/>
          </w:tcPr>
          <w:p w14:paraId="568C1352" w14:textId="77777777" w:rsidR="00CC73DD" w:rsidRPr="00361139" w:rsidRDefault="00CC73DD" w:rsidP="008144F7">
            <w:pPr>
              <w:jc w:val="center"/>
              <w:rPr>
                <w:rFonts w:asciiTheme="majorBidi" w:hAnsiTheme="majorBidi" w:cstheme="majorBidi"/>
                <w:b/>
                <w:bCs/>
                <w:sz w:val="18"/>
                <w:szCs w:val="18"/>
              </w:rPr>
            </w:pPr>
          </w:p>
        </w:tc>
        <w:tc>
          <w:tcPr>
            <w:tcW w:w="1638" w:type="dxa"/>
            <w:tcBorders>
              <w:left w:val="nil"/>
              <w:right w:val="nil"/>
            </w:tcBorders>
            <w:shd w:val="clear" w:color="auto" w:fill="auto"/>
            <w:noWrap/>
            <w:vAlign w:val="center"/>
            <w:hideMark/>
          </w:tcPr>
          <w:p w14:paraId="56CE0F59" w14:textId="77777777" w:rsidR="00CC73DD" w:rsidRPr="00361139" w:rsidRDefault="00CC73DD" w:rsidP="008144F7">
            <w:pPr>
              <w:jc w:val="center"/>
              <w:rPr>
                <w:rFonts w:asciiTheme="majorBidi" w:hAnsiTheme="majorBidi" w:cstheme="majorBidi"/>
                <w:b/>
                <w:bCs/>
                <w:sz w:val="18"/>
                <w:szCs w:val="18"/>
              </w:rPr>
            </w:pPr>
          </w:p>
        </w:tc>
        <w:tc>
          <w:tcPr>
            <w:tcW w:w="1638" w:type="dxa"/>
            <w:tcBorders>
              <w:left w:val="nil"/>
              <w:right w:val="nil"/>
            </w:tcBorders>
            <w:shd w:val="clear" w:color="auto" w:fill="auto"/>
            <w:noWrap/>
            <w:vAlign w:val="center"/>
            <w:hideMark/>
          </w:tcPr>
          <w:p w14:paraId="3A2FAC03" w14:textId="77777777" w:rsidR="00CC73DD" w:rsidRPr="00361139" w:rsidRDefault="00CC73DD" w:rsidP="008144F7">
            <w:pPr>
              <w:jc w:val="center"/>
              <w:rPr>
                <w:rFonts w:asciiTheme="majorBidi" w:hAnsiTheme="majorBidi" w:cstheme="majorBidi"/>
                <w:b/>
                <w:bCs/>
                <w:sz w:val="18"/>
                <w:szCs w:val="18"/>
              </w:rPr>
            </w:pPr>
          </w:p>
        </w:tc>
        <w:tc>
          <w:tcPr>
            <w:tcW w:w="1055" w:type="dxa"/>
            <w:tcBorders>
              <w:left w:val="nil"/>
              <w:right w:val="nil"/>
            </w:tcBorders>
            <w:shd w:val="clear" w:color="auto" w:fill="auto"/>
            <w:noWrap/>
            <w:vAlign w:val="center"/>
            <w:hideMark/>
          </w:tcPr>
          <w:p w14:paraId="51E6D165" w14:textId="77777777" w:rsidR="00CC73DD" w:rsidRPr="00361139" w:rsidRDefault="00CC73DD" w:rsidP="008144F7">
            <w:pPr>
              <w:jc w:val="center"/>
              <w:rPr>
                <w:rFonts w:asciiTheme="majorBidi" w:hAnsiTheme="majorBidi" w:cstheme="majorBidi"/>
                <w:b/>
                <w:bCs/>
                <w:sz w:val="18"/>
                <w:szCs w:val="18"/>
              </w:rPr>
            </w:pPr>
            <w:r w:rsidRPr="00361139">
              <w:rPr>
                <w:rFonts w:asciiTheme="majorBidi" w:hAnsiTheme="majorBidi" w:cstheme="majorBidi"/>
                <w:b/>
                <w:bCs/>
                <w:sz w:val="18"/>
                <w:szCs w:val="18"/>
              </w:rPr>
              <w:t> </w:t>
            </w:r>
          </w:p>
        </w:tc>
      </w:tr>
      <w:tr w:rsidR="00CC73DD" w:rsidRPr="00361139" w14:paraId="17776143" w14:textId="77777777" w:rsidTr="008144F7">
        <w:trPr>
          <w:cantSplit/>
          <w:jc w:val="center"/>
        </w:trPr>
        <w:tc>
          <w:tcPr>
            <w:tcW w:w="1637" w:type="dxa"/>
            <w:shd w:val="clear" w:color="auto" w:fill="auto"/>
            <w:vAlign w:val="center"/>
            <w:hideMark/>
          </w:tcPr>
          <w:p w14:paraId="4306C363"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Norway</w:t>
            </w:r>
          </w:p>
        </w:tc>
        <w:tc>
          <w:tcPr>
            <w:tcW w:w="1638" w:type="dxa"/>
            <w:shd w:val="clear" w:color="auto" w:fill="auto"/>
            <w:noWrap/>
            <w:vAlign w:val="center"/>
            <w:hideMark/>
          </w:tcPr>
          <w:p w14:paraId="75827F2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500.000</w:t>
            </w:r>
          </w:p>
        </w:tc>
        <w:tc>
          <w:tcPr>
            <w:tcW w:w="1637" w:type="dxa"/>
            <w:shd w:val="clear" w:color="auto" w:fill="auto"/>
            <w:noWrap/>
            <w:vAlign w:val="center"/>
            <w:hideMark/>
          </w:tcPr>
          <w:p w14:paraId="2A552BB3"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1.034.792</w:t>
            </w:r>
          </w:p>
        </w:tc>
        <w:tc>
          <w:tcPr>
            <w:tcW w:w="1638" w:type="dxa"/>
            <w:shd w:val="clear" w:color="auto" w:fill="auto"/>
            <w:noWrap/>
            <w:vAlign w:val="center"/>
            <w:hideMark/>
          </w:tcPr>
          <w:p w14:paraId="207A49C5"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1.103.348</w:t>
            </w:r>
          </w:p>
        </w:tc>
        <w:tc>
          <w:tcPr>
            <w:tcW w:w="1638" w:type="dxa"/>
            <w:shd w:val="clear" w:color="auto" w:fill="auto"/>
            <w:noWrap/>
            <w:vAlign w:val="center"/>
            <w:hideMark/>
          </w:tcPr>
          <w:p w14:paraId="0E6CD8F2"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2.638.140</w:t>
            </w:r>
          </w:p>
        </w:tc>
        <w:tc>
          <w:tcPr>
            <w:tcW w:w="1055" w:type="dxa"/>
            <w:shd w:val="clear" w:color="auto" w:fill="auto"/>
            <w:noWrap/>
            <w:vAlign w:val="center"/>
            <w:hideMark/>
          </w:tcPr>
          <w:p w14:paraId="00CB6F3E"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(43%)</w:t>
            </w:r>
          </w:p>
        </w:tc>
      </w:tr>
      <w:tr w:rsidR="00CC73DD" w:rsidRPr="00361139" w14:paraId="1F03192D" w14:textId="77777777" w:rsidTr="008144F7">
        <w:trPr>
          <w:cantSplit/>
          <w:jc w:val="center"/>
        </w:trPr>
        <w:tc>
          <w:tcPr>
            <w:tcW w:w="1637" w:type="dxa"/>
            <w:shd w:val="clear" w:color="auto" w:fill="auto"/>
            <w:vAlign w:val="center"/>
            <w:hideMark/>
          </w:tcPr>
          <w:p w14:paraId="59DB029C"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Switzerland</w:t>
            </w:r>
          </w:p>
        </w:tc>
        <w:tc>
          <w:tcPr>
            <w:tcW w:w="1638" w:type="dxa"/>
            <w:shd w:val="clear" w:color="auto" w:fill="auto"/>
            <w:noWrap/>
            <w:vAlign w:val="center"/>
            <w:hideMark/>
          </w:tcPr>
          <w:p w14:paraId="41FFF3A6"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0</w:t>
            </w:r>
          </w:p>
        </w:tc>
        <w:tc>
          <w:tcPr>
            <w:tcW w:w="1637" w:type="dxa"/>
            <w:shd w:val="clear" w:color="auto" w:fill="auto"/>
            <w:noWrap/>
            <w:vAlign w:val="center"/>
            <w:hideMark/>
          </w:tcPr>
          <w:p w14:paraId="133308B7"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1.013.377</w:t>
            </w:r>
          </w:p>
        </w:tc>
        <w:tc>
          <w:tcPr>
            <w:tcW w:w="1638" w:type="dxa"/>
            <w:shd w:val="clear" w:color="auto" w:fill="auto"/>
            <w:noWrap/>
            <w:vAlign w:val="center"/>
            <w:hideMark/>
          </w:tcPr>
          <w:p w14:paraId="27E20D0E"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101.492</w:t>
            </w:r>
          </w:p>
        </w:tc>
        <w:tc>
          <w:tcPr>
            <w:tcW w:w="1638" w:type="dxa"/>
            <w:shd w:val="clear" w:color="auto" w:fill="auto"/>
            <w:noWrap/>
            <w:vAlign w:val="center"/>
            <w:hideMark/>
          </w:tcPr>
          <w:p w14:paraId="261B8AE2"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1.114.869</w:t>
            </w:r>
          </w:p>
        </w:tc>
        <w:tc>
          <w:tcPr>
            <w:tcW w:w="1055" w:type="dxa"/>
            <w:shd w:val="clear" w:color="auto" w:fill="auto"/>
            <w:noWrap/>
            <w:vAlign w:val="center"/>
            <w:hideMark/>
          </w:tcPr>
          <w:p w14:paraId="09ABCDCE"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(18%)</w:t>
            </w:r>
          </w:p>
        </w:tc>
      </w:tr>
      <w:tr w:rsidR="00CC73DD" w:rsidRPr="00361139" w14:paraId="0C01C1BF" w14:textId="77777777" w:rsidTr="008144F7">
        <w:trPr>
          <w:cantSplit/>
          <w:jc w:val="center"/>
        </w:trPr>
        <w:tc>
          <w:tcPr>
            <w:tcW w:w="1637" w:type="dxa"/>
            <w:shd w:val="clear" w:color="auto" w:fill="auto"/>
            <w:vAlign w:val="center"/>
            <w:hideMark/>
          </w:tcPr>
          <w:p w14:paraId="54E995CF"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Sweden</w:t>
            </w:r>
          </w:p>
        </w:tc>
        <w:tc>
          <w:tcPr>
            <w:tcW w:w="1638" w:type="dxa"/>
            <w:shd w:val="clear" w:color="auto" w:fill="auto"/>
            <w:noWrap/>
            <w:vAlign w:val="center"/>
            <w:hideMark/>
          </w:tcPr>
          <w:p w14:paraId="20250476"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333.624</w:t>
            </w:r>
          </w:p>
        </w:tc>
        <w:tc>
          <w:tcPr>
            <w:tcW w:w="1637" w:type="dxa"/>
            <w:shd w:val="clear" w:color="auto" w:fill="auto"/>
            <w:noWrap/>
            <w:vAlign w:val="center"/>
            <w:hideMark/>
          </w:tcPr>
          <w:p w14:paraId="4728E9AD"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0</w:t>
            </w:r>
          </w:p>
        </w:tc>
        <w:tc>
          <w:tcPr>
            <w:tcW w:w="1638" w:type="dxa"/>
            <w:shd w:val="clear" w:color="auto" w:fill="auto"/>
            <w:noWrap/>
            <w:vAlign w:val="center"/>
            <w:hideMark/>
          </w:tcPr>
          <w:p w14:paraId="07995E47"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317.365</w:t>
            </w:r>
          </w:p>
        </w:tc>
        <w:tc>
          <w:tcPr>
            <w:tcW w:w="1638" w:type="dxa"/>
            <w:shd w:val="clear" w:color="auto" w:fill="auto"/>
            <w:noWrap/>
            <w:vAlign w:val="center"/>
            <w:hideMark/>
          </w:tcPr>
          <w:p w14:paraId="21C287C3"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650.989</w:t>
            </w:r>
          </w:p>
        </w:tc>
        <w:tc>
          <w:tcPr>
            <w:tcW w:w="1055" w:type="dxa"/>
            <w:shd w:val="clear" w:color="auto" w:fill="auto"/>
            <w:noWrap/>
            <w:vAlign w:val="center"/>
            <w:hideMark/>
          </w:tcPr>
          <w:p w14:paraId="3EDEFFA2"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(11%)</w:t>
            </w:r>
          </w:p>
        </w:tc>
      </w:tr>
      <w:tr w:rsidR="00CC73DD" w:rsidRPr="00361139" w14:paraId="736149EC" w14:textId="77777777" w:rsidTr="008144F7">
        <w:trPr>
          <w:cantSplit/>
          <w:jc w:val="center"/>
        </w:trPr>
        <w:tc>
          <w:tcPr>
            <w:tcW w:w="1637" w:type="dxa"/>
            <w:shd w:val="clear" w:color="auto" w:fill="auto"/>
            <w:vAlign w:val="center"/>
            <w:hideMark/>
          </w:tcPr>
          <w:p w14:paraId="3A727256"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Germany</w:t>
            </w:r>
          </w:p>
        </w:tc>
        <w:tc>
          <w:tcPr>
            <w:tcW w:w="1638" w:type="dxa"/>
            <w:shd w:val="clear" w:color="auto" w:fill="auto"/>
            <w:noWrap/>
            <w:vAlign w:val="center"/>
            <w:hideMark/>
          </w:tcPr>
          <w:p w14:paraId="53991EB0"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99.711</w:t>
            </w:r>
          </w:p>
        </w:tc>
        <w:tc>
          <w:tcPr>
            <w:tcW w:w="1637" w:type="dxa"/>
            <w:shd w:val="clear" w:color="auto" w:fill="auto"/>
            <w:noWrap/>
            <w:vAlign w:val="center"/>
            <w:hideMark/>
          </w:tcPr>
          <w:p w14:paraId="343B30C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112.230</w:t>
            </w:r>
          </w:p>
        </w:tc>
        <w:tc>
          <w:tcPr>
            <w:tcW w:w="1638" w:type="dxa"/>
            <w:shd w:val="clear" w:color="auto" w:fill="auto"/>
            <w:noWrap/>
            <w:vAlign w:val="center"/>
            <w:hideMark/>
          </w:tcPr>
          <w:p w14:paraId="5DCB699B"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263.268</w:t>
            </w:r>
          </w:p>
        </w:tc>
        <w:tc>
          <w:tcPr>
            <w:tcW w:w="1638" w:type="dxa"/>
            <w:shd w:val="clear" w:color="auto" w:fill="auto"/>
            <w:noWrap/>
            <w:vAlign w:val="center"/>
            <w:hideMark/>
          </w:tcPr>
          <w:p w14:paraId="5F9F504D"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475.209</w:t>
            </w:r>
          </w:p>
        </w:tc>
        <w:tc>
          <w:tcPr>
            <w:tcW w:w="1055" w:type="dxa"/>
            <w:shd w:val="clear" w:color="auto" w:fill="auto"/>
            <w:noWrap/>
            <w:vAlign w:val="center"/>
            <w:hideMark/>
          </w:tcPr>
          <w:p w14:paraId="7DD87083"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(8%)</w:t>
            </w:r>
          </w:p>
        </w:tc>
      </w:tr>
      <w:tr w:rsidR="00CC73DD" w:rsidRPr="00361139" w14:paraId="3D6C35B8" w14:textId="77777777" w:rsidTr="008144F7">
        <w:trPr>
          <w:cantSplit/>
          <w:jc w:val="center"/>
        </w:trPr>
        <w:tc>
          <w:tcPr>
            <w:tcW w:w="1637" w:type="dxa"/>
            <w:shd w:val="clear" w:color="auto" w:fill="auto"/>
            <w:vAlign w:val="center"/>
            <w:hideMark/>
          </w:tcPr>
          <w:p w14:paraId="765DD825"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USA</w:t>
            </w:r>
          </w:p>
        </w:tc>
        <w:tc>
          <w:tcPr>
            <w:tcW w:w="1638" w:type="dxa"/>
            <w:shd w:val="clear" w:color="auto" w:fill="auto"/>
            <w:noWrap/>
            <w:vAlign w:val="center"/>
            <w:hideMark/>
          </w:tcPr>
          <w:p w14:paraId="0939F590"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100.000</w:t>
            </w:r>
          </w:p>
        </w:tc>
        <w:tc>
          <w:tcPr>
            <w:tcW w:w="1637" w:type="dxa"/>
            <w:shd w:val="clear" w:color="auto" w:fill="auto"/>
            <w:noWrap/>
            <w:vAlign w:val="center"/>
            <w:hideMark/>
          </w:tcPr>
          <w:p w14:paraId="0F8E3B0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100.000</w:t>
            </w:r>
          </w:p>
        </w:tc>
        <w:tc>
          <w:tcPr>
            <w:tcW w:w="1638" w:type="dxa"/>
            <w:shd w:val="clear" w:color="auto" w:fill="auto"/>
            <w:noWrap/>
            <w:vAlign w:val="center"/>
            <w:hideMark/>
          </w:tcPr>
          <w:p w14:paraId="5E7A56D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173.008</w:t>
            </w:r>
          </w:p>
        </w:tc>
        <w:tc>
          <w:tcPr>
            <w:tcW w:w="1638" w:type="dxa"/>
            <w:shd w:val="clear" w:color="auto" w:fill="auto"/>
            <w:noWrap/>
            <w:vAlign w:val="center"/>
            <w:hideMark/>
          </w:tcPr>
          <w:p w14:paraId="1662B99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373.008</w:t>
            </w:r>
          </w:p>
        </w:tc>
        <w:tc>
          <w:tcPr>
            <w:tcW w:w="1055" w:type="dxa"/>
            <w:shd w:val="clear" w:color="auto" w:fill="auto"/>
            <w:noWrap/>
            <w:vAlign w:val="center"/>
            <w:hideMark/>
          </w:tcPr>
          <w:p w14:paraId="6476D23C"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(6%)</w:t>
            </w:r>
          </w:p>
        </w:tc>
      </w:tr>
      <w:tr w:rsidR="00CC73DD" w:rsidRPr="00361139" w14:paraId="49BA1B8A" w14:textId="77777777" w:rsidTr="008144F7">
        <w:trPr>
          <w:cantSplit/>
          <w:jc w:val="center"/>
        </w:trPr>
        <w:tc>
          <w:tcPr>
            <w:tcW w:w="1637" w:type="dxa"/>
            <w:shd w:val="clear" w:color="auto" w:fill="auto"/>
            <w:vAlign w:val="center"/>
            <w:hideMark/>
          </w:tcPr>
          <w:p w14:paraId="7B559939"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Austria</w:t>
            </w:r>
          </w:p>
        </w:tc>
        <w:tc>
          <w:tcPr>
            <w:tcW w:w="1638" w:type="dxa"/>
            <w:shd w:val="clear" w:color="auto" w:fill="auto"/>
            <w:noWrap/>
            <w:vAlign w:val="center"/>
            <w:hideMark/>
          </w:tcPr>
          <w:p w14:paraId="1DE4278E"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46.528</w:t>
            </w:r>
          </w:p>
        </w:tc>
        <w:tc>
          <w:tcPr>
            <w:tcW w:w="1637" w:type="dxa"/>
            <w:shd w:val="clear" w:color="auto" w:fill="auto"/>
            <w:noWrap/>
            <w:vAlign w:val="center"/>
            <w:hideMark/>
          </w:tcPr>
          <w:p w14:paraId="54CE3233"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34.091</w:t>
            </w:r>
          </w:p>
        </w:tc>
        <w:tc>
          <w:tcPr>
            <w:tcW w:w="1638" w:type="dxa"/>
            <w:shd w:val="clear" w:color="auto" w:fill="auto"/>
            <w:noWrap/>
            <w:vAlign w:val="center"/>
            <w:hideMark/>
          </w:tcPr>
          <w:p w14:paraId="0568B08A"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239.854</w:t>
            </w:r>
          </w:p>
        </w:tc>
        <w:tc>
          <w:tcPr>
            <w:tcW w:w="1638" w:type="dxa"/>
            <w:shd w:val="clear" w:color="auto" w:fill="auto"/>
            <w:noWrap/>
            <w:vAlign w:val="center"/>
            <w:hideMark/>
          </w:tcPr>
          <w:p w14:paraId="1C4941BA"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320.472</w:t>
            </w:r>
          </w:p>
        </w:tc>
        <w:tc>
          <w:tcPr>
            <w:tcW w:w="1055" w:type="dxa"/>
            <w:shd w:val="clear" w:color="auto" w:fill="auto"/>
            <w:noWrap/>
            <w:vAlign w:val="center"/>
            <w:hideMark/>
          </w:tcPr>
          <w:p w14:paraId="416B3AC3"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(5%)</w:t>
            </w:r>
          </w:p>
        </w:tc>
      </w:tr>
      <w:tr w:rsidR="00CC73DD" w:rsidRPr="00361139" w14:paraId="470E7923" w14:textId="77777777" w:rsidTr="008144F7">
        <w:trPr>
          <w:cantSplit/>
          <w:jc w:val="center"/>
        </w:trPr>
        <w:tc>
          <w:tcPr>
            <w:tcW w:w="1637" w:type="dxa"/>
            <w:shd w:val="clear" w:color="auto" w:fill="auto"/>
            <w:vAlign w:val="center"/>
            <w:hideMark/>
          </w:tcPr>
          <w:p w14:paraId="03BF48AA"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UK</w:t>
            </w:r>
          </w:p>
        </w:tc>
        <w:tc>
          <w:tcPr>
            <w:tcW w:w="1638" w:type="dxa"/>
            <w:shd w:val="clear" w:color="auto" w:fill="auto"/>
            <w:noWrap/>
            <w:vAlign w:val="center"/>
            <w:hideMark/>
          </w:tcPr>
          <w:p w14:paraId="5C5358D4"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144.040</w:t>
            </w:r>
          </w:p>
        </w:tc>
        <w:tc>
          <w:tcPr>
            <w:tcW w:w="1637" w:type="dxa"/>
            <w:shd w:val="clear" w:color="auto" w:fill="auto"/>
            <w:noWrap/>
            <w:vAlign w:val="center"/>
            <w:hideMark/>
          </w:tcPr>
          <w:p w14:paraId="0483AA44"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65.960</w:t>
            </w:r>
          </w:p>
        </w:tc>
        <w:tc>
          <w:tcPr>
            <w:tcW w:w="1638" w:type="dxa"/>
            <w:shd w:val="clear" w:color="auto" w:fill="auto"/>
            <w:noWrap/>
            <w:vAlign w:val="center"/>
            <w:hideMark/>
          </w:tcPr>
          <w:p w14:paraId="4A279FBC"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0</w:t>
            </w:r>
          </w:p>
        </w:tc>
        <w:tc>
          <w:tcPr>
            <w:tcW w:w="1638" w:type="dxa"/>
            <w:shd w:val="clear" w:color="auto" w:fill="auto"/>
            <w:noWrap/>
            <w:vAlign w:val="center"/>
            <w:hideMark/>
          </w:tcPr>
          <w:p w14:paraId="6D27CF8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210.000</w:t>
            </w:r>
          </w:p>
        </w:tc>
        <w:tc>
          <w:tcPr>
            <w:tcW w:w="1055" w:type="dxa"/>
            <w:shd w:val="clear" w:color="auto" w:fill="auto"/>
            <w:noWrap/>
            <w:vAlign w:val="center"/>
            <w:hideMark/>
          </w:tcPr>
          <w:p w14:paraId="2B506A65"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w:t>
            </w:r>
          </w:p>
        </w:tc>
      </w:tr>
      <w:tr w:rsidR="00CC73DD" w:rsidRPr="00361139" w14:paraId="16C9A3EB" w14:textId="77777777" w:rsidTr="008144F7">
        <w:trPr>
          <w:cantSplit/>
          <w:jc w:val="center"/>
        </w:trPr>
        <w:tc>
          <w:tcPr>
            <w:tcW w:w="1637" w:type="dxa"/>
            <w:shd w:val="clear" w:color="auto" w:fill="auto"/>
            <w:vAlign w:val="center"/>
            <w:hideMark/>
          </w:tcPr>
          <w:p w14:paraId="114A0265"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Netherlands</w:t>
            </w:r>
          </w:p>
        </w:tc>
        <w:tc>
          <w:tcPr>
            <w:tcW w:w="1638" w:type="dxa"/>
            <w:shd w:val="clear" w:color="auto" w:fill="auto"/>
            <w:noWrap/>
            <w:vAlign w:val="center"/>
            <w:hideMark/>
          </w:tcPr>
          <w:p w14:paraId="5F4A8587"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27.871</w:t>
            </w:r>
          </w:p>
        </w:tc>
        <w:tc>
          <w:tcPr>
            <w:tcW w:w="1637" w:type="dxa"/>
            <w:shd w:val="clear" w:color="auto" w:fill="auto"/>
            <w:noWrap/>
            <w:vAlign w:val="center"/>
            <w:hideMark/>
          </w:tcPr>
          <w:p w14:paraId="48F165A8"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27.473</w:t>
            </w:r>
          </w:p>
        </w:tc>
        <w:tc>
          <w:tcPr>
            <w:tcW w:w="1638" w:type="dxa"/>
            <w:shd w:val="clear" w:color="auto" w:fill="auto"/>
            <w:noWrap/>
            <w:vAlign w:val="center"/>
            <w:hideMark/>
          </w:tcPr>
          <w:p w14:paraId="6FD5C12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103.024</w:t>
            </w:r>
          </w:p>
        </w:tc>
        <w:tc>
          <w:tcPr>
            <w:tcW w:w="1638" w:type="dxa"/>
            <w:shd w:val="clear" w:color="auto" w:fill="auto"/>
            <w:noWrap/>
            <w:vAlign w:val="center"/>
            <w:hideMark/>
          </w:tcPr>
          <w:p w14:paraId="766027A5"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158.367</w:t>
            </w:r>
          </w:p>
        </w:tc>
        <w:tc>
          <w:tcPr>
            <w:tcW w:w="1055" w:type="dxa"/>
            <w:shd w:val="clear" w:color="auto" w:fill="auto"/>
            <w:noWrap/>
            <w:vAlign w:val="center"/>
            <w:hideMark/>
          </w:tcPr>
          <w:p w14:paraId="61DDD88E"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w:t>
            </w:r>
          </w:p>
        </w:tc>
      </w:tr>
      <w:tr w:rsidR="00CC73DD" w:rsidRPr="00361139" w14:paraId="26E4F795" w14:textId="77777777" w:rsidTr="008144F7">
        <w:trPr>
          <w:cantSplit/>
          <w:jc w:val="center"/>
        </w:trPr>
        <w:tc>
          <w:tcPr>
            <w:tcW w:w="1637" w:type="dxa"/>
            <w:shd w:val="clear" w:color="auto" w:fill="auto"/>
            <w:vAlign w:val="center"/>
            <w:hideMark/>
          </w:tcPr>
          <w:p w14:paraId="50A22A2A"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Denmark</w:t>
            </w:r>
          </w:p>
        </w:tc>
        <w:tc>
          <w:tcPr>
            <w:tcW w:w="1638" w:type="dxa"/>
            <w:shd w:val="clear" w:color="auto" w:fill="auto"/>
            <w:noWrap/>
            <w:vAlign w:val="center"/>
            <w:hideMark/>
          </w:tcPr>
          <w:p w14:paraId="78386525"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31.765</w:t>
            </w:r>
          </w:p>
        </w:tc>
        <w:tc>
          <w:tcPr>
            <w:tcW w:w="1637" w:type="dxa"/>
            <w:shd w:val="clear" w:color="auto" w:fill="auto"/>
            <w:noWrap/>
            <w:vAlign w:val="center"/>
            <w:hideMark/>
          </w:tcPr>
          <w:p w14:paraId="268D3F1E"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30.449</w:t>
            </w:r>
          </w:p>
        </w:tc>
        <w:tc>
          <w:tcPr>
            <w:tcW w:w="1638" w:type="dxa"/>
            <w:shd w:val="clear" w:color="auto" w:fill="auto"/>
            <w:noWrap/>
            <w:vAlign w:val="center"/>
            <w:hideMark/>
          </w:tcPr>
          <w:p w14:paraId="13BB3359"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62.543</w:t>
            </w:r>
          </w:p>
        </w:tc>
        <w:tc>
          <w:tcPr>
            <w:tcW w:w="1638" w:type="dxa"/>
            <w:shd w:val="clear" w:color="auto" w:fill="auto"/>
            <w:noWrap/>
            <w:vAlign w:val="center"/>
            <w:hideMark/>
          </w:tcPr>
          <w:p w14:paraId="0FADA1D2"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124.757</w:t>
            </w:r>
          </w:p>
        </w:tc>
        <w:tc>
          <w:tcPr>
            <w:tcW w:w="1055" w:type="dxa"/>
            <w:shd w:val="clear" w:color="auto" w:fill="auto"/>
            <w:noWrap/>
            <w:vAlign w:val="center"/>
            <w:hideMark/>
          </w:tcPr>
          <w:p w14:paraId="1325A984"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(2%)</w:t>
            </w:r>
          </w:p>
        </w:tc>
      </w:tr>
      <w:tr w:rsidR="00CC73DD" w:rsidRPr="00361139" w14:paraId="1AE441AC" w14:textId="77777777" w:rsidTr="008144F7">
        <w:trPr>
          <w:cantSplit/>
          <w:jc w:val="center"/>
        </w:trPr>
        <w:tc>
          <w:tcPr>
            <w:tcW w:w="1637" w:type="dxa"/>
            <w:tcBorders>
              <w:bottom w:val="single" w:sz="8" w:space="0" w:color="000000"/>
            </w:tcBorders>
            <w:shd w:val="clear" w:color="auto" w:fill="auto"/>
            <w:vAlign w:val="center"/>
            <w:hideMark/>
          </w:tcPr>
          <w:p w14:paraId="38FAE5AC"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France</w:t>
            </w:r>
          </w:p>
        </w:tc>
        <w:tc>
          <w:tcPr>
            <w:tcW w:w="1638" w:type="dxa"/>
            <w:tcBorders>
              <w:bottom w:val="single" w:sz="8" w:space="0" w:color="000000"/>
            </w:tcBorders>
            <w:shd w:val="clear" w:color="auto" w:fill="auto"/>
            <w:noWrap/>
            <w:vAlign w:val="center"/>
            <w:hideMark/>
          </w:tcPr>
          <w:p w14:paraId="0C49C976"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0</w:t>
            </w:r>
          </w:p>
        </w:tc>
        <w:tc>
          <w:tcPr>
            <w:tcW w:w="1637" w:type="dxa"/>
            <w:tcBorders>
              <w:bottom w:val="single" w:sz="8" w:space="0" w:color="000000"/>
            </w:tcBorders>
            <w:shd w:val="clear" w:color="auto" w:fill="auto"/>
            <w:noWrap/>
            <w:vAlign w:val="center"/>
            <w:hideMark/>
          </w:tcPr>
          <w:p w14:paraId="05C25C68"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0</w:t>
            </w:r>
          </w:p>
        </w:tc>
        <w:tc>
          <w:tcPr>
            <w:tcW w:w="1638" w:type="dxa"/>
            <w:tcBorders>
              <w:bottom w:val="single" w:sz="8" w:space="0" w:color="000000"/>
            </w:tcBorders>
            <w:shd w:val="clear" w:color="auto" w:fill="auto"/>
            <w:noWrap/>
            <w:vAlign w:val="center"/>
            <w:hideMark/>
          </w:tcPr>
          <w:p w14:paraId="0C5FBF87"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110.011</w:t>
            </w:r>
          </w:p>
        </w:tc>
        <w:tc>
          <w:tcPr>
            <w:tcW w:w="1638" w:type="dxa"/>
            <w:tcBorders>
              <w:bottom w:val="single" w:sz="8" w:space="0" w:color="000000"/>
            </w:tcBorders>
            <w:shd w:val="clear" w:color="auto" w:fill="auto"/>
            <w:noWrap/>
            <w:vAlign w:val="center"/>
            <w:hideMark/>
          </w:tcPr>
          <w:p w14:paraId="504344EE"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110.011</w:t>
            </w:r>
          </w:p>
        </w:tc>
        <w:tc>
          <w:tcPr>
            <w:tcW w:w="1055" w:type="dxa"/>
            <w:tcBorders>
              <w:bottom w:val="single" w:sz="8" w:space="0" w:color="000000"/>
            </w:tcBorders>
            <w:shd w:val="clear" w:color="auto" w:fill="auto"/>
            <w:noWrap/>
            <w:vAlign w:val="center"/>
            <w:hideMark/>
          </w:tcPr>
          <w:p w14:paraId="3FB842B7"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(2%)</w:t>
            </w:r>
          </w:p>
        </w:tc>
      </w:tr>
      <w:tr w:rsidR="00CC73DD" w:rsidRPr="00361139" w14:paraId="109CEAC1" w14:textId="77777777" w:rsidTr="008144F7">
        <w:trPr>
          <w:cantSplit/>
          <w:trHeight w:hRule="exact" w:val="57"/>
          <w:jc w:val="center"/>
        </w:trPr>
        <w:tc>
          <w:tcPr>
            <w:tcW w:w="1637" w:type="dxa"/>
            <w:tcBorders>
              <w:left w:val="nil"/>
              <w:right w:val="nil"/>
            </w:tcBorders>
            <w:shd w:val="clear" w:color="auto" w:fill="auto"/>
            <w:vAlign w:val="center"/>
            <w:hideMark/>
          </w:tcPr>
          <w:p w14:paraId="41B81922" w14:textId="77777777" w:rsidR="00CC73DD" w:rsidRPr="00361139" w:rsidRDefault="00CC73DD" w:rsidP="008144F7">
            <w:pPr>
              <w:rPr>
                <w:rFonts w:asciiTheme="majorBidi" w:hAnsiTheme="majorBidi" w:cstheme="majorBidi"/>
                <w:sz w:val="18"/>
                <w:szCs w:val="18"/>
              </w:rPr>
            </w:pPr>
            <w:r w:rsidRPr="00361139">
              <w:rPr>
                <w:rFonts w:asciiTheme="majorBidi" w:hAnsiTheme="majorBidi" w:cstheme="majorBidi"/>
                <w:sz w:val="18"/>
                <w:szCs w:val="18"/>
              </w:rPr>
              <w:t> </w:t>
            </w:r>
          </w:p>
        </w:tc>
        <w:tc>
          <w:tcPr>
            <w:tcW w:w="1638" w:type="dxa"/>
            <w:tcBorders>
              <w:left w:val="nil"/>
              <w:right w:val="nil"/>
            </w:tcBorders>
            <w:shd w:val="clear" w:color="auto" w:fill="auto"/>
            <w:noWrap/>
            <w:vAlign w:val="center"/>
            <w:hideMark/>
          </w:tcPr>
          <w:p w14:paraId="4EA9094A" w14:textId="77777777" w:rsidR="00CC73DD" w:rsidRPr="00361139" w:rsidRDefault="00CC73DD" w:rsidP="008144F7">
            <w:pPr>
              <w:jc w:val="center"/>
              <w:rPr>
                <w:rFonts w:asciiTheme="majorBidi" w:hAnsiTheme="majorBidi" w:cstheme="majorBidi"/>
                <w:b/>
                <w:bCs/>
                <w:sz w:val="18"/>
                <w:szCs w:val="18"/>
              </w:rPr>
            </w:pPr>
          </w:p>
        </w:tc>
        <w:tc>
          <w:tcPr>
            <w:tcW w:w="1637" w:type="dxa"/>
            <w:tcBorders>
              <w:left w:val="nil"/>
              <w:right w:val="nil"/>
            </w:tcBorders>
            <w:shd w:val="clear" w:color="auto" w:fill="auto"/>
            <w:noWrap/>
            <w:vAlign w:val="center"/>
            <w:hideMark/>
          </w:tcPr>
          <w:p w14:paraId="45D630DA" w14:textId="77777777" w:rsidR="00CC73DD" w:rsidRPr="00361139" w:rsidRDefault="00CC73DD" w:rsidP="008144F7">
            <w:pPr>
              <w:jc w:val="center"/>
              <w:rPr>
                <w:rFonts w:asciiTheme="majorBidi" w:hAnsiTheme="majorBidi" w:cstheme="majorBidi"/>
                <w:b/>
                <w:bCs/>
                <w:sz w:val="18"/>
                <w:szCs w:val="18"/>
              </w:rPr>
            </w:pPr>
          </w:p>
        </w:tc>
        <w:tc>
          <w:tcPr>
            <w:tcW w:w="1638" w:type="dxa"/>
            <w:tcBorders>
              <w:left w:val="nil"/>
              <w:right w:val="nil"/>
            </w:tcBorders>
            <w:shd w:val="clear" w:color="auto" w:fill="auto"/>
            <w:noWrap/>
            <w:vAlign w:val="center"/>
            <w:hideMark/>
          </w:tcPr>
          <w:p w14:paraId="451CF449" w14:textId="77777777" w:rsidR="00CC73DD" w:rsidRPr="00361139" w:rsidRDefault="00CC73DD" w:rsidP="008144F7">
            <w:pPr>
              <w:jc w:val="center"/>
              <w:rPr>
                <w:rFonts w:asciiTheme="majorBidi" w:hAnsiTheme="majorBidi" w:cstheme="majorBidi"/>
                <w:b/>
                <w:bCs/>
                <w:sz w:val="18"/>
                <w:szCs w:val="18"/>
              </w:rPr>
            </w:pPr>
          </w:p>
        </w:tc>
        <w:tc>
          <w:tcPr>
            <w:tcW w:w="1638" w:type="dxa"/>
            <w:tcBorders>
              <w:left w:val="nil"/>
              <w:right w:val="nil"/>
            </w:tcBorders>
            <w:shd w:val="clear" w:color="auto" w:fill="auto"/>
            <w:noWrap/>
            <w:vAlign w:val="center"/>
            <w:hideMark/>
          </w:tcPr>
          <w:p w14:paraId="02D46D3D" w14:textId="77777777" w:rsidR="00CC73DD" w:rsidRPr="00361139" w:rsidRDefault="00CC73DD" w:rsidP="008144F7">
            <w:pPr>
              <w:jc w:val="center"/>
              <w:rPr>
                <w:rFonts w:asciiTheme="majorBidi" w:hAnsiTheme="majorBidi" w:cstheme="majorBidi"/>
                <w:b/>
                <w:bCs/>
                <w:sz w:val="18"/>
                <w:szCs w:val="18"/>
              </w:rPr>
            </w:pPr>
          </w:p>
        </w:tc>
        <w:tc>
          <w:tcPr>
            <w:tcW w:w="1055" w:type="dxa"/>
            <w:tcBorders>
              <w:left w:val="nil"/>
              <w:right w:val="nil"/>
            </w:tcBorders>
            <w:shd w:val="clear" w:color="auto" w:fill="auto"/>
            <w:noWrap/>
            <w:vAlign w:val="center"/>
            <w:hideMark/>
          </w:tcPr>
          <w:p w14:paraId="2A6F7309" w14:textId="77777777" w:rsidR="00CC73DD" w:rsidRPr="00361139" w:rsidRDefault="00CC73DD" w:rsidP="008144F7">
            <w:pPr>
              <w:jc w:val="center"/>
              <w:rPr>
                <w:rFonts w:asciiTheme="majorBidi" w:hAnsiTheme="majorBidi" w:cstheme="majorBidi"/>
                <w:b/>
                <w:bCs/>
                <w:i/>
                <w:sz w:val="18"/>
                <w:szCs w:val="18"/>
              </w:rPr>
            </w:pPr>
            <w:r w:rsidRPr="00361139">
              <w:rPr>
                <w:rFonts w:asciiTheme="majorBidi" w:hAnsiTheme="majorBidi" w:cstheme="majorBidi"/>
                <w:b/>
                <w:bCs/>
                <w:i/>
                <w:sz w:val="18"/>
                <w:szCs w:val="18"/>
              </w:rPr>
              <w:t> </w:t>
            </w:r>
          </w:p>
        </w:tc>
      </w:tr>
      <w:tr w:rsidR="00CC73DD" w:rsidRPr="00361139" w14:paraId="36F80320" w14:textId="77777777" w:rsidTr="008144F7">
        <w:trPr>
          <w:cantSplit/>
          <w:jc w:val="center"/>
        </w:trPr>
        <w:tc>
          <w:tcPr>
            <w:tcW w:w="1637" w:type="dxa"/>
            <w:shd w:val="clear" w:color="auto" w:fill="auto"/>
            <w:vAlign w:val="center"/>
            <w:hideMark/>
          </w:tcPr>
          <w:p w14:paraId="6EE6A75B" w14:textId="77777777" w:rsidR="00CC73DD" w:rsidRPr="00361139" w:rsidRDefault="00CC73DD" w:rsidP="008144F7">
            <w:pPr>
              <w:rPr>
                <w:rFonts w:asciiTheme="majorBidi" w:hAnsiTheme="majorBidi" w:cstheme="majorBidi"/>
                <w:b/>
                <w:bCs/>
                <w:sz w:val="18"/>
                <w:szCs w:val="18"/>
              </w:rPr>
            </w:pPr>
            <w:r w:rsidRPr="00361139">
              <w:rPr>
                <w:rFonts w:asciiTheme="majorBidi" w:hAnsiTheme="majorBidi" w:cstheme="majorBidi"/>
                <w:b/>
                <w:bCs/>
                <w:sz w:val="18"/>
                <w:szCs w:val="18"/>
              </w:rPr>
              <w:t>Total</w:t>
            </w:r>
          </w:p>
        </w:tc>
        <w:tc>
          <w:tcPr>
            <w:tcW w:w="1638" w:type="dxa"/>
            <w:shd w:val="clear" w:color="auto" w:fill="auto"/>
            <w:noWrap/>
            <w:vAlign w:val="center"/>
            <w:hideMark/>
          </w:tcPr>
          <w:p w14:paraId="21AF4592" w14:textId="77777777" w:rsidR="00CC73DD" w:rsidRPr="00361139" w:rsidRDefault="00CC73DD" w:rsidP="008144F7">
            <w:pPr>
              <w:jc w:val="right"/>
              <w:rPr>
                <w:rFonts w:asciiTheme="majorBidi" w:hAnsiTheme="majorBidi" w:cstheme="majorBidi"/>
                <w:b/>
                <w:bCs/>
                <w:sz w:val="18"/>
                <w:szCs w:val="18"/>
              </w:rPr>
            </w:pPr>
            <w:r w:rsidRPr="00361139">
              <w:rPr>
                <w:rFonts w:asciiTheme="majorBidi" w:hAnsiTheme="majorBidi" w:cstheme="majorBidi"/>
                <w:b/>
                <w:bCs/>
                <w:sz w:val="18"/>
                <w:szCs w:val="18"/>
              </w:rPr>
              <w:t>1.283.539</w:t>
            </w:r>
          </w:p>
        </w:tc>
        <w:tc>
          <w:tcPr>
            <w:tcW w:w="1637" w:type="dxa"/>
            <w:shd w:val="clear" w:color="auto" w:fill="auto"/>
            <w:noWrap/>
            <w:vAlign w:val="center"/>
            <w:hideMark/>
          </w:tcPr>
          <w:p w14:paraId="5C0CC116" w14:textId="77777777" w:rsidR="00CC73DD" w:rsidRPr="00361139" w:rsidRDefault="00CC73DD" w:rsidP="008144F7">
            <w:pPr>
              <w:jc w:val="right"/>
              <w:rPr>
                <w:rFonts w:asciiTheme="majorBidi" w:hAnsiTheme="majorBidi" w:cstheme="majorBidi"/>
                <w:b/>
                <w:bCs/>
                <w:sz w:val="18"/>
                <w:szCs w:val="18"/>
              </w:rPr>
            </w:pPr>
            <w:r w:rsidRPr="00361139">
              <w:rPr>
                <w:rFonts w:asciiTheme="majorBidi" w:hAnsiTheme="majorBidi" w:cstheme="majorBidi"/>
                <w:b/>
                <w:bCs/>
                <w:sz w:val="18"/>
                <w:szCs w:val="18"/>
              </w:rPr>
              <w:t>2.418.372</w:t>
            </w:r>
          </w:p>
        </w:tc>
        <w:tc>
          <w:tcPr>
            <w:tcW w:w="1638" w:type="dxa"/>
            <w:shd w:val="clear" w:color="auto" w:fill="auto"/>
            <w:noWrap/>
            <w:vAlign w:val="center"/>
            <w:hideMark/>
          </w:tcPr>
          <w:p w14:paraId="70585B08" w14:textId="77777777" w:rsidR="00CC73DD" w:rsidRPr="00361139" w:rsidRDefault="00CC73DD" w:rsidP="008144F7">
            <w:pPr>
              <w:jc w:val="right"/>
              <w:rPr>
                <w:rFonts w:asciiTheme="majorBidi" w:hAnsiTheme="majorBidi" w:cstheme="majorBidi"/>
                <w:b/>
                <w:bCs/>
                <w:sz w:val="18"/>
                <w:szCs w:val="18"/>
              </w:rPr>
            </w:pPr>
            <w:r w:rsidRPr="00361139">
              <w:rPr>
                <w:rFonts w:asciiTheme="majorBidi" w:hAnsiTheme="majorBidi" w:cstheme="majorBidi"/>
                <w:b/>
                <w:bCs/>
                <w:sz w:val="18"/>
                <w:szCs w:val="18"/>
              </w:rPr>
              <w:t>2.473.913</w:t>
            </w:r>
          </w:p>
        </w:tc>
        <w:tc>
          <w:tcPr>
            <w:tcW w:w="1638" w:type="dxa"/>
            <w:shd w:val="clear" w:color="auto" w:fill="auto"/>
            <w:noWrap/>
            <w:vAlign w:val="center"/>
            <w:hideMark/>
          </w:tcPr>
          <w:p w14:paraId="08A92D48" w14:textId="77777777" w:rsidR="00CC73DD" w:rsidRPr="00361139" w:rsidRDefault="00CC73DD" w:rsidP="008144F7">
            <w:pPr>
              <w:jc w:val="right"/>
              <w:rPr>
                <w:rFonts w:asciiTheme="majorBidi" w:hAnsiTheme="majorBidi" w:cstheme="majorBidi"/>
                <w:b/>
                <w:bCs/>
                <w:sz w:val="18"/>
                <w:szCs w:val="18"/>
              </w:rPr>
            </w:pPr>
            <w:r w:rsidRPr="00361139">
              <w:rPr>
                <w:rFonts w:asciiTheme="majorBidi" w:hAnsiTheme="majorBidi" w:cstheme="majorBidi"/>
                <w:b/>
                <w:bCs/>
                <w:sz w:val="18"/>
                <w:szCs w:val="18"/>
              </w:rPr>
              <w:t>6.175.822</w:t>
            </w:r>
          </w:p>
        </w:tc>
        <w:tc>
          <w:tcPr>
            <w:tcW w:w="1055" w:type="dxa"/>
            <w:shd w:val="clear" w:color="auto" w:fill="auto"/>
            <w:noWrap/>
            <w:vAlign w:val="center"/>
            <w:hideMark/>
          </w:tcPr>
          <w:p w14:paraId="5D3AE1DF"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(100%)</w:t>
            </w:r>
          </w:p>
        </w:tc>
      </w:tr>
    </w:tbl>
    <w:p w14:paraId="1A487367" w14:textId="541EC997" w:rsidR="002F7B3C" w:rsidRPr="00361139" w:rsidRDefault="002F7B3C" w:rsidP="002F7B3C">
      <w:pPr>
        <w:pStyle w:val="Normal-pool"/>
        <w:rPr>
          <w:lang w:val="en-GB"/>
        </w:rPr>
      </w:pPr>
    </w:p>
    <w:p w14:paraId="3C2880D2" w14:textId="77777777" w:rsidR="002F7B3C" w:rsidRPr="00361139" w:rsidRDefault="002F7B3C" w:rsidP="002F7B3C">
      <w:pPr>
        <w:pStyle w:val="Normal-pool"/>
        <w:rPr>
          <w:lang w:val="en-GB"/>
        </w:rPr>
      </w:pPr>
      <w:r w:rsidRPr="00361139">
        <w:rPr>
          <w:lang w:val="en-GB"/>
        </w:rPr>
        <w:br w:type="page"/>
      </w:r>
    </w:p>
    <w:p w14:paraId="0E3EFB2F" w14:textId="5E16585B" w:rsidR="00CC73DD" w:rsidRPr="00361139" w:rsidRDefault="00CC73DD" w:rsidP="000C76AC">
      <w:pPr>
        <w:pStyle w:val="Normalnumber"/>
        <w:numPr>
          <w:ilvl w:val="0"/>
          <w:numId w:val="9"/>
        </w:numPr>
        <w:spacing w:before="240"/>
        <w:rPr>
          <w:rFonts w:asciiTheme="majorBidi" w:hAnsiTheme="majorBidi" w:cstheme="majorBidi"/>
        </w:rPr>
      </w:pPr>
      <w:r w:rsidRPr="00361139">
        <w:rPr>
          <w:rFonts w:asciiTheme="majorBidi" w:hAnsiTheme="majorBidi" w:cstheme="majorBidi"/>
        </w:rPr>
        <w:lastRenderedPageBreak/>
        <w:t>This significant level of additional resources mobilized has been secured by both the entities comprising the MC financial mechanism, in measure comparable to their different dimensions, through their guidance to projects implementation</w:t>
      </w:r>
      <w:r w:rsidRPr="00361139">
        <w:rPr>
          <w:rStyle w:val="FootnoteReference"/>
          <w:rFonts w:asciiTheme="majorBidi" w:eastAsia="SimSun" w:hAnsiTheme="majorBidi" w:cstheme="majorBidi"/>
        </w:rPr>
        <w:footnoteReference w:id="28"/>
      </w:r>
      <w:r w:rsidRPr="00361139">
        <w:rPr>
          <w:rFonts w:asciiTheme="majorBidi" w:hAnsiTheme="majorBidi" w:cstheme="majorBidi"/>
        </w:rPr>
        <w:t>. The GEF, with its co-financing policy, secured (with the exclusion of Enabling Activities) a 6.8/1 ratio between co-financing and its funding of the projects under review. On the other hand, even the much lighter SIP mechanism, though not necessarily requiring co-financing from the applicant Governments, obtained a satisfactory 0.5/1 ratio between co-financing and its funding of the three rounds of projects under review.</w:t>
      </w:r>
    </w:p>
    <w:p w14:paraId="2136E84F" w14:textId="7430D50E" w:rsidR="00CC73DD" w:rsidRPr="00361139" w:rsidRDefault="002E372A" w:rsidP="002E372A">
      <w:pPr>
        <w:pStyle w:val="CH2"/>
        <w:rPr>
          <w:lang w:val="en-GB"/>
        </w:rPr>
      </w:pPr>
      <w:bookmarkStart w:id="163" w:name="_Toc138845679"/>
      <w:bookmarkStart w:id="164" w:name="_Toc138845734"/>
      <w:bookmarkStart w:id="165" w:name="_Toc138847823"/>
      <w:r w:rsidRPr="00361139">
        <w:rPr>
          <w:lang w:val="en-GB"/>
        </w:rPr>
        <w:tab/>
      </w:r>
      <w:r w:rsidRPr="00361139">
        <w:rPr>
          <w:lang w:val="en-GB"/>
        </w:rPr>
        <w:tab/>
      </w:r>
      <w:bookmarkStart w:id="166" w:name="_Toc139975458"/>
      <w:bookmarkStart w:id="167" w:name="_Toc139976219"/>
      <w:bookmarkStart w:id="168" w:name="_Toc139982231"/>
      <w:bookmarkStart w:id="169" w:name="_Toc139983943"/>
      <w:bookmarkStart w:id="170" w:name="_Toc139984187"/>
      <w:r w:rsidR="00CC73DD" w:rsidRPr="00361139">
        <w:rPr>
          <w:lang w:val="en-GB"/>
        </w:rPr>
        <w:t>The co-financing in GEF projects</w:t>
      </w:r>
      <w:bookmarkEnd w:id="163"/>
      <w:bookmarkEnd w:id="164"/>
      <w:bookmarkEnd w:id="165"/>
      <w:bookmarkEnd w:id="166"/>
      <w:bookmarkEnd w:id="167"/>
      <w:bookmarkEnd w:id="168"/>
      <w:bookmarkEnd w:id="169"/>
      <w:bookmarkEnd w:id="170"/>
    </w:p>
    <w:p w14:paraId="527AD4F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With the exclusion of 42 Enabling Activities, the GEF Secretariat reported co-financing, for the remaining 69 GEF projects active in the period covered by this review, for a total amount of about 2.7 billion USD</w:t>
      </w:r>
      <w:r w:rsidRPr="00361139">
        <w:rPr>
          <w:rStyle w:val="FootnoteReference"/>
          <w:rFonts w:asciiTheme="majorBidi" w:eastAsia="SimSun" w:hAnsiTheme="majorBidi" w:cstheme="majorBidi"/>
        </w:rPr>
        <w:footnoteReference w:id="29"/>
      </w:r>
      <w:r w:rsidRPr="00361139">
        <w:rPr>
          <w:rFonts w:asciiTheme="majorBidi" w:hAnsiTheme="majorBidi" w:cstheme="majorBidi"/>
        </w:rPr>
        <w:t>. A categorization of the main co-financing sources was also provided, for the GEF-7 cycle, and helps in better identifying the nature of these contributions.</w:t>
      </w:r>
    </w:p>
    <w:p w14:paraId="4D48353C"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highest category of contribution in terms of project co-financing (about 689 million USD, 34% of the total co-financing of the projects under review in the GEF-7 cycle) is reported by the </w:t>
      </w:r>
      <w:r w:rsidRPr="00361139">
        <w:rPr>
          <w:rFonts w:asciiTheme="majorBidi" w:hAnsiTheme="majorBidi" w:cstheme="majorBidi"/>
          <w:i/>
        </w:rPr>
        <w:t>Recipient Country Governments</w:t>
      </w:r>
      <w:r w:rsidRPr="00361139">
        <w:rPr>
          <w:rFonts w:asciiTheme="majorBidi" w:hAnsiTheme="majorBidi" w:cstheme="majorBidi"/>
        </w:rPr>
        <w:t xml:space="preserve"> in 24 projects and its value is 2.3 times the value of the GEF financing of the related projects</w:t>
      </w:r>
      <w:r w:rsidRPr="00361139">
        <w:rPr>
          <w:rStyle w:val="FootnoteReference"/>
          <w:rFonts w:asciiTheme="majorBidi" w:eastAsia="SimSun" w:hAnsiTheme="majorBidi" w:cstheme="majorBidi"/>
        </w:rPr>
        <w:footnoteReference w:id="30"/>
      </w:r>
      <w:r w:rsidRPr="00361139">
        <w:rPr>
          <w:rFonts w:asciiTheme="majorBidi" w:hAnsiTheme="majorBidi" w:cstheme="majorBidi"/>
        </w:rPr>
        <w:t xml:space="preserve">. It usually refers to an estimation of in-kind contributions in terms of staff and use of Government resources (such as buildings, vehicles, office supplies, etc.). In several projects the Government co-financing also refers to public investment mobilized for the expansion of the environmentally sound management of chemicals and waste, infrastructure and equipment related to the hazardous </w:t>
      </w:r>
      <w:proofErr w:type="gramStart"/>
      <w:r w:rsidRPr="00361139">
        <w:rPr>
          <w:rFonts w:asciiTheme="majorBidi" w:hAnsiTheme="majorBidi" w:cstheme="majorBidi"/>
        </w:rPr>
        <w:t>chemicals</w:t>
      </w:r>
      <w:proofErr w:type="gramEnd"/>
      <w:r w:rsidRPr="00361139">
        <w:rPr>
          <w:rFonts w:asciiTheme="majorBidi" w:hAnsiTheme="majorBidi" w:cstheme="majorBidi"/>
        </w:rPr>
        <w:t xml:space="preserve"> presence in the country.</w:t>
      </w:r>
    </w:p>
    <w:p w14:paraId="662F192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similar value contribution (about 637 million USD, 31% of the total co-financing of the projects under review in the GEF-7 cycle), though with a significant portion in </w:t>
      </w:r>
      <w:r w:rsidRPr="00361139">
        <w:rPr>
          <w:rFonts w:asciiTheme="majorBidi" w:hAnsiTheme="majorBidi" w:cstheme="majorBidi"/>
          <w:color w:val="000000"/>
        </w:rPr>
        <w:t>grants, loans or equity investments</w:t>
      </w:r>
      <w:r w:rsidRPr="00361139">
        <w:rPr>
          <w:rStyle w:val="FootnoteReference"/>
          <w:rFonts w:asciiTheme="majorBidi" w:eastAsia="SimSun" w:hAnsiTheme="majorBidi" w:cstheme="majorBidi"/>
          <w:color w:val="000000"/>
        </w:rPr>
        <w:footnoteReference w:id="31"/>
      </w:r>
      <w:r w:rsidRPr="00361139">
        <w:rPr>
          <w:rFonts w:asciiTheme="majorBidi" w:hAnsiTheme="majorBidi" w:cstheme="majorBidi"/>
          <w:color w:val="000000"/>
        </w:rPr>
        <w:t xml:space="preserve">, </w:t>
      </w:r>
      <w:r w:rsidRPr="00361139">
        <w:rPr>
          <w:rFonts w:asciiTheme="majorBidi" w:hAnsiTheme="majorBidi" w:cstheme="majorBidi"/>
        </w:rPr>
        <w:t xml:space="preserve">is reported from the </w:t>
      </w:r>
      <w:r w:rsidRPr="00361139">
        <w:rPr>
          <w:rFonts w:asciiTheme="majorBidi" w:hAnsiTheme="majorBidi" w:cstheme="majorBidi"/>
          <w:i/>
        </w:rPr>
        <w:t>Private Sector</w:t>
      </w:r>
      <w:r w:rsidRPr="00361139">
        <w:rPr>
          <w:rFonts w:asciiTheme="majorBidi" w:hAnsiTheme="majorBidi" w:cstheme="majorBidi"/>
        </w:rPr>
        <w:t>. Co-financing from this category is reported in 16 projects, and its value is 2.5 times the value of the GEF financing of the related projects</w:t>
      </w:r>
      <w:r w:rsidRPr="00361139">
        <w:rPr>
          <w:rFonts w:asciiTheme="majorBidi" w:hAnsiTheme="majorBidi" w:cstheme="majorBidi"/>
          <w:vertAlign w:val="superscript"/>
        </w:rPr>
        <w:t>21</w:t>
      </w:r>
      <w:r w:rsidRPr="00361139">
        <w:rPr>
          <w:rFonts w:asciiTheme="majorBidi" w:hAnsiTheme="majorBidi" w:cstheme="majorBidi"/>
        </w:rPr>
        <w:t xml:space="preserve">. The activities referred to these contributions and the value of the investments significantly differs among the projects: for eight projects, contributions by the </w:t>
      </w:r>
      <w:r w:rsidRPr="00361139">
        <w:rPr>
          <w:rFonts w:asciiTheme="majorBidi" w:hAnsiTheme="majorBidi" w:cstheme="majorBidi"/>
          <w:i/>
        </w:rPr>
        <w:t>Private Sector</w:t>
      </w:r>
      <w:r w:rsidRPr="00361139">
        <w:rPr>
          <w:rFonts w:asciiTheme="majorBidi" w:hAnsiTheme="majorBidi" w:cstheme="majorBidi"/>
        </w:rPr>
        <w:t xml:space="preserve"> category are reported between 3 and 25 million USD, in three projects between 30 and 100 million USD, and in three more projects between 110 and 140 million USD.</w:t>
      </w:r>
    </w:p>
    <w:p w14:paraId="37E515F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Among the activities co-financed by the </w:t>
      </w:r>
      <w:r w:rsidRPr="00361139">
        <w:rPr>
          <w:rFonts w:asciiTheme="majorBidi" w:hAnsiTheme="majorBidi" w:cstheme="majorBidi"/>
          <w:i/>
        </w:rPr>
        <w:t>Private Sector</w:t>
      </w:r>
      <w:r w:rsidRPr="00361139">
        <w:rPr>
          <w:rFonts w:asciiTheme="majorBidi" w:hAnsiTheme="majorBidi" w:cstheme="majorBidi"/>
        </w:rPr>
        <w:t>, it is possible to extract, from the original project documents, the following major contributions: "export of mining waste (mercury)", "investments in a recycling facility for e-waste", "establishment of infrastructure for manufacturing mercury-free alternatives in demonstration plants", "phase-out of 3 tons of mercury waste from medical products", "technical support", "conversion of mercury cell technology plant", "expansion of the mercury-contained products waste recycling facility", and "purchasing of dental amalgam separators for the project".</w:t>
      </w:r>
    </w:p>
    <w:p w14:paraId="6A892116" w14:textId="14296E6B"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third significant category of contributions in the co-financing is reported from the </w:t>
      </w:r>
      <w:r w:rsidRPr="00361139">
        <w:rPr>
          <w:rFonts w:asciiTheme="majorBidi" w:hAnsiTheme="majorBidi" w:cstheme="majorBidi"/>
          <w:i/>
        </w:rPr>
        <w:t>GEF Partner Agencies</w:t>
      </w:r>
      <w:r w:rsidRPr="00361139">
        <w:rPr>
          <w:rFonts w:asciiTheme="majorBidi" w:hAnsiTheme="majorBidi" w:cstheme="majorBidi"/>
        </w:rPr>
        <w:t xml:space="preserve"> (about 284 million USD, 14% of the total co-financing of the projects under review in the GEF-7 cycle) and the </w:t>
      </w:r>
      <w:r w:rsidRPr="00361139">
        <w:rPr>
          <w:rFonts w:asciiTheme="majorBidi" w:hAnsiTheme="majorBidi" w:cstheme="majorBidi"/>
          <w:i/>
        </w:rPr>
        <w:t xml:space="preserve">Donor aid agencies </w:t>
      </w:r>
      <w:r w:rsidRPr="00361139">
        <w:rPr>
          <w:rFonts w:asciiTheme="majorBidi" w:hAnsiTheme="majorBidi" w:cstheme="majorBidi"/>
        </w:rPr>
        <w:t>(about 211 million USD, 10% of the total co</w:t>
      </w:r>
      <w:r w:rsidR="00707D0F" w:rsidRPr="00361139">
        <w:noBreakHyphen/>
      </w:r>
      <w:r w:rsidRPr="00361139">
        <w:rPr>
          <w:rFonts w:asciiTheme="majorBidi" w:hAnsiTheme="majorBidi" w:cstheme="majorBidi"/>
        </w:rPr>
        <w:t>financing). These contributions are reported in 28 different projects, and their value is 1.8 times the value of the GEF financing of the related projects</w:t>
      </w:r>
      <w:r w:rsidRPr="00361139">
        <w:rPr>
          <w:rFonts w:asciiTheme="majorBidi" w:hAnsiTheme="majorBidi" w:cstheme="majorBidi"/>
          <w:vertAlign w:val="superscript"/>
        </w:rPr>
        <w:t>21</w:t>
      </w:r>
      <w:r w:rsidRPr="00361139">
        <w:rPr>
          <w:rFonts w:asciiTheme="majorBidi" w:hAnsiTheme="majorBidi" w:cstheme="majorBidi"/>
        </w:rPr>
        <w:t>. Also in these cases, the activities referred to these contributions and the value of the investments significantly differs among the projects: in eleven projects, contributions are reported between 150.000 and 600.000 USD; in three projects between 10</w:t>
      </w:r>
      <w:r w:rsidR="00334B82" w:rsidRPr="00361139">
        <w:rPr>
          <w:rFonts w:asciiTheme="majorBidi" w:hAnsiTheme="majorBidi" w:cstheme="majorBidi"/>
        </w:rPr>
        <w:t xml:space="preserve"> </w:t>
      </w:r>
      <w:r w:rsidRPr="00361139">
        <w:rPr>
          <w:rFonts w:asciiTheme="majorBidi" w:hAnsiTheme="majorBidi" w:cstheme="majorBidi"/>
        </w:rPr>
        <w:t xml:space="preserve">and 20 million USD, in two projects between 1 and 2 million USD, and in one regional project for Africa are reported 237 million USD (of which about 171 million USD of co-financing, specifically </w:t>
      </w:r>
      <w:r w:rsidRPr="00361139">
        <w:rPr>
          <w:rFonts w:asciiTheme="majorBidi" w:hAnsiTheme="majorBidi" w:cstheme="majorBidi"/>
        </w:rPr>
        <w:lastRenderedPageBreak/>
        <w:t>targeting the “scaling up of actions to reduce and wherever possible, eliminate manufacture, trade, use, emission and release of POPs and mercury and its compounds”</w:t>
      </w:r>
      <w:r w:rsidRPr="00361139">
        <w:rPr>
          <w:rStyle w:val="FootnoteReference"/>
          <w:rFonts w:asciiTheme="majorBidi" w:eastAsia="SimSun" w:hAnsiTheme="majorBidi" w:cstheme="majorBidi"/>
        </w:rPr>
        <w:footnoteReference w:id="32"/>
      </w:r>
      <w:r w:rsidRPr="00361139">
        <w:rPr>
          <w:rFonts w:asciiTheme="majorBidi" w:hAnsiTheme="majorBidi" w:cstheme="majorBidi"/>
        </w:rPr>
        <w:t>) .</w:t>
      </w:r>
    </w:p>
    <w:p w14:paraId="29C74034" w14:textId="459C678D"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From the original project documents most of the GEF partners and donor agencies co</w:t>
      </w:r>
      <w:r w:rsidR="00707D0F" w:rsidRPr="00361139">
        <w:noBreakHyphen/>
      </w:r>
      <w:r w:rsidRPr="00361139">
        <w:rPr>
          <w:rFonts w:asciiTheme="majorBidi" w:hAnsiTheme="majorBidi" w:cstheme="majorBidi"/>
        </w:rPr>
        <w:t xml:space="preserve">financing contributions appear to be in-kind; </w:t>
      </w:r>
      <w:proofErr w:type="gramStart"/>
      <w:r w:rsidRPr="00361139">
        <w:rPr>
          <w:rFonts w:asciiTheme="majorBidi" w:hAnsiTheme="majorBidi" w:cstheme="majorBidi"/>
        </w:rPr>
        <w:t>however</w:t>
      </w:r>
      <w:proofErr w:type="gramEnd"/>
      <w:r w:rsidRPr="00361139">
        <w:rPr>
          <w:rFonts w:asciiTheme="majorBidi" w:hAnsiTheme="majorBidi" w:cstheme="majorBidi"/>
        </w:rPr>
        <w:t xml:space="preserve"> the following major contributions are also reported: “strengthening sustainable forest management”; “support companies with the implementation of GC </w:t>
      </w:r>
      <w:r w:rsidRPr="00361139">
        <w:rPr>
          <w:rFonts w:asciiTheme="majorBidi" w:hAnsiTheme="majorBidi" w:cstheme="majorBidi"/>
          <w:i/>
        </w:rPr>
        <w:t xml:space="preserve">[Green Chemistry] </w:t>
      </w:r>
      <w:r w:rsidRPr="00361139">
        <w:rPr>
          <w:rFonts w:asciiTheme="majorBidi" w:hAnsiTheme="majorBidi" w:cstheme="majorBidi"/>
        </w:rPr>
        <w:t>alternatives for POPs and mercury”; and “support initiative on the management of chemicals and waste”.</w:t>
      </w:r>
    </w:p>
    <w:p w14:paraId="5BF6E45B" w14:textId="04581F0E"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 xml:space="preserve">Other sub-categories of co-financing sources, as reported by the GEF Secretariat for the projects under review, are the </w:t>
      </w:r>
      <w:r w:rsidRPr="00361139">
        <w:rPr>
          <w:rFonts w:asciiTheme="majorBidi" w:hAnsiTheme="majorBidi" w:cstheme="majorBidi"/>
          <w:i/>
        </w:rPr>
        <w:t>Civil Society Organizations</w:t>
      </w:r>
      <w:r w:rsidRPr="00361139">
        <w:rPr>
          <w:rFonts w:asciiTheme="majorBidi" w:hAnsiTheme="majorBidi" w:cstheme="majorBidi"/>
        </w:rPr>
        <w:t xml:space="preserve"> (non-profit, non-governmental entities), which are reported having contributed for about 28.6 million USD in four projects (5% of the co</w:t>
      </w:r>
      <w:r w:rsidR="00707D0F" w:rsidRPr="00361139">
        <w:noBreakHyphen/>
      </w:r>
      <w:r w:rsidRPr="00361139">
        <w:rPr>
          <w:rFonts w:asciiTheme="majorBidi" w:hAnsiTheme="majorBidi" w:cstheme="majorBidi"/>
        </w:rPr>
        <w:t xml:space="preserve">financing when present); the </w:t>
      </w:r>
      <w:r w:rsidRPr="00361139">
        <w:rPr>
          <w:rFonts w:asciiTheme="majorBidi" w:hAnsiTheme="majorBidi" w:cstheme="majorBidi"/>
          <w:i/>
        </w:rPr>
        <w:t>Beneficiaries</w:t>
      </w:r>
      <w:r w:rsidRPr="00361139">
        <w:rPr>
          <w:rFonts w:asciiTheme="majorBidi" w:hAnsiTheme="majorBidi" w:cstheme="majorBidi"/>
        </w:rPr>
        <w:t xml:space="preserve"> (individuals or communities that directly benefits from the project/program), contributing for about 2.3 million USD in two projects (0.5% of the co-financing when present); and a large group of other co-financers, not matching the above defined categories and generically tagged as </w:t>
      </w:r>
      <w:r w:rsidRPr="00361139">
        <w:rPr>
          <w:rFonts w:asciiTheme="majorBidi" w:hAnsiTheme="majorBidi" w:cstheme="majorBidi"/>
          <w:i/>
        </w:rPr>
        <w:t>Others</w:t>
      </w:r>
      <w:r w:rsidRPr="00361139">
        <w:rPr>
          <w:rFonts w:asciiTheme="majorBidi" w:hAnsiTheme="majorBidi" w:cstheme="majorBidi"/>
        </w:rPr>
        <w:t>, which are reported having contributed for about 200 million USD (10% of the total co-financing of the projects under review in the GEF-7 cycle) in seventeen different projects;</w:t>
      </w:r>
      <w:r w:rsidR="00334B82" w:rsidRPr="00361139">
        <w:rPr>
          <w:rFonts w:asciiTheme="majorBidi" w:hAnsiTheme="majorBidi" w:cstheme="majorBidi"/>
        </w:rPr>
        <w:t xml:space="preserve"> </w:t>
      </w:r>
      <w:r w:rsidRPr="00361139">
        <w:rPr>
          <w:rFonts w:asciiTheme="majorBidi" w:hAnsiTheme="majorBidi" w:cstheme="majorBidi"/>
        </w:rPr>
        <w:t xml:space="preserve">the contribution from these </w:t>
      </w:r>
      <w:r w:rsidRPr="00361139">
        <w:rPr>
          <w:rFonts w:asciiTheme="majorBidi" w:hAnsiTheme="majorBidi" w:cstheme="majorBidi"/>
          <w:i/>
        </w:rPr>
        <w:t>Other</w:t>
      </w:r>
      <w:r w:rsidRPr="00361139">
        <w:rPr>
          <w:rFonts w:asciiTheme="majorBidi" w:hAnsiTheme="majorBidi" w:cstheme="majorBidi"/>
        </w:rPr>
        <w:t xml:space="preserve"> sources amounts to 14% of the co-financing when present and its value is comparable to the value of the GEF financing of the related projects</w:t>
      </w:r>
      <w:r w:rsidRPr="00361139">
        <w:rPr>
          <w:rFonts w:asciiTheme="majorBidi" w:hAnsiTheme="majorBidi" w:cstheme="majorBidi"/>
          <w:vertAlign w:val="superscript"/>
        </w:rPr>
        <w:t>21</w:t>
      </w:r>
      <w:r w:rsidRPr="00361139">
        <w:rPr>
          <w:rFonts w:asciiTheme="majorBidi" w:hAnsiTheme="majorBidi" w:cstheme="majorBidi"/>
          <w:i/>
          <w:color w:val="000000"/>
        </w:rPr>
        <w:t>.</w:t>
      </w:r>
    </w:p>
    <w:p w14:paraId="29A34C41" w14:textId="0BA6FA0A"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In none of the GEF funded projects under review, resources are indicated as mobilized indirectly, by actions of the private sector and other stakeholders, other than those specified in the co</w:t>
      </w:r>
      <w:r w:rsidR="00707D0F" w:rsidRPr="00361139">
        <w:noBreakHyphen/>
      </w:r>
      <w:r w:rsidRPr="00361139">
        <w:rPr>
          <w:rFonts w:asciiTheme="majorBidi" w:hAnsiTheme="majorBidi" w:cstheme="majorBidi"/>
        </w:rPr>
        <w:t>financing.</w:t>
      </w:r>
    </w:p>
    <w:p w14:paraId="78B1213E" w14:textId="137A5FF8" w:rsidR="00CC73DD" w:rsidRPr="00361139" w:rsidRDefault="009D5362" w:rsidP="009D5362">
      <w:pPr>
        <w:pStyle w:val="CH2"/>
        <w:rPr>
          <w:lang w:val="en-GB"/>
        </w:rPr>
      </w:pPr>
      <w:bookmarkStart w:id="171" w:name="_Toc138845680"/>
      <w:bookmarkStart w:id="172" w:name="_Toc138845735"/>
      <w:bookmarkStart w:id="173" w:name="_Toc138847824"/>
      <w:r w:rsidRPr="00361139">
        <w:rPr>
          <w:lang w:val="en-GB"/>
        </w:rPr>
        <w:tab/>
      </w:r>
      <w:r w:rsidRPr="00361139">
        <w:rPr>
          <w:lang w:val="en-GB"/>
        </w:rPr>
        <w:tab/>
      </w:r>
      <w:bookmarkStart w:id="174" w:name="_Toc139975459"/>
      <w:bookmarkStart w:id="175" w:name="_Toc139976220"/>
      <w:bookmarkStart w:id="176" w:name="_Toc139982232"/>
      <w:bookmarkStart w:id="177" w:name="_Toc139983944"/>
      <w:bookmarkStart w:id="178" w:name="_Toc139984188"/>
      <w:r w:rsidR="00CC73DD" w:rsidRPr="00361139">
        <w:rPr>
          <w:lang w:val="en-GB"/>
        </w:rPr>
        <w:t>The co-financing in SIP projects</w:t>
      </w:r>
      <w:bookmarkEnd w:id="171"/>
      <w:bookmarkEnd w:id="172"/>
      <w:bookmarkEnd w:id="173"/>
      <w:bookmarkEnd w:id="174"/>
      <w:bookmarkEnd w:id="175"/>
      <w:bookmarkEnd w:id="176"/>
      <w:bookmarkEnd w:id="177"/>
      <w:bookmarkEnd w:id="178"/>
    </w:p>
    <w:p w14:paraId="3E553A3D" w14:textId="77777777"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 xml:space="preserve">In-kind co-financing (usually in the form of staff salary and/or use of Government resources for the project implementation) is reported in 20 of the SIP projects funded in the period covered by this review. Its total amount is estimated at about 2.7 million USD (about 52% of the total SIP disbursement) in a range, when present, between about 5.000 and 200.000 USD per project, </w:t>
      </w:r>
      <w:proofErr w:type="gramStart"/>
      <w:r w:rsidRPr="00361139">
        <w:rPr>
          <w:rFonts w:asciiTheme="majorBidi" w:hAnsiTheme="majorBidi" w:cstheme="majorBidi"/>
        </w:rPr>
        <w:t>with the exception of</w:t>
      </w:r>
      <w:proofErr w:type="gramEnd"/>
      <w:r w:rsidRPr="00361139">
        <w:rPr>
          <w:rFonts w:asciiTheme="majorBidi" w:hAnsiTheme="majorBidi" w:cstheme="majorBidi"/>
        </w:rPr>
        <w:t xml:space="preserve"> one project where the in-kind co-financing was estimated at about 1.4 million USD</w:t>
      </w:r>
      <w:r w:rsidRPr="00361139">
        <w:rPr>
          <w:rStyle w:val="FootnoteReference"/>
          <w:rFonts w:asciiTheme="majorBidi" w:eastAsia="SimSun" w:hAnsiTheme="majorBidi" w:cstheme="majorBidi"/>
        </w:rPr>
        <w:footnoteReference w:id="33"/>
      </w:r>
      <w:r w:rsidRPr="00361139">
        <w:rPr>
          <w:rFonts w:asciiTheme="majorBidi" w:hAnsiTheme="majorBidi" w:cstheme="majorBidi"/>
        </w:rPr>
        <w:t xml:space="preserve">. </w:t>
      </w:r>
    </w:p>
    <w:p w14:paraId="66A81398" w14:textId="77777777"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In none of the SIP funded projects, resources are indicated as mobilized indirectly, by actions of the private sector and other stakeholders, other than those specified in the co-financing.</w:t>
      </w:r>
    </w:p>
    <w:p w14:paraId="59049B77" w14:textId="735A9BCC" w:rsidR="00CC73DD" w:rsidRPr="00361139" w:rsidRDefault="009D5362" w:rsidP="009D5362">
      <w:pPr>
        <w:pStyle w:val="CH2"/>
        <w:rPr>
          <w:lang w:val="en-GB"/>
        </w:rPr>
      </w:pPr>
      <w:bookmarkStart w:id="179" w:name="_Toc138845681"/>
      <w:bookmarkStart w:id="180" w:name="_Toc138845736"/>
      <w:bookmarkStart w:id="181" w:name="_Toc138847825"/>
      <w:r w:rsidRPr="00361139">
        <w:rPr>
          <w:lang w:val="en-GB"/>
        </w:rPr>
        <w:tab/>
      </w:r>
      <w:r w:rsidRPr="00361139">
        <w:rPr>
          <w:lang w:val="en-GB"/>
        </w:rPr>
        <w:tab/>
      </w:r>
      <w:bookmarkStart w:id="182" w:name="_Toc139975460"/>
      <w:bookmarkStart w:id="183" w:name="_Toc139976221"/>
      <w:bookmarkStart w:id="184" w:name="_Toc139982233"/>
      <w:bookmarkStart w:id="185" w:name="_Toc139983945"/>
      <w:bookmarkStart w:id="186" w:name="_Toc139984189"/>
      <w:r w:rsidR="00CC73DD" w:rsidRPr="00361139">
        <w:rPr>
          <w:lang w:val="en-GB"/>
        </w:rPr>
        <w:t>The geographical distribution of the funding</w:t>
      </w:r>
      <w:bookmarkEnd w:id="179"/>
      <w:bookmarkEnd w:id="180"/>
      <w:bookmarkEnd w:id="181"/>
      <w:bookmarkEnd w:id="182"/>
      <w:bookmarkEnd w:id="183"/>
      <w:bookmarkEnd w:id="184"/>
      <w:bookmarkEnd w:id="185"/>
      <w:bookmarkEnd w:id="186"/>
    </w:p>
    <w:p w14:paraId="20CCF7A1"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In addressing the necessary financial resources to the implementation of the Minamata Convention, Article 13 underlines, in its Para. 4,</w:t>
      </w:r>
      <w:r w:rsidRPr="00361139">
        <w:rPr>
          <w:rFonts w:asciiTheme="majorBidi" w:hAnsiTheme="majorBidi" w:cstheme="majorBidi"/>
          <w:i/>
        </w:rPr>
        <w:t xml:space="preserve"> the specific needs and special circumstances of Parties that are small island developing States or least developed countries</w:t>
      </w:r>
      <w:r w:rsidRPr="00361139">
        <w:rPr>
          <w:rFonts w:asciiTheme="majorBidi" w:hAnsiTheme="majorBidi" w:cstheme="majorBidi"/>
        </w:rPr>
        <w:t xml:space="preserve"> for which the Parties, in their actions </w:t>
      </w:r>
      <w:proofErr w:type="gramStart"/>
      <w:r w:rsidRPr="00361139">
        <w:rPr>
          <w:rFonts w:asciiTheme="majorBidi" w:hAnsiTheme="majorBidi" w:cstheme="majorBidi"/>
        </w:rPr>
        <w:t>with regard to</w:t>
      </w:r>
      <w:proofErr w:type="gramEnd"/>
      <w:r w:rsidRPr="00361139">
        <w:rPr>
          <w:rFonts w:asciiTheme="majorBidi" w:hAnsiTheme="majorBidi" w:cstheme="majorBidi"/>
        </w:rPr>
        <w:t xml:space="preserve"> funding, are requested to </w:t>
      </w:r>
      <w:r w:rsidRPr="00361139">
        <w:rPr>
          <w:rFonts w:asciiTheme="majorBidi" w:hAnsiTheme="majorBidi" w:cstheme="majorBidi"/>
          <w:i/>
        </w:rPr>
        <w:t>take full account</w:t>
      </w:r>
      <w:r w:rsidRPr="00361139">
        <w:rPr>
          <w:rFonts w:asciiTheme="majorBidi" w:hAnsiTheme="majorBidi" w:cstheme="majorBidi"/>
        </w:rPr>
        <w:t>.</w:t>
      </w:r>
    </w:p>
    <w:p w14:paraId="72449555" w14:textId="752922D6"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Of the 135 projects funded through the MC financial mechanism and active in the period under review: 43 projects involved </w:t>
      </w:r>
      <w:r w:rsidRPr="00361139">
        <w:rPr>
          <w:rFonts w:asciiTheme="majorBidi" w:hAnsiTheme="majorBidi" w:cstheme="majorBidi"/>
          <w:i/>
        </w:rPr>
        <w:t>Least Developed Countries (LDCs)</w:t>
      </w:r>
      <w:r w:rsidRPr="00361139">
        <w:rPr>
          <w:rFonts w:asciiTheme="majorBidi" w:hAnsiTheme="majorBidi" w:cstheme="majorBidi"/>
        </w:rPr>
        <w:t xml:space="preserve"> for a total funding from the MC financial mechanism of about 260 million USD</w:t>
      </w:r>
      <w:r w:rsidRPr="00361139">
        <w:rPr>
          <w:rStyle w:val="FootnoteReference"/>
          <w:rFonts w:asciiTheme="majorBidi" w:eastAsia="SimSun" w:hAnsiTheme="majorBidi" w:cstheme="majorBidi"/>
        </w:rPr>
        <w:footnoteReference w:id="34"/>
      </w:r>
      <w:r w:rsidRPr="00361139">
        <w:rPr>
          <w:rFonts w:asciiTheme="majorBidi" w:hAnsiTheme="majorBidi" w:cstheme="majorBidi"/>
        </w:rPr>
        <w:t xml:space="preserve"> (50% of the total projects funding); countries from the </w:t>
      </w:r>
      <w:r w:rsidRPr="00361139">
        <w:rPr>
          <w:rStyle w:val="wkr6u"/>
          <w:rFonts w:asciiTheme="majorBidi" w:eastAsia="SimSun" w:hAnsiTheme="majorBidi" w:cstheme="majorBidi"/>
          <w:i/>
        </w:rPr>
        <w:t>Small Island Developing States</w:t>
      </w:r>
      <w:r w:rsidRPr="00361139">
        <w:rPr>
          <w:rFonts w:asciiTheme="majorBidi" w:hAnsiTheme="majorBidi" w:cstheme="majorBidi"/>
          <w:i/>
        </w:rPr>
        <w:t xml:space="preserve"> (SIDS) </w:t>
      </w:r>
      <w:r w:rsidRPr="00361139">
        <w:rPr>
          <w:rFonts w:asciiTheme="majorBidi" w:hAnsiTheme="majorBidi" w:cstheme="majorBidi"/>
        </w:rPr>
        <w:t xml:space="preserve">group, were involved in 21 projects for a total funding of about 183 million USD (35% of the total projects funding); and members of the group of </w:t>
      </w:r>
      <w:r w:rsidRPr="00361139">
        <w:rPr>
          <w:rFonts w:asciiTheme="majorBidi" w:hAnsiTheme="majorBidi" w:cstheme="majorBidi"/>
          <w:i/>
        </w:rPr>
        <w:t xml:space="preserve">Countries with Economies in Transition (CETs) </w:t>
      </w:r>
      <w:r w:rsidRPr="00361139">
        <w:rPr>
          <w:rFonts w:asciiTheme="majorBidi" w:hAnsiTheme="majorBidi" w:cstheme="majorBidi"/>
        </w:rPr>
        <w:t>were involved in 10 projects for a total funding of about 53</w:t>
      </w:r>
      <w:r w:rsidR="00707D0F" w:rsidRPr="00361139">
        <w:rPr>
          <w:rFonts w:asciiTheme="majorBidi" w:hAnsiTheme="majorBidi" w:cstheme="majorBidi"/>
        </w:rPr>
        <w:t> </w:t>
      </w:r>
      <w:r w:rsidRPr="00361139">
        <w:rPr>
          <w:rFonts w:asciiTheme="majorBidi" w:hAnsiTheme="majorBidi" w:cstheme="majorBidi"/>
        </w:rPr>
        <w:t>million USD (10% of the total projects funding).</w:t>
      </w:r>
    </w:p>
    <w:p w14:paraId="4C21C06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Table 5 provides a breakdown of the projects involving LDC, SIDS and CET countries, in the period under review, and the related funding by the two entities comprising the MC financial mechanism and their cycles or rounds.</w:t>
      </w:r>
    </w:p>
    <w:p w14:paraId="45DF509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terms of regional distribution, of the 135 projects funded through the MC financial mechanism and active in the period under review, 58 projects involved countries from </w:t>
      </w:r>
      <w:r w:rsidRPr="00361139">
        <w:rPr>
          <w:rFonts w:asciiTheme="majorBidi" w:hAnsiTheme="majorBidi" w:cstheme="majorBidi"/>
          <w:i/>
        </w:rPr>
        <w:t>Africa</w:t>
      </w:r>
      <w:r w:rsidRPr="00361139">
        <w:rPr>
          <w:rFonts w:asciiTheme="majorBidi" w:hAnsiTheme="majorBidi" w:cstheme="majorBidi"/>
        </w:rPr>
        <w:t xml:space="preserve"> for a total funding of about 306 million USD (58% of the total projects funding); countries from </w:t>
      </w:r>
      <w:r w:rsidRPr="00361139">
        <w:rPr>
          <w:rFonts w:asciiTheme="majorBidi" w:hAnsiTheme="majorBidi" w:cstheme="majorBidi"/>
          <w:i/>
        </w:rPr>
        <w:t>Asia</w:t>
      </w:r>
      <w:r w:rsidRPr="00361139">
        <w:rPr>
          <w:rFonts w:asciiTheme="majorBidi" w:hAnsiTheme="majorBidi" w:cstheme="majorBidi"/>
        </w:rPr>
        <w:t xml:space="preserve"> were </w:t>
      </w:r>
      <w:r w:rsidRPr="00361139">
        <w:rPr>
          <w:rFonts w:asciiTheme="majorBidi" w:hAnsiTheme="majorBidi" w:cstheme="majorBidi"/>
        </w:rPr>
        <w:lastRenderedPageBreak/>
        <w:t xml:space="preserve">involved in 46 projects for a total amount of about 249 million USD (47% of the total projects funding); countries from </w:t>
      </w:r>
      <w:r w:rsidRPr="00361139">
        <w:rPr>
          <w:rFonts w:asciiTheme="majorBidi" w:hAnsiTheme="majorBidi" w:cstheme="majorBidi"/>
          <w:i/>
        </w:rPr>
        <w:t>Latin America and Caribbean (LAC)</w:t>
      </w:r>
      <w:r w:rsidRPr="00361139">
        <w:rPr>
          <w:rFonts w:asciiTheme="majorBidi" w:hAnsiTheme="majorBidi" w:cstheme="majorBidi"/>
        </w:rPr>
        <w:t xml:space="preserve"> were involved in 37 projects for a total amount of about 283 million USD (54% of the total projects funding); and countries from </w:t>
      </w:r>
      <w:r w:rsidRPr="00361139">
        <w:rPr>
          <w:rFonts w:asciiTheme="majorBidi" w:hAnsiTheme="majorBidi" w:cstheme="majorBidi"/>
          <w:i/>
        </w:rPr>
        <w:t>Central and Eastern Europe (CEE)</w:t>
      </w:r>
      <w:r w:rsidRPr="00361139">
        <w:rPr>
          <w:rFonts w:asciiTheme="majorBidi" w:hAnsiTheme="majorBidi" w:cstheme="majorBidi"/>
        </w:rPr>
        <w:t xml:space="preserve"> were involved in 3 projects for a total amount of about 51 million USD (10% of the total projects funding).</w:t>
      </w:r>
    </w:p>
    <w:p w14:paraId="23237F88" w14:textId="7036D789" w:rsidR="00CC73DD" w:rsidRPr="00361139" w:rsidRDefault="00CC73DD" w:rsidP="009D5362">
      <w:pPr>
        <w:pStyle w:val="Titletable"/>
        <w:rPr>
          <w:lang w:val="en-GB"/>
        </w:rPr>
      </w:pPr>
      <w:bookmarkStart w:id="187" w:name="_Toc139982234"/>
      <w:bookmarkStart w:id="188" w:name="_Toc139983946"/>
      <w:r w:rsidRPr="00361139">
        <w:rPr>
          <w:b w:val="0"/>
          <w:bCs w:val="0"/>
          <w:lang w:val="en-GB"/>
        </w:rPr>
        <w:t>Table 5</w:t>
      </w:r>
      <w:r w:rsidR="009D5362" w:rsidRPr="00361139">
        <w:rPr>
          <w:lang w:val="en-GB"/>
        </w:rPr>
        <w:t xml:space="preserve"> </w:t>
      </w:r>
      <w:r w:rsidR="009D5362" w:rsidRPr="00361139">
        <w:rPr>
          <w:lang w:val="en-GB"/>
        </w:rPr>
        <w:br/>
      </w:r>
      <w:r w:rsidRPr="00361139">
        <w:rPr>
          <w:lang w:val="en-GB"/>
        </w:rPr>
        <w:t>Number and total funding</w:t>
      </w:r>
      <w:r w:rsidRPr="00361139">
        <w:rPr>
          <w:vertAlign w:val="superscript"/>
          <w:lang w:val="en-GB"/>
        </w:rPr>
        <w:t>25</w:t>
      </w:r>
      <w:r w:rsidRPr="00361139">
        <w:rPr>
          <w:lang w:val="en-GB"/>
        </w:rPr>
        <w:t xml:space="preserve"> of active projects, in the period under review, involving Least Developed Countries (LDC), Small Island Developing States (SIDS) and Countries with Economies in Transition (CET), by the entities comprising the </w:t>
      </w:r>
      <w:r w:rsidRPr="00361139">
        <w:rPr>
          <w:i/>
          <w:lang w:val="en-GB"/>
        </w:rPr>
        <w:t>MC financial mechanism</w:t>
      </w:r>
      <w:r w:rsidRPr="00361139">
        <w:rPr>
          <w:lang w:val="en-GB"/>
        </w:rPr>
        <w:t xml:space="preserve"> and their related cycles or rounds</w:t>
      </w:r>
      <w:r w:rsidRPr="00361139">
        <w:rPr>
          <w:rStyle w:val="FootnoteReference"/>
          <w:rFonts w:asciiTheme="majorBidi" w:eastAsia="SimSun" w:hAnsiTheme="majorBidi" w:cstheme="majorBidi"/>
          <w:lang w:val="en-GB"/>
        </w:rPr>
        <w:footnoteReference w:id="35"/>
      </w:r>
      <w:r w:rsidRPr="00361139">
        <w:rPr>
          <w:lang w:val="en-GB"/>
        </w:rPr>
        <w:t>.</w:t>
      </w:r>
      <w:bookmarkEnd w:id="187"/>
      <w:bookmarkEnd w:id="188"/>
    </w:p>
    <w:tbl>
      <w:tblPr>
        <w:tblW w:w="50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6"/>
        <w:gridCol w:w="1200"/>
        <w:gridCol w:w="1164"/>
        <w:gridCol w:w="1452"/>
        <w:gridCol w:w="1021"/>
        <w:gridCol w:w="1452"/>
        <w:gridCol w:w="1020"/>
        <w:gridCol w:w="1319"/>
      </w:tblGrid>
      <w:tr w:rsidR="00CC73DD" w:rsidRPr="00361139" w14:paraId="2CA8C682" w14:textId="77777777" w:rsidTr="008144F7">
        <w:trPr>
          <w:cantSplit/>
          <w:jc w:val="center"/>
        </w:trPr>
        <w:tc>
          <w:tcPr>
            <w:tcW w:w="988" w:type="dxa"/>
            <w:vMerge w:val="restart"/>
            <w:tcBorders>
              <w:top w:val="single" w:sz="4" w:space="0" w:color="auto"/>
              <w:left w:val="single" w:sz="4" w:space="0" w:color="auto"/>
              <w:right w:val="single" w:sz="4" w:space="0" w:color="auto"/>
            </w:tcBorders>
            <w:shd w:val="clear" w:color="auto" w:fill="B6DDE8"/>
            <w:vAlign w:val="center"/>
          </w:tcPr>
          <w:p w14:paraId="23E0539C" w14:textId="77777777" w:rsidR="00CC73DD" w:rsidRPr="00361139" w:rsidRDefault="00CC73DD" w:rsidP="008144F7">
            <w:pPr>
              <w:ind w:left="28" w:right="28" w:hanging="28"/>
              <w:jc w:val="center"/>
              <w:rPr>
                <w:b/>
                <w:sz w:val="18"/>
                <w:szCs w:val="18"/>
              </w:rPr>
            </w:pPr>
            <w:r w:rsidRPr="00361139">
              <w:rPr>
                <w:b/>
                <w:sz w:val="18"/>
                <w:szCs w:val="18"/>
              </w:rPr>
              <w:t>FM Entities</w:t>
            </w:r>
          </w:p>
        </w:tc>
        <w:tc>
          <w:tcPr>
            <w:tcW w:w="1242" w:type="dxa"/>
            <w:vMerge w:val="restart"/>
            <w:tcBorders>
              <w:top w:val="single" w:sz="4" w:space="0" w:color="auto"/>
              <w:left w:val="single" w:sz="4" w:space="0" w:color="auto"/>
              <w:right w:val="single" w:sz="4" w:space="0" w:color="auto"/>
            </w:tcBorders>
            <w:shd w:val="clear" w:color="auto" w:fill="B6DDE8"/>
            <w:vAlign w:val="center"/>
          </w:tcPr>
          <w:p w14:paraId="6FF43AEC" w14:textId="77777777" w:rsidR="00CC73DD" w:rsidRPr="00361139" w:rsidRDefault="00CC73DD" w:rsidP="008144F7">
            <w:pPr>
              <w:ind w:left="28" w:right="28" w:hanging="28"/>
              <w:jc w:val="center"/>
              <w:rPr>
                <w:b/>
                <w:sz w:val="18"/>
                <w:szCs w:val="18"/>
              </w:rPr>
            </w:pPr>
            <w:r w:rsidRPr="00361139">
              <w:rPr>
                <w:b/>
                <w:sz w:val="18"/>
                <w:szCs w:val="18"/>
              </w:rPr>
              <w:t>Cycles / Rounds</w:t>
            </w:r>
          </w:p>
        </w:tc>
        <w:tc>
          <w:tcPr>
            <w:tcW w:w="2710" w:type="dxa"/>
            <w:gridSpan w:val="2"/>
            <w:tcBorders>
              <w:top w:val="single" w:sz="4" w:space="0" w:color="auto"/>
              <w:left w:val="single" w:sz="4" w:space="0" w:color="auto"/>
              <w:bottom w:val="nil"/>
              <w:right w:val="single" w:sz="4" w:space="0" w:color="auto"/>
            </w:tcBorders>
            <w:shd w:val="clear" w:color="auto" w:fill="B6DDE8"/>
            <w:vAlign w:val="center"/>
          </w:tcPr>
          <w:p w14:paraId="078552DE" w14:textId="11EC754B" w:rsidR="00CC73DD" w:rsidRPr="00361139" w:rsidRDefault="00CC73DD" w:rsidP="008144F7">
            <w:pPr>
              <w:spacing w:after="60"/>
              <w:ind w:hanging="28"/>
              <w:jc w:val="center"/>
              <w:rPr>
                <w:b/>
                <w:sz w:val="18"/>
                <w:szCs w:val="18"/>
              </w:rPr>
            </w:pPr>
            <w:r w:rsidRPr="00361139">
              <w:rPr>
                <w:b/>
                <w:sz w:val="18"/>
                <w:szCs w:val="18"/>
              </w:rPr>
              <w:t>Projects involving</w:t>
            </w:r>
            <w:r w:rsidR="00924FF6" w:rsidRPr="00361139">
              <w:rPr>
                <w:b/>
                <w:sz w:val="18"/>
                <w:szCs w:val="18"/>
              </w:rPr>
              <w:t xml:space="preserve"> </w:t>
            </w:r>
            <w:r w:rsidRPr="00361139">
              <w:rPr>
                <w:b/>
                <w:sz w:val="18"/>
                <w:szCs w:val="18"/>
              </w:rPr>
              <w:br/>
              <w:t>LDC countries</w:t>
            </w:r>
          </w:p>
        </w:tc>
        <w:tc>
          <w:tcPr>
            <w:tcW w:w="2560" w:type="dxa"/>
            <w:gridSpan w:val="2"/>
            <w:tcBorders>
              <w:top w:val="single" w:sz="4" w:space="0" w:color="auto"/>
              <w:left w:val="single" w:sz="4" w:space="0" w:color="auto"/>
              <w:bottom w:val="nil"/>
              <w:right w:val="single" w:sz="4" w:space="0" w:color="auto"/>
            </w:tcBorders>
            <w:shd w:val="clear" w:color="auto" w:fill="B6DDE8"/>
            <w:vAlign w:val="center"/>
          </w:tcPr>
          <w:p w14:paraId="20C8CE1D" w14:textId="328D2EBF" w:rsidR="00CC73DD" w:rsidRPr="00361139" w:rsidRDefault="00CC73DD" w:rsidP="008144F7">
            <w:pPr>
              <w:spacing w:after="60"/>
              <w:ind w:hanging="28"/>
              <w:jc w:val="center"/>
              <w:rPr>
                <w:b/>
                <w:sz w:val="18"/>
                <w:szCs w:val="18"/>
              </w:rPr>
            </w:pPr>
            <w:r w:rsidRPr="00361139">
              <w:rPr>
                <w:b/>
                <w:sz w:val="18"/>
                <w:szCs w:val="18"/>
              </w:rPr>
              <w:t>Projects involving</w:t>
            </w:r>
            <w:r w:rsidR="00924FF6" w:rsidRPr="00361139">
              <w:rPr>
                <w:b/>
                <w:sz w:val="18"/>
                <w:szCs w:val="18"/>
              </w:rPr>
              <w:t xml:space="preserve"> </w:t>
            </w:r>
            <w:r w:rsidRPr="00361139">
              <w:rPr>
                <w:b/>
                <w:sz w:val="18"/>
                <w:szCs w:val="18"/>
              </w:rPr>
              <w:br/>
              <w:t>SIDS countries</w:t>
            </w:r>
          </w:p>
        </w:tc>
        <w:tc>
          <w:tcPr>
            <w:tcW w:w="2420" w:type="dxa"/>
            <w:gridSpan w:val="2"/>
            <w:tcBorders>
              <w:top w:val="single" w:sz="4" w:space="0" w:color="auto"/>
              <w:left w:val="single" w:sz="4" w:space="0" w:color="auto"/>
              <w:bottom w:val="nil"/>
              <w:right w:val="single" w:sz="4" w:space="0" w:color="000000"/>
            </w:tcBorders>
            <w:shd w:val="clear" w:color="auto" w:fill="B6DDE8"/>
            <w:vAlign w:val="center"/>
          </w:tcPr>
          <w:p w14:paraId="5298029B" w14:textId="49E9B9CC" w:rsidR="00CC73DD" w:rsidRPr="00361139" w:rsidRDefault="00CC73DD" w:rsidP="008144F7">
            <w:pPr>
              <w:spacing w:after="60"/>
              <w:ind w:hanging="28"/>
              <w:jc w:val="center"/>
              <w:rPr>
                <w:b/>
                <w:sz w:val="18"/>
                <w:szCs w:val="18"/>
              </w:rPr>
            </w:pPr>
            <w:r w:rsidRPr="00361139">
              <w:rPr>
                <w:b/>
                <w:sz w:val="18"/>
                <w:szCs w:val="18"/>
              </w:rPr>
              <w:t>Projects involving</w:t>
            </w:r>
            <w:r w:rsidR="00924FF6" w:rsidRPr="00361139">
              <w:rPr>
                <w:b/>
                <w:sz w:val="18"/>
                <w:szCs w:val="18"/>
              </w:rPr>
              <w:t xml:space="preserve"> </w:t>
            </w:r>
            <w:r w:rsidRPr="00361139">
              <w:rPr>
                <w:b/>
                <w:sz w:val="18"/>
                <w:szCs w:val="18"/>
              </w:rPr>
              <w:br/>
              <w:t>CET countries</w:t>
            </w:r>
          </w:p>
        </w:tc>
      </w:tr>
      <w:tr w:rsidR="00CC73DD" w:rsidRPr="00361139" w14:paraId="6220EC1B" w14:textId="77777777" w:rsidTr="008144F7">
        <w:trPr>
          <w:cantSplit/>
          <w:jc w:val="center"/>
        </w:trPr>
        <w:tc>
          <w:tcPr>
            <w:tcW w:w="988" w:type="dxa"/>
            <w:vMerge/>
            <w:tcBorders>
              <w:left w:val="single" w:sz="4" w:space="0" w:color="auto"/>
              <w:bottom w:val="single" w:sz="4" w:space="0" w:color="000000"/>
              <w:right w:val="single" w:sz="4" w:space="0" w:color="auto"/>
            </w:tcBorders>
            <w:shd w:val="clear" w:color="auto" w:fill="B6DDE8"/>
            <w:vAlign w:val="center"/>
          </w:tcPr>
          <w:p w14:paraId="61D426AB" w14:textId="77777777" w:rsidR="00CC73DD" w:rsidRPr="00361139" w:rsidRDefault="00CC73DD" w:rsidP="008144F7">
            <w:pPr>
              <w:ind w:left="28" w:right="28" w:hanging="28"/>
              <w:jc w:val="center"/>
              <w:rPr>
                <w:b/>
                <w:sz w:val="18"/>
                <w:szCs w:val="18"/>
              </w:rPr>
            </w:pPr>
          </w:p>
        </w:tc>
        <w:tc>
          <w:tcPr>
            <w:tcW w:w="1242" w:type="dxa"/>
            <w:vMerge/>
            <w:tcBorders>
              <w:left w:val="single" w:sz="4" w:space="0" w:color="auto"/>
              <w:bottom w:val="single" w:sz="4" w:space="0" w:color="000000"/>
              <w:right w:val="single" w:sz="4" w:space="0" w:color="auto"/>
            </w:tcBorders>
            <w:shd w:val="clear" w:color="auto" w:fill="B6DDE8"/>
            <w:vAlign w:val="center"/>
          </w:tcPr>
          <w:p w14:paraId="22DC45DD" w14:textId="77777777" w:rsidR="00CC73DD" w:rsidRPr="00361139" w:rsidRDefault="00CC73DD" w:rsidP="008144F7">
            <w:pPr>
              <w:ind w:left="28" w:right="28" w:hanging="28"/>
              <w:jc w:val="center"/>
              <w:rPr>
                <w:b/>
                <w:sz w:val="18"/>
                <w:szCs w:val="18"/>
              </w:rPr>
            </w:pPr>
          </w:p>
        </w:tc>
        <w:tc>
          <w:tcPr>
            <w:tcW w:w="1205" w:type="dxa"/>
            <w:tcBorders>
              <w:top w:val="nil"/>
              <w:left w:val="single" w:sz="4" w:space="0" w:color="auto"/>
              <w:bottom w:val="single" w:sz="4" w:space="0" w:color="000000"/>
              <w:right w:val="nil"/>
            </w:tcBorders>
            <w:shd w:val="clear" w:color="auto" w:fill="B6DDE8"/>
            <w:vAlign w:val="center"/>
          </w:tcPr>
          <w:p w14:paraId="7770FDA8" w14:textId="77777777" w:rsidR="00CC73DD" w:rsidRPr="00361139" w:rsidRDefault="00CC73DD" w:rsidP="008144F7">
            <w:pPr>
              <w:ind w:left="28" w:right="28" w:hanging="28"/>
              <w:jc w:val="center"/>
              <w:rPr>
                <w:i/>
                <w:sz w:val="18"/>
                <w:szCs w:val="18"/>
              </w:rPr>
            </w:pPr>
            <w:r w:rsidRPr="00361139">
              <w:rPr>
                <w:i/>
                <w:sz w:val="18"/>
                <w:szCs w:val="18"/>
              </w:rPr>
              <w:t>No.</w:t>
            </w:r>
          </w:p>
        </w:tc>
        <w:tc>
          <w:tcPr>
            <w:tcW w:w="1505" w:type="dxa"/>
            <w:tcBorders>
              <w:top w:val="nil"/>
              <w:left w:val="nil"/>
              <w:bottom w:val="single" w:sz="4" w:space="0" w:color="000000"/>
              <w:right w:val="single" w:sz="4" w:space="0" w:color="auto"/>
            </w:tcBorders>
            <w:shd w:val="clear" w:color="auto" w:fill="B6DDE8"/>
            <w:vAlign w:val="center"/>
          </w:tcPr>
          <w:p w14:paraId="44C01615" w14:textId="77777777" w:rsidR="00CC73DD" w:rsidRPr="00361139" w:rsidRDefault="00CC73DD" w:rsidP="008144F7">
            <w:pPr>
              <w:spacing w:after="60"/>
              <w:ind w:hanging="28"/>
              <w:jc w:val="center"/>
              <w:rPr>
                <w:b/>
                <w:sz w:val="18"/>
                <w:szCs w:val="18"/>
              </w:rPr>
            </w:pPr>
            <w:r w:rsidRPr="00361139">
              <w:rPr>
                <w:i/>
                <w:sz w:val="18"/>
                <w:szCs w:val="18"/>
              </w:rPr>
              <w:t>Funding (USD)</w:t>
            </w:r>
          </w:p>
        </w:tc>
        <w:tc>
          <w:tcPr>
            <w:tcW w:w="1055" w:type="dxa"/>
            <w:tcBorders>
              <w:top w:val="nil"/>
              <w:left w:val="single" w:sz="4" w:space="0" w:color="auto"/>
              <w:bottom w:val="single" w:sz="4" w:space="0" w:color="000000"/>
              <w:right w:val="nil"/>
            </w:tcBorders>
            <w:shd w:val="clear" w:color="auto" w:fill="B6DDE8"/>
            <w:vAlign w:val="center"/>
          </w:tcPr>
          <w:p w14:paraId="181C0DCE" w14:textId="77777777" w:rsidR="00CC73DD" w:rsidRPr="00361139" w:rsidRDefault="00CC73DD" w:rsidP="008144F7">
            <w:pPr>
              <w:spacing w:after="60"/>
              <w:ind w:hanging="28"/>
              <w:jc w:val="center"/>
              <w:rPr>
                <w:b/>
                <w:sz w:val="18"/>
                <w:szCs w:val="18"/>
              </w:rPr>
            </w:pPr>
            <w:r w:rsidRPr="00361139">
              <w:rPr>
                <w:i/>
                <w:sz w:val="18"/>
                <w:szCs w:val="18"/>
              </w:rPr>
              <w:t>No.</w:t>
            </w:r>
          </w:p>
        </w:tc>
        <w:tc>
          <w:tcPr>
            <w:tcW w:w="1505" w:type="dxa"/>
            <w:tcBorders>
              <w:top w:val="nil"/>
              <w:left w:val="nil"/>
              <w:bottom w:val="single" w:sz="4" w:space="0" w:color="000000"/>
              <w:right w:val="single" w:sz="4" w:space="0" w:color="auto"/>
            </w:tcBorders>
            <w:shd w:val="clear" w:color="auto" w:fill="B6DDE8"/>
            <w:vAlign w:val="center"/>
          </w:tcPr>
          <w:p w14:paraId="074A5A14" w14:textId="77777777" w:rsidR="00CC73DD" w:rsidRPr="00361139" w:rsidRDefault="00CC73DD" w:rsidP="008144F7">
            <w:pPr>
              <w:spacing w:after="60"/>
              <w:ind w:hanging="28"/>
              <w:jc w:val="center"/>
              <w:rPr>
                <w:b/>
                <w:sz w:val="18"/>
                <w:szCs w:val="18"/>
              </w:rPr>
            </w:pPr>
            <w:r w:rsidRPr="00361139">
              <w:rPr>
                <w:i/>
                <w:sz w:val="18"/>
                <w:szCs w:val="18"/>
              </w:rPr>
              <w:t>Funding (USD)</w:t>
            </w:r>
          </w:p>
        </w:tc>
        <w:tc>
          <w:tcPr>
            <w:tcW w:w="1054" w:type="dxa"/>
            <w:tcBorders>
              <w:top w:val="nil"/>
              <w:left w:val="single" w:sz="4" w:space="0" w:color="auto"/>
              <w:bottom w:val="single" w:sz="4" w:space="0" w:color="000000"/>
              <w:right w:val="nil"/>
            </w:tcBorders>
            <w:shd w:val="clear" w:color="auto" w:fill="B6DDE8"/>
            <w:vAlign w:val="center"/>
          </w:tcPr>
          <w:p w14:paraId="4A6E5442" w14:textId="77777777" w:rsidR="00CC73DD" w:rsidRPr="00361139" w:rsidRDefault="00CC73DD" w:rsidP="008144F7">
            <w:pPr>
              <w:spacing w:after="60"/>
              <w:ind w:hanging="28"/>
              <w:jc w:val="center"/>
              <w:rPr>
                <w:b/>
                <w:sz w:val="18"/>
                <w:szCs w:val="18"/>
              </w:rPr>
            </w:pPr>
            <w:r w:rsidRPr="00361139">
              <w:rPr>
                <w:i/>
                <w:sz w:val="18"/>
                <w:szCs w:val="18"/>
              </w:rPr>
              <w:t>No.</w:t>
            </w:r>
          </w:p>
        </w:tc>
        <w:tc>
          <w:tcPr>
            <w:tcW w:w="1366" w:type="dxa"/>
            <w:tcBorders>
              <w:top w:val="nil"/>
              <w:left w:val="nil"/>
              <w:bottom w:val="single" w:sz="4" w:space="0" w:color="000000"/>
              <w:right w:val="single" w:sz="4" w:space="0" w:color="000000"/>
            </w:tcBorders>
            <w:shd w:val="clear" w:color="auto" w:fill="B6DDE8"/>
            <w:vAlign w:val="center"/>
          </w:tcPr>
          <w:p w14:paraId="05A33B27" w14:textId="77777777" w:rsidR="00CC73DD" w:rsidRPr="00361139" w:rsidRDefault="00CC73DD" w:rsidP="008144F7">
            <w:pPr>
              <w:spacing w:after="60"/>
              <w:ind w:hanging="28"/>
              <w:jc w:val="center"/>
              <w:rPr>
                <w:b/>
                <w:sz w:val="18"/>
                <w:szCs w:val="18"/>
              </w:rPr>
            </w:pPr>
            <w:r w:rsidRPr="00361139">
              <w:rPr>
                <w:i/>
                <w:sz w:val="18"/>
                <w:szCs w:val="18"/>
              </w:rPr>
              <w:t>Funding (USD)</w:t>
            </w:r>
          </w:p>
        </w:tc>
      </w:tr>
      <w:tr w:rsidR="00CC73DD" w:rsidRPr="00361139" w14:paraId="7E567AD3" w14:textId="77777777" w:rsidTr="008144F7">
        <w:trPr>
          <w:cantSplit/>
          <w:trHeight w:hRule="exact" w:val="57"/>
          <w:jc w:val="center"/>
        </w:trPr>
        <w:tc>
          <w:tcPr>
            <w:tcW w:w="988" w:type="dxa"/>
            <w:tcBorders>
              <w:top w:val="single" w:sz="4" w:space="0" w:color="000000"/>
              <w:left w:val="nil"/>
              <w:right w:val="nil"/>
            </w:tcBorders>
            <w:vAlign w:val="center"/>
          </w:tcPr>
          <w:p w14:paraId="240EB6B4" w14:textId="77777777" w:rsidR="00CC73DD" w:rsidRPr="00361139" w:rsidRDefault="00CC73DD" w:rsidP="008144F7">
            <w:pPr>
              <w:ind w:right="-81" w:hanging="28"/>
              <w:jc w:val="center"/>
              <w:rPr>
                <w:i/>
                <w:sz w:val="18"/>
                <w:szCs w:val="18"/>
              </w:rPr>
            </w:pPr>
          </w:p>
        </w:tc>
        <w:tc>
          <w:tcPr>
            <w:tcW w:w="1242" w:type="dxa"/>
            <w:tcBorders>
              <w:top w:val="single" w:sz="4" w:space="0" w:color="000000"/>
              <w:left w:val="nil"/>
              <w:right w:val="nil"/>
            </w:tcBorders>
            <w:vAlign w:val="center"/>
          </w:tcPr>
          <w:p w14:paraId="6383EAA2" w14:textId="77777777" w:rsidR="00CC73DD" w:rsidRPr="00361139" w:rsidRDefault="00CC73DD" w:rsidP="008144F7">
            <w:pPr>
              <w:ind w:right="-81" w:hanging="28"/>
              <w:jc w:val="center"/>
              <w:rPr>
                <w:i/>
                <w:sz w:val="18"/>
                <w:szCs w:val="18"/>
              </w:rPr>
            </w:pPr>
          </w:p>
        </w:tc>
        <w:tc>
          <w:tcPr>
            <w:tcW w:w="1205" w:type="dxa"/>
            <w:tcBorders>
              <w:top w:val="single" w:sz="4" w:space="0" w:color="000000"/>
              <w:left w:val="nil"/>
              <w:right w:val="nil"/>
            </w:tcBorders>
            <w:vAlign w:val="center"/>
          </w:tcPr>
          <w:p w14:paraId="56CD417C" w14:textId="77777777" w:rsidR="00CC73DD" w:rsidRPr="00361139" w:rsidRDefault="00CC73DD" w:rsidP="008144F7">
            <w:pPr>
              <w:ind w:right="-81" w:hanging="28"/>
              <w:jc w:val="center"/>
              <w:rPr>
                <w:i/>
                <w:sz w:val="18"/>
                <w:szCs w:val="18"/>
              </w:rPr>
            </w:pPr>
          </w:p>
        </w:tc>
        <w:tc>
          <w:tcPr>
            <w:tcW w:w="1505" w:type="dxa"/>
            <w:tcBorders>
              <w:top w:val="single" w:sz="4" w:space="0" w:color="000000"/>
              <w:left w:val="nil"/>
              <w:right w:val="nil"/>
            </w:tcBorders>
            <w:vAlign w:val="center"/>
          </w:tcPr>
          <w:p w14:paraId="1B561CD2" w14:textId="77777777" w:rsidR="00CC73DD" w:rsidRPr="00361139" w:rsidRDefault="00CC73DD" w:rsidP="008144F7">
            <w:pPr>
              <w:ind w:right="-81" w:hanging="28"/>
              <w:jc w:val="center"/>
              <w:rPr>
                <w:i/>
                <w:sz w:val="18"/>
                <w:szCs w:val="18"/>
              </w:rPr>
            </w:pPr>
          </w:p>
        </w:tc>
        <w:tc>
          <w:tcPr>
            <w:tcW w:w="1055" w:type="dxa"/>
            <w:tcBorders>
              <w:top w:val="single" w:sz="4" w:space="0" w:color="000000"/>
              <w:left w:val="nil"/>
              <w:right w:val="nil"/>
            </w:tcBorders>
            <w:vAlign w:val="center"/>
          </w:tcPr>
          <w:p w14:paraId="519C77E9" w14:textId="77777777" w:rsidR="00CC73DD" w:rsidRPr="00361139" w:rsidRDefault="00CC73DD" w:rsidP="008144F7">
            <w:pPr>
              <w:ind w:right="-81" w:hanging="28"/>
              <w:jc w:val="center"/>
              <w:rPr>
                <w:i/>
                <w:sz w:val="18"/>
                <w:szCs w:val="18"/>
              </w:rPr>
            </w:pPr>
          </w:p>
        </w:tc>
        <w:tc>
          <w:tcPr>
            <w:tcW w:w="1505" w:type="dxa"/>
            <w:tcBorders>
              <w:top w:val="single" w:sz="4" w:space="0" w:color="000000"/>
              <w:left w:val="nil"/>
              <w:right w:val="nil"/>
            </w:tcBorders>
            <w:vAlign w:val="center"/>
          </w:tcPr>
          <w:p w14:paraId="7AB0F464" w14:textId="77777777" w:rsidR="00CC73DD" w:rsidRPr="00361139" w:rsidRDefault="00CC73DD" w:rsidP="008144F7">
            <w:pPr>
              <w:ind w:right="-81" w:hanging="28"/>
              <w:jc w:val="center"/>
              <w:rPr>
                <w:i/>
                <w:sz w:val="18"/>
                <w:szCs w:val="18"/>
              </w:rPr>
            </w:pPr>
          </w:p>
        </w:tc>
        <w:tc>
          <w:tcPr>
            <w:tcW w:w="1054" w:type="dxa"/>
            <w:tcBorders>
              <w:top w:val="single" w:sz="4" w:space="0" w:color="000000"/>
              <w:left w:val="nil"/>
              <w:right w:val="nil"/>
            </w:tcBorders>
            <w:vAlign w:val="center"/>
          </w:tcPr>
          <w:p w14:paraId="719C9CDB" w14:textId="77777777" w:rsidR="00CC73DD" w:rsidRPr="00361139" w:rsidRDefault="00CC73DD" w:rsidP="008144F7">
            <w:pPr>
              <w:ind w:right="-81" w:hanging="28"/>
              <w:jc w:val="center"/>
              <w:rPr>
                <w:i/>
                <w:sz w:val="18"/>
                <w:szCs w:val="18"/>
              </w:rPr>
            </w:pPr>
          </w:p>
        </w:tc>
        <w:tc>
          <w:tcPr>
            <w:tcW w:w="1366" w:type="dxa"/>
            <w:tcBorders>
              <w:top w:val="single" w:sz="4" w:space="0" w:color="000000"/>
              <w:left w:val="nil"/>
              <w:right w:val="single" w:sz="4" w:space="0" w:color="000000"/>
            </w:tcBorders>
            <w:vAlign w:val="center"/>
          </w:tcPr>
          <w:p w14:paraId="203A7991" w14:textId="77777777" w:rsidR="00CC73DD" w:rsidRPr="00361139" w:rsidRDefault="00CC73DD" w:rsidP="008144F7">
            <w:pPr>
              <w:ind w:right="-81" w:hanging="28"/>
              <w:jc w:val="center"/>
              <w:rPr>
                <w:i/>
                <w:sz w:val="18"/>
                <w:szCs w:val="18"/>
              </w:rPr>
            </w:pPr>
          </w:p>
        </w:tc>
      </w:tr>
      <w:tr w:rsidR="00CC73DD" w:rsidRPr="00361139" w14:paraId="3FCF10B0" w14:textId="77777777" w:rsidTr="008144F7">
        <w:trPr>
          <w:cantSplit/>
          <w:jc w:val="center"/>
        </w:trPr>
        <w:tc>
          <w:tcPr>
            <w:tcW w:w="988" w:type="dxa"/>
            <w:vMerge w:val="restart"/>
            <w:tcBorders>
              <w:top w:val="single" w:sz="4" w:space="0" w:color="auto"/>
            </w:tcBorders>
            <w:vAlign w:val="center"/>
          </w:tcPr>
          <w:p w14:paraId="56B2F7F9" w14:textId="77777777" w:rsidR="00CC73DD" w:rsidRPr="00361139" w:rsidRDefault="00CC73DD" w:rsidP="008144F7">
            <w:pPr>
              <w:ind w:right="-81" w:hanging="28"/>
              <w:jc w:val="center"/>
              <w:rPr>
                <w:sz w:val="18"/>
                <w:szCs w:val="18"/>
              </w:rPr>
            </w:pPr>
            <w:r w:rsidRPr="00361139">
              <w:rPr>
                <w:sz w:val="18"/>
                <w:szCs w:val="18"/>
              </w:rPr>
              <w:t>GEF</w:t>
            </w:r>
          </w:p>
        </w:tc>
        <w:tc>
          <w:tcPr>
            <w:tcW w:w="1242" w:type="dxa"/>
            <w:tcBorders>
              <w:top w:val="single" w:sz="4" w:space="0" w:color="auto"/>
            </w:tcBorders>
            <w:vAlign w:val="center"/>
          </w:tcPr>
          <w:p w14:paraId="2ADFE719" w14:textId="1F84E93D" w:rsidR="00CC73DD" w:rsidRPr="00361139" w:rsidRDefault="00CC73DD" w:rsidP="008144F7">
            <w:pPr>
              <w:ind w:right="-81" w:hanging="28"/>
              <w:jc w:val="center"/>
              <w:rPr>
                <w:sz w:val="18"/>
                <w:szCs w:val="18"/>
              </w:rPr>
            </w:pPr>
            <w:r w:rsidRPr="00361139">
              <w:rPr>
                <w:sz w:val="18"/>
                <w:szCs w:val="18"/>
              </w:rPr>
              <w:t>GEF-6</w:t>
            </w:r>
            <w:r w:rsidR="00C80B46" w:rsidRPr="00361139">
              <w:rPr>
                <w:sz w:val="18"/>
                <w:szCs w:val="18"/>
              </w:rPr>
              <w:t xml:space="preserve"> </w:t>
            </w:r>
            <w:r w:rsidRPr="00361139">
              <w:rPr>
                <w:sz w:val="18"/>
                <w:szCs w:val="18"/>
              </w:rPr>
              <w:br/>
              <w:t>(2014-2018)</w:t>
            </w:r>
          </w:p>
        </w:tc>
        <w:tc>
          <w:tcPr>
            <w:tcW w:w="1205" w:type="dxa"/>
            <w:tcBorders>
              <w:top w:val="single" w:sz="4" w:space="0" w:color="auto"/>
            </w:tcBorders>
            <w:vAlign w:val="center"/>
          </w:tcPr>
          <w:p w14:paraId="6AB1632D" w14:textId="77777777" w:rsidR="00CC73DD" w:rsidRPr="00361139" w:rsidRDefault="00CC73DD" w:rsidP="008144F7">
            <w:pPr>
              <w:ind w:hanging="28"/>
              <w:jc w:val="center"/>
              <w:rPr>
                <w:sz w:val="18"/>
                <w:szCs w:val="18"/>
              </w:rPr>
            </w:pPr>
            <w:r w:rsidRPr="00361139">
              <w:rPr>
                <w:sz w:val="18"/>
                <w:szCs w:val="18"/>
              </w:rPr>
              <w:t>21</w:t>
            </w:r>
          </w:p>
        </w:tc>
        <w:tc>
          <w:tcPr>
            <w:tcW w:w="1505" w:type="dxa"/>
            <w:tcBorders>
              <w:top w:val="single" w:sz="4" w:space="0" w:color="auto"/>
            </w:tcBorders>
            <w:vAlign w:val="center"/>
          </w:tcPr>
          <w:p w14:paraId="32369EEC" w14:textId="77777777" w:rsidR="00CC73DD" w:rsidRPr="00361139" w:rsidRDefault="00CC73DD" w:rsidP="008144F7">
            <w:pPr>
              <w:ind w:hanging="28"/>
              <w:jc w:val="right"/>
              <w:rPr>
                <w:sz w:val="18"/>
                <w:szCs w:val="18"/>
              </w:rPr>
            </w:pPr>
            <w:r w:rsidRPr="00361139">
              <w:rPr>
                <w:bCs/>
                <w:sz w:val="18"/>
                <w:szCs w:val="18"/>
              </w:rPr>
              <w:t>35.869.000</w:t>
            </w:r>
          </w:p>
        </w:tc>
        <w:tc>
          <w:tcPr>
            <w:tcW w:w="1055" w:type="dxa"/>
            <w:tcBorders>
              <w:top w:val="single" w:sz="4" w:space="0" w:color="auto"/>
            </w:tcBorders>
            <w:vAlign w:val="center"/>
          </w:tcPr>
          <w:p w14:paraId="747B9AF3" w14:textId="77777777" w:rsidR="00CC73DD" w:rsidRPr="00361139" w:rsidRDefault="00CC73DD" w:rsidP="008144F7">
            <w:pPr>
              <w:ind w:hanging="28"/>
              <w:jc w:val="center"/>
              <w:rPr>
                <w:sz w:val="18"/>
                <w:szCs w:val="18"/>
              </w:rPr>
            </w:pPr>
            <w:r w:rsidRPr="00361139">
              <w:rPr>
                <w:sz w:val="18"/>
                <w:szCs w:val="18"/>
              </w:rPr>
              <w:t>12</w:t>
            </w:r>
          </w:p>
        </w:tc>
        <w:tc>
          <w:tcPr>
            <w:tcW w:w="1505" w:type="dxa"/>
            <w:tcBorders>
              <w:top w:val="single" w:sz="4" w:space="0" w:color="auto"/>
            </w:tcBorders>
            <w:vAlign w:val="center"/>
          </w:tcPr>
          <w:p w14:paraId="44F4469A" w14:textId="77777777" w:rsidR="00CC73DD" w:rsidRPr="00361139" w:rsidRDefault="00CC73DD" w:rsidP="008144F7">
            <w:pPr>
              <w:ind w:hanging="28"/>
              <w:jc w:val="right"/>
              <w:rPr>
                <w:sz w:val="18"/>
                <w:szCs w:val="18"/>
              </w:rPr>
            </w:pPr>
            <w:r w:rsidRPr="00361139">
              <w:rPr>
                <w:bCs/>
                <w:sz w:val="18"/>
                <w:szCs w:val="18"/>
              </w:rPr>
              <w:t>16.126.375</w:t>
            </w:r>
          </w:p>
        </w:tc>
        <w:tc>
          <w:tcPr>
            <w:tcW w:w="1054" w:type="dxa"/>
            <w:tcBorders>
              <w:top w:val="single" w:sz="4" w:space="0" w:color="auto"/>
            </w:tcBorders>
            <w:vAlign w:val="center"/>
          </w:tcPr>
          <w:p w14:paraId="6A455231" w14:textId="77777777" w:rsidR="00CC73DD" w:rsidRPr="00361139" w:rsidRDefault="00CC73DD" w:rsidP="008144F7">
            <w:pPr>
              <w:ind w:hanging="28"/>
              <w:jc w:val="center"/>
              <w:rPr>
                <w:sz w:val="18"/>
                <w:szCs w:val="18"/>
              </w:rPr>
            </w:pPr>
            <w:r w:rsidRPr="00361139">
              <w:rPr>
                <w:sz w:val="18"/>
                <w:szCs w:val="18"/>
              </w:rPr>
              <w:t>5</w:t>
            </w:r>
          </w:p>
        </w:tc>
        <w:tc>
          <w:tcPr>
            <w:tcW w:w="1366" w:type="dxa"/>
            <w:tcBorders>
              <w:top w:val="single" w:sz="4" w:space="0" w:color="auto"/>
              <w:right w:val="single" w:sz="4" w:space="0" w:color="000000"/>
            </w:tcBorders>
            <w:vAlign w:val="center"/>
          </w:tcPr>
          <w:p w14:paraId="006F1040" w14:textId="77777777" w:rsidR="00CC73DD" w:rsidRPr="00361139" w:rsidRDefault="00CC73DD" w:rsidP="008144F7">
            <w:pPr>
              <w:ind w:hanging="28"/>
              <w:jc w:val="right"/>
              <w:rPr>
                <w:bCs/>
                <w:sz w:val="18"/>
                <w:szCs w:val="18"/>
              </w:rPr>
            </w:pPr>
            <w:r w:rsidRPr="00361139">
              <w:rPr>
                <w:bCs/>
                <w:sz w:val="18"/>
                <w:szCs w:val="18"/>
              </w:rPr>
              <w:t>29.150.500</w:t>
            </w:r>
          </w:p>
        </w:tc>
      </w:tr>
      <w:tr w:rsidR="00CC73DD" w:rsidRPr="00361139" w14:paraId="00EC2308" w14:textId="77777777" w:rsidTr="008144F7">
        <w:trPr>
          <w:cantSplit/>
          <w:jc w:val="center"/>
        </w:trPr>
        <w:tc>
          <w:tcPr>
            <w:tcW w:w="988" w:type="dxa"/>
            <w:vMerge/>
            <w:tcBorders>
              <w:bottom w:val="single" w:sz="4" w:space="0" w:color="000000"/>
            </w:tcBorders>
            <w:vAlign w:val="center"/>
          </w:tcPr>
          <w:p w14:paraId="05BFF494" w14:textId="77777777" w:rsidR="00CC73DD" w:rsidRPr="00361139" w:rsidRDefault="00CC73DD" w:rsidP="008144F7">
            <w:pPr>
              <w:ind w:right="-81" w:hanging="28"/>
              <w:jc w:val="center"/>
              <w:rPr>
                <w:sz w:val="18"/>
                <w:szCs w:val="18"/>
              </w:rPr>
            </w:pPr>
          </w:p>
        </w:tc>
        <w:tc>
          <w:tcPr>
            <w:tcW w:w="1242" w:type="dxa"/>
            <w:tcBorders>
              <w:bottom w:val="single" w:sz="4" w:space="0" w:color="000000"/>
            </w:tcBorders>
            <w:vAlign w:val="center"/>
          </w:tcPr>
          <w:p w14:paraId="30167908" w14:textId="0BDC8A89" w:rsidR="00CC73DD" w:rsidRPr="00361139" w:rsidRDefault="00CC73DD" w:rsidP="008144F7">
            <w:pPr>
              <w:ind w:right="-81" w:hanging="28"/>
              <w:jc w:val="center"/>
              <w:rPr>
                <w:sz w:val="18"/>
                <w:szCs w:val="18"/>
              </w:rPr>
            </w:pPr>
            <w:r w:rsidRPr="00361139">
              <w:rPr>
                <w:sz w:val="18"/>
                <w:szCs w:val="18"/>
              </w:rPr>
              <w:t>GEF-7</w:t>
            </w:r>
            <w:r w:rsidR="00C80B46" w:rsidRPr="00361139">
              <w:rPr>
                <w:sz w:val="18"/>
                <w:szCs w:val="18"/>
              </w:rPr>
              <w:t xml:space="preserve"> </w:t>
            </w:r>
            <w:r w:rsidRPr="00361139">
              <w:rPr>
                <w:sz w:val="18"/>
                <w:szCs w:val="18"/>
              </w:rPr>
              <w:br/>
              <w:t>(2018-2022)</w:t>
            </w:r>
          </w:p>
        </w:tc>
        <w:tc>
          <w:tcPr>
            <w:tcW w:w="1205" w:type="dxa"/>
            <w:tcBorders>
              <w:bottom w:val="single" w:sz="4" w:space="0" w:color="000000"/>
            </w:tcBorders>
            <w:vAlign w:val="center"/>
          </w:tcPr>
          <w:p w14:paraId="692DE246" w14:textId="77777777" w:rsidR="00CC73DD" w:rsidRPr="00361139" w:rsidRDefault="00CC73DD" w:rsidP="008144F7">
            <w:pPr>
              <w:ind w:hanging="28"/>
              <w:jc w:val="center"/>
              <w:rPr>
                <w:sz w:val="18"/>
                <w:szCs w:val="18"/>
              </w:rPr>
            </w:pPr>
            <w:r w:rsidRPr="00361139">
              <w:rPr>
                <w:sz w:val="18"/>
                <w:szCs w:val="18"/>
              </w:rPr>
              <w:t>16</w:t>
            </w:r>
          </w:p>
        </w:tc>
        <w:tc>
          <w:tcPr>
            <w:tcW w:w="1505" w:type="dxa"/>
            <w:tcBorders>
              <w:bottom w:val="single" w:sz="4" w:space="0" w:color="000000"/>
            </w:tcBorders>
            <w:vAlign w:val="center"/>
          </w:tcPr>
          <w:p w14:paraId="204E8461" w14:textId="77777777" w:rsidR="00CC73DD" w:rsidRPr="00361139" w:rsidRDefault="00CC73DD" w:rsidP="008144F7">
            <w:pPr>
              <w:ind w:hanging="28"/>
              <w:jc w:val="right"/>
              <w:rPr>
                <w:sz w:val="18"/>
                <w:szCs w:val="18"/>
              </w:rPr>
            </w:pPr>
            <w:r w:rsidRPr="00361139">
              <w:rPr>
                <w:bCs/>
                <w:sz w:val="18"/>
                <w:szCs w:val="18"/>
              </w:rPr>
              <w:t>223.113.746</w:t>
            </w:r>
          </w:p>
        </w:tc>
        <w:tc>
          <w:tcPr>
            <w:tcW w:w="1055" w:type="dxa"/>
            <w:tcBorders>
              <w:bottom w:val="single" w:sz="4" w:space="0" w:color="000000"/>
            </w:tcBorders>
            <w:vAlign w:val="center"/>
          </w:tcPr>
          <w:p w14:paraId="7F3934C2" w14:textId="77777777" w:rsidR="00CC73DD" w:rsidRPr="00361139" w:rsidRDefault="00CC73DD" w:rsidP="008144F7">
            <w:pPr>
              <w:ind w:hanging="28"/>
              <w:jc w:val="center"/>
              <w:rPr>
                <w:sz w:val="18"/>
                <w:szCs w:val="18"/>
              </w:rPr>
            </w:pPr>
            <w:r w:rsidRPr="00361139">
              <w:rPr>
                <w:sz w:val="18"/>
                <w:szCs w:val="18"/>
              </w:rPr>
              <w:t>7</w:t>
            </w:r>
          </w:p>
        </w:tc>
        <w:tc>
          <w:tcPr>
            <w:tcW w:w="1505" w:type="dxa"/>
            <w:tcBorders>
              <w:bottom w:val="single" w:sz="4" w:space="0" w:color="000000"/>
            </w:tcBorders>
            <w:vAlign w:val="center"/>
          </w:tcPr>
          <w:p w14:paraId="50A9E72B" w14:textId="77777777" w:rsidR="00CC73DD" w:rsidRPr="00361139" w:rsidRDefault="00CC73DD" w:rsidP="008144F7">
            <w:pPr>
              <w:ind w:hanging="28"/>
              <w:jc w:val="right"/>
              <w:rPr>
                <w:sz w:val="18"/>
                <w:szCs w:val="18"/>
              </w:rPr>
            </w:pPr>
            <w:r w:rsidRPr="00361139">
              <w:rPr>
                <w:bCs/>
                <w:sz w:val="18"/>
                <w:szCs w:val="18"/>
              </w:rPr>
              <w:t>166.080.520</w:t>
            </w:r>
          </w:p>
        </w:tc>
        <w:tc>
          <w:tcPr>
            <w:tcW w:w="1054" w:type="dxa"/>
            <w:tcBorders>
              <w:bottom w:val="single" w:sz="4" w:space="0" w:color="000000"/>
            </w:tcBorders>
            <w:vAlign w:val="center"/>
          </w:tcPr>
          <w:p w14:paraId="21163DA8" w14:textId="77777777" w:rsidR="00CC73DD" w:rsidRPr="00361139" w:rsidRDefault="00CC73DD" w:rsidP="008144F7">
            <w:pPr>
              <w:ind w:hanging="28"/>
              <w:jc w:val="center"/>
              <w:rPr>
                <w:sz w:val="18"/>
                <w:szCs w:val="18"/>
              </w:rPr>
            </w:pPr>
            <w:r w:rsidRPr="00361139">
              <w:rPr>
                <w:sz w:val="18"/>
                <w:szCs w:val="18"/>
              </w:rPr>
              <w:t>2</w:t>
            </w:r>
          </w:p>
        </w:tc>
        <w:tc>
          <w:tcPr>
            <w:tcW w:w="1366" w:type="dxa"/>
            <w:tcBorders>
              <w:bottom w:val="single" w:sz="4" w:space="0" w:color="000000"/>
              <w:right w:val="single" w:sz="4" w:space="0" w:color="000000"/>
            </w:tcBorders>
            <w:vAlign w:val="center"/>
          </w:tcPr>
          <w:p w14:paraId="6D48121F" w14:textId="77777777" w:rsidR="00CC73DD" w:rsidRPr="00361139" w:rsidRDefault="00CC73DD" w:rsidP="008144F7">
            <w:pPr>
              <w:ind w:hanging="28"/>
              <w:jc w:val="right"/>
              <w:rPr>
                <w:bCs/>
                <w:sz w:val="18"/>
                <w:szCs w:val="18"/>
              </w:rPr>
            </w:pPr>
            <w:r w:rsidRPr="00361139">
              <w:rPr>
                <w:bCs/>
                <w:sz w:val="18"/>
                <w:szCs w:val="18"/>
              </w:rPr>
              <w:t>23.004.601</w:t>
            </w:r>
          </w:p>
        </w:tc>
      </w:tr>
      <w:tr w:rsidR="00CC73DD" w:rsidRPr="00361139" w14:paraId="2E9D5A3B" w14:textId="77777777" w:rsidTr="008144F7">
        <w:trPr>
          <w:cantSplit/>
          <w:jc w:val="center"/>
        </w:trPr>
        <w:tc>
          <w:tcPr>
            <w:tcW w:w="2230" w:type="dxa"/>
            <w:gridSpan w:val="2"/>
            <w:tcBorders>
              <w:bottom w:val="nil"/>
              <w:right w:val="single" w:sz="4" w:space="0" w:color="000000"/>
            </w:tcBorders>
            <w:vAlign w:val="center"/>
          </w:tcPr>
          <w:p w14:paraId="7E088F71" w14:textId="77777777" w:rsidR="00CC73DD" w:rsidRPr="00361139" w:rsidRDefault="00CC73DD" w:rsidP="008144F7">
            <w:pPr>
              <w:ind w:right="-81" w:hanging="28"/>
              <w:jc w:val="center"/>
              <w:rPr>
                <w:i/>
                <w:sz w:val="18"/>
                <w:szCs w:val="18"/>
              </w:rPr>
            </w:pPr>
            <w:r w:rsidRPr="00361139">
              <w:rPr>
                <w:i/>
                <w:sz w:val="18"/>
                <w:szCs w:val="18"/>
              </w:rPr>
              <w:t>Sub-totals</w:t>
            </w:r>
          </w:p>
        </w:tc>
        <w:tc>
          <w:tcPr>
            <w:tcW w:w="1205" w:type="dxa"/>
            <w:tcBorders>
              <w:left w:val="single" w:sz="4" w:space="0" w:color="000000"/>
              <w:bottom w:val="nil"/>
              <w:right w:val="single" w:sz="4" w:space="0" w:color="000000"/>
            </w:tcBorders>
            <w:vAlign w:val="center"/>
          </w:tcPr>
          <w:p w14:paraId="2973E255" w14:textId="77777777" w:rsidR="00CC73DD" w:rsidRPr="00361139" w:rsidRDefault="00CC73DD" w:rsidP="008144F7">
            <w:pPr>
              <w:ind w:hanging="28"/>
              <w:jc w:val="center"/>
              <w:rPr>
                <w:i/>
                <w:sz w:val="18"/>
                <w:szCs w:val="18"/>
              </w:rPr>
            </w:pPr>
            <w:r w:rsidRPr="00361139">
              <w:rPr>
                <w:i/>
                <w:sz w:val="18"/>
                <w:szCs w:val="18"/>
              </w:rPr>
              <w:t>37</w:t>
            </w:r>
          </w:p>
        </w:tc>
        <w:tc>
          <w:tcPr>
            <w:tcW w:w="1505" w:type="dxa"/>
            <w:tcBorders>
              <w:left w:val="single" w:sz="4" w:space="0" w:color="000000"/>
              <w:bottom w:val="nil"/>
              <w:right w:val="single" w:sz="4" w:space="0" w:color="000000"/>
            </w:tcBorders>
            <w:vAlign w:val="center"/>
          </w:tcPr>
          <w:p w14:paraId="5DBE94B1" w14:textId="77777777" w:rsidR="00CC73DD" w:rsidRPr="00361139" w:rsidRDefault="00CC73DD" w:rsidP="008144F7">
            <w:pPr>
              <w:ind w:hanging="28"/>
              <w:jc w:val="right"/>
              <w:rPr>
                <w:i/>
                <w:sz w:val="18"/>
                <w:szCs w:val="18"/>
              </w:rPr>
            </w:pPr>
            <w:r w:rsidRPr="00361139">
              <w:rPr>
                <w:bCs/>
                <w:i/>
                <w:sz w:val="18"/>
                <w:szCs w:val="18"/>
              </w:rPr>
              <w:t>258.982.746</w:t>
            </w:r>
          </w:p>
        </w:tc>
        <w:tc>
          <w:tcPr>
            <w:tcW w:w="1055" w:type="dxa"/>
            <w:tcBorders>
              <w:left w:val="single" w:sz="4" w:space="0" w:color="000000"/>
              <w:bottom w:val="nil"/>
              <w:right w:val="single" w:sz="4" w:space="0" w:color="000000"/>
            </w:tcBorders>
            <w:vAlign w:val="center"/>
          </w:tcPr>
          <w:p w14:paraId="735B44E1" w14:textId="77777777" w:rsidR="00CC73DD" w:rsidRPr="00361139" w:rsidRDefault="00CC73DD" w:rsidP="008144F7">
            <w:pPr>
              <w:ind w:hanging="28"/>
              <w:jc w:val="center"/>
              <w:rPr>
                <w:i/>
                <w:sz w:val="18"/>
                <w:szCs w:val="18"/>
              </w:rPr>
            </w:pPr>
            <w:r w:rsidRPr="00361139">
              <w:rPr>
                <w:i/>
                <w:sz w:val="18"/>
                <w:szCs w:val="18"/>
              </w:rPr>
              <w:t>19</w:t>
            </w:r>
          </w:p>
        </w:tc>
        <w:tc>
          <w:tcPr>
            <w:tcW w:w="1505" w:type="dxa"/>
            <w:tcBorders>
              <w:left w:val="single" w:sz="4" w:space="0" w:color="000000"/>
              <w:bottom w:val="nil"/>
              <w:right w:val="single" w:sz="4" w:space="0" w:color="000000"/>
            </w:tcBorders>
            <w:vAlign w:val="center"/>
          </w:tcPr>
          <w:p w14:paraId="0F6E723D" w14:textId="77777777" w:rsidR="00CC73DD" w:rsidRPr="00361139" w:rsidRDefault="00CC73DD" w:rsidP="008144F7">
            <w:pPr>
              <w:ind w:hanging="28"/>
              <w:jc w:val="right"/>
              <w:rPr>
                <w:i/>
                <w:sz w:val="18"/>
                <w:szCs w:val="18"/>
              </w:rPr>
            </w:pPr>
            <w:r w:rsidRPr="00361139">
              <w:rPr>
                <w:bCs/>
                <w:i/>
                <w:sz w:val="18"/>
                <w:szCs w:val="18"/>
              </w:rPr>
              <w:t>182.206.895</w:t>
            </w:r>
          </w:p>
        </w:tc>
        <w:tc>
          <w:tcPr>
            <w:tcW w:w="1054" w:type="dxa"/>
            <w:tcBorders>
              <w:left w:val="single" w:sz="4" w:space="0" w:color="000000"/>
              <w:bottom w:val="nil"/>
              <w:right w:val="single" w:sz="4" w:space="0" w:color="000000"/>
            </w:tcBorders>
            <w:vAlign w:val="center"/>
          </w:tcPr>
          <w:p w14:paraId="1B214370" w14:textId="77777777" w:rsidR="00CC73DD" w:rsidRPr="00361139" w:rsidRDefault="00CC73DD" w:rsidP="008144F7">
            <w:pPr>
              <w:ind w:hanging="28"/>
              <w:jc w:val="center"/>
              <w:rPr>
                <w:i/>
                <w:sz w:val="18"/>
                <w:szCs w:val="18"/>
              </w:rPr>
            </w:pPr>
            <w:r w:rsidRPr="00361139">
              <w:rPr>
                <w:i/>
                <w:sz w:val="18"/>
                <w:szCs w:val="18"/>
              </w:rPr>
              <w:t>7</w:t>
            </w:r>
          </w:p>
        </w:tc>
        <w:tc>
          <w:tcPr>
            <w:tcW w:w="1366" w:type="dxa"/>
            <w:tcBorders>
              <w:left w:val="single" w:sz="4" w:space="0" w:color="000000"/>
              <w:bottom w:val="nil"/>
              <w:right w:val="single" w:sz="4" w:space="0" w:color="000000"/>
            </w:tcBorders>
            <w:vAlign w:val="center"/>
          </w:tcPr>
          <w:p w14:paraId="6624D8C8" w14:textId="77777777" w:rsidR="00CC73DD" w:rsidRPr="00361139" w:rsidRDefault="00CC73DD" w:rsidP="008144F7">
            <w:pPr>
              <w:ind w:hanging="28"/>
              <w:jc w:val="right"/>
              <w:rPr>
                <w:bCs/>
                <w:i/>
                <w:sz w:val="18"/>
                <w:szCs w:val="18"/>
              </w:rPr>
            </w:pPr>
            <w:r w:rsidRPr="00361139">
              <w:rPr>
                <w:bCs/>
                <w:i/>
                <w:sz w:val="18"/>
                <w:szCs w:val="18"/>
              </w:rPr>
              <w:t>52.155.101</w:t>
            </w:r>
          </w:p>
        </w:tc>
      </w:tr>
      <w:tr w:rsidR="00CC73DD" w:rsidRPr="00361139" w14:paraId="1929D887" w14:textId="77777777" w:rsidTr="008144F7">
        <w:trPr>
          <w:cantSplit/>
          <w:trHeight w:hRule="exact" w:val="57"/>
          <w:jc w:val="center"/>
        </w:trPr>
        <w:tc>
          <w:tcPr>
            <w:tcW w:w="988" w:type="dxa"/>
            <w:tcBorders>
              <w:left w:val="nil"/>
              <w:right w:val="nil"/>
            </w:tcBorders>
            <w:vAlign w:val="center"/>
          </w:tcPr>
          <w:p w14:paraId="659B60A6" w14:textId="77777777" w:rsidR="00CC73DD" w:rsidRPr="00361139" w:rsidRDefault="00CC73DD" w:rsidP="008144F7">
            <w:pPr>
              <w:ind w:right="-81" w:hanging="28"/>
              <w:jc w:val="center"/>
              <w:rPr>
                <w:i/>
                <w:sz w:val="18"/>
                <w:szCs w:val="18"/>
              </w:rPr>
            </w:pPr>
          </w:p>
        </w:tc>
        <w:tc>
          <w:tcPr>
            <w:tcW w:w="1242" w:type="dxa"/>
            <w:tcBorders>
              <w:left w:val="nil"/>
              <w:right w:val="nil"/>
            </w:tcBorders>
            <w:vAlign w:val="center"/>
          </w:tcPr>
          <w:p w14:paraId="14D7AAA2" w14:textId="77777777" w:rsidR="00CC73DD" w:rsidRPr="00361139" w:rsidRDefault="00CC73DD" w:rsidP="008144F7">
            <w:pPr>
              <w:ind w:right="-81" w:hanging="28"/>
              <w:jc w:val="center"/>
              <w:rPr>
                <w:i/>
                <w:sz w:val="18"/>
                <w:szCs w:val="18"/>
              </w:rPr>
            </w:pPr>
          </w:p>
        </w:tc>
        <w:tc>
          <w:tcPr>
            <w:tcW w:w="1205" w:type="dxa"/>
            <w:tcBorders>
              <w:left w:val="nil"/>
              <w:right w:val="nil"/>
            </w:tcBorders>
            <w:vAlign w:val="center"/>
          </w:tcPr>
          <w:p w14:paraId="30B9B2AA" w14:textId="77777777" w:rsidR="00CC73DD" w:rsidRPr="00361139" w:rsidRDefault="00CC73DD" w:rsidP="008144F7">
            <w:pPr>
              <w:ind w:hanging="28"/>
              <w:jc w:val="center"/>
              <w:rPr>
                <w:i/>
                <w:sz w:val="18"/>
                <w:szCs w:val="18"/>
              </w:rPr>
            </w:pPr>
          </w:p>
        </w:tc>
        <w:tc>
          <w:tcPr>
            <w:tcW w:w="1505" w:type="dxa"/>
            <w:tcBorders>
              <w:left w:val="nil"/>
              <w:right w:val="nil"/>
            </w:tcBorders>
            <w:vAlign w:val="center"/>
          </w:tcPr>
          <w:p w14:paraId="5F07E4DE" w14:textId="77777777" w:rsidR="00CC73DD" w:rsidRPr="00361139" w:rsidRDefault="00CC73DD" w:rsidP="008144F7">
            <w:pPr>
              <w:ind w:hanging="28"/>
              <w:jc w:val="right"/>
              <w:rPr>
                <w:bCs/>
                <w:i/>
                <w:sz w:val="18"/>
                <w:szCs w:val="18"/>
              </w:rPr>
            </w:pPr>
          </w:p>
        </w:tc>
        <w:tc>
          <w:tcPr>
            <w:tcW w:w="1055" w:type="dxa"/>
            <w:tcBorders>
              <w:left w:val="nil"/>
              <w:right w:val="nil"/>
            </w:tcBorders>
            <w:vAlign w:val="center"/>
          </w:tcPr>
          <w:p w14:paraId="4CE412EE" w14:textId="77777777" w:rsidR="00CC73DD" w:rsidRPr="00361139" w:rsidRDefault="00CC73DD" w:rsidP="008144F7">
            <w:pPr>
              <w:ind w:hanging="28"/>
              <w:jc w:val="center"/>
              <w:rPr>
                <w:i/>
                <w:sz w:val="18"/>
                <w:szCs w:val="18"/>
              </w:rPr>
            </w:pPr>
          </w:p>
        </w:tc>
        <w:tc>
          <w:tcPr>
            <w:tcW w:w="1505" w:type="dxa"/>
            <w:tcBorders>
              <w:left w:val="nil"/>
              <w:right w:val="nil"/>
            </w:tcBorders>
            <w:vAlign w:val="center"/>
          </w:tcPr>
          <w:p w14:paraId="64B71F15" w14:textId="77777777" w:rsidR="00CC73DD" w:rsidRPr="00361139" w:rsidRDefault="00CC73DD" w:rsidP="008144F7">
            <w:pPr>
              <w:ind w:hanging="28"/>
              <w:jc w:val="right"/>
              <w:rPr>
                <w:bCs/>
                <w:i/>
                <w:sz w:val="18"/>
                <w:szCs w:val="18"/>
              </w:rPr>
            </w:pPr>
          </w:p>
        </w:tc>
        <w:tc>
          <w:tcPr>
            <w:tcW w:w="1054" w:type="dxa"/>
            <w:tcBorders>
              <w:left w:val="nil"/>
              <w:right w:val="nil"/>
            </w:tcBorders>
            <w:vAlign w:val="center"/>
          </w:tcPr>
          <w:p w14:paraId="603054AD" w14:textId="77777777" w:rsidR="00CC73DD" w:rsidRPr="00361139" w:rsidRDefault="00CC73DD" w:rsidP="008144F7">
            <w:pPr>
              <w:ind w:hanging="28"/>
              <w:jc w:val="center"/>
              <w:rPr>
                <w:i/>
                <w:sz w:val="18"/>
                <w:szCs w:val="18"/>
              </w:rPr>
            </w:pPr>
          </w:p>
        </w:tc>
        <w:tc>
          <w:tcPr>
            <w:tcW w:w="1366" w:type="dxa"/>
            <w:tcBorders>
              <w:left w:val="nil"/>
              <w:right w:val="single" w:sz="4" w:space="0" w:color="000000"/>
            </w:tcBorders>
            <w:vAlign w:val="center"/>
          </w:tcPr>
          <w:p w14:paraId="392D47D7" w14:textId="77777777" w:rsidR="00CC73DD" w:rsidRPr="00361139" w:rsidRDefault="00CC73DD" w:rsidP="008144F7">
            <w:pPr>
              <w:ind w:hanging="28"/>
              <w:jc w:val="right"/>
              <w:rPr>
                <w:bCs/>
                <w:i/>
                <w:sz w:val="18"/>
                <w:szCs w:val="18"/>
              </w:rPr>
            </w:pPr>
          </w:p>
        </w:tc>
      </w:tr>
      <w:tr w:rsidR="00CC73DD" w:rsidRPr="00361139" w14:paraId="1B2926F9" w14:textId="77777777" w:rsidTr="008144F7">
        <w:trPr>
          <w:cantSplit/>
          <w:jc w:val="center"/>
        </w:trPr>
        <w:tc>
          <w:tcPr>
            <w:tcW w:w="988" w:type="dxa"/>
            <w:vMerge w:val="restart"/>
            <w:vAlign w:val="center"/>
          </w:tcPr>
          <w:p w14:paraId="75646937" w14:textId="77777777" w:rsidR="00CC73DD" w:rsidRPr="00361139" w:rsidRDefault="00CC73DD" w:rsidP="008144F7">
            <w:pPr>
              <w:ind w:right="-81" w:hanging="28"/>
              <w:jc w:val="center"/>
              <w:rPr>
                <w:sz w:val="18"/>
                <w:szCs w:val="18"/>
              </w:rPr>
            </w:pPr>
            <w:r w:rsidRPr="00361139">
              <w:rPr>
                <w:sz w:val="18"/>
                <w:szCs w:val="18"/>
              </w:rPr>
              <w:t>SIP</w:t>
            </w:r>
          </w:p>
        </w:tc>
        <w:tc>
          <w:tcPr>
            <w:tcW w:w="1242" w:type="dxa"/>
            <w:vAlign w:val="center"/>
          </w:tcPr>
          <w:p w14:paraId="28254956" w14:textId="1EA574F9" w:rsidR="00CC73DD" w:rsidRPr="00361139" w:rsidRDefault="00CC73DD" w:rsidP="008144F7">
            <w:pPr>
              <w:ind w:right="-81" w:hanging="28"/>
              <w:jc w:val="center"/>
              <w:rPr>
                <w:sz w:val="18"/>
                <w:szCs w:val="18"/>
              </w:rPr>
            </w:pPr>
            <w:r w:rsidRPr="00361139">
              <w:rPr>
                <w:sz w:val="18"/>
                <w:szCs w:val="18"/>
              </w:rPr>
              <w:t>1st Round</w:t>
            </w:r>
            <w:r w:rsidR="00C80B46" w:rsidRPr="00361139">
              <w:rPr>
                <w:sz w:val="18"/>
                <w:szCs w:val="18"/>
              </w:rPr>
              <w:t xml:space="preserve"> </w:t>
            </w:r>
            <w:r w:rsidRPr="00361139">
              <w:rPr>
                <w:sz w:val="18"/>
                <w:szCs w:val="18"/>
              </w:rPr>
              <w:br/>
              <w:t>(2018)</w:t>
            </w:r>
          </w:p>
        </w:tc>
        <w:tc>
          <w:tcPr>
            <w:tcW w:w="1205" w:type="dxa"/>
            <w:vAlign w:val="center"/>
          </w:tcPr>
          <w:p w14:paraId="397B2084" w14:textId="77777777" w:rsidR="00CC73DD" w:rsidRPr="00361139" w:rsidRDefault="00CC73DD" w:rsidP="008144F7">
            <w:pPr>
              <w:ind w:hanging="28"/>
              <w:jc w:val="center"/>
              <w:rPr>
                <w:sz w:val="18"/>
                <w:szCs w:val="18"/>
              </w:rPr>
            </w:pPr>
            <w:r w:rsidRPr="00361139">
              <w:rPr>
                <w:sz w:val="18"/>
                <w:szCs w:val="18"/>
              </w:rPr>
              <w:t>2</w:t>
            </w:r>
          </w:p>
        </w:tc>
        <w:tc>
          <w:tcPr>
            <w:tcW w:w="1505" w:type="dxa"/>
            <w:vAlign w:val="center"/>
          </w:tcPr>
          <w:p w14:paraId="439B2B3D" w14:textId="77777777" w:rsidR="00CC73DD" w:rsidRPr="00361139" w:rsidRDefault="00CC73DD" w:rsidP="008144F7">
            <w:pPr>
              <w:ind w:hanging="28"/>
              <w:jc w:val="right"/>
              <w:rPr>
                <w:sz w:val="18"/>
                <w:szCs w:val="18"/>
              </w:rPr>
            </w:pPr>
            <w:r w:rsidRPr="00361139">
              <w:rPr>
                <w:sz w:val="18"/>
                <w:szCs w:val="18"/>
              </w:rPr>
              <w:t>449.663</w:t>
            </w:r>
          </w:p>
        </w:tc>
        <w:tc>
          <w:tcPr>
            <w:tcW w:w="1055" w:type="dxa"/>
            <w:vAlign w:val="center"/>
          </w:tcPr>
          <w:p w14:paraId="32D6A159" w14:textId="77777777" w:rsidR="00CC73DD" w:rsidRPr="00361139" w:rsidRDefault="00CC73DD" w:rsidP="008144F7">
            <w:pPr>
              <w:ind w:hanging="28"/>
              <w:jc w:val="center"/>
              <w:rPr>
                <w:sz w:val="18"/>
                <w:szCs w:val="18"/>
              </w:rPr>
            </w:pPr>
            <w:r w:rsidRPr="00361139">
              <w:rPr>
                <w:sz w:val="18"/>
                <w:szCs w:val="18"/>
              </w:rPr>
              <w:t>0</w:t>
            </w:r>
          </w:p>
        </w:tc>
        <w:tc>
          <w:tcPr>
            <w:tcW w:w="1505" w:type="dxa"/>
            <w:vAlign w:val="center"/>
          </w:tcPr>
          <w:p w14:paraId="6EF8932B" w14:textId="77777777" w:rsidR="00CC73DD" w:rsidRPr="00361139" w:rsidRDefault="00CC73DD" w:rsidP="008144F7">
            <w:pPr>
              <w:ind w:hanging="28"/>
              <w:jc w:val="right"/>
              <w:rPr>
                <w:sz w:val="18"/>
                <w:szCs w:val="18"/>
              </w:rPr>
            </w:pPr>
            <w:r w:rsidRPr="00361139">
              <w:rPr>
                <w:sz w:val="18"/>
                <w:szCs w:val="18"/>
              </w:rPr>
              <w:t>0</w:t>
            </w:r>
          </w:p>
        </w:tc>
        <w:tc>
          <w:tcPr>
            <w:tcW w:w="1054" w:type="dxa"/>
            <w:vAlign w:val="center"/>
          </w:tcPr>
          <w:p w14:paraId="5132CF88" w14:textId="77777777" w:rsidR="00CC73DD" w:rsidRPr="00361139" w:rsidRDefault="00CC73DD" w:rsidP="008144F7">
            <w:pPr>
              <w:ind w:hanging="28"/>
              <w:jc w:val="center"/>
              <w:rPr>
                <w:sz w:val="18"/>
                <w:szCs w:val="18"/>
              </w:rPr>
            </w:pPr>
            <w:r w:rsidRPr="00361139">
              <w:rPr>
                <w:sz w:val="18"/>
                <w:szCs w:val="18"/>
              </w:rPr>
              <w:t>1</w:t>
            </w:r>
          </w:p>
        </w:tc>
        <w:tc>
          <w:tcPr>
            <w:tcW w:w="1366" w:type="dxa"/>
            <w:tcBorders>
              <w:right w:val="single" w:sz="4" w:space="0" w:color="000000"/>
            </w:tcBorders>
            <w:vAlign w:val="center"/>
          </w:tcPr>
          <w:p w14:paraId="25507870" w14:textId="77777777" w:rsidR="00CC73DD" w:rsidRPr="00361139" w:rsidRDefault="00CC73DD" w:rsidP="008144F7">
            <w:pPr>
              <w:ind w:hanging="28"/>
              <w:jc w:val="right"/>
              <w:rPr>
                <w:sz w:val="18"/>
                <w:szCs w:val="18"/>
              </w:rPr>
            </w:pPr>
            <w:r w:rsidRPr="00361139">
              <w:rPr>
                <w:sz w:val="18"/>
                <w:szCs w:val="18"/>
              </w:rPr>
              <w:t>162.000</w:t>
            </w:r>
          </w:p>
        </w:tc>
      </w:tr>
      <w:tr w:rsidR="00CC73DD" w:rsidRPr="00361139" w14:paraId="1D5BDB6C" w14:textId="77777777" w:rsidTr="008144F7">
        <w:trPr>
          <w:cantSplit/>
          <w:jc w:val="center"/>
        </w:trPr>
        <w:tc>
          <w:tcPr>
            <w:tcW w:w="988" w:type="dxa"/>
            <w:vMerge/>
            <w:vAlign w:val="center"/>
          </w:tcPr>
          <w:p w14:paraId="14C8E079" w14:textId="77777777" w:rsidR="00CC73DD" w:rsidRPr="00361139" w:rsidRDefault="00CC73DD" w:rsidP="008144F7">
            <w:pPr>
              <w:ind w:right="-81" w:hanging="28"/>
              <w:jc w:val="center"/>
              <w:rPr>
                <w:sz w:val="18"/>
                <w:szCs w:val="18"/>
              </w:rPr>
            </w:pPr>
          </w:p>
        </w:tc>
        <w:tc>
          <w:tcPr>
            <w:tcW w:w="1242" w:type="dxa"/>
            <w:vAlign w:val="center"/>
          </w:tcPr>
          <w:p w14:paraId="79583667" w14:textId="36335790" w:rsidR="00CC73DD" w:rsidRPr="00361139" w:rsidRDefault="00CC73DD" w:rsidP="008144F7">
            <w:pPr>
              <w:ind w:right="-81" w:hanging="28"/>
              <w:jc w:val="center"/>
              <w:rPr>
                <w:sz w:val="18"/>
                <w:szCs w:val="18"/>
              </w:rPr>
            </w:pPr>
            <w:r w:rsidRPr="00361139">
              <w:rPr>
                <w:sz w:val="18"/>
                <w:szCs w:val="18"/>
              </w:rPr>
              <w:t>2nd Round</w:t>
            </w:r>
            <w:r w:rsidR="00C80B46" w:rsidRPr="00361139">
              <w:rPr>
                <w:sz w:val="18"/>
                <w:szCs w:val="18"/>
              </w:rPr>
              <w:t xml:space="preserve"> </w:t>
            </w:r>
            <w:r w:rsidRPr="00361139">
              <w:rPr>
                <w:sz w:val="18"/>
                <w:szCs w:val="18"/>
              </w:rPr>
              <w:br/>
              <w:t>(2019)</w:t>
            </w:r>
          </w:p>
        </w:tc>
        <w:tc>
          <w:tcPr>
            <w:tcW w:w="1205" w:type="dxa"/>
            <w:vAlign w:val="center"/>
          </w:tcPr>
          <w:p w14:paraId="482C1351" w14:textId="77777777" w:rsidR="00CC73DD" w:rsidRPr="00361139" w:rsidRDefault="00CC73DD" w:rsidP="008144F7">
            <w:pPr>
              <w:ind w:hanging="28"/>
              <w:jc w:val="center"/>
              <w:rPr>
                <w:sz w:val="18"/>
                <w:szCs w:val="18"/>
              </w:rPr>
            </w:pPr>
            <w:r w:rsidRPr="00361139">
              <w:rPr>
                <w:sz w:val="18"/>
                <w:szCs w:val="18"/>
              </w:rPr>
              <w:t>1</w:t>
            </w:r>
          </w:p>
        </w:tc>
        <w:tc>
          <w:tcPr>
            <w:tcW w:w="1505" w:type="dxa"/>
            <w:vAlign w:val="center"/>
          </w:tcPr>
          <w:p w14:paraId="5DEDD4AE" w14:textId="77777777" w:rsidR="00CC73DD" w:rsidRPr="00361139" w:rsidRDefault="00CC73DD" w:rsidP="008144F7">
            <w:pPr>
              <w:ind w:hanging="28"/>
              <w:jc w:val="right"/>
              <w:rPr>
                <w:sz w:val="18"/>
                <w:szCs w:val="18"/>
              </w:rPr>
            </w:pPr>
            <w:r w:rsidRPr="00361139">
              <w:rPr>
                <w:sz w:val="18"/>
                <w:szCs w:val="18"/>
              </w:rPr>
              <w:t>200.000</w:t>
            </w:r>
          </w:p>
        </w:tc>
        <w:tc>
          <w:tcPr>
            <w:tcW w:w="1055" w:type="dxa"/>
            <w:vAlign w:val="center"/>
          </w:tcPr>
          <w:p w14:paraId="0804F147" w14:textId="77777777" w:rsidR="00CC73DD" w:rsidRPr="00361139" w:rsidRDefault="00CC73DD" w:rsidP="008144F7">
            <w:pPr>
              <w:ind w:hanging="28"/>
              <w:jc w:val="center"/>
              <w:rPr>
                <w:sz w:val="18"/>
                <w:szCs w:val="18"/>
              </w:rPr>
            </w:pPr>
            <w:r w:rsidRPr="00361139">
              <w:rPr>
                <w:sz w:val="18"/>
                <w:szCs w:val="18"/>
              </w:rPr>
              <w:t>1</w:t>
            </w:r>
          </w:p>
        </w:tc>
        <w:tc>
          <w:tcPr>
            <w:tcW w:w="1505" w:type="dxa"/>
            <w:vAlign w:val="center"/>
          </w:tcPr>
          <w:p w14:paraId="40A8F102" w14:textId="77777777" w:rsidR="00CC73DD" w:rsidRPr="00361139" w:rsidRDefault="00CC73DD" w:rsidP="008144F7">
            <w:pPr>
              <w:ind w:hanging="28"/>
              <w:jc w:val="right"/>
              <w:rPr>
                <w:sz w:val="18"/>
                <w:szCs w:val="18"/>
              </w:rPr>
            </w:pPr>
            <w:r w:rsidRPr="00361139">
              <w:rPr>
                <w:sz w:val="18"/>
                <w:szCs w:val="18"/>
              </w:rPr>
              <w:t>210.000</w:t>
            </w:r>
          </w:p>
        </w:tc>
        <w:tc>
          <w:tcPr>
            <w:tcW w:w="1054" w:type="dxa"/>
            <w:vAlign w:val="center"/>
          </w:tcPr>
          <w:p w14:paraId="2C32A6C1" w14:textId="77777777" w:rsidR="00CC73DD" w:rsidRPr="00361139" w:rsidRDefault="00CC73DD" w:rsidP="008144F7">
            <w:pPr>
              <w:ind w:hanging="28"/>
              <w:jc w:val="center"/>
              <w:rPr>
                <w:sz w:val="18"/>
                <w:szCs w:val="18"/>
              </w:rPr>
            </w:pPr>
            <w:r w:rsidRPr="00361139">
              <w:rPr>
                <w:sz w:val="18"/>
                <w:szCs w:val="18"/>
              </w:rPr>
              <w:t>1</w:t>
            </w:r>
          </w:p>
        </w:tc>
        <w:tc>
          <w:tcPr>
            <w:tcW w:w="1366" w:type="dxa"/>
            <w:tcBorders>
              <w:right w:val="single" w:sz="4" w:space="0" w:color="000000"/>
            </w:tcBorders>
            <w:vAlign w:val="center"/>
          </w:tcPr>
          <w:p w14:paraId="2E340977" w14:textId="77777777" w:rsidR="00CC73DD" w:rsidRPr="00361139" w:rsidRDefault="00CC73DD" w:rsidP="008144F7">
            <w:pPr>
              <w:ind w:hanging="28"/>
              <w:jc w:val="right"/>
              <w:rPr>
                <w:sz w:val="18"/>
                <w:szCs w:val="18"/>
              </w:rPr>
            </w:pPr>
            <w:r w:rsidRPr="00361139">
              <w:rPr>
                <w:sz w:val="18"/>
                <w:szCs w:val="18"/>
              </w:rPr>
              <w:t>219.765</w:t>
            </w:r>
          </w:p>
        </w:tc>
      </w:tr>
      <w:tr w:rsidR="00CC73DD" w:rsidRPr="00361139" w14:paraId="42572B94" w14:textId="77777777" w:rsidTr="008144F7">
        <w:trPr>
          <w:cantSplit/>
          <w:jc w:val="center"/>
        </w:trPr>
        <w:tc>
          <w:tcPr>
            <w:tcW w:w="988" w:type="dxa"/>
            <w:vMerge/>
            <w:tcBorders>
              <w:bottom w:val="single" w:sz="4" w:space="0" w:color="000000"/>
            </w:tcBorders>
            <w:vAlign w:val="center"/>
          </w:tcPr>
          <w:p w14:paraId="67FD72C2" w14:textId="77777777" w:rsidR="00CC73DD" w:rsidRPr="00361139" w:rsidRDefault="00CC73DD" w:rsidP="008144F7">
            <w:pPr>
              <w:ind w:right="-81" w:hanging="28"/>
              <w:jc w:val="center"/>
              <w:rPr>
                <w:sz w:val="18"/>
                <w:szCs w:val="18"/>
              </w:rPr>
            </w:pPr>
          </w:p>
        </w:tc>
        <w:tc>
          <w:tcPr>
            <w:tcW w:w="1242" w:type="dxa"/>
            <w:tcBorders>
              <w:bottom w:val="single" w:sz="4" w:space="0" w:color="000000"/>
            </w:tcBorders>
            <w:vAlign w:val="center"/>
          </w:tcPr>
          <w:p w14:paraId="012862FC" w14:textId="1219DC37" w:rsidR="00CC73DD" w:rsidRPr="00361139" w:rsidRDefault="00CC73DD" w:rsidP="008144F7">
            <w:pPr>
              <w:ind w:right="-81" w:hanging="28"/>
              <w:jc w:val="center"/>
              <w:rPr>
                <w:sz w:val="18"/>
                <w:szCs w:val="18"/>
              </w:rPr>
            </w:pPr>
            <w:r w:rsidRPr="00361139">
              <w:rPr>
                <w:sz w:val="18"/>
                <w:szCs w:val="18"/>
              </w:rPr>
              <w:t>3rd Round</w:t>
            </w:r>
            <w:r w:rsidR="00C80B46" w:rsidRPr="00361139">
              <w:rPr>
                <w:sz w:val="18"/>
                <w:szCs w:val="18"/>
              </w:rPr>
              <w:t xml:space="preserve"> </w:t>
            </w:r>
            <w:r w:rsidRPr="00361139">
              <w:rPr>
                <w:sz w:val="18"/>
                <w:szCs w:val="18"/>
              </w:rPr>
              <w:br/>
              <w:t>(2020-2021)</w:t>
            </w:r>
          </w:p>
        </w:tc>
        <w:tc>
          <w:tcPr>
            <w:tcW w:w="1205" w:type="dxa"/>
            <w:tcBorders>
              <w:bottom w:val="single" w:sz="4" w:space="0" w:color="000000"/>
            </w:tcBorders>
            <w:vAlign w:val="center"/>
          </w:tcPr>
          <w:p w14:paraId="0569FD3F" w14:textId="77777777" w:rsidR="00CC73DD" w:rsidRPr="00361139" w:rsidRDefault="00CC73DD" w:rsidP="008144F7">
            <w:pPr>
              <w:ind w:hanging="28"/>
              <w:jc w:val="center"/>
              <w:rPr>
                <w:sz w:val="18"/>
                <w:szCs w:val="18"/>
              </w:rPr>
            </w:pPr>
            <w:r w:rsidRPr="00361139">
              <w:rPr>
                <w:sz w:val="18"/>
                <w:szCs w:val="18"/>
              </w:rPr>
              <w:t>3</w:t>
            </w:r>
          </w:p>
        </w:tc>
        <w:tc>
          <w:tcPr>
            <w:tcW w:w="1505" w:type="dxa"/>
            <w:tcBorders>
              <w:bottom w:val="single" w:sz="4" w:space="0" w:color="000000"/>
            </w:tcBorders>
            <w:vAlign w:val="center"/>
          </w:tcPr>
          <w:p w14:paraId="4E2506FF" w14:textId="77777777" w:rsidR="00CC73DD" w:rsidRPr="00361139" w:rsidRDefault="00CC73DD" w:rsidP="008144F7">
            <w:pPr>
              <w:ind w:hanging="28"/>
              <w:jc w:val="right"/>
              <w:rPr>
                <w:sz w:val="18"/>
                <w:szCs w:val="18"/>
              </w:rPr>
            </w:pPr>
            <w:r w:rsidRPr="00361139">
              <w:rPr>
                <w:sz w:val="18"/>
                <w:szCs w:val="18"/>
              </w:rPr>
              <w:t>718.632</w:t>
            </w:r>
          </w:p>
        </w:tc>
        <w:tc>
          <w:tcPr>
            <w:tcW w:w="1055" w:type="dxa"/>
            <w:tcBorders>
              <w:bottom w:val="single" w:sz="4" w:space="0" w:color="000000"/>
            </w:tcBorders>
            <w:vAlign w:val="center"/>
          </w:tcPr>
          <w:p w14:paraId="7D8A30F1" w14:textId="77777777" w:rsidR="00CC73DD" w:rsidRPr="00361139" w:rsidRDefault="00CC73DD" w:rsidP="008144F7">
            <w:pPr>
              <w:ind w:hanging="28"/>
              <w:jc w:val="center"/>
              <w:rPr>
                <w:sz w:val="18"/>
                <w:szCs w:val="18"/>
              </w:rPr>
            </w:pPr>
            <w:r w:rsidRPr="00361139">
              <w:rPr>
                <w:sz w:val="18"/>
                <w:szCs w:val="18"/>
              </w:rPr>
              <w:t>1</w:t>
            </w:r>
          </w:p>
        </w:tc>
        <w:tc>
          <w:tcPr>
            <w:tcW w:w="1505" w:type="dxa"/>
            <w:tcBorders>
              <w:bottom w:val="single" w:sz="4" w:space="0" w:color="000000"/>
            </w:tcBorders>
            <w:vAlign w:val="center"/>
          </w:tcPr>
          <w:p w14:paraId="3984995E" w14:textId="77777777" w:rsidR="00CC73DD" w:rsidRPr="00361139" w:rsidRDefault="00CC73DD" w:rsidP="008144F7">
            <w:pPr>
              <w:ind w:hanging="28"/>
              <w:jc w:val="right"/>
              <w:rPr>
                <w:sz w:val="18"/>
                <w:szCs w:val="18"/>
              </w:rPr>
            </w:pPr>
            <w:r w:rsidRPr="00361139">
              <w:rPr>
                <w:sz w:val="18"/>
                <w:szCs w:val="18"/>
              </w:rPr>
              <w:t>249.210</w:t>
            </w:r>
          </w:p>
        </w:tc>
        <w:tc>
          <w:tcPr>
            <w:tcW w:w="1054" w:type="dxa"/>
            <w:tcBorders>
              <w:bottom w:val="single" w:sz="4" w:space="0" w:color="000000"/>
            </w:tcBorders>
            <w:vAlign w:val="center"/>
          </w:tcPr>
          <w:p w14:paraId="2EFC82E4" w14:textId="77777777" w:rsidR="00CC73DD" w:rsidRPr="00361139" w:rsidRDefault="00CC73DD" w:rsidP="008144F7">
            <w:pPr>
              <w:ind w:hanging="28"/>
              <w:jc w:val="center"/>
              <w:rPr>
                <w:sz w:val="18"/>
                <w:szCs w:val="18"/>
              </w:rPr>
            </w:pPr>
            <w:r w:rsidRPr="00361139">
              <w:rPr>
                <w:sz w:val="18"/>
                <w:szCs w:val="18"/>
              </w:rPr>
              <w:t>1</w:t>
            </w:r>
          </w:p>
        </w:tc>
        <w:tc>
          <w:tcPr>
            <w:tcW w:w="1366" w:type="dxa"/>
            <w:tcBorders>
              <w:bottom w:val="single" w:sz="4" w:space="0" w:color="000000"/>
              <w:right w:val="single" w:sz="4" w:space="0" w:color="000000"/>
            </w:tcBorders>
            <w:vAlign w:val="center"/>
          </w:tcPr>
          <w:p w14:paraId="28363334" w14:textId="77777777" w:rsidR="00CC73DD" w:rsidRPr="00361139" w:rsidRDefault="00CC73DD" w:rsidP="008144F7">
            <w:pPr>
              <w:ind w:hanging="28"/>
              <w:jc w:val="right"/>
              <w:rPr>
                <w:sz w:val="18"/>
                <w:szCs w:val="18"/>
              </w:rPr>
            </w:pPr>
            <w:r w:rsidRPr="00361139">
              <w:rPr>
                <w:sz w:val="18"/>
                <w:szCs w:val="18"/>
              </w:rPr>
              <w:t>248.500</w:t>
            </w:r>
          </w:p>
        </w:tc>
      </w:tr>
      <w:tr w:rsidR="00CC73DD" w:rsidRPr="00361139" w14:paraId="5C0F214E" w14:textId="77777777" w:rsidTr="008144F7">
        <w:trPr>
          <w:cantSplit/>
          <w:jc w:val="center"/>
        </w:trPr>
        <w:tc>
          <w:tcPr>
            <w:tcW w:w="2230" w:type="dxa"/>
            <w:gridSpan w:val="2"/>
            <w:tcBorders>
              <w:bottom w:val="nil"/>
              <w:right w:val="single" w:sz="4" w:space="0" w:color="000000"/>
            </w:tcBorders>
            <w:vAlign w:val="center"/>
          </w:tcPr>
          <w:p w14:paraId="252FB6DE" w14:textId="77777777" w:rsidR="00CC73DD" w:rsidRPr="00361139" w:rsidRDefault="00CC73DD" w:rsidP="008144F7">
            <w:pPr>
              <w:ind w:right="-81" w:hanging="28"/>
              <w:jc w:val="center"/>
              <w:rPr>
                <w:i/>
                <w:sz w:val="18"/>
                <w:szCs w:val="18"/>
              </w:rPr>
            </w:pPr>
            <w:r w:rsidRPr="00361139">
              <w:rPr>
                <w:i/>
                <w:sz w:val="18"/>
                <w:szCs w:val="18"/>
              </w:rPr>
              <w:t>Sub-totals</w:t>
            </w:r>
          </w:p>
        </w:tc>
        <w:tc>
          <w:tcPr>
            <w:tcW w:w="1205" w:type="dxa"/>
            <w:tcBorders>
              <w:left w:val="single" w:sz="4" w:space="0" w:color="000000"/>
              <w:bottom w:val="nil"/>
              <w:right w:val="single" w:sz="4" w:space="0" w:color="000000"/>
            </w:tcBorders>
            <w:vAlign w:val="center"/>
          </w:tcPr>
          <w:p w14:paraId="32871DEB" w14:textId="77777777" w:rsidR="00CC73DD" w:rsidRPr="00361139" w:rsidRDefault="00CC73DD" w:rsidP="008144F7">
            <w:pPr>
              <w:ind w:hanging="28"/>
              <w:jc w:val="center"/>
              <w:rPr>
                <w:i/>
                <w:sz w:val="18"/>
                <w:szCs w:val="18"/>
              </w:rPr>
            </w:pPr>
            <w:r w:rsidRPr="00361139">
              <w:rPr>
                <w:i/>
                <w:sz w:val="18"/>
                <w:szCs w:val="18"/>
              </w:rPr>
              <w:t>6</w:t>
            </w:r>
          </w:p>
        </w:tc>
        <w:tc>
          <w:tcPr>
            <w:tcW w:w="1505" w:type="dxa"/>
            <w:tcBorders>
              <w:left w:val="single" w:sz="4" w:space="0" w:color="000000"/>
              <w:bottom w:val="nil"/>
              <w:right w:val="single" w:sz="4" w:space="0" w:color="000000"/>
            </w:tcBorders>
            <w:vAlign w:val="center"/>
          </w:tcPr>
          <w:p w14:paraId="04938DDA" w14:textId="77777777" w:rsidR="00CC73DD" w:rsidRPr="00361139" w:rsidRDefault="00CC73DD" w:rsidP="008144F7">
            <w:pPr>
              <w:ind w:hanging="28"/>
              <w:jc w:val="right"/>
              <w:rPr>
                <w:i/>
                <w:sz w:val="18"/>
                <w:szCs w:val="18"/>
              </w:rPr>
            </w:pPr>
            <w:r w:rsidRPr="00361139">
              <w:rPr>
                <w:i/>
                <w:sz w:val="18"/>
                <w:szCs w:val="18"/>
              </w:rPr>
              <w:t>1.368.295</w:t>
            </w:r>
          </w:p>
        </w:tc>
        <w:tc>
          <w:tcPr>
            <w:tcW w:w="1055" w:type="dxa"/>
            <w:tcBorders>
              <w:left w:val="single" w:sz="4" w:space="0" w:color="000000"/>
              <w:bottom w:val="nil"/>
              <w:right w:val="single" w:sz="4" w:space="0" w:color="000000"/>
            </w:tcBorders>
            <w:vAlign w:val="center"/>
          </w:tcPr>
          <w:p w14:paraId="2BB590A1" w14:textId="77777777" w:rsidR="00CC73DD" w:rsidRPr="00361139" w:rsidRDefault="00CC73DD" w:rsidP="008144F7">
            <w:pPr>
              <w:ind w:hanging="28"/>
              <w:jc w:val="center"/>
              <w:rPr>
                <w:i/>
                <w:sz w:val="18"/>
                <w:szCs w:val="18"/>
              </w:rPr>
            </w:pPr>
            <w:r w:rsidRPr="00361139">
              <w:rPr>
                <w:i/>
                <w:sz w:val="18"/>
                <w:szCs w:val="18"/>
              </w:rPr>
              <w:t>2</w:t>
            </w:r>
          </w:p>
        </w:tc>
        <w:tc>
          <w:tcPr>
            <w:tcW w:w="1505" w:type="dxa"/>
            <w:tcBorders>
              <w:left w:val="single" w:sz="4" w:space="0" w:color="000000"/>
              <w:bottom w:val="nil"/>
              <w:right w:val="single" w:sz="4" w:space="0" w:color="000000"/>
            </w:tcBorders>
            <w:vAlign w:val="center"/>
          </w:tcPr>
          <w:p w14:paraId="6F7A3F4F" w14:textId="77777777" w:rsidR="00CC73DD" w:rsidRPr="00361139" w:rsidRDefault="00CC73DD" w:rsidP="008144F7">
            <w:pPr>
              <w:ind w:hanging="28"/>
              <w:jc w:val="right"/>
              <w:rPr>
                <w:i/>
                <w:sz w:val="18"/>
                <w:szCs w:val="18"/>
              </w:rPr>
            </w:pPr>
            <w:r w:rsidRPr="00361139">
              <w:rPr>
                <w:i/>
                <w:sz w:val="18"/>
                <w:szCs w:val="18"/>
              </w:rPr>
              <w:t>459.210</w:t>
            </w:r>
          </w:p>
        </w:tc>
        <w:tc>
          <w:tcPr>
            <w:tcW w:w="1054" w:type="dxa"/>
            <w:tcBorders>
              <w:left w:val="single" w:sz="4" w:space="0" w:color="000000"/>
              <w:bottom w:val="nil"/>
              <w:right w:val="single" w:sz="4" w:space="0" w:color="000000"/>
            </w:tcBorders>
            <w:vAlign w:val="center"/>
          </w:tcPr>
          <w:p w14:paraId="3FDBBD33" w14:textId="77777777" w:rsidR="00CC73DD" w:rsidRPr="00361139" w:rsidRDefault="00CC73DD" w:rsidP="008144F7">
            <w:pPr>
              <w:ind w:hanging="28"/>
              <w:jc w:val="center"/>
              <w:rPr>
                <w:i/>
                <w:sz w:val="18"/>
                <w:szCs w:val="18"/>
              </w:rPr>
            </w:pPr>
            <w:r w:rsidRPr="00361139">
              <w:rPr>
                <w:i/>
                <w:sz w:val="18"/>
                <w:szCs w:val="18"/>
              </w:rPr>
              <w:t>3</w:t>
            </w:r>
          </w:p>
        </w:tc>
        <w:tc>
          <w:tcPr>
            <w:tcW w:w="1366" w:type="dxa"/>
            <w:tcBorders>
              <w:left w:val="single" w:sz="4" w:space="0" w:color="000000"/>
              <w:bottom w:val="nil"/>
              <w:right w:val="single" w:sz="4" w:space="0" w:color="000000"/>
            </w:tcBorders>
            <w:vAlign w:val="center"/>
          </w:tcPr>
          <w:p w14:paraId="6BF61EF9" w14:textId="77777777" w:rsidR="00CC73DD" w:rsidRPr="00361139" w:rsidRDefault="00CC73DD" w:rsidP="008144F7">
            <w:pPr>
              <w:ind w:hanging="28"/>
              <w:jc w:val="right"/>
              <w:rPr>
                <w:i/>
                <w:sz w:val="18"/>
                <w:szCs w:val="18"/>
              </w:rPr>
            </w:pPr>
            <w:r w:rsidRPr="00361139">
              <w:rPr>
                <w:i/>
                <w:sz w:val="18"/>
                <w:szCs w:val="18"/>
              </w:rPr>
              <w:t>630.265</w:t>
            </w:r>
          </w:p>
        </w:tc>
      </w:tr>
      <w:tr w:rsidR="00CC73DD" w:rsidRPr="00361139" w14:paraId="680A854C" w14:textId="77777777" w:rsidTr="008144F7">
        <w:trPr>
          <w:cantSplit/>
          <w:trHeight w:hRule="exact" w:val="57"/>
          <w:jc w:val="center"/>
        </w:trPr>
        <w:tc>
          <w:tcPr>
            <w:tcW w:w="988" w:type="dxa"/>
            <w:tcBorders>
              <w:left w:val="nil"/>
              <w:bottom w:val="single" w:sz="4" w:space="0" w:color="000000"/>
              <w:right w:val="nil"/>
            </w:tcBorders>
            <w:vAlign w:val="center"/>
          </w:tcPr>
          <w:p w14:paraId="4B7D8813" w14:textId="77777777" w:rsidR="00CC73DD" w:rsidRPr="00361139" w:rsidRDefault="00CC73DD" w:rsidP="008144F7">
            <w:pPr>
              <w:pStyle w:val="Default"/>
              <w:spacing w:before="100" w:beforeAutospacing="1" w:after="100" w:afterAutospacing="1"/>
              <w:ind w:left="57" w:right="57" w:hanging="28"/>
              <w:jc w:val="center"/>
              <w:rPr>
                <w:color w:val="auto"/>
                <w:sz w:val="18"/>
                <w:szCs w:val="18"/>
                <w:lang w:val="en-GB"/>
              </w:rPr>
            </w:pPr>
          </w:p>
        </w:tc>
        <w:tc>
          <w:tcPr>
            <w:tcW w:w="1242" w:type="dxa"/>
            <w:tcBorders>
              <w:left w:val="nil"/>
              <w:bottom w:val="single" w:sz="4" w:space="0" w:color="000000"/>
              <w:right w:val="nil"/>
            </w:tcBorders>
            <w:vAlign w:val="center"/>
          </w:tcPr>
          <w:p w14:paraId="29DA1978" w14:textId="77777777" w:rsidR="00CC73DD" w:rsidRPr="00361139" w:rsidRDefault="00CC73DD" w:rsidP="008144F7">
            <w:pPr>
              <w:pStyle w:val="Default"/>
              <w:spacing w:before="100" w:beforeAutospacing="1" w:after="100" w:afterAutospacing="1"/>
              <w:ind w:left="57" w:right="57" w:hanging="28"/>
              <w:jc w:val="center"/>
              <w:rPr>
                <w:color w:val="auto"/>
                <w:sz w:val="18"/>
                <w:szCs w:val="18"/>
                <w:lang w:val="en-GB"/>
              </w:rPr>
            </w:pPr>
          </w:p>
        </w:tc>
        <w:tc>
          <w:tcPr>
            <w:tcW w:w="1205" w:type="dxa"/>
            <w:tcBorders>
              <w:left w:val="nil"/>
              <w:bottom w:val="single" w:sz="4" w:space="0" w:color="000000"/>
              <w:right w:val="nil"/>
            </w:tcBorders>
            <w:vAlign w:val="center"/>
          </w:tcPr>
          <w:p w14:paraId="2F0FDEE5" w14:textId="77777777" w:rsidR="00CC73DD" w:rsidRPr="00361139" w:rsidRDefault="00CC73DD" w:rsidP="008144F7">
            <w:pPr>
              <w:pStyle w:val="Default"/>
              <w:spacing w:before="100" w:beforeAutospacing="1" w:after="100" w:afterAutospacing="1"/>
              <w:ind w:left="57" w:right="57" w:hanging="28"/>
              <w:jc w:val="center"/>
              <w:rPr>
                <w:color w:val="auto"/>
                <w:sz w:val="18"/>
                <w:szCs w:val="18"/>
                <w:lang w:val="en-GB"/>
              </w:rPr>
            </w:pPr>
          </w:p>
        </w:tc>
        <w:tc>
          <w:tcPr>
            <w:tcW w:w="1505" w:type="dxa"/>
            <w:tcBorders>
              <w:left w:val="nil"/>
              <w:bottom w:val="single" w:sz="4" w:space="0" w:color="000000"/>
              <w:right w:val="nil"/>
            </w:tcBorders>
            <w:vAlign w:val="center"/>
          </w:tcPr>
          <w:p w14:paraId="0EE6C9EA" w14:textId="77777777" w:rsidR="00CC73DD" w:rsidRPr="00361139" w:rsidRDefault="00CC73DD" w:rsidP="008144F7">
            <w:pPr>
              <w:pStyle w:val="Default"/>
              <w:spacing w:before="100" w:beforeAutospacing="1" w:after="100" w:afterAutospacing="1"/>
              <w:ind w:left="57" w:right="57" w:hanging="28"/>
              <w:jc w:val="right"/>
              <w:rPr>
                <w:color w:val="auto"/>
                <w:sz w:val="18"/>
                <w:szCs w:val="18"/>
                <w:lang w:val="en-GB"/>
              </w:rPr>
            </w:pPr>
          </w:p>
        </w:tc>
        <w:tc>
          <w:tcPr>
            <w:tcW w:w="1055" w:type="dxa"/>
            <w:tcBorders>
              <w:left w:val="nil"/>
              <w:bottom w:val="single" w:sz="4" w:space="0" w:color="000000"/>
              <w:right w:val="nil"/>
            </w:tcBorders>
            <w:vAlign w:val="center"/>
          </w:tcPr>
          <w:p w14:paraId="46DCDDDD" w14:textId="77777777" w:rsidR="00CC73DD" w:rsidRPr="00361139" w:rsidRDefault="00CC73DD" w:rsidP="008144F7">
            <w:pPr>
              <w:pStyle w:val="Default"/>
              <w:spacing w:before="100" w:beforeAutospacing="1" w:after="100" w:afterAutospacing="1"/>
              <w:ind w:left="57" w:right="57" w:hanging="28"/>
              <w:jc w:val="center"/>
              <w:rPr>
                <w:color w:val="auto"/>
                <w:sz w:val="18"/>
                <w:szCs w:val="18"/>
                <w:lang w:val="en-GB"/>
              </w:rPr>
            </w:pPr>
          </w:p>
        </w:tc>
        <w:tc>
          <w:tcPr>
            <w:tcW w:w="1505" w:type="dxa"/>
            <w:tcBorders>
              <w:left w:val="nil"/>
              <w:bottom w:val="single" w:sz="4" w:space="0" w:color="000000"/>
              <w:right w:val="nil"/>
            </w:tcBorders>
            <w:vAlign w:val="center"/>
          </w:tcPr>
          <w:p w14:paraId="2238488B" w14:textId="77777777" w:rsidR="00CC73DD" w:rsidRPr="00361139" w:rsidRDefault="00CC73DD" w:rsidP="008144F7">
            <w:pPr>
              <w:pStyle w:val="Default"/>
              <w:spacing w:before="100" w:beforeAutospacing="1" w:after="100" w:afterAutospacing="1"/>
              <w:ind w:left="57" w:right="57" w:hanging="28"/>
              <w:jc w:val="right"/>
              <w:rPr>
                <w:color w:val="auto"/>
                <w:sz w:val="18"/>
                <w:szCs w:val="18"/>
                <w:lang w:val="en-GB"/>
              </w:rPr>
            </w:pPr>
          </w:p>
        </w:tc>
        <w:tc>
          <w:tcPr>
            <w:tcW w:w="1054" w:type="dxa"/>
            <w:tcBorders>
              <w:left w:val="nil"/>
              <w:bottom w:val="single" w:sz="4" w:space="0" w:color="000000"/>
              <w:right w:val="nil"/>
            </w:tcBorders>
            <w:vAlign w:val="center"/>
          </w:tcPr>
          <w:p w14:paraId="6443CD7E" w14:textId="77777777" w:rsidR="00CC73DD" w:rsidRPr="00361139" w:rsidRDefault="00CC73DD" w:rsidP="008144F7">
            <w:pPr>
              <w:pStyle w:val="Default"/>
              <w:spacing w:before="100" w:beforeAutospacing="1" w:after="100" w:afterAutospacing="1"/>
              <w:ind w:left="57" w:right="57" w:hanging="28"/>
              <w:jc w:val="center"/>
              <w:rPr>
                <w:color w:val="auto"/>
                <w:sz w:val="18"/>
                <w:szCs w:val="18"/>
                <w:lang w:val="en-GB"/>
              </w:rPr>
            </w:pPr>
          </w:p>
        </w:tc>
        <w:tc>
          <w:tcPr>
            <w:tcW w:w="1366" w:type="dxa"/>
            <w:tcBorders>
              <w:left w:val="nil"/>
              <w:bottom w:val="single" w:sz="4" w:space="0" w:color="000000"/>
              <w:right w:val="single" w:sz="4" w:space="0" w:color="000000"/>
            </w:tcBorders>
            <w:vAlign w:val="center"/>
          </w:tcPr>
          <w:p w14:paraId="182F422D" w14:textId="77777777" w:rsidR="00CC73DD" w:rsidRPr="00361139" w:rsidRDefault="00CC73DD" w:rsidP="008144F7">
            <w:pPr>
              <w:pStyle w:val="Default"/>
              <w:spacing w:before="100" w:beforeAutospacing="1" w:after="100" w:afterAutospacing="1"/>
              <w:ind w:left="57" w:right="57" w:hanging="28"/>
              <w:jc w:val="right"/>
              <w:rPr>
                <w:color w:val="auto"/>
                <w:sz w:val="18"/>
                <w:szCs w:val="18"/>
                <w:lang w:val="en-GB"/>
              </w:rPr>
            </w:pPr>
          </w:p>
        </w:tc>
      </w:tr>
      <w:tr w:rsidR="00CC73DD" w:rsidRPr="00361139" w14:paraId="418E745E" w14:textId="77777777" w:rsidTr="008144F7">
        <w:trPr>
          <w:cantSplit/>
          <w:jc w:val="center"/>
        </w:trPr>
        <w:tc>
          <w:tcPr>
            <w:tcW w:w="988" w:type="dxa"/>
            <w:tcBorders>
              <w:bottom w:val="single" w:sz="4" w:space="0" w:color="000000"/>
              <w:right w:val="nil"/>
            </w:tcBorders>
            <w:vAlign w:val="center"/>
          </w:tcPr>
          <w:p w14:paraId="76A8A35A" w14:textId="77777777" w:rsidR="00CC73DD" w:rsidRPr="00361139" w:rsidRDefault="00CC73DD" w:rsidP="008144F7">
            <w:pPr>
              <w:ind w:hanging="28"/>
              <w:jc w:val="right"/>
              <w:rPr>
                <w:b/>
                <w:i/>
                <w:sz w:val="18"/>
                <w:szCs w:val="18"/>
              </w:rPr>
            </w:pPr>
            <w:r w:rsidRPr="00361139">
              <w:rPr>
                <w:b/>
                <w:i/>
                <w:sz w:val="18"/>
                <w:szCs w:val="18"/>
              </w:rPr>
              <w:t>Totals</w:t>
            </w:r>
          </w:p>
        </w:tc>
        <w:tc>
          <w:tcPr>
            <w:tcW w:w="1242" w:type="dxa"/>
            <w:tcBorders>
              <w:left w:val="nil"/>
              <w:bottom w:val="single" w:sz="4" w:space="0" w:color="000000"/>
              <w:right w:val="single" w:sz="4" w:space="0" w:color="000000"/>
            </w:tcBorders>
            <w:vAlign w:val="center"/>
          </w:tcPr>
          <w:p w14:paraId="3E8F9F5E" w14:textId="77777777" w:rsidR="00CC73DD" w:rsidRPr="00361139" w:rsidRDefault="00CC73DD" w:rsidP="008144F7">
            <w:pPr>
              <w:ind w:hanging="28"/>
              <w:jc w:val="right"/>
              <w:rPr>
                <w:b/>
                <w:i/>
                <w:sz w:val="18"/>
                <w:szCs w:val="18"/>
              </w:rPr>
            </w:pPr>
          </w:p>
        </w:tc>
        <w:tc>
          <w:tcPr>
            <w:tcW w:w="1205" w:type="dxa"/>
            <w:tcBorders>
              <w:left w:val="single" w:sz="4" w:space="0" w:color="000000"/>
              <w:bottom w:val="single" w:sz="4" w:space="0" w:color="000000"/>
              <w:right w:val="single" w:sz="4" w:space="0" w:color="000000"/>
            </w:tcBorders>
            <w:vAlign w:val="center"/>
          </w:tcPr>
          <w:p w14:paraId="26E1B3BD" w14:textId="77777777" w:rsidR="00CC73DD" w:rsidRPr="00361139" w:rsidRDefault="00CC73DD" w:rsidP="008144F7">
            <w:pPr>
              <w:ind w:hanging="28"/>
              <w:jc w:val="center"/>
              <w:rPr>
                <w:b/>
                <w:i/>
                <w:sz w:val="18"/>
                <w:szCs w:val="18"/>
              </w:rPr>
            </w:pPr>
            <w:r w:rsidRPr="00361139">
              <w:rPr>
                <w:b/>
                <w:i/>
                <w:sz w:val="18"/>
                <w:szCs w:val="18"/>
              </w:rPr>
              <w:t>43</w:t>
            </w:r>
          </w:p>
        </w:tc>
        <w:tc>
          <w:tcPr>
            <w:tcW w:w="1505" w:type="dxa"/>
            <w:tcBorders>
              <w:left w:val="single" w:sz="4" w:space="0" w:color="000000"/>
              <w:bottom w:val="single" w:sz="4" w:space="0" w:color="000000"/>
              <w:right w:val="single" w:sz="4" w:space="0" w:color="000000"/>
            </w:tcBorders>
            <w:vAlign w:val="center"/>
          </w:tcPr>
          <w:p w14:paraId="3BB9244A" w14:textId="77777777" w:rsidR="00CC73DD" w:rsidRPr="00361139" w:rsidRDefault="00CC73DD" w:rsidP="008144F7">
            <w:pPr>
              <w:ind w:hanging="28"/>
              <w:jc w:val="right"/>
              <w:rPr>
                <w:b/>
                <w:i/>
                <w:sz w:val="18"/>
                <w:szCs w:val="18"/>
              </w:rPr>
            </w:pPr>
            <w:r w:rsidRPr="00361139">
              <w:rPr>
                <w:b/>
                <w:i/>
                <w:sz w:val="18"/>
                <w:szCs w:val="18"/>
              </w:rPr>
              <w:t>260.351.041</w:t>
            </w:r>
          </w:p>
        </w:tc>
        <w:tc>
          <w:tcPr>
            <w:tcW w:w="1055" w:type="dxa"/>
            <w:tcBorders>
              <w:left w:val="single" w:sz="4" w:space="0" w:color="000000"/>
              <w:bottom w:val="single" w:sz="4" w:space="0" w:color="000000"/>
              <w:right w:val="single" w:sz="4" w:space="0" w:color="000000"/>
            </w:tcBorders>
            <w:vAlign w:val="center"/>
          </w:tcPr>
          <w:p w14:paraId="48B2016D" w14:textId="77777777" w:rsidR="00CC73DD" w:rsidRPr="00361139" w:rsidRDefault="00CC73DD" w:rsidP="008144F7">
            <w:pPr>
              <w:ind w:hanging="28"/>
              <w:jc w:val="center"/>
              <w:rPr>
                <w:b/>
                <w:i/>
                <w:sz w:val="18"/>
                <w:szCs w:val="18"/>
              </w:rPr>
            </w:pPr>
            <w:r w:rsidRPr="00361139">
              <w:rPr>
                <w:b/>
                <w:i/>
                <w:sz w:val="18"/>
                <w:szCs w:val="18"/>
              </w:rPr>
              <w:t>21</w:t>
            </w:r>
          </w:p>
        </w:tc>
        <w:tc>
          <w:tcPr>
            <w:tcW w:w="1505" w:type="dxa"/>
            <w:tcBorders>
              <w:left w:val="single" w:sz="4" w:space="0" w:color="000000"/>
              <w:bottom w:val="single" w:sz="4" w:space="0" w:color="000000"/>
              <w:right w:val="single" w:sz="4" w:space="0" w:color="000000"/>
            </w:tcBorders>
            <w:vAlign w:val="center"/>
          </w:tcPr>
          <w:p w14:paraId="6FED8491" w14:textId="77777777" w:rsidR="00CC73DD" w:rsidRPr="00361139" w:rsidRDefault="00CC73DD" w:rsidP="008144F7">
            <w:pPr>
              <w:ind w:hanging="28"/>
              <w:jc w:val="right"/>
              <w:rPr>
                <w:b/>
                <w:i/>
                <w:sz w:val="18"/>
                <w:szCs w:val="18"/>
              </w:rPr>
            </w:pPr>
            <w:r w:rsidRPr="00361139">
              <w:rPr>
                <w:b/>
                <w:i/>
                <w:sz w:val="18"/>
                <w:szCs w:val="18"/>
              </w:rPr>
              <w:t>182.666.105</w:t>
            </w:r>
          </w:p>
        </w:tc>
        <w:tc>
          <w:tcPr>
            <w:tcW w:w="1054" w:type="dxa"/>
            <w:tcBorders>
              <w:left w:val="single" w:sz="4" w:space="0" w:color="000000"/>
              <w:bottom w:val="single" w:sz="4" w:space="0" w:color="000000"/>
              <w:right w:val="single" w:sz="4" w:space="0" w:color="000000"/>
            </w:tcBorders>
            <w:vAlign w:val="center"/>
          </w:tcPr>
          <w:p w14:paraId="0603A3F1" w14:textId="77777777" w:rsidR="00CC73DD" w:rsidRPr="00361139" w:rsidRDefault="00CC73DD" w:rsidP="008144F7">
            <w:pPr>
              <w:ind w:hanging="28"/>
              <w:jc w:val="center"/>
              <w:rPr>
                <w:b/>
                <w:i/>
                <w:sz w:val="18"/>
                <w:szCs w:val="18"/>
              </w:rPr>
            </w:pPr>
            <w:r w:rsidRPr="00361139">
              <w:rPr>
                <w:b/>
                <w:i/>
                <w:sz w:val="18"/>
                <w:szCs w:val="18"/>
              </w:rPr>
              <w:t>10</w:t>
            </w:r>
          </w:p>
        </w:tc>
        <w:tc>
          <w:tcPr>
            <w:tcW w:w="1366" w:type="dxa"/>
            <w:tcBorders>
              <w:left w:val="single" w:sz="4" w:space="0" w:color="000000"/>
              <w:bottom w:val="single" w:sz="4" w:space="0" w:color="000000"/>
              <w:right w:val="single" w:sz="4" w:space="0" w:color="000000"/>
            </w:tcBorders>
            <w:vAlign w:val="center"/>
          </w:tcPr>
          <w:p w14:paraId="54B5125E" w14:textId="77777777" w:rsidR="00CC73DD" w:rsidRPr="00361139" w:rsidRDefault="00CC73DD" w:rsidP="008144F7">
            <w:pPr>
              <w:ind w:hanging="28"/>
              <w:jc w:val="right"/>
              <w:rPr>
                <w:b/>
                <w:i/>
                <w:sz w:val="18"/>
                <w:szCs w:val="18"/>
              </w:rPr>
            </w:pPr>
            <w:r w:rsidRPr="00361139">
              <w:rPr>
                <w:b/>
                <w:i/>
                <w:sz w:val="18"/>
                <w:szCs w:val="18"/>
              </w:rPr>
              <w:t>52.785.366</w:t>
            </w:r>
          </w:p>
        </w:tc>
      </w:tr>
    </w:tbl>
    <w:p w14:paraId="24E417B8" w14:textId="4A93249B" w:rsidR="00CC73DD" w:rsidRPr="00361139" w:rsidRDefault="00CC73DD" w:rsidP="0077111E">
      <w:pPr>
        <w:pStyle w:val="Titletable"/>
        <w:spacing w:before="240"/>
        <w:rPr>
          <w:lang w:val="en-GB"/>
        </w:rPr>
      </w:pPr>
      <w:bookmarkStart w:id="189" w:name="_Toc139982235"/>
      <w:bookmarkStart w:id="190" w:name="_Toc139983947"/>
      <w:r w:rsidRPr="00361139">
        <w:rPr>
          <w:b w:val="0"/>
          <w:bCs w:val="0"/>
          <w:lang w:val="en-GB"/>
        </w:rPr>
        <w:t>Table 6</w:t>
      </w:r>
      <w:r w:rsidR="009D5362" w:rsidRPr="00361139">
        <w:rPr>
          <w:lang w:val="en-GB"/>
        </w:rPr>
        <w:t xml:space="preserve"> </w:t>
      </w:r>
      <w:r w:rsidR="009D5362" w:rsidRPr="00361139">
        <w:rPr>
          <w:lang w:val="en-GB"/>
        </w:rPr>
        <w:br/>
      </w:r>
      <w:r w:rsidRPr="00361139">
        <w:rPr>
          <w:lang w:val="en-GB"/>
        </w:rPr>
        <w:t>Number and total funding</w:t>
      </w:r>
      <w:r w:rsidRPr="00361139">
        <w:rPr>
          <w:vertAlign w:val="superscript"/>
          <w:lang w:val="en-GB"/>
        </w:rPr>
        <w:t>25</w:t>
      </w:r>
      <w:r w:rsidRPr="00361139">
        <w:rPr>
          <w:lang w:val="en-GB"/>
        </w:rPr>
        <w:t xml:space="preserve"> of active projects, in the period under review, involving countries from Africa, Asia, Latin America and Caribbean (LAC) and Central and Eastern Europe (CEE), by the entities comprising the </w:t>
      </w:r>
      <w:r w:rsidRPr="00361139">
        <w:rPr>
          <w:i/>
          <w:lang w:val="en-GB"/>
        </w:rPr>
        <w:t>MC financial mechanism</w:t>
      </w:r>
      <w:r w:rsidRPr="00361139">
        <w:rPr>
          <w:lang w:val="en-GB"/>
        </w:rPr>
        <w:t xml:space="preserve"> and their related cycles or rounds.</w:t>
      </w:r>
      <w:bookmarkEnd w:id="189"/>
      <w:bookmarkEnd w:id="190"/>
    </w:p>
    <w:tbl>
      <w:tblPr>
        <w:tblW w:w="50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1134"/>
        <w:gridCol w:w="708"/>
        <w:gridCol w:w="662"/>
        <w:gridCol w:w="472"/>
        <w:gridCol w:w="567"/>
        <w:gridCol w:w="85"/>
        <w:gridCol w:w="574"/>
        <w:gridCol w:w="617"/>
        <w:gridCol w:w="165"/>
        <w:gridCol w:w="544"/>
        <w:gridCol w:w="372"/>
        <w:gridCol w:w="904"/>
        <w:gridCol w:w="567"/>
        <w:gridCol w:w="1267"/>
      </w:tblGrid>
      <w:tr w:rsidR="00CC73DD" w:rsidRPr="00361139" w14:paraId="5BA485C2" w14:textId="77777777" w:rsidTr="00991195">
        <w:trPr>
          <w:cantSplit/>
          <w:jc w:val="center"/>
        </w:trPr>
        <w:tc>
          <w:tcPr>
            <w:tcW w:w="988" w:type="dxa"/>
            <w:vMerge w:val="restart"/>
            <w:tcBorders>
              <w:top w:val="single" w:sz="4" w:space="0" w:color="auto"/>
            </w:tcBorders>
            <w:shd w:val="clear" w:color="auto" w:fill="B6DDE8"/>
            <w:vAlign w:val="center"/>
          </w:tcPr>
          <w:p w14:paraId="5D6EC655"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sz w:val="18"/>
                <w:szCs w:val="18"/>
              </w:rPr>
              <w:t>FM Entities</w:t>
            </w:r>
          </w:p>
        </w:tc>
        <w:tc>
          <w:tcPr>
            <w:tcW w:w="1134" w:type="dxa"/>
            <w:vMerge w:val="restart"/>
            <w:tcBorders>
              <w:top w:val="single" w:sz="4" w:space="0" w:color="auto"/>
            </w:tcBorders>
            <w:shd w:val="clear" w:color="auto" w:fill="B6DDE8"/>
            <w:vAlign w:val="center"/>
          </w:tcPr>
          <w:p w14:paraId="7DBB9892"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sz w:val="18"/>
                <w:szCs w:val="18"/>
              </w:rPr>
              <w:t>Cycles/ Rounds</w:t>
            </w:r>
          </w:p>
        </w:tc>
        <w:tc>
          <w:tcPr>
            <w:tcW w:w="1842" w:type="dxa"/>
            <w:gridSpan w:val="3"/>
            <w:tcBorders>
              <w:top w:val="single" w:sz="4" w:space="0" w:color="auto"/>
              <w:bottom w:val="nil"/>
            </w:tcBorders>
            <w:shd w:val="clear" w:color="auto" w:fill="B6DDE8"/>
            <w:vAlign w:val="center"/>
          </w:tcPr>
          <w:p w14:paraId="20D9163F"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sz w:val="18"/>
                <w:szCs w:val="18"/>
              </w:rPr>
              <w:t>Projects involving African countries</w:t>
            </w:r>
          </w:p>
        </w:tc>
        <w:tc>
          <w:tcPr>
            <w:tcW w:w="1843" w:type="dxa"/>
            <w:gridSpan w:val="4"/>
            <w:tcBorders>
              <w:top w:val="single" w:sz="4" w:space="0" w:color="auto"/>
              <w:bottom w:val="nil"/>
            </w:tcBorders>
            <w:shd w:val="clear" w:color="auto" w:fill="B6DDE8"/>
            <w:vAlign w:val="center"/>
          </w:tcPr>
          <w:p w14:paraId="43373672"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b/>
                <w:sz w:val="18"/>
                <w:szCs w:val="18"/>
              </w:rPr>
              <w:t>Projects involving Asian countries</w:t>
            </w:r>
          </w:p>
        </w:tc>
        <w:tc>
          <w:tcPr>
            <w:tcW w:w="1985" w:type="dxa"/>
            <w:gridSpan w:val="4"/>
            <w:tcBorders>
              <w:top w:val="single" w:sz="4" w:space="0" w:color="auto"/>
              <w:bottom w:val="nil"/>
            </w:tcBorders>
            <w:shd w:val="clear" w:color="auto" w:fill="B6DDE8"/>
            <w:vAlign w:val="center"/>
          </w:tcPr>
          <w:p w14:paraId="383078CC" w14:textId="77777777" w:rsidR="00CC73DD" w:rsidRPr="00361139" w:rsidRDefault="00CC73DD" w:rsidP="008144F7">
            <w:pPr>
              <w:jc w:val="center"/>
              <w:rPr>
                <w:rFonts w:asciiTheme="majorBidi" w:hAnsiTheme="majorBidi" w:cstheme="majorBidi"/>
                <w:bCs/>
                <w:sz w:val="18"/>
                <w:szCs w:val="18"/>
              </w:rPr>
            </w:pPr>
            <w:r w:rsidRPr="00361139">
              <w:rPr>
                <w:rFonts w:asciiTheme="majorBidi" w:hAnsiTheme="majorBidi" w:cstheme="majorBidi"/>
                <w:b/>
                <w:sz w:val="18"/>
                <w:szCs w:val="18"/>
              </w:rPr>
              <w:t>Projects involving LAC countries</w:t>
            </w:r>
          </w:p>
        </w:tc>
        <w:tc>
          <w:tcPr>
            <w:tcW w:w="1834" w:type="dxa"/>
            <w:gridSpan w:val="2"/>
            <w:tcBorders>
              <w:top w:val="single" w:sz="4" w:space="0" w:color="auto"/>
              <w:bottom w:val="nil"/>
            </w:tcBorders>
            <w:shd w:val="clear" w:color="auto" w:fill="B6DDE8"/>
            <w:vAlign w:val="center"/>
          </w:tcPr>
          <w:p w14:paraId="36970B98" w14:textId="77777777" w:rsidR="00CC73DD" w:rsidRPr="00361139" w:rsidRDefault="00CC73DD" w:rsidP="008144F7">
            <w:pPr>
              <w:jc w:val="center"/>
              <w:rPr>
                <w:rFonts w:asciiTheme="majorBidi" w:hAnsiTheme="majorBidi" w:cstheme="majorBidi"/>
                <w:bCs/>
                <w:sz w:val="18"/>
                <w:szCs w:val="18"/>
              </w:rPr>
            </w:pPr>
            <w:r w:rsidRPr="00361139">
              <w:rPr>
                <w:rFonts w:asciiTheme="majorBidi" w:hAnsiTheme="majorBidi" w:cstheme="majorBidi"/>
                <w:b/>
                <w:sz w:val="18"/>
                <w:szCs w:val="18"/>
              </w:rPr>
              <w:t>Projects involving CEE countries</w:t>
            </w:r>
          </w:p>
        </w:tc>
      </w:tr>
      <w:tr w:rsidR="00B57EC0" w:rsidRPr="00361139" w14:paraId="2A0B92E6" w14:textId="77777777" w:rsidTr="00991195">
        <w:trPr>
          <w:cantSplit/>
          <w:jc w:val="center"/>
        </w:trPr>
        <w:tc>
          <w:tcPr>
            <w:tcW w:w="988" w:type="dxa"/>
            <w:vMerge/>
            <w:tcBorders>
              <w:bottom w:val="single" w:sz="4" w:space="0" w:color="000000"/>
            </w:tcBorders>
            <w:shd w:val="clear" w:color="auto" w:fill="B6DDE8"/>
            <w:vAlign w:val="center"/>
          </w:tcPr>
          <w:p w14:paraId="51AC3E84" w14:textId="77777777" w:rsidR="00CC73DD" w:rsidRPr="00361139" w:rsidRDefault="00CC73DD" w:rsidP="008144F7">
            <w:pPr>
              <w:jc w:val="center"/>
              <w:rPr>
                <w:rFonts w:asciiTheme="majorBidi" w:hAnsiTheme="majorBidi" w:cstheme="majorBidi"/>
                <w:sz w:val="18"/>
                <w:szCs w:val="18"/>
              </w:rPr>
            </w:pPr>
          </w:p>
        </w:tc>
        <w:tc>
          <w:tcPr>
            <w:tcW w:w="1134" w:type="dxa"/>
            <w:vMerge/>
            <w:tcBorders>
              <w:bottom w:val="single" w:sz="4" w:space="0" w:color="000000"/>
            </w:tcBorders>
            <w:shd w:val="clear" w:color="auto" w:fill="B6DDE8"/>
            <w:vAlign w:val="center"/>
          </w:tcPr>
          <w:p w14:paraId="57E71C07" w14:textId="77777777" w:rsidR="00CC73DD" w:rsidRPr="00361139" w:rsidRDefault="00CC73DD" w:rsidP="008144F7">
            <w:pPr>
              <w:jc w:val="center"/>
              <w:rPr>
                <w:rFonts w:asciiTheme="majorBidi" w:hAnsiTheme="majorBidi" w:cstheme="majorBidi"/>
                <w:sz w:val="18"/>
                <w:szCs w:val="18"/>
              </w:rPr>
            </w:pPr>
          </w:p>
        </w:tc>
        <w:tc>
          <w:tcPr>
            <w:tcW w:w="708" w:type="dxa"/>
            <w:tcBorders>
              <w:top w:val="nil"/>
              <w:bottom w:val="single" w:sz="4" w:space="0" w:color="000000"/>
              <w:right w:val="nil"/>
            </w:tcBorders>
            <w:shd w:val="clear" w:color="auto" w:fill="B6DDE8"/>
            <w:vAlign w:val="center"/>
          </w:tcPr>
          <w:p w14:paraId="582B1CB9"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No.</w:t>
            </w:r>
          </w:p>
        </w:tc>
        <w:tc>
          <w:tcPr>
            <w:tcW w:w="1134" w:type="dxa"/>
            <w:gridSpan w:val="2"/>
            <w:tcBorders>
              <w:top w:val="nil"/>
              <w:left w:val="nil"/>
              <w:bottom w:val="single" w:sz="4" w:space="0" w:color="000000"/>
            </w:tcBorders>
            <w:shd w:val="clear" w:color="auto" w:fill="B6DDE8"/>
            <w:vAlign w:val="center"/>
          </w:tcPr>
          <w:p w14:paraId="08F9B96E"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Funding (USD)</w:t>
            </w:r>
          </w:p>
        </w:tc>
        <w:tc>
          <w:tcPr>
            <w:tcW w:w="567" w:type="dxa"/>
            <w:tcBorders>
              <w:top w:val="nil"/>
              <w:bottom w:val="single" w:sz="4" w:space="0" w:color="000000"/>
              <w:right w:val="nil"/>
            </w:tcBorders>
            <w:shd w:val="clear" w:color="auto" w:fill="B6DDE8"/>
            <w:vAlign w:val="center"/>
          </w:tcPr>
          <w:p w14:paraId="6F4B6ABA"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No.</w:t>
            </w:r>
          </w:p>
        </w:tc>
        <w:tc>
          <w:tcPr>
            <w:tcW w:w="1276" w:type="dxa"/>
            <w:gridSpan w:val="3"/>
            <w:tcBorders>
              <w:top w:val="nil"/>
              <w:left w:val="nil"/>
              <w:bottom w:val="single" w:sz="4" w:space="0" w:color="000000"/>
            </w:tcBorders>
            <w:shd w:val="clear" w:color="auto" w:fill="B6DDE8"/>
            <w:vAlign w:val="center"/>
          </w:tcPr>
          <w:p w14:paraId="3B4A637F"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Funding (USD)</w:t>
            </w:r>
          </w:p>
        </w:tc>
        <w:tc>
          <w:tcPr>
            <w:tcW w:w="709" w:type="dxa"/>
            <w:gridSpan w:val="2"/>
            <w:tcBorders>
              <w:top w:val="nil"/>
              <w:bottom w:val="single" w:sz="4" w:space="0" w:color="000000"/>
              <w:right w:val="nil"/>
            </w:tcBorders>
            <w:shd w:val="clear" w:color="auto" w:fill="B6DDE8"/>
            <w:vAlign w:val="center"/>
          </w:tcPr>
          <w:p w14:paraId="2FD7D7C7"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No.</w:t>
            </w:r>
          </w:p>
        </w:tc>
        <w:tc>
          <w:tcPr>
            <w:tcW w:w="1276" w:type="dxa"/>
            <w:gridSpan w:val="2"/>
            <w:tcBorders>
              <w:top w:val="nil"/>
              <w:left w:val="nil"/>
              <w:bottom w:val="single" w:sz="4" w:space="0" w:color="000000"/>
            </w:tcBorders>
            <w:shd w:val="clear" w:color="auto" w:fill="B6DDE8"/>
            <w:vAlign w:val="center"/>
          </w:tcPr>
          <w:p w14:paraId="067DC291" w14:textId="77777777" w:rsidR="00CC73DD" w:rsidRPr="00361139" w:rsidRDefault="00CC73DD" w:rsidP="008144F7">
            <w:pPr>
              <w:jc w:val="center"/>
              <w:rPr>
                <w:rFonts w:asciiTheme="majorBidi" w:hAnsiTheme="majorBidi" w:cstheme="majorBidi"/>
                <w:bCs/>
                <w:i/>
                <w:sz w:val="18"/>
                <w:szCs w:val="18"/>
              </w:rPr>
            </w:pPr>
            <w:r w:rsidRPr="00361139">
              <w:rPr>
                <w:rFonts w:asciiTheme="majorBidi" w:hAnsiTheme="majorBidi" w:cstheme="majorBidi"/>
                <w:bCs/>
                <w:i/>
                <w:sz w:val="18"/>
                <w:szCs w:val="18"/>
              </w:rPr>
              <w:t xml:space="preserve">Funding </w:t>
            </w:r>
            <w:r w:rsidRPr="00361139">
              <w:rPr>
                <w:rFonts w:asciiTheme="majorBidi" w:hAnsiTheme="majorBidi" w:cstheme="majorBidi"/>
                <w:i/>
                <w:sz w:val="18"/>
                <w:szCs w:val="18"/>
              </w:rPr>
              <w:t>(USD)</w:t>
            </w:r>
          </w:p>
        </w:tc>
        <w:tc>
          <w:tcPr>
            <w:tcW w:w="567" w:type="dxa"/>
            <w:tcBorders>
              <w:top w:val="nil"/>
              <w:bottom w:val="single" w:sz="4" w:space="0" w:color="000000"/>
              <w:right w:val="nil"/>
            </w:tcBorders>
            <w:shd w:val="clear" w:color="auto" w:fill="B6DDE8"/>
            <w:vAlign w:val="center"/>
          </w:tcPr>
          <w:p w14:paraId="219DDCEA"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No.</w:t>
            </w:r>
          </w:p>
        </w:tc>
        <w:tc>
          <w:tcPr>
            <w:tcW w:w="1267" w:type="dxa"/>
            <w:tcBorders>
              <w:top w:val="nil"/>
              <w:left w:val="nil"/>
              <w:bottom w:val="single" w:sz="4" w:space="0" w:color="000000"/>
            </w:tcBorders>
            <w:shd w:val="clear" w:color="auto" w:fill="B6DDE8"/>
            <w:vAlign w:val="center"/>
          </w:tcPr>
          <w:p w14:paraId="4030C53D" w14:textId="77777777" w:rsidR="00CC73DD" w:rsidRPr="00361139" w:rsidRDefault="00CC73DD" w:rsidP="008144F7">
            <w:pPr>
              <w:jc w:val="center"/>
              <w:rPr>
                <w:rFonts w:asciiTheme="majorBidi" w:hAnsiTheme="majorBidi" w:cstheme="majorBidi"/>
                <w:bCs/>
                <w:i/>
                <w:sz w:val="18"/>
                <w:szCs w:val="18"/>
              </w:rPr>
            </w:pPr>
            <w:r w:rsidRPr="00361139">
              <w:rPr>
                <w:rFonts w:asciiTheme="majorBidi" w:hAnsiTheme="majorBidi" w:cstheme="majorBidi"/>
                <w:bCs/>
                <w:i/>
                <w:sz w:val="18"/>
                <w:szCs w:val="18"/>
              </w:rPr>
              <w:t xml:space="preserve">Funding </w:t>
            </w:r>
            <w:r w:rsidRPr="00361139">
              <w:rPr>
                <w:rFonts w:asciiTheme="majorBidi" w:hAnsiTheme="majorBidi" w:cstheme="majorBidi"/>
                <w:i/>
                <w:sz w:val="18"/>
                <w:szCs w:val="18"/>
              </w:rPr>
              <w:t>(USD)</w:t>
            </w:r>
          </w:p>
        </w:tc>
      </w:tr>
      <w:tr w:rsidR="00B57EC0" w:rsidRPr="00361139" w14:paraId="00D502DA" w14:textId="77777777" w:rsidTr="00991195">
        <w:trPr>
          <w:cantSplit/>
          <w:trHeight w:hRule="exact" w:val="57"/>
          <w:jc w:val="center"/>
        </w:trPr>
        <w:tc>
          <w:tcPr>
            <w:tcW w:w="988" w:type="dxa"/>
            <w:tcBorders>
              <w:top w:val="single" w:sz="4" w:space="0" w:color="000000"/>
              <w:left w:val="nil"/>
              <w:right w:val="nil"/>
            </w:tcBorders>
            <w:vAlign w:val="center"/>
          </w:tcPr>
          <w:p w14:paraId="190F3DF3" w14:textId="77777777" w:rsidR="00CC73DD" w:rsidRPr="00361139" w:rsidRDefault="00CC73DD" w:rsidP="008144F7">
            <w:pPr>
              <w:jc w:val="center"/>
              <w:rPr>
                <w:rFonts w:asciiTheme="majorBidi" w:hAnsiTheme="majorBidi" w:cstheme="majorBidi"/>
                <w:sz w:val="18"/>
                <w:szCs w:val="18"/>
              </w:rPr>
            </w:pPr>
          </w:p>
        </w:tc>
        <w:tc>
          <w:tcPr>
            <w:tcW w:w="1134" w:type="dxa"/>
            <w:tcBorders>
              <w:top w:val="single" w:sz="4" w:space="0" w:color="000000"/>
              <w:left w:val="nil"/>
              <w:right w:val="nil"/>
            </w:tcBorders>
            <w:vAlign w:val="center"/>
          </w:tcPr>
          <w:p w14:paraId="78C8562F" w14:textId="77777777" w:rsidR="00CC73DD" w:rsidRPr="00361139" w:rsidRDefault="00CC73DD" w:rsidP="008144F7">
            <w:pPr>
              <w:jc w:val="center"/>
              <w:rPr>
                <w:rFonts w:asciiTheme="majorBidi" w:hAnsiTheme="majorBidi" w:cstheme="majorBidi"/>
                <w:sz w:val="18"/>
                <w:szCs w:val="18"/>
              </w:rPr>
            </w:pPr>
          </w:p>
        </w:tc>
        <w:tc>
          <w:tcPr>
            <w:tcW w:w="708" w:type="dxa"/>
            <w:tcBorders>
              <w:top w:val="single" w:sz="4" w:space="0" w:color="000000"/>
              <w:left w:val="nil"/>
              <w:right w:val="nil"/>
            </w:tcBorders>
            <w:vAlign w:val="center"/>
          </w:tcPr>
          <w:p w14:paraId="389F5125" w14:textId="77777777" w:rsidR="00CC73DD" w:rsidRPr="00361139" w:rsidRDefault="00CC73DD" w:rsidP="008144F7">
            <w:pPr>
              <w:jc w:val="center"/>
              <w:rPr>
                <w:rFonts w:asciiTheme="majorBidi" w:hAnsiTheme="majorBidi" w:cstheme="majorBidi"/>
                <w:sz w:val="18"/>
                <w:szCs w:val="18"/>
              </w:rPr>
            </w:pPr>
          </w:p>
        </w:tc>
        <w:tc>
          <w:tcPr>
            <w:tcW w:w="1134" w:type="dxa"/>
            <w:gridSpan w:val="2"/>
            <w:tcBorders>
              <w:top w:val="single" w:sz="4" w:space="0" w:color="000000"/>
              <w:left w:val="nil"/>
              <w:right w:val="nil"/>
            </w:tcBorders>
            <w:vAlign w:val="center"/>
          </w:tcPr>
          <w:p w14:paraId="52F8CCE2" w14:textId="77777777" w:rsidR="00CC73DD" w:rsidRPr="00361139" w:rsidRDefault="00CC73DD" w:rsidP="008144F7">
            <w:pPr>
              <w:jc w:val="right"/>
              <w:rPr>
                <w:rFonts w:asciiTheme="majorBidi" w:hAnsiTheme="majorBidi" w:cstheme="majorBidi"/>
                <w:sz w:val="18"/>
                <w:szCs w:val="18"/>
              </w:rPr>
            </w:pPr>
          </w:p>
        </w:tc>
        <w:tc>
          <w:tcPr>
            <w:tcW w:w="567" w:type="dxa"/>
            <w:tcBorders>
              <w:top w:val="single" w:sz="4" w:space="0" w:color="000000"/>
              <w:left w:val="nil"/>
              <w:right w:val="nil"/>
            </w:tcBorders>
            <w:vAlign w:val="center"/>
          </w:tcPr>
          <w:p w14:paraId="2DD8EF24" w14:textId="77777777" w:rsidR="00CC73DD" w:rsidRPr="00361139" w:rsidRDefault="00CC73DD" w:rsidP="008144F7">
            <w:pPr>
              <w:jc w:val="center"/>
              <w:rPr>
                <w:rFonts w:asciiTheme="majorBidi" w:hAnsiTheme="majorBidi" w:cstheme="majorBidi"/>
                <w:sz w:val="18"/>
                <w:szCs w:val="18"/>
              </w:rPr>
            </w:pPr>
          </w:p>
        </w:tc>
        <w:tc>
          <w:tcPr>
            <w:tcW w:w="1276" w:type="dxa"/>
            <w:gridSpan w:val="3"/>
            <w:tcBorders>
              <w:top w:val="single" w:sz="4" w:space="0" w:color="000000"/>
              <w:left w:val="nil"/>
              <w:right w:val="nil"/>
            </w:tcBorders>
            <w:vAlign w:val="center"/>
          </w:tcPr>
          <w:p w14:paraId="765B0746" w14:textId="77777777" w:rsidR="00CC73DD" w:rsidRPr="00361139" w:rsidRDefault="00CC73DD" w:rsidP="008144F7">
            <w:pPr>
              <w:jc w:val="right"/>
              <w:rPr>
                <w:rFonts w:asciiTheme="majorBidi" w:hAnsiTheme="majorBidi" w:cstheme="majorBidi"/>
                <w:sz w:val="18"/>
                <w:szCs w:val="18"/>
              </w:rPr>
            </w:pPr>
          </w:p>
        </w:tc>
        <w:tc>
          <w:tcPr>
            <w:tcW w:w="709" w:type="dxa"/>
            <w:gridSpan w:val="2"/>
            <w:tcBorders>
              <w:top w:val="single" w:sz="4" w:space="0" w:color="000000"/>
              <w:left w:val="nil"/>
              <w:right w:val="nil"/>
            </w:tcBorders>
            <w:vAlign w:val="center"/>
          </w:tcPr>
          <w:p w14:paraId="1D330869" w14:textId="77777777" w:rsidR="00CC73DD" w:rsidRPr="00361139" w:rsidRDefault="00CC73DD" w:rsidP="008144F7">
            <w:pPr>
              <w:jc w:val="center"/>
              <w:rPr>
                <w:rFonts w:asciiTheme="majorBidi" w:hAnsiTheme="majorBidi" w:cstheme="majorBidi"/>
                <w:sz w:val="18"/>
                <w:szCs w:val="18"/>
              </w:rPr>
            </w:pPr>
          </w:p>
        </w:tc>
        <w:tc>
          <w:tcPr>
            <w:tcW w:w="1276" w:type="dxa"/>
            <w:gridSpan w:val="2"/>
            <w:tcBorders>
              <w:top w:val="single" w:sz="4" w:space="0" w:color="000000"/>
              <w:left w:val="nil"/>
              <w:right w:val="nil"/>
            </w:tcBorders>
            <w:vAlign w:val="center"/>
          </w:tcPr>
          <w:p w14:paraId="49D660E9" w14:textId="77777777" w:rsidR="00CC73DD" w:rsidRPr="00361139" w:rsidRDefault="00CC73DD" w:rsidP="008144F7">
            <w:pPr>
              <w:jc w:val="right"/>
              <w:rPr>
                <w:rFonts w:asciiTheme="majorBidi" w:hAnsiTheme="majorBidi" w:cstheme="majorBidi"/>
                <w:bCs/>
                <w:sz w:val="18"/>
                <w:szCs w:val="18"/>
              </w:rPr>
            </w:pPr>
          </w:p>
        </w:tc>
        <w:tc>
          <w:tcPr>
            <w:tcW w:w="567" w:type="dxa"/>
            <w:tcBorders>
              <w:top w:val="single" w:sz="4" w:space="0" w:color="000000"/>
              <w:left w:val="nil"/>
              <w:right w:val="nil"/>
            </w:tcBorders>
            <w:vAlign w:val="center"/>
          </w:tcPr>
          <w:p w14:paraId="4050B066" w14:textId="77777777" w:rsidR="00CC73DD" w:rsidRPr="00361139" w:rsidRDefault="00CC73DD" w:rsidP="008144F7">
            <w:pPr>
              <w:jc w:val="center"/>
              <w:rPr>
                <w:rFonts w:asciiTheme="majorBidi" w:hAnsiTheme="majorBidi" w:cstheme="majorBidi"/>
                <w:sz w:val="18"/>
                <w:szCs w:val="18"/>
              </w:rPr>
            </w:pPr>
          </w:p>
        </w:tc>
        <w:tc>
          <w:tcPr>
            <w:tcW w:w="1267" w:type="dxa"/>
            <w:tcBorders>
              <w:top w:val="single" w:sz="4" w:space="0" w:color="000000"/>
              <w:left w:val="nil"/>
              <w:right w:val="nil"/>
            </w:tcBorders>
            <w:vAlign w:val="center"/>
          </w:tcPr>
          <w:p w14:paraId="728C0627" w14:textId="77777777" w:rsidR="00CC73DD" w:rsidRPr="00361139" w:rsidRDefault="00CC73DD" w:rsidP="008144F7">
            <w:pPr>
              <w:jc w:val="right"/>
              <w:rPr>
                <w:rFonts w:asciiTheme="majorBidi" w:hAnsiTheme="majorBidi" w:cstheme="majorBidi"/>
                <w:bCs/>
                <w:sz w:val="18"/>
                <w:szCs w:val="18"/>
              </w:rPr>
            </w:pPr>
          </w:p>
        </w:tc>
      </w:tr>
      <w:tr w:rsidR="00B57EC0" w:rsidRPr="00361139" w14:paraId="3D7A388A" w14:textId="77777777" w:rsidTr="00991195">
        <w:trPr>
          <w:cantSplit/>
          <w:jc w:val="center"/>
        </w:trPr>
        <w:tc>
          <w:tcPr>
            <w:tcW w:w="988" w:type="dxa"/>
            <w:vMerge w:val="restart"/>
            <w:tcBorders>
              <w:top w:val="single" w:sz="4" w:space="0" w:color="auto"/>
            </w:tcBorders>
            <w:vAlign w:val="center"/>
          </w:tcPr>
          <w:p w14:paraId="06DB2244"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GEF</w:t>
            </w:r>
          </w:p>
        </w:tc>
        <w:tc>
          <w:tcPr>
            <w:tcW w:w="1134" w:type="dxa"/>
            <w:tcBorders>
              <w:top w:val="single" w:sz="4" w:space="0" w:color="auto"/>
            </w:tcBorders>
            <w:vAlign w:val="center"/>
          </w:tcPr>
          <w:p w14:paraId="1FBE3F9B" w14:textId="3B3EE1AF"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GEF-6</w:t>
            </w:r>
            <w:r w:rsidR="00C80B46" w:rsidRPr="00361139">
              <w:rPr>
                <w:rFonts w:asciiTheme="majorBidi" w:hAnsiTheme="majorBidi" w:cstheme="majorBidi"/>
                <w:sz w:val="18"/>
                <w:szCs w:val="18"/>
              </w:rPr>
              <w:t xml:space="preserve"> </w:t>
            </w:r>
            <w:r w:rsidRPr="00361139">
              <w:rPr>
                <w:rFonts w:asciiTheme="majorBidi" w:hAnsiTheme="majorBidi" w:cstheme="majorBidi"/>
                <w:sz w:val="18"/>
                <w:szCs w:val="18"/>
              </w:rPr>
              <w:br/>
              <w:t>(2014-2018)</w:t>
            </w:r>
          </w:p>
        </w:tc>
        <w:tc>
          <w:tcPr>
            <w:tcW w:w="708" w:type="dxa"/>
            <w:tcBorders>
              <w:top w:val="single" w:sz="4" w:space="0" w:color="auto"/>
            </w:tcBorders>
            <w:vAlign w:val="center"/>
          </w:tcPr>
          <w:p w14:paraId="609AE56D"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31</w:t>
            </w:r>
          </w:p>
        </w:tc>
        <w:tc>
          <w:tcPr>
            <w:tcW w:w="1134" w:type="dxa"/>
            <w:gridSpan w:val="2"/>
            <w:tcBorders>
              <w:top w:val="single" w:sz="4" w:space="0" w:color="auto"/>
            </w:tcBorders>
            <w:vAlign w:val="center"/>
          </w:tcPr>
          <w:p w14:paraId="31606D10"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76.066.100</w:t>
            </w:r>
          </w:p>
        </w:tc>
        <w:tc>
          <w:tcPr>
            <w:tcW w:w="567" w:type="dxa"/>
            <w:tcBorders>
              <w:top w:val="single" w:sz="4" w:space="0" w:color="auto"/>
            </w:tcBorders>
            <w:vAlign w:val="center"/>
          </w:tcPr>
          <w:p w14:paraId="5B44D487"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22</w:t>
            </w:r>
          </w:p>
        </w:tc>
        <w:tc>
          <w:tcPr>
            <w:tcW w:w="1276" w:type="dxa"/>
            <w:gridSpan w:val="3"/>
            <w:tcBorders>
              <w:top w:val="single" w:sz="4" w:space="0" w:color="auto"/>
            </w:tcBorders>
            <w:vAlign w:val="center"/>
          </w:tcPr>
          <w:p w14:paraId="7A9A3773"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84.826.706</w:t>
            </w:r>
          </w:p>
        </w:tc>
        <w:tc>
          <w:tcPr>
            <w:tcW w:w="709" w:type="dxa"/>
            <w:gridSpan w:val="2"/>
            <w:tcBorders>
              <w:top w:val="single" w:sz="4" w:space="0" w:color="auto"/>
            </w:tcBorders>
            <w:vAlign w:val="center"/>
          </w:tcPr>
          <w:p w14:paraId="094E3303"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15</w:t>
            </w:r>
          </w:p>
        </w:tc>
        <w:tc>
          <w:tcPr>
            <w:tcW w:w="1276" w:type="dxa"/>
            <w:gridSpan w:val="2"/>
            <w:tcBorders>
              <w:top w:val="single" w:sz="4" w:space="0" w:color="auto"/>
            </w:tcBorders>
            <w:vAlign w:val="center"/>
          </w:tcPr>
          <w:p w14:paraId="1807B3DD" w14:textId="77777777" w:rsidR="00CC73DD" w:rsidRPr="00361139" w:rsidRDefault="00CC73DD" w:rsidP="008144F7">
            <w:pPr>
              <w:jc w:val="right"/>
              <w:rPr>
                <w:rFonts w:asciiTheme="majorBidi" w:hAnsiTheme="majorBidi" w:cstheme="majorBidi"/>
                <w:bCs/>
                <w:sz w:val="18"/>
                <w:szCs w:val="18"/>
              </w:rPr>
            </w:pPr>
            <w:r w:rsidRPr="00361139">
              <w:rPr>
                <w:rFonts w:asciiTheme="majorBidi" w:hAnsiTheme="majorBidi" w:cstheme="majorBidi"/>
                <w:bCs/>
                <w:sz w:val="18"/>
                <w:szCs w:val="18"/>
              </w:rPr>
              <w:t>43.050.350</w:t>
            </w:r>
          </w:p>
        </w:tc>
        <w:tc>
          <w:tcPr>
            <w:tcW w:w="567" w:type="dxa"/>
            <w:tcBorders>
              <w:top w:val="single" w:sz="4" w:space="0" w:color="auto"/>
            </w:tcBorders>
            <w:vAlign w:val="center"/>
          </w:tcPr>
          <w:p w14:paraId="7A8BDA7B"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4</w:t>
            </w:r>
          </w:p>
        </w:tc>
        <w:tc>
          <w:tcPr>
            <w:tcW w:w="1267" w:type="dxa"/>
            <w:tcBorders>
              <w:top w:val="single" w:sz="4" w:space="0" w:color="auto"/>
            </w:tcBorders>
            <w:vAlign w:val="center"/>
          </w:tcPr>
          <w:p w14:paraId="62499F89" w14:textId="77777777" w:rsidR="00CC73DD" w:rsidRPr="00361139" w:rsidRDefault="00CC73DD" w:rsidP="008144F7">
            <w:pPr>
              <w:jc w:val="right"/>
              <w:rPr>
                <w:rFonts w:asciiTheme="majorBidi" w:hAnsiTheme="majorBidi" w:cstheme="majorBidi"/>
                <w:bCs/>
                <w:sz w:val="18"/>
                <w:szCs w:val="18"/>
              </w:rPr>
            </w:pPr>
            <w:r w:rsidRPr="00361139">
              <w:rPr>
                <w:rFonts w:asciiTheme="majorBidi" w:hAnsiTheme="majorBidi" w:cstheme="majorBidi"/>
                <w:bCs/>
                <w:sz w:val="18"/>
                <w:szCs w:val="18"/>
              </w:rPr>
              <w:t>28.384.000</w:t>
            </w:r>
          </w:p>
        </w:tc>
      </w:tr>
      <w:tr w:rsidR="00B57EC0" w:rsidRPr="00361139" w14:paraId="6B40F04A" w14:textId="77777777" w:rsidTr="00991195">
        <w:trPr>
          <w:cantSplit/>
          <w:jc w:val="center"/>
        </w:trPr>
        <w:tc>
          <w:tcPr>
            <w:tcW w:w="988" w:type="dxa"/>
            <w:vMerge/>
            <w:tcBorders>
              <w:bottom w:val="single" w:sz="4" w:space="0" w:color="000000"/>
            </w:tcBorders>
            <w:vAlign w:val="center"/>
          </w:tcPr>
          <w:p w14:paraId="14D7E3F2" w14:textId="77777777" w:rsidR="00CC73DD" w:rsidRPr="00361139" w:rsidRDefault="00CC73DD" w:rsidP="008144F7">
            <w:pPr>
              <w:jc w:val="center"/>
              <w:rPr>
                <w:rFonts w:asciiTheme="majorBidi" w:hAnsiTheme="majorBidi" w:cstheme="majorBidi"/>
                <w:sz w:val="18"/>
                <w:szCs w:val="18"/>
              </w:rPr>
            </w:pPr>
          </w:p>
        </w:tc>
        <w:tc>
          <w:tcPr>
            <w:tcW w:w="1134" w:type="dxa"/>
            <w:tcBorders>
              <w:bottom w:val="single" w:sz="4" w:space="0" w:color="000000"/>
            </w:tcBorders>
            <w:vAlign w:val="center"/>
          </w:tcPr>
          <w:p w14:paraId="39507E46" w14:textId="03C4647B"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GEF-7</w:t>
            </w:r>
            <w:r w:rsidR="00C80B46" w:rsidRPr="00361139">
              <w:rPr>
                <w:rFonts w:asciiTheme="majorBidi" w:hAnsiTheme="majorBidi" w:cstheme="majorBidi"/>
                <w:sz w:val="18"/>
                <w:szCs w:val="18"/>
              </w:rPr>
              <w:t xml:space="preserve"> </w:t>
            </w:r>
            <w:r w:rsidRPr="00361139">
              <w:rPr>
                <w:rFonts w:asciiTheme="majorBidi" w:hAnsiTheme="majorBidi" w:cstheme="majorBidi"/>
                <w:sz w:val="18"/>
                <w:szCs w:val="18"/>
              </w:rPr>
              <w:br/>
              <w:t>(2018-2022)</w:t>
            </w:r>
          </w:p>
        </w:tc>
        <w:tc>
          <w:tcPr>
            <w:tcW w:w="708" w:type="dxa"/>
            <w:vAlign w:val="center"/>
          </w:tcPr>
          <w:p w14:paraId="60092895"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18</w:t>
            </w:r>
          </w:p>
        </w:tc>
        <w:tc>
          <w:tcPr>
            <w:tcW w:w="1134" w:type="dxa"/>
            <w:gridSpan w:val="2"/>
            <w:vAlign w:val="center"/>
          </w:tcPr>
          <w:p w14:paraId="5A66BE35"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227.384.246</w:t>
            </w:r>
          </w:p>
        </w:tc>
        <w:tc>
          <w:tcPr>
            <w:tcW w:w="567" w:type="dxa"/>
            <w:vAlign w:val="center"/>
          </w:tcPr>
          <w:p w14:paraId="329BEE8A"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17</w:t>
            </w:r>
          </w:p>
        </w:tc>
        <w:tc>
          <w:tcPr>
            <w:tcW w:w="1276" w:type="dxa"/>
            <w:gridSpan w:val="3"/>
            <w:vAlign w:val="center"/>
          </w:tcPr>
          <w:p w14:paraId="231B049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163.198.331</w:t>
            </w:r>
          </w:p>
        </w:tc>
        <w:tc>
          <w:tcPr>
            <w:tcW w:w="709" w:type="dxa"/>
            <w:gridSpan w:val="2"/>
            <w:vAlign w:val="center"/>
          </w:tcPr>
          <w:p w14:paraId="5E8AFFBF"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19</w:t>
            </w:r>
          </w:p>
        </w:tc>
        <w:tc>
          <w:tcPr>
            <w:tcW w:w="1276" w:type="dxa"/>
            <w:gridSpan w:val="2"/>
            <w:vAlign w:val="center"/>
          </w:tcPr>
          <w:p w14:paraId="158230C2" w14:textId="77777777" w:rsidR="00CC73DD" w:rsidRPr="00361139" w:rsidRDefault="00CC73DD" w:rsidP="008144F7">
            <w:pPr>
              <w:jc w:val="right"/>
              <w:rPr>
                <w:rFonts w:asciiTheme="majorBidi" w:hAnsiTheme="majorBidi" w:cstheme="majorBidi"/>
                <w:bCs/>
                <w:sz w:val="18"/>
                <w:szCs w:val="18"/>
              </w:rPr>
            </w:pPr>
            <w:r w:rsidRPr="00361139">
              <w:rPr>
                <w:rFonts w:asciiTheme="majorBidi" w:hAnsiTheme="majorBidi" w:cstheme="majorBidi"/>
                <w:bCs/>
                <w:sz w:val="18"/>
                <w:szCs w:val="18"/>
              </w:rPr>
              <w:t>239.503.819</w:t>
            </w:r>
          </w:p>
        </w:tc>
        <w:tc>
          <w:tcPr>
            <w:tcW w:w="567" w:type="dxa"/>
            <w:vAlign w:val="center"/>
          </w:tcPr>
          <w:p w14:paraId="3E954B4F"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2</w:t>
            </w:r>
          </w:p>
        </w:tc>
        <w:tc>
          <w:tcPr>
            <w:tcW w:w="1267" w:type="dxa"/>
            <w:vAlign w:val="center"/>
          </w:tcPr>
          <w:p w14:paraId="0076DE75" w14:textId="77777777" w:rsidR="00CC73DD" w:rsidRPr="00361139" w:rsidRDefault="00CC73DD" w:rsidP="008144F7">
            <w:pPr>
              <w:jc w:val="right"/>
              <w:rPr>
                <w:rFonts w:asciiTheme="majorBidi" w:hAnsiTheme="majorBidi" w:cstheme="majorBidi"/>
                <w:bCs/>
                <w:sz w:val="18"/>
                <w:szCs w:val="18"/>
              </w:rPr>
            </w:pPr>
            <w:r w:rsidRPr="00361139">
              <w:rPr>
                <w:rFonts w:asciiTheme="majorBidi" w:hAnsiTheme="majorBidi" w:cstheme="majorBidi"/>
                <w:bCs/>
                <w:sz w:val="18"/>
                <w:szCs w:val="18"/>
              </w:rPr>
              <w:t>23.004.601</w:t>
            </w:r>
          </w:p>
        </w:tc>
      </w:tr>
      <w:tr w:rsidR="00991195" w:rsidRPr="00361139" w14:paraId="0A57C6A0" w14:textId="77777777" w:rsidTr="00991195">
        <w:trPr>
          <w:cantSplit/>
          <w:jc w:val="center"/>
        </w:trPr>
        <w:tc>
          <w:tcPr>
            <w:tcW w:w="2122" w:type="dxa"/>
            <w:gridSpan w:val="2"/>
            <w:vAlign w:val="center"/>
          </w:tcPr>
          <w:p w14:paraId="354F3328"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Sub-totals</w:t>
            </w:r>
          </w:p>
        </w:tc>
        <w:tc>
          <w:tcPr>
            <w:tcW w:w="708" w:type="dxa"/>
            <w:vAlign w:val="center"/>
          </w:tcPr>
          <w:p w14:paraId="3A6A56AE"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49</w:t>
            </w:r>
          </w:p>
        </w:tc>
        <w:tc>
          <w:tcPr>
            <w:tcW w:w="1134" w:type="dxa"/>
            <w:gridSpan w:val="2"/>
            <w:vAlign w:val="center"/>
          </w:tcPr>
          <w:p w14:paraId="1C8C2030"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303.450.346</w:t>
            </w:r>
          </w:p>
        </w:tc>
        <w:tc>
          <w:tcPr>
            <w:tcW w:w="567" w:type="dxa"/>
            <w:vAlign w:val="center"/>
          </w:tcPr>
          <w:p w14:paraId="46BB9626"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39</w:t>
            </w:r>
          </w:p>
        </w:tc>
        <w:tc>
          <w:tcPr>
            <w:tcW w:w="1276" w:type="dxa"/>
            <w:gridSpan w:val="3"/>
            <w:vAlign w:val="center"/>
          </w:tcPr>
          <w:p w14:paraId="257BF8F0"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248.025.037</w:t>
            </w:r>
          </w:p>
        </w:tc>
        <w:tc>
          <w:tcPr>
            <w:tcW w:w="709" w:type="dxa"/>
            <w:gridSpan w:val="2"/>
            <w:vAlign w:val="center"/>
          </w:tcPr>
          <w:p w14:paraId="2009CD75"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34</w:t>
            </w:r>
          </w:p>
        </w:tc>
        <w:tc>
          <w:tcPr>
            <w:tcW w:w="1276" w:type="dxa"/>
            <w:gridSpan w:val="2"/>
            <w:vAlign w:val="center"/>
          </w:tcPr>
          <w:p w14:paraId="331BB2CF" w14:textId="77777777" w:rsidR="00CC73DD" w:rsidRPr="00361139" w:rsidRDefault="00CC73DD" w:rsidP="008144F7">
            <w:pPr>
              <w:jc w:val="right"/>
              <w:rPr>
                <w:rFonts w:asciiTheme="majorBidi" w:hAnsiTheme="majorBidi" w:cstheme="majorBidi"/>
                <w:bCs/>
                <w:i/>
                <w:sz w:val="18"/>
                <w:szCs w:val="18"/>
              </w:rPr>
            </w:pPr>
            <w:r w:rsidRPr="00361139">
              <w:rPr>
                <w:rFonts w:asciiTheme="majorBidi" w:hAnsiTheme="majorBidi" w:cstheme="majorBidi"/>
                <w:bCs/>
                <w:i/>
                <w:sz w:val="18"/>
                <w:szCs w:val="18"/>
              </w:rPr>
              <w:t>282.554.169</w:t>
            </w:r>
          </w:p>
        </w:tc>
        <w:tc>
          <w:tcPr>
            <w:tcW w:w="567" w:type="dxa"/>
            <w:vAlign w:val="center"/>
          </w:tcPr>
          <w:p w14:paraId="48A7769B"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6</w:t>
            </w:r>
          </w:p>
        </w:tc>
        <w:tc>
          <w:tcPr>
            <w:tcW w:w="1267" w:type="dxa"/>
            <w:vAlign w:val="center"/>
          </w:tcPr>
          <w:p w14:paraId="5B7DF61E" w14:textId="77777777" w:rsidR="00CC73DD" w:rsidRPr="00361139" w:rsidRDefault="00CC73DD" w:rsidP="008144F7">
            <w:pPr>
              <w:jc w:val="right"/>
              <w:rPr>
                <w:rFonts w:asciiTheme="majorBidi" w:hAnsiTheme="majorBidi" w:cstheme="majorBidi"/>
                <w:bCs/>
                <w:i/>
                <w:sz w:val="18"/>
                <w:szCs w:val="18"/>
              </w:rPr>
            </w:pPr>
            <w:r w:rsidRPr="00361139">
              <w:rPr>
                <w:rFonts w:asciiTheme="majorBidi" w:hAnsiTheme="majorBidi" w:cstheme="majorBidi"/>
                <w:bCs/>
                <w:i/>
                <w:sz w:val="18"/>
                <w:szCs w:val="18"/>
              </w:rPr>
              <w:t>51.388.601</w:t>
            </w:r>
          </w:p>
        </w:tc>
      </w:tr>
      <w:tr w:rsidR="00CC73DD" w:rsidRPr="00361139" w14:paraId="0011C7D6" w14:textId="77777777" w:rsidTr="00991195">
        <w:trPr>
          <w:gridAfter w:val="3"/>
          <w:wAfter w:w="2738" w:type="dxa"/>
          <w:cantSplit/>
          <w:trHeight w:hRule="exact" w:val="57"/>
          <w:jc w:val="center"/>
        </w:trPr>
        <w:tc>
          <w:tcPr>
            <w:tcW w:w="988" w:type="dxa"/>
            <w:tcBorders>
              <w:left w:val="nil"/>
              <w:right w:val="nil"/>
            </w:tcBorders>
            <w:vAlign w:val="center"/>
          </w:tcPr>
          <w:p w14:paraId="646BA6EA" w14:textId="77777777" w:rsidR="00CC73DD" w:rsidRPr="00361139" w:rsidRDefault="00CC73DD" w:rsidP="008144F7">
            <w:pPr>
              <w:ind w:right="-81"/>
              <w:jc w:val="center"/>
              <w:rPr>
                <w:rFonts w:asciiTheme="majorBidi" w:hAnsiTheme="majorBidi" w:cstheme="majorBidi"/>
                <w:i/>
                <w:sz w:val="18"/>
                <w:szCs w:val="18"/>
              </w:rPr>
            </w:pPr>
          </w:p>
        </w:tc>
        <w:tc>
          <w:tcPr>
            <w:tcW w:w="1134" w:type="dxa"/>
            <w:tcBorders>
              <w:left w:val="nil"/>
              <w:right w:val="nil"/>
            </w:tcBorders>
            <w:vAlign w:val="center"/>
          </w:tcPr>
          <w:p w14:paraId="10EF4118" w14:textId="77777777" w:rsidR="00CC73DD" w:rsidRPr="00361139" w:rsidRDefault="00CC73DD" w:rsidP="008144F7">
            <w:pPr>
              <w:ind w:right="-81"/>
              <w:jc w:val="center"/>
              <w:rPr>
                <w:rFonts w:asciiTheme="majorBidi" w:hAnsiTheme="majorBidi" w:cstheme="majorBidi"/>
                <w:i/>
                <w:sz w:val="18"/>
                <w:szCs w:val="18"/>
              </w:rPr>
            </w:pPr>
          </w:p>
        </w:tc>
        <w:tc>
          <w:tcPr>
            <w:tcW w:w="708" w:type="dxa"/>
            <w:tcBorders>
              <w:left w:val="nil"/>
              <w:right w:val="nil"/>
            </w:tcBorders>
            <w:vAlign w:val="center"/>
          </w:tcPr>
          <w:p w14:paraId="45A0E047" w14:textId="77777777" w:rsidR="00CC73DD" w:rsidRPr="00361139" w:rsidRDefault="00CC73DD" w:rsidP="008144F7">
            <w:pPr>
              <w:jc w:val="center"/>
              <w:rPr>
                <w:rFonts w:asciiTheme="majorBidi" w:hAnsiTheme="majorBidi" w:cstheme="majorBidi"/>
                <w:i/>
                <w:sz w:val="18"/>
                <w:szCs w:val="18"/>
              </w:rPr>
            </w:pPr>
          </w:p>
        </w:tc>
        <w:tc>
          <w:tcPr>
            <w:tcW w:w="662" w:type="dxa"/>
            <w:tcBorders>
              <w:left w:val="nil"/>
              <w:right w:val="nil"/>
            </w:tcBorders>
            <w:vAlign w:val="center"/>
          </w:tcPr>
          <w:p w14:paraId="47C8E43A" w14:textId="77777777" w:rsidR="00CC73DD" w:rsidRPr="00361139" w:rsidRDefault="00CC73DD" w:rsidP="008144F7">
            <w:pPr>
              <w:jc w:val="right"/>
              <w:rPr>
                <w:rFonts w:asciiTheme="majorBidi" w:hAnsiTheme="majorBidi" w:cstheme="majorBidi"/>
                <w:bCs/>
                <w:i/>
                <w:sz w:val="18"/>
                <w:szCs w:val="18"/>
              </w:rPr>
            </w:pPr>
          </w:p>
        </w:tc>
        <w:tc>
          <w:tcPr>
            <w:tcW w:w="1124" w:type="dxa"/>
            <w:gridSpan w:val="3"/>
            <w:tcBorders>
              <w:left w:val="nil"/>
              <w:right w:val="nil"/>
            </w:tcBorders>
            <w:vAlign w:val="center"/>
          </w:tcPr>
          <w:p w14:paraId="00E85626" w14:textId="77777777" w:rsidR="00CC73DD" w:rsidRPr="00361139" w:rsidRDefault="00CC73DD" w:rsidP="008144F7">
            <w:pPr>
              <w:jc w:val="center"/>
              <w:rPr>
                <w:rFonts w:asciiTheme="majorBidi" w:hAnsiTheme="majorBidi" w:cstheme="majorBidi"/>
                <w:i/>
                <w:sz w:val="18"/>
                <w:szCs w:val="18"/>
              </w:rPr>
            </w:pPr>
          </w:p>
        </w:tc>
        <w:tc>
          <w:tcPr>
            <w:tcW w:w="574" w:type="dxa"/>
            <w:tcBorders>
              <w:left w:val="nil"/>
              <w:right w:val="nil"/>
            </w:tcBorders>
            <w:vAlign w:val="center"/>
          </w:tcPr>
          <w:p w14:paraId="6C3D9172" w14:textId="77777777" w:rsidR="00CC73DD" w:rsidRPr="00361139" w:rsidRDefault="00CC73DD" w:rsidP="008144F7">
            <w:pPr>
              <w:jc w:val="right"/>
              <w:rPr>
                <w:rFonts w:asciiTheme="majorBidi" w:hAnsiTheme="majorBidi" w:cstheme="majorBidi"/>
                <w:bCs/>
                <w:i/>
                <w:sz w:val="18"/>
                <w:szCs w:val="18"/>
              </w:rPr>
            </w:pPr>
          </w:p>
        </w:tc>
        <w:tc>
          <w:tcPr>
            <w:tcW w:w="782" w:type="dxa"/>
            <w:gridSpan w:val="2"/>
            <w:tcBorders>
              <w:left w:val="nil"/>
              <w:right w:val="nil"/>
            </w:tcBorders>
            <w:vAlign w:val="center"/>
          </w:tcPr>
          <w:p w14:paraId="1101B19D" w14:textId="77777777" w:rsidR="00CC73DD" w:rsidRPr="00361139" w:rsidRDefault="00CC73DD" w:rsidP="008144F7">
            <w:pPr>
              <w:jc w:val="center"/>
              <w:rPr>
                <w:rFonts w:asciiTheme="majorBidi" w:hAnsiTheme="majorBidi" w:cstheme="majorBidi"/>
                <w:i/>
                <w:sz w:val="18"/>
                <w:szCs w:val="18"/>
              </w:rPr>
            </w:pPr>
          </w:p>
        </w:tc>
        <w:tc>
          <w:tcPr>
            <w:tcW w:w="916" w:type="dxa"/>
            <w:gridSpan w:val="2"/>
            <w:tcBorders>
              <w:left w:val="nil"/>
              <w:right w:val="nil"/>
            </w:tcBorders>
            <w:vAlign w:val="center"/>
          </w:tcPr>
          <w:p w14:paraId="090781F8" w14:textId="77777777" w:rsidR="00CC73DD" w:rsidRPr="00361139" w:rsidRDefault="00CC73DD" w:rsidP="008144F7">
            <w:pPr>
              <w:jc w:val="right"/>
              <w:rPr>
                <w:rFonts w:asciiTheme="majorBidi" w:hAnsiTheme="majorBidi" w:cstheme="majorBidi"/>
                <w:bCs/>
                <w:i/>
                <w:sz w:val="18"/>
                <w:szCs w:val="18"/>
              </w:rPr>
            </w:pPr>
          </w:p>
        </w:tc>
      </w:tr>
      <w:tr w:rsidR="00B57EC0" w:rsidRPr="00361139" w14:paraId="23FB58D1" w14:textId="77777777" w:rsidTr="00991195">
        <w:trPr>
          <w:cantSplit/>
          <w:jc w:val="center"/>
        </w:trPr>
        <w:tc>
          <w:tcPr>
            <w:tcW w:w="988" w:type="dxa"/>
            <w:vMerge w:val="restart"/>
            <w:vAlign w:val="center"/>
          </w:tcPr>
          <w:p w14:paraId="452C0DD2"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SIP</w:t>
            </w:r>
          </w:p>
        </w:tc>
        <w:tc>
          <w:tcPr>
            <w:tcW w:w="1134" w:type="dxa"/>
            <w:vAlign w:val="center"/>
          </w:tcPr>
          <w:p w14:paraId="461B0A28" w14:textId="5A2E4F2C"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1st Round</w:t>
            </w:r>
            <w:r w:rsidR="00C80B46" w:rsidRPr="00361139">
              <w:rPr>
                <w:rFonts w:asciiTheme="majorBidi" w:hAnsiTheme="majorBidi" w:cstheme="majorBidi"/>
                <w:sz w:val="18"/>
                <w:szCs w:val="18"/>
              </w:rPr>
              <w:t xml:space="preserve"> </w:t>
            </w:r>
            <w:r w:rsidRPr="00361139">
              <w:rPr>
                <w:rFonts w:asciiTheme="majorBidi" w:hAnsiTheme="majorBidi" w:cstheme="majorBidi"/>
                <w:sz w:val="18"/>
                <w:szCs w:val="18"/>
              </w:rPr>
              <w:br/>
              <w:t>(2018)</w:t>
            </w:r>
          </w:p>
        </w:tc>
        <w:tc>
          <w:tcPr>
            <w:tcW w:w="708" w:type="dxa"/>
            <w:vAlign w:val="center"/>
          </w:tcPr>
          <w:p w14:paraId="166171FB"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2</w:t>
            </w:r>
          </w:p>
        </w:tc>
        <w:tc>
          <w:tcPr>
            <w:tcW w:w="1134" w:type="dxa"/>
            <w:gridSpan w:val="2"/>
            <w:vAlign w:val="center"/>
          </w:tcPr>
          <w:p w14:paraId="335E6EAB"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449.663</w:t>
            </w:r>
          </w:p>
        </w:tc>
        <w:tc>
          <w:tcPr>
            <w:tcW w:w="567" w:type="dxa"/>
            <w:vAlign w:val="center"/>
          </w:tcPr>
          <w:p w14:paraId="48C870B6"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76" w:type="dxa"/>
            <w:gridSpan w:val="3"/>
            <w:vAlign w:val="center"/>
          </w:tcPr>
          <w:p w14:paraId="4C98C0BF"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100.000</w:t>
            </w:r>
          </w:p>
        </w:tc>
        <w:tc>
          <w:tcPr>
            <w:tcW w:w="709" w:type="dxa"/>
            <w:gridSpan w:val="2"/>
            <w:vAlign w:val="center"/>
          </w:tcPr>
          <w:p w14:paraId="1B2735EE"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76" w:type="dxa"/>
            <w:gridSpan w:val="2"/>
            <w:vAlign w:val="center"/>
          </w:tcPr>
          <w:p w14:paraId="4A4CBD6F"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250.000</w:t>
            </w:r>
          </w:p>
        </w:tc>
        <w:tc>
          <w:tcPr>
            <w:tcW w:w="567" w:type="dxa"/>
            <w:vAlign w:val="center"/>
          </w:tcPr>
          <w:p w14:paraId="7D0C1A38"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67" w:type="dxa"/>
            <w:vAlign w:val="center"/>
          </w:tcPr>
          <w:p w14:paraId="5456E0CF"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162.000</w:t>
            </w:r>
          </w:p>
        </w:tc>
      </w:tr>
      <w:tr w:rsidR="00B57EC0" w:rsidRPr="00361139" w14:paraId="22A3E5A9" w14:textId="77777777" w:rsidTr="00991195">
        <w:trPr>
          <w:cantSplit/>
          <w:jc w:val="center"/>
        </w:trPr>
        <w:tc>
          <w:tcPr>
            <w:tcW w:w="988" w:type="dxa"/>
            <w:vMerge/>
            <w:vAlign w:val="center"/>
          </w:tcPr>
          <w:p w14:paraId="7C8B07D0" w14:textId="77777777" w:rsidR="00CC73DD" w:rsidRPr="00361139" w:rsidRDefault="00CC73DD" w:rsidP="008144F7">
            <w:pPr>
              <w:jc w:val="center"/>
              <w:rPr>
                <w:rFonts w:asciiTheme="majorBidi" w:hAnsiTheme="majorBidi" w:cstheme="majorBidi"/>
                <w:sz w:val="18"/>
                <w:szCs w:val="18"/>
              </w:rPr>
            </w:pPr>
          </w:p>
        </w:tc>
        <w:tc>
          <w:tcPr>
            <w:tcW w:w="1134" w:type="dxa"/>
            <w:vAlign w:val="center"/>
          </w:tcPr>
          <w:p w14:paraId="7CB7B81C" w14:textId="3ED88A46"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2nd Round</w:t>
            </w:r>
            <w:r w:rsidR="00C80B46" w:rsidRPr="00361139">
              <w:rPr>
                <w:rFonts w:asciiTheme="majorBidi" w:hAnsiTheme="majorBidi" w:cstheme="majorBidi"/>
                <w:sz w:val="18"/>
                <w:szCs w:val="18"/>
              </w:rPr>
              <w:t xml:space="preserve"> </w:t>
            </w:r>
            <w:r w:rsidRPr="00361139">
              <w:rPr>
                <w:rFonts w:asciiTheme="majorBidi" w:hAnsiTheme="majorBidi" w:cstheme="majorBidi"/>
                <w:sz w:val="18"/>
                <w:szCs w:val="18"/>
              </w:rPr>
              <w:br/>
              <w:t>(2019)</w:t>
            </w:r>
          </w:p>
        </w:tc>
        <w:tc>
          <w:tcPr>
            <w:tcW w:w="708" w:type="dxa"/>
            <w:vAlign w:val="center"/>
          </w:tcPr>
          <w:p w14:paraId="2F1F0CA0"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w:t>
            </w:r>
          </w:p>
        </w:tc>
        <w:tc>
          <w:tcPr>
            <w:tcW w:w="1134" w:type="dxa"/>
            <w:gridSpan w:val="2"/>
            <w:vAlign w:val="center"/>
          </w:tcPr>
          <w:p w14:paraId="553412BE"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700.000</w:t>
            </w:r>
          </w:p>
        </w:tc>
        <w:tc>
          <w:tcPr>
            <w:tcW w:w="567" w:type="dxa"/>
            <w:vAlign w:val="center"/>
          </w:tcPr>
          <w:p w14:paraId="49BFDAD7"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w:t>
            </w:r>
          </w:p>
        </w:tc>
        <w:tc>
          <w:tcPr>
            <w:tcW w:w="1276" w:type="dxa"/>
            <w:gridSpan w:val="3"/>
            <w:vAlign w:val="center"/>
          </w:tcPr>
          <w:p w14:paraId="603B3F72"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471.799</w:t>
            </w:r>
          </w:p>
        </w:tc>
        <w:tc>
          <w:tcPr>
            <w:tcW w:w="709" w:type="dxa"/>
            <w:gridSpan w:val="2"/>
            <w:vAlign w:val="center"/>
          </w:tcPr>
          <w:p w14:paraId="5BFDF458"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w:t>
            </w:r>
          </w:p>
        </w:tc>
        <w:tc>
          <w:tcPr>
            <w:tcW w:w="1276" w:type="dxa"/>
            <w:gridSpan w:val="2"/>
            <w:vAlign w:val="center"/>
          </w:tcPr>
          <w:p w14:paraId="3893BE7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586.000</w:t>
            </w:r>
          </w:p>
        </w:tc>
        <w:tc>
          <w:tcPr>
            <w:tcW w:w="567" w:type="dxa"/>
            <w:vAlign w:val="center"/>
          </w:tcPr>
          <w:p w14:paraId="16FDD32A"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67" w:type="dxa"/>
            <w:vAlign w:val="center"/>
          </w:tcPr>
          <w:p w14:paraId="229AAB2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219.765</w:t>
            </w:r>
          </w:p>
        </w:tc>
      </w:tr>
      <w:tr w:rsidR="00B57EC0" w:rsidRPr="00361139" w14:paraId="596B801B" w14:textId="77777777" w:rsidTr="00991195">
        <w:trPr>
          <w:cantSplit/>
          <w:jc w:val="center"/>
        </w:trPr>
        <w:tc>
          <w:tcPr>
            <w:tcW w:w="988" w:type="dxa"/>
            <w:vMerge/>
            <w:tcBorders>
              <w:bottom w:val="single" w:sz="4" w:space="0" w:color="000000"/>
            </w:tcBorders>
            <w:vAlign w:val="center"/>
          </w:tcPr>
          <w:p w14:paraId="04AE419D" w14:textId="77777777" w:rsidR="00CC73DD" w:rsidRPr="00361139" w:rsidRDefault="00CC73DD" w:rsidP="008144F7">
            <w:pPr>
              <w:jc w:val="center"/>
              <w:rPr>
                <w:rFonts w:asciiTheme="majorBidi" w:hAnsiTheme="majorBidi" w:cstheme="majorBidi"/>
                <w:sz w:val="18"/>
                <w:szCs w:val="18"/>
              </w:rPr>
            </w:pPr>
          </w:p>
        </w:tc>
        <w:tc>
          <w:tcPr>
            <w:tcW w:w="1134" w:type="dxa"/>
            <w:tcBorders>
              <w:bottom w:val="single" w:sz="4" w:space="0" w:color="000000"/>
            </w:tcBorders>
            <w:vAlign w:val="center"/>
          </w:tcPr>
          <w:p w14:paraId="2C17E6DF" w14:textId="2644940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3rd Round</w:t>
            </w:r>
            <w:r w:rsidR="00C80B46" w:rsidRPr="00361139">
              <w:rPr>
                <w:rFonts w:asciiTheme="majorBidi" w:hAnsiTheme="majorBidi" w:cstheme="majorBidi"/>
                <w:sz w:val="18"/>
                <w:szCs w:val="18"/>
              </w:rPr>
              <w:t xml:space="preserve"> </w:t>
            </w:r>
            <w:r w:rsidRPr="00361139">
              <w:rPr>
                <w:rFonts w:asciiTheme="majorBidi" w:hAnsiTheme="majorBidi" w:cstheme="majorBidi"/>
                <w:sz w:val="18"/>
                <w:szCs w:val="18"/>
              </w:rPr>
              <w:br/>
              <w:t>(2020</w:t>
            </w:r>
            <w:r w:rsidR="00017CC3" w:rsidRPr="00361139">
              <w:rPr>
                <w:rFonts w:asciiTheme="majorBidi" w:hAnsiTheme="majorBidi" w:cstheme="majorBidi"/>
                <w:sz w:val="18"/>
                <w:szCs w:val="18"/>
              </w:rPr>
              <w:t>-</w:t>
            </w:r>
            <w:r w:rsidRPr="00361139">
              <w:rPr>
                <w:rFonts w:asciiTheme="majorBidi" w:hAnsiTheme="majorBidi" w:cstheme="majorBidi"/>
                <w:sz w:val="18"/>
                <w:szCs w:val="18"/>
              </w:rPr>
              <w:t>2021)</w:t>
            </w:r>
          </w:p>
        </w:tc>
        <w:tc>
          <w:tcPr>
            <w:tcW w:w="708" w:type="dxa"/>
            <w:vAlign w:val="center"/>
          </w:tcPr>
          <w:p w14:paraId="2C00D3C0"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4</w:t>
            </w:r>
          </w:p>
        </w:tc>
        <w:tc>
          <w:tcPr>
            <w:tcW w:w="1134" w:type="dxa"/>
            <w:gridSpan w:val="2"/>
            <w:vAlign w:val="center"/>
          </w:tcPr>
          <w:p w14:paraId="36C84551"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968.132</w:t>
            </w:r>
          </w:p>
        </w:tc>
        <w:tc>
          <w:tcPr>
            <w:tcW w:w="567" w:type="dxa"/>
            <w:vAlign w:val="center"/>
          </w:tcPr>
          <w:p w14:paraId="3C1802BA"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3</w:t>
            </w:r>
          </w:p>
        </w:tc>
        <w:tc>
          <w:tcPr>
            <w:tcW w:w="1276" w:type="dxa"/>
            <w:gridSpan w:val="3"/>
            <w:vAlign w:val="center"/>
          </w:tcPr>
          <w:p w14:paraId="002D6C4C"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728.000</w:t>
            </w:r>
          </w:p>
        </w:tc>
        <w:tc>
          <w:tcPr>
            <w:tcW w:w="709" w:type="dxa"/>
            <w:gridSpan w:val="2"/>
            <w:vAlign w:val="center"/>
          </w:tcPr>
          <w:p w14:paraId="69A0411A"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76" w:type="dxa"/>
            <w:gridSpan w:val="2"/>
            <w:vAlign w:val="center"/>
          </w:tcPr>
          <w:p w14:paraId="43EE63B4"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249.210</w:t>
            </w:r>
          </w:p>
        </w:tc>
        <w:tc>
          <w:tcPr>
            <w:tcW w:w="567" w:type="dxa"/>
            <w:vAlign w:val="center"/>
          </w:tcPr>
          <w:p w14:paraId="2B73CFC7" w14:textId="77777777" w:rsidR="00CC73DD" w:rsidRPr="00361139" w:rsidRDefault="00CC73DD" w:rsidP="008144F7">
            <w:pPr>
              <w:jc w:val="center"/>
              <w:rPr>
                <w:rFonts w:asciiTheme="majorBidi" w:hAnsiTheme="majorBidi" w:cstheme="majorBidi"/>
                <w:sz w:val="18"/>
                <w:szCs w:val="18"/>
              </w:rPr>
            </w:pPr>
            <w:r w:rsidRPr="00361139">
              <w:rPr>
                <w:rFonts w:asciiTheme="majorBidi" w:hAnsiTheme="majorBidi" w:cstheme="majorBidi"/>
                <w:sz w:val="18"/>
                <w:szCs w:val="18"/>
              </w:rPr>
              <w:t>1</w:t>
            </w:r>
          </w:p>
        </w:tc>
        <w:tc>
          <w:tcPr>
            <w:tcW w:w="1267" w:type="dxa"/>
            <w:vAlign w:val="center"/>
          </w:tcPr>
          <w:p w14:paraId="14F6C18A" w14:textId="77777777" w:rsidR="00CC73DD" w:rsidRPr="00361139" w:rsidRDefault="00CC73DD" w:rsidP="008144F7">
            <w:pPr>
              <w:jc w:val="right"/>
              <w:rPr>
                <w:rFonts w:asciiTheme="majorBidi" w:hAnsiTheme="majorBidi" w:cstheme="majorBidi"/>
                <w:sz w:val="18"/>
                <w:szCs w:val="18"/>
              </w:rPr>
            </w:pPr>
            <w:r w:rsidRPr="00361139">
              <w:rPr>
                <w:rFonts w:asciiTheme="majorBidi" w:hAnsiTheme="majorBidi" w:cstheme="majorBidi"/>
                <w:sz w:val="18"/>
                <w:szCs w:val="18"/>
              </w:rPr>
              <w:t>248.500</w:t>
            </w:r>
          </w:p>
        </w:tc>
      </w:tr>
      <w:tr w:rsidR="00991195" w:rsidRPr="00361139" w14:paraId="0A3ACD9D" w14:textId="77777777" w:rsidTr="00991195">
        <w:trPr>
          <w:cantSplit/>
          <w:jc w:val="center"/>
        </w:trPr>
        <w:tc>
          <w:tcPr>
            <w:tcW w:w="2122" w:type="dxa"/>
            <w:gridSpan w:val="2"/>
            <w:vAlign w:val="center"/>
          </w:tcPr>
          <w:p w14:paraId="0C1E75C3"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Sub-totals</w:t>
            </w:r>
          </w:p>
        </w:tc>
        <w:tc>
          <w:tcPr>
            <w:tcW w:w="708" w:type="dxa"/>
            <w:vAlign w:val="center"/>
          </w:tcPr>
          <w:p w14:paraId="0798672D"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9</w:t>
            </w:r>
          </w:p>
        </w:tc>
        <w:tc>
          <w:tcPr>
            <w:tcW w:w="1134" w:type="dxa"/>
            <w:gridSpan w:val="2"/>
            <w:vAlign w:val="center"/>
          </w:tcPr>
          <w:p w14:paraId="7CBAD8B3"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2.117.795</w:t>
            </w:r>
          </w:p>
        </w:tc>
        <w:tc>
          <w:tcPr>
            <w:tcW w:w="567" w:type="dxa"/>
            <w:vAlign w:val="center"/>
          </w:tcPr>
          <w:p w14:paraId="27184370"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7</w:t>
            </w:r>
          </w:p>
        </w:tc>
        <w:tc>
          <w:tcPr>
            <w:tcW w:w="1276" w:type="dxa"/>
            <w:gridSpan w:val="3"/>
            <w:vAlign w:val="center"/>
          </w:tcPr>
          <w:p w14:paraId="68DFF5A1"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1.229.799</w:t>
            </w:r>
          </w:p>
        </w:tc>
        <w:tc>
          <w:tcPr>
            <w:tcW w:w="709" w:type="dxa"/>
            <w:gridSpan w:val="2"/>
            <w:vAlign w:val="center"/>
          </w:tcPr>
          <w:p w14:paraId="72DF0870"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w:t>
            </w:r>
          </w:p>
        </w:tc>
        <w:tc>
          <w:tcPr>
            <w:tcW w:w="1276" w:type="dxa"/>
            <w:gridSpan w:val="2"/>
            <w:vAlign w:val="center"/>
          </w:tcPr>
          <w:p w14:paraId="7153A08E"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1.085.210</w:t>
            </w:r>
          </w:p>
        </w:tc>
        <w:tc>
          <w:tcPr>
            <w:tcW w:w="567" w:type="dxa"/>
            <w:vAlign w:val="center"/>
          </w:tcPr>
          <w:p w14:paraId="304348C5" w14:textId="77777777" w:rsidR="00CC73DD" w:rsidRPr="00361139" w:rsidRDefault="00CC73DD" w:rsidP="008144F7">
            <w:pPr>
              <w:jc w:val="center"/>
              <w:rPr>
                <w:rFonts w:asciiTheme="majorBidi" w:hAnsiTheme="majorBidi" w:cstheme="majorBidi"/>
                <w:i/>
                <w:sz w:val="18"/>
                <w:szCs w:val="18"/>
              </w:rPr>
            </w:pPr>
            <w:r w:rsidRPr="00361139">
              <w:rPr>
                <w:rFonts w:asciiTheme="majorBidi" w:hAnsiTheme="majorBidi" w:cstheme="majorBidi"/>
                <w:i/>
                <w:sz w:val="18"/>
                <w:szCs w:val="18"/>
              </w:rPr>
              <w:t>3</w:t>
            </w:r>
          </w:p>
        </w:tc>
        <w:tc>
          <w:tcPr>
            <w:tcW w:w="1267" w:type="dxa"/>
            <w:vAlign w:val="center"/>
          </w:tcPr>
          <w:p w14:paraId="204B77AC" w14:textId="77777777" w:rsidR="00CC73DD" w:rsidRPr="00361139" w:rsidRDefault="00CC73DD" w:rsidP="008144F7">
            <w:pPr>
              <w:jc w:val="right"/>
              <w:rPr>
                <w:rFonts w:asciiTheme="majorBidi" w:hAnsiTheme="majorBidi" w:cstheme="majorBidi"/>
                <w:i/>
                <w:sz w:val="18"/>
                <w:szCs w:val="18"/>
              </w:rPr>
            </w:pPr>
            <w:r w:rsidRPr="00361139">
              <w:rPr>
                <w:rFonts w:asciiTheme="majorBidi" w:hAnsiTheme="majorBidi" w:cstheme="majorBidi"/>
                <w:i/>
                <w:sz w:val="18"/>
                <w:szCs w:val="18"/>
              </w:rPr>
              <w:t>119.800</w:t>
            </w:r>
          </w:p>
        </w:tc>
      </w:tr>
      <w:tr w:rsidR="00B57EC0" w:rsidRPr="00361139" w14:paraId="67234D06" w14:textId="77777777" w:rsidTr="00991195">
        <w:trPr>
          <w:cantSplit/>
          <w:trHeight w:hRule="exact" w:val="57"/>
          <w:jc w:val="center"/>
        </w:trPr>
        <w:tc>
          <w:tcPr>
            <w:tcW w:w="988" w:type="dxa"/>
            <w:tcBorders>
              <w:left w:val="nil"/>
              <w:bottom w:val="single" w:sz="4" w:space="0" w:color="000000"/>
              <w:right w:val="nil"/>
            </w:tcBorders>
            <w:vAlign w:val="center"/>
          </w:tcPr>
          <w:p w14:paraId="0CEEC87F" w14:textId="77777777" w:rsidR="00CC73DD" w:rsidRPr="00361139" w:rsidRDefault="00CC73DD" w:rsidP="008144F7">
            <w:pPr>
              <w:pStyle w:val="Default"/>
              <w:spacing w:before="100" w:beforeAutospacing="1" w:after="100" w:afterAutospacing="1"/>
              <w:ind w:left="57" w:right="57" w:hanging="142"/>
              <w:jc w:val="center"/>
              <w:rPr>
                <w:rFonts w:asciiTheme="majorBidi" w:hAnsiTheme="majorBidi" w:cstheme="majorBidi"/>
                <w:color w:val="auto"/>
                <w:sz w:val="18"/>
                <w:szCs w:val="18"/>
                <w:lang w:val="en-GB"/>
              </w:rPr>
            </w:pPr>
          </w:p>
        </w:tc>
        <w:tc>
          <w:tcPr>
            <w:tcW w:w="1134" w:type="dxa"/>
            <w:tcBorders>
              <w:left w:val="nil"/>
              <w:bottom w:val="single" w:sz="4" w:space="0" w:color="000000"/>
              <w:right w:val="nil"/>
            </w:tcBorders>
            <w:vAlign w:val="center"/>
          </w:tcPr>
          <w:p w14:paraId="3F8E560D" w14:textId="77777777" w:rsidR="00CC73DD" w:rsidRPr="00361139" w:rsidRDefault="00CC73DD" w:rsidP="008144F7">
            <w:pPr>
              <w:pStyle w:val="Default"/>
              <w:spacing w:before="100" w:beforeAutospacing="1" w:after="100" w:afterAutospacing="1"/>
              <w:ind w:left="57" w:right="57" w:hanging="142"/>
              <w:jc w:val="center"/>
              <w:rPr>
                <w:rFonts w:asciiTheme="majorBidi" w:hAnsiTheme="majorBidi" w:cstheme="majorBidi"/>
                <w:color w:val="auto"/>
                <w:sz w:val="18"/>
                <w:szCs w:val="18"/>
                <w:lang w:val="en-GB"/>
              </w:rPr>
            </w:pPr>
          </w:p>
        </w:tc>
        <w:tc>
          <w:tcPr>
            <w:tcW w:w="708" w:type="dxa"/>
            <w:tcBorders>
              <w:left w:val="nil"/>
              <w:right w:val="nil"/>
            </w:tcBorders>
            <w:vAlign w:val="center"/>
          </w:tcPr>
          <w:p w14:paraId="5288071D"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1134" w:type="dxa"/>
            <w:gridSpan w:val="2"/>
            <w:tcBorders>
              <w:left w:val="nil"/>
              <w:right w:val="nil"/>
            </w:tcBorders>
            <w:vAlign w:val="center"/>
          </w:tcPr>
          <w:p w14:paraId="4785CDEF"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567" w:type="dxa"/>
            <w:tcBorders>
              <w:left w:val="nil"/>
              <w:right w:val="nil"/>
            </w:tcBorders>
            <w:vAlign w:val="center"/>
          </w:tcPr>
          <w:p w14:paraId="733A20F7"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1276" w:type="dxa"/>
            <w:gridSpan w:val="3"/>
            <w:tcBorders>
              <w:left w:val="nil"/>
              <w:right w:val="nil"/>
            </w:tcBorders>
            <w:vAlign w:val="center"/>
          </w:tcPr>
          <w:p w14:paraId="180F8717"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709" w:type="dxa"/>
            <w:gridSpan w:val="2"/>
            <w:tcBorders>
              <w:left w:val="nil"/>
              <w:right w:val="nil"/>
            </w:tcBorders>
            <w:vAlign w:val="center"/>
          </w:tcPr>
          <w:p w14:paraId="26BE2B70"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1276" w:type="dxa"/>
            <w:gridSpan w:val="2"/>
            <w:tcBorders>
              <w:left w:val="nil"/>
              <w:right w:val="nil"/>
            </w:tcBorders>
            <w:vAlign w:val="center"/>
          </w:tcPr>
          <w:p w14:paraId="6895365C"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567" w:type="dxa"/>
            <w:tcBorders>
              <w:left w:val="nil"/>
              <w:right w:val="nil"/>
            </w:tcBorders>
            <w:vAlign w:val="center"/>
          </w:tcPr>
          <w:p w14:paraId="3F535CFC"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c>
          <w:tcPr>
            <w:tcW w:w="1267" w:type="dxa"/>
            <w:tcBorders>
              <w:left w:val="nil"/>
              <w:right w:val="nil"/>
            </w:tcBorders>
            <w:vAlign w:val="center"/>
          </w:tcPr>
          <w:p w14:paraId="7C230928" w14:textId="77777777" w:rsidR="00CC73DD" w:rsidRPr="00361139" w:rsidRDefault="00CC73DD" w:rsidP="008144F7">
            <w:pPr>
              <w:pStyle w:val="Default"/>
              <w:spacing w:before="100" w:beforeAutospacing="1" w:after="100" w:afterAutospacing="1"/>
              <w:ind w:left="57" w:right="57"/>
              <w:jc w:val="center"/>
              <w:rPr>
                <w:rFonts w:asciiTheme="majorBidi" w:hAnsiTheme="majorBidi" w:cstheme="majorBidi"/>
                <w:color w:val="auto"/>
                <w:sz w:val="18"/>
                <w:szCs w:val="18"/>
                <w:lang w:val="en-GB"/>
              </w:rPr>
            </w:pPr>
          </w:p>
        </w:tc>
      </w:tr>
      <w:tr w:rsidR="00B57EC0" w:rsidRPr="00361139" w14:paraId="3FAC3ACB" w14:textId="77777777" w:rsidTr="00991195">
        <w:trPr>
          <w:cantSplit/>
          <w:jc w:val="center"/>
        </w:trPr>
        <w:tc>
          <w:tcPr>
            <w:tcW w:w="988" w:type="dxa"/>
            <w:tcBorders>
              <w:right w:val="nil"/>
            </w:tcBorders>
            <w:vAlign w:val="center"/>
          </w:tcPr>
          <w:p w14:paraId="504EC502" w14:textId="77777777" w:rsidR="00CC73DD" w:rsidRPr="00361139" w:rsidRDefault="00CC73DD" w:rsidP="008144F7">
            <w:pPr>
              <w:jc w:val="right"/>
              <w:rPr>
                <w:rFonts w:asciiTheme="majorBidi" w:hAnsiTheme="majorBidi" w:cstheme="majorBidi"/>
                <w:b/>
                <w:i/>
                <w:sz w:val="18"/>
                <w:szCs w:val="18"/>
              </w:rPr>
            </w:pPr>
            <w:r w:rsidRPr="00361139">
              <w:rPr>
                <w:rFonts w:asciiTheme="majorBidi" w:hAnsiTheme="majorBidi" w:cstheme="majorBidi"/>
                <w:b/>
                <w:i/>
                <w:sz w:val="18"/>
                <w:szCs w:val="18"/>
              </w:rPr>
              <w:t>Totals</w:t>
            </w:r>
          </w:p>
        </w:tc>
        <w:tc>
          <w:tcPr>
            <w:tcW w:w="1134" w:type="dxa"/>
            <w:tcBorders>
              <w:left w:val="nil"/>
            </w:tcBorders>
            <w:vAlign w:val="center"/>
          </w:tcPr>
          <w:p w14:paraId="78E8B1CB" w14:textId="77777777" w:rsidR="00CC73DD" w:rsidRPr="00361139" w:rsidRDefault="00CC73DD" w:rsidP="008144F7">
            <w:pPr>
              <w:jc w:val="center"/>
              <w:rPr>
                <w:rFonts w:asciiTheme="majorBidi" w:hAnsiTheme="majorBidi" w:cstheme="majorBidi"/>
                <w:b/>
                <w:i/>
                <w:sz w:val="18"/>
                <w:szCs w:val="18"/>
              </w:rPr>
            </w:pPr>
          </w:p>
        </w:tc>
        <w:tc>
          <w:tcPr>
            <w:tcW w:w="708" w:type="dxa"/>
            <w:vAlign w:val="center"/>
          </w:tcPr>
          <w:p w14:paraId="11F9B14F"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58</w:t>
            </w:r>
          </w:p>
        </w:tc>
        <w:tc>
          <w:tcPr>
            <w:tcW w:w="1134" w:type="dxa"/>
            <w:gridSpan w:val="2"/>
            <w:vAlign w:val="center"/>
          </w:tcPr>
          <w:p w14:paraId="3313E137" w14:textId="77777777" w:rsidR="00CC73DD" w:rsidRPr="00361139" w:rsidRDefault="00CC73DD" w:rsidP="008144F7">
            <w:pPr>
              <w:jc w:val="right"/>
              <w:rPr>
                <w:rFonts w:asciiTheme="majorBidi" w:hAnsiTheme="majorBidi" w:cstheme="majorBidi"/>
                <w:b/>
                <w:i/>
                <w:sz w:val="18"/>
                <w:szCs w:val="18"/>
              </w:rPr>
            </w:pPr>
            <w:r w:rsidRPr="00361139">
              <w:rPr>
                <w:rFonts w:asciiTheme="majorBidi" w:hAnsiTheme="majorBidi" w:cstheme="majorBidi"/>
                <w:b/>
                <w:i/>
                <w:sz w:val="18"/>
                <w:szCs w:val="18"/>
              </w:rPr>
              <w:t>305.568.141</w:t>
            </w:r>
          </w:p>
        </w:tc>
        <w:tc>
          <w:tcPr>
            <w:tcW w:w="567" w:type="dxa"/>
            <w:vAlign w:val="center"/>
          </w:tcPr>
          <w:p w14:paraId="1CB3D9B1"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46</w:t>
            </w:r>
          </w:p>
        </w:tc>
        <w:tc>
          <w:tcPr>
            <w:tcW w:w="1276" w:type="dxa"/>
            <w:gridSpan w:val="3"/>
            <w:vAlign w:val="center"/>
          </w:tcPr>
          <w:p w14:paraId="3AB3258E" w14:textId="77777777" w:rsidR="00CC73DD" w:rsidRPr="00361139" w:rsidRDefault="00CC73DD" w:rsidP="008144F7">
            <w:pPr>
              <w:jc w:val="right"/>
              <w:rPr>
                <w:rFonts w:asciiTheme="majorBidi" w:hAnsiTheme="majorBidi" w:cstheme="majorBidi"/>
                <w:b/>
                <w:i/>
                <w:sz w:val="18"/>
                <w:szCs w:val="18"/>
              </w:rPr>
            </w:pPr>
            <w:r w:rsidRPr="00361139">
              <w:rPr>
                <w:rFonts w:asciiTheme="majorBidi" w:hAnsiTheme="majorBidi" w:cstheme="majorBidi"/>
                <w:b/>
                <w:i/>
                <w:sz w:val="18"/>
                <w:szCs w:val="18"/>
              </w:rPr>
              <w:t>249.254.836</w:t>
            </w:r>
          </w:p>
        </w:tc>
        <w:tc>
          <w:tcPr>
            <w:tcW w:w="709" w:type="dxa"/>
            <w:gridSpan w:val="2"/>
            <w:vAlign w:val="center"/>
          </w:tcPr>
          <w:p w14:paraId="05B492A7"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37</w:t>
            </w:r>
          </w:p>
        </w:tc>
        <w:tc>
          <w:tcPr>
            <w:tcW w:w="1276" w:type="dxa"/>
            <w:gridSpan w:val="2"/>
            <w:vAlign w:val="center"/>
          </w:tcPr>
          <w:p w14:paraId="7B6AD0E1" w14:textId="77777777" w:rsidR="00CC73DD" w:rsidRPr="00361139" w:rsidRDefault="00CC73DD" w:rsidP="008144F7">
            <w:pPr>
              <w:jc w:val="right"/>
              <w:rPr>
                <w:rFonts w:asciiTheme="majorBidi" w:hAnsiTheme="majorBidi" w:cstheme="majorBidi"/>
                <w:b/>
                <w:i/>
                <w:sz w:val="18"/>
                <w:szCs w:val="18"/>
              </w:rPr>
            </w:pPr>
            <w:r w:rsidRPr="00361139">
              <w:rPr>
                <w:rFonts w:asciiTheme="majorBidi" w:hAnsiTheme="majorBidi" w:cstheme="majorBidi"/>
                <w:b/>
                <w:i/>
                <w:sz w:val="18"/>
                <w:szCs w:val="18"/>
              </w:rPr>
              <w:t>283.639.379</w:t>
            </w:r>
          </w:p>
        </w:tc>
        <w:tc>
          <w:tcPr>
            <w:tcW w:w="567" w:type="dxa"/>
            <w:vAlign w:val="center"/>
          </w:tcPr>
          <w:p w14:paraId="4BDC3B21" w14:textId="77777777" w:rsidR="00CC73DD" w:rsidRPr="00361139" w:rsidRDefault="00CC73DD" w:rsidP="008144F7">
            <w:pPr>
              <w:jc w:val="center"/>
              <w:rPr>
                <w:rFonts w:asciiTheme="majorBidi" w:hAnsiTheme="majorBidi" w:cstheme="majorBidi"/>
                <w:b/>
                <w:i/>
                <w:sz w:val="18"/>
                <w:szCs w:val="18"/>
              </w:rPr>
            </w:pPr>
            <w:r w:rsidRPr="00361139">
              <w:rPr>
                <w:rFonts w:asciiTheme="majorBidi" w:hAnsiTheme="majorBidi" w:cstheme="majorBidi"/>
                <w:b/>
                <w:i/>
                <w:sz w:val="18"/>
                <w:szCs w:val="18"/>
              </w:rPr>
              <w:t>9</w:t>
            </w:r>
          </w:p>
        </w:tc>
        <w:tc>
          <w:tcPr>
            <w:tcW w:w="1267" w:type="dxa"/>
            <w:vAlign w:val="center"/>
          </w:tcPr>
          <w:p w14:paraId="5AD53056" w14:textId="77777777" w:rsidR="00CC73DD" w:rsidRPr="00361139" w:rsidRDefault="00CC73DD" w:rsidP="008144F7">
            <w:pPr>
              <w:jc w:val="right"/>
              <w:rPr>
                <w:rFonts w:asciiTheme="majorBidi" w:hAnsiTheme="majorBidi" w:cstheme="majorBidi"/>
                <w:b/>
                <w:i/>
                <w:sz w:val="18"/>
                <w:szCs w:val="18"/>
              </w:rPr>
            </w:pPr>
            <w:r w:rsidRPr="00361139">
              <w:rPr>
                <w:rFonts w:asciiTheme="majorBidi" w:hAnsiTheme="majorBidi" w:cstheme="majorBidi"/>
                <w:b/>
                <w:i/>
                <w:sz w:val="18"/>
                <w:szCs w:val="18"/>
              </w:rPr>
              <w:t>51.508.401</w:t>
            </w:r>
          </w:p>
        </w:tc>
      </w:tr>
    </w:tbl>
    <w:p w14:paraId="4D5858A2" w14:textId="77777777" w:rsidR="00CC73DD" w:rsidRPr="00361139" w:rsidRDefault="00CC73DD" w:rsidP="000C76AC">
      <w:pPr>
        <w:pStyle w:val="Normalnumber"/>
        <w:numPr>
          <w:ilvl w:val="0"/>
          <w:numId w:val="9"/>
        </w:numPr>
        <w:spacing w:before="240"/>
        <w:rPr>
          <w:rFonts w:asciiTheme="majorBidi" w:hAnsiTheme="majorBidi" w:cstheme="majorBidi"/>
        </w:rPr>
      </w:pPr>
      <w:r w:rsidRPr="00361139">
        <w:rPr>
          <w:rFonts w:asciiTheme="majorBidi" w:hAnsiTheme="majorBidi" w:cstheme="majorBidi"/>
        </w:rPr>
        <w:t>Table 6 provides a breakdown of the regional distribution of projects, in the period under review, and the related funding by the two entities comprising the MC financial mechanism and their cycles or rounds.</w:t>
      </w:r>
    </w:p>
    <w:p w14:paraId="514D255A" w14:textId="1B80E144" w:rsidR="00CC73DD" w:rsidRPr="00361139" w:rsidRDefault="009D5362" w:rsidP="0063248A">
      <w:pPr>
        <w:pStyle w:val="CH1"/>
        <w:rPr>
          <w:lang w:val="en-GB"/>
        </w:rPr>
      </w:pPr>
      <w:bookmarkStart w:id="191" w:name="_Toc138845682"/>
      <w:bookmarkStart w:id="192" w:name="_Toc138845737"/>
      <w:bookmarkStart w:id="193" w:name="_Toc138847826"/>
      <w:r w:rsidRPr="00361139">
        <w:rPr>
          <w:lang w:val="en-GB"/>
        </w:rPr>
        <w:lastRenderedPageBreak/>
        <w:tab/>
      </w:r>
      <w:bookmarkStart w:id="194" w:name="_Toc139975461"/>
      <w:bookmarkStart w:id="195" w:name="_Toc139976222"/>
      <w:bookmarkStart w:id="196" w:name="_Toc139982236"/>
      <w:bookmarkStart w:id="197" w:name="_Toc139983948"/>
      <w:bookmarkStart w:id="198" w:name="_Toc139984190"/>
      <w:r w:rsidRPr="00361139">
        <w:rPr>
          <w:lang w:val="en-GB"/>
        </w:rPr>
        <w:t>2.</w:t>
      </w:r>
      <w:r w:rsidRPr="00361139">
        <w:rPr>
          <w:lang w:val="en-GB"/>
        </w:rPr>
        <w:tab/>
      </w:r>
      <w:r w:rsidR="00CC73DD" w:rsidRPr="00361139">
        <w:rPr>
          <w:lang w:val="en-GB"/>
        </w:rPr>
        <w:t>The Guidance</w:t>
      </w:r>
      <w:bookmarkEnd w:id="191"/>
      <w:bookmarkEnd w:id="192"/>
      <w:bookmarkEnd w:id="193"/>
      <w:bookmarkEnd w:id="194"/>
      <w:bookmarkEnd w:id="195"/>
      <w:bookmarkEnd w:id="196"/>
      <w:bookmarkEnd w:id="197"/>
      <w:bookmarkEnd w:id="198"/>
    </w:p>
    <w:p w14:paraId="179EDA1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Article 13 of the Minamata Convention establishes that, for the purpose of the Convention, both entities comprising the MC financial mechanism </w:t>
      </w:r>
      <w:r w:rsidRPr="00361139">
        <w:rPr>
          <w:rFonts w:asciiTheme="majorBidi" w:hAnsiTheme="majorBidi" w:cstheme="majorBidi"/>
          <w:i/>
        </w:rPr>
        <w:t>shall be operated under the guidance of and be accountable to the Conference of the Parties</w:t>
      </w:r>
      <w:r w:rsidRPr="00361139">
        <w:rPr>
          <w:rFonts w:asciiTheme="majorBidi" w:hAnsiTheme="majorBidi" w:cstheme="majorBidi"/>
        </w:rPr>
        <w:t xml:space="preserve"> (Para. 7 and 9). With reference to the GEF it also indicates that the COP shall provide guidance on </w:t>
      </w:r>
      <w:r w:rsidRPr="00361139">
        <w:rPr>
          <w:rFonts w:asciiTheme="majorBidi" w:hAnsiTheme="majorBidi" w:cstheme="majorBidi"/>
          <w:i/>
        </w:rPr>
        <w:t>overall strategies, policies, programme priorities and eligibility for access to and utilization of financial resources,</w:t>
      </w:r>
      <w:r w:rsidRPr="00361139">
        <w:rPr>
          <w:rFonts w:asciiTheme="majorBidi" w:hAnsiTheme="majorBidi" w:cstheme="majorBidi"/>
        </w:rPr>
        <w:t xml:space="preserve"> as well as </w:t>
      </w:r>
      <w:r w:rsidRPr="00361139">
        <w:rPr>
          <w:rFonts w:asciiTheme="majorBidi" w:hAnsiTheme="majorBidi" w:cstheme="majorBidi"/>
          <w:i/>
        </w:rPr>
        <w:t xml:space="preserve">on an indicative list of categories of activities that could receive support from the GEF Trust Fund </w:t>
      </w:r>
      <w:r w:rsidRPr="00361139">
        <w:rPr>
          <w:rFonts w:asciiTheme="majorBidi" w:hAnsiTheme="majorBidi" w:cstheme="majorBidi"/>
        </w:rPr>
        <w:t>(Para. 7). Similarly, with reference to the SIP, it indicates that the COP, once decided on the hosting institutions</w:t>
      </w:r>
      <w:r w:rsidRPr="00361139">
        <w:rPr>
          <w:rStyle w:val="FootnoteReference"/>
          <w:rFonts w:asciiTheme="majorBidi" w:eastAsia="SimSun" w:hAnsiTheme="majorBidi" w:cstheme="majorBidi"/>
        </w:rPr>
        <w:footnoteReference w:id="36"/>
      </w:r>
      <w:r w:rsidRPr="00361139">
        <w:rPr>
          <w:rFonts w:asciiTheme="majorBidi" w:hAnsiTheme="majorBidi" w:cstheme="majorBidi"/>
        </w:rPr>
        <w:t xml:space="preserve">, shall </w:t>
      </w:r>
      <w:r w:rsidRPr="00361139">
        <w:rPr>
          <w:rFonts w:asciiTheme="majorBidi" w:hAnsiTheme="majorBidi" w:cstheme="majorBidi"/>
          <w:i/>
        </w:rPr>
        <w:t xml:space="preserve">provide guidance to it, including on its duration </w:t>
      </w:r>
      <w:r w:rsidRPr="00361139">
        <w:rPr>
          <w:rFonts w:asciiTheme="majorBidi" w:hAnsiTheme="majorBidi" w:cstheme="majorBidi"/>
        </w:rPr>
        <w:t xml:space="preserve">(Para. 9). </w:t>
      </w:r>
    </w:p>
    <w:p w14:paraId="4422845E"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for this review requests, among other things, an analysis of the guidance provided by the COP to the GEF and to the SIP in their capacity as the entities entrusted with the operation of the financial mechanism. The </w:t>
      </w:r>
      <w:r w:rsidRPr="00361139">
        <w:rPr>
          <w:rFonts w:asciiTheme="majorBidi" w:hAnsiTheme="majorBidi" w:cstheme="majorBidi"/>
          <w:i/>
        </w:rPr>
        <w:t>Responsiveness of the Global Environment Facility and the Specific International Programme to the guidance adopted by or provided by the Conference of the Parties</w:t>
      </w:r>
      <w:r w:rsidRPr="00361139">
        <w:rPr>
          <w:rFonts w:asciiTheme="majorBidi" w:hAnsiTheme="majorBidi" w:cstheme="majorBidi"/>
        </w:rPr>
        <w:t xml:space="preserve"> is also indicated in the list of performance criteria to be </w:t>
      </w:r>
      <w:proofErr w:type="gramStart"/>
      <w:r w:rsidRPr="00361139">
        <w:rPr>
          <w:rFonts w:asciiTheme="majorBidi" w:hAnsiTheme="majorBidi" w:cstheme="majorBidi"/>
        </w:rPr>
        <w:t>taken into account</w:t>
      </w:r>
      <w:proofErr w:type="gramEnd"/>
      <w:r w:rsidRPr="00361139">
        <w:rPr>
          <w:rFonts w:asciiTheme="majorBidi" w:hAnsiTheme="majorBidi" w:cstheme="majorBidi"/>
        </w:rPr>
        <w:t xml:space="preserve"> for the assessment of effectiveness and efficiency of the MC financial mechanism.</w:t>
      </w:r>
    </w:p>
    <w:p w14:paraId="7B3CF15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overall appreciation rate</w:t>
      </w:r>
      <w:r w:rsidRPr="00361139">
        <w:rPr>
          <w:rStyle w:val="FootnoteReference"/>
          <w:rFonts w:asciiTheme="majorBidi" w:eastAsia="SimSun" w:hAnsiTheme="majorBidi" w:cstheme="majorBidi"/>
        </w:rPr>
        <w:footnoteReference w:id="37"/>
      </w:r>
      <w:r w:rsidRPr="00361139">
        <w:rPr>
          <w:rFonts w:asciiTheme="majorBidi" w:hAnsiTheme="majorBidi" w:cstheme="majorBidi"/>
        </w:rPr>
        <w:t xml:space="preserve"> of the guidance provided by the COP to the GEF and to the SIP, as expressed by all the National Focal Points participating in the Survey, was of 68%.</w:t>
      </w:r>
    </w:p>
    <w:p w14:paraId="6C02DB8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following section </w:t>
      </w:r>
      <w:proofErr w:type="spellStart"/>
      <w:r w:rsidRPr="00361139">
        <w:rPr>
          <w:rFonts w:asciiTheme="majorBidi" w:hAnsiTheme="majorBidi" w:cstheme="majorBidi"/>
        </w:rPr>
        <w:t>analyzes</w:t>
      </w:r>
      <w:proofErr w:type="spellEnd"/>
      <w:r w:rsidRPr="00361139">
        <w:rPr>
          <w:rFonts w:asciiTheme="majorBidi" w:hAnsiTheme="majorBidi" w:cstheme="majorBidi"/>
        </w:rPr>
        <w:t xml:space="preserve"> the </w:t>
      </w:r>
      <w:proofErr w:type="spellStart"/>
      <w:r w:rsidRPr="00361139">
        <w:rPr>
          <w:rFonts w:asciiTheme="majorBidi" w:hAnsiTheme="majorBidi" w:cstheme="majorBidi"/>
        </w:rPr>
        <w:t>guidances</w:t>
      </w:r>
      <w:proofErr w:type="spellEnd"/>
      <w:r w:rsidRPr="00361139">
        <w:rPr>
          <w:rFonts w:asciiTheme="majorBidi" w:hAnsiTheme="majorBidi" w:cstheme="majorBidi"/>
        </w:rPr>
        <w:t xml:space="preserve"> provided by the COP to the GEF and to the SIP and relates them to the review findings. The GEF Secretariat specifically provided for this review its own submission</w:t>
      </w:r>
      <w:r w:rsidRPr="00361139">
        <w:rPr>
          <w:rStyle w:val="FootnoteReference"/>
          <w:rFonts w:asciiTheme="majorBidi" w:eastAsia="SimSun" w:hAnsiTheme="majorBidi" w:cstheme="majorBidi"/>
        </w:rPr>
        <w:footnoteReference w:id="38"/>
      </w:r>
      <w:r w:rsidRPr="00361139">
        <w:rPr>
          <w:rFonts w:asciiTheme="majorBidi" w:hAnsiTheme="majorBidi" w:cstheme="majorBidi"/>
        </w:rPr>
        <w:t xml:space="preserve">, including, among other information, a detailed </w:t>
      </w:r>
      <w:r w:rsidRPr="00361139">
        <w:rPr>
          <w:rFonts w:asciiTheme="majorBidi" w:hAnsiTheme="majorBidi" w:cstheme="majorBidi"/>
          <w:i/>
        </w:rPr>
        <w:t xml:space="preserve">Response to the Guidance from the Conference of the Parties to the Minamata Convention </w:t>
      </w:r>
      <w:r w:rsidRPr="00361139">
        <w:rPr>
          <w:rFonts w:asciiTheme="majorBidi" w:hAnsiTheme="majorBidi" w:cstheme="majorBidi"/>
        </w:rPr>
        <w:t xml:space="preserve">which, in some measure, is quoted along the text. </w:t>
      </w:r>
    </w:p>
    <w:p w14:paraId="44ADF80E" w14:textId="12A69D86" w:rsidR="00CC73DD" w:rsidRPr="00361139" w:rsidRDefault="009D5362" w:rsidP="009D5362">
      <w:pPr>
        <w:pStyle w:val="CH2"/>
        <w:rPr>
          <w:lang w:val="en-GB"/>
        </w:rPr>
      </w:pPr>
      <w:bookmarkStart w:id="199" w:name="_Toc138845683"/>
      <w:bookmarkStart w:id="200" w:name="_Toc138845738"/>
      <w:bookmarkStart w:id="201" w:name="_Toc138847827"/>
      <w:r w:rsidRPr="00361139">
        <w:rPr>
          <w:lang w:val="en-GB"/>
        </w:rPr>
        <w:tab/>
      </w:r>
      <w:r w:rsidRPr="00361139">
        <w:rPr>
          <w:lang w:val="en-GB"/>
        </w:rPr>
        <w:tab/>
      </w:r>
      <w:bookmarkStart w:id="202" w:name="_Toc139975462"/>
      <w:bookmarkStart w:id="203" w:name="_Toc139976223"/>
      <w:bookmarkStart w:id="204" w:name="_Toc139982237"/>
      <w:bookmarkStart w:id="205" w:name="_Toc139983949"/>
      <w:bookmarkStart w:id="206" w:name="_Toc139984191"/>
      <w:r w:rsidR="00CC73DD" w:rsidRPr="00361139">
        <w:rPr>
          <w:lang w:val="en-GB"/>
        </w:rPr>
        <w:t>The guidance to the GEF</w:t>
      </w:r>
      <w:bookmarkEnd w:id="199"/>
      <w:bookmarkEnd w:id="200"/>
      <w:bookmarkEnd w:id="201"/>
      <w:bookmarkEnd w:id="202"/>
      <w:bookmarkEnd w:id="203"/>
      <w:bookmarkEnd w:id="204"/>
      <w:bookmarkEnd w:id="205"/>
      <w:bookmarkEnd w:id="206"/>
    </w:p>
    <w:p w14:paraId="61121BB5"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Decision MC-1/5 adopts the Guidance to the GEF </w:t>
      </w:r>
      <w:r w:rsidRPr="00361139">
        <w:rPr>
          <w:rFonts w:asciiTheme="majorBidi" w:hAnsiTheme="majorBidi" w:cstheme="majorBidi"/>
          <w:i/>
        </w:rPr>
        <w:t>on the overall strategies, policies, programme priorities and eligibility for access to and utilization of financial resources and on an indicative list of categories of activities that could receive support from the Global Environment Facility Trust Fund</w:t>
      </w:r>
      <w:r w:rsidRPr="00361139">
        <w:rPr>
          <w:rFonts w:asciiTheme="majorBidi" w:hAnsiTheme="majorBidi" w:cstheme="majorBidi"/>
        </w:rPr>
        <w:t xml:space="preserve">. </w:t>
      </w:r>
    </w:p>
    <w:p w14:paraId="0EBDDACE"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Article 1 of the guidance specifies that it is </w:t>
      </w:r>
      <w:r w:rsidRPr="00361139">
        <w:rPr>
          <w:rFonts w:asciiTheme="majorBidi" w:hAnsiTheme="majorBidi" w:cstheme="majorBidi"/>
          <w:i/>
        </w:rPr>
        <w:t>intended to assist the Global Environment Facility (GEF) in fulfilling its role as one of the entities entrusted with the operation of the financial mechanism of the Minamata Convention</w:t>
      </w:r>
      <w:r w:rsidRPr="00361139">
        <w:rPr>
          <w:rFonts w:asciiTheme="majorBidi" w:hAnsiTheme="majorBidi" w:cstheme="majorBidi"/>
        </w:rPr>
        <w:t>.</w:t>
      </w:r>
    </w:p>
    <w:p w14:paraId="247FC17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first of the five sections composing the GEF guidance deal with the </w:t>
      </w:r>
      <w:r w:rsidRPr="00361139">
        <w:rPr>
          <w:rFonts w:asciiTheme="majorBidi" w:hAnsiTheme="majorBidi" w:cstheme="majorBidi"/>
          <w:i/>
        </w:rPr>
        <w:t xml:space="preserve">Eligibility for access to and utilization of financial resources. </w:t>
      </w:r>
      <w:r w:rsidRPr="00361139">
        <w:rPr>
          <w:rFonts w:asciiTheme="majorBidi" w:hAnsiTheme="majorBidi" w:cstheme="majorBidi"/>
        </w:rPr>
        <w:t xml:space="preserve">It sets two criteria for the eligibility to the GEF funding; recipient countries must be: a) Parties to the Convention and b) developing countries or countries with an economy in transition (CET). Countries which are signatories to the Convention are also indicated as </w:t>
      </w:r>
      <w:r w:rsidRPr="00361139">
        <w:rPr>
          <w:rFonts w:asciiTheme="majorBidi" w:hAnsiTheme="majorBidi" w:cstheme="majorBidi"/>
          <w:i/>
        </w:rPr>
        <w:t>eligible for funding from GEF for enabling activities, provided that any such signatory is taking meaningful steps towards becoming a Party</w:t>
      </w:r>
      <w:r w:rsidRPr="00361139">
        <w:rPr>
          <w:rFonts w:asciiTheme="majorBidi" w:hAnsiTheme="majorBidi" w:cstheme="majorBidi"/>
        </w:rPr>
        <w:t>.</w:t>
      </w:r>
    </w:p>
    <w:p w14:paraId="542DC7A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According to the information provided by the GEF Secretariat for this review, the 111 projects, funded by the GEF in relation to the Minamata Convention and active in the period under review, assisted 121 countries of which 86 are now Parties to the Convention; 14 are still signatories and received assistance for enabling activities or, together with the remaining 21 countries, not Parties nor signatories, were mostly involved in projects either approved before the adoption of the guidance or aiming at a wider spectrum of harmful chemicals and with a large number of countries participating in regional or global activities</w:t>
      </w:r>
      <w:r w:rsidRPr="00361139">
        <w:rPr>
          <w:rStyle w:val="FootnoteReference"/>
          <w:rFonts w:asciiTheme="majorBidi" w:eastAsia="SimSun" w:hAnsiTheme="majorBidi" w:cstheme="majorBidi"/>
        </w:rPr>
        <w:footnoteReference w:id="39"/>
      </w:r>
      <w:r w:rsidRPr="00361139">
        <w:rPr>
          <w:rFonts w:asciiTheme="majorBidi" w:hAnsiTheme="majorBidi" w:cstheme="majorBidi"/>
        </w:rPr>
        <w:t>.</w:t>
      </w:r>
    </w:p>
    <w:p w14:paraId="7B5107D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 xml:space="preserve">The second section of the guidance to the GEF deals with </w:t>
      </w:r>
      <w:r w:rsidRPr="00361139">
        <w:rPr>
          <w:rFonts w:asciiTheme="majorBidi" w:hAnsiTheme="majorBidi" w:cstheme="majorBidi"/>
          <w:i/>
        </w:rPr>
        <w:t>Overall strategies and policies</w:t>
      </w:r>
      <w:r w:rsidRPr="00361139">
        <w:rPr>
          <w:rFonts w:asciiTheme="majorBidi" w:hAnsiTheme="majorBidi" w:cstheme="majorBidi"/>
        </w:rPr>
        <w:t xml:space="preserve"> and specifies the main criteria for selecting activities that should be funded by GEF through the MC financial mechanism. In commenting on this </w:t>
      </w:r>
      <w:proofErr w:type="gramStart"/>
      <w:r w:rsidRPr="00361139">
        <w:rPr>
          <w:rFonts w:asciiTheme="majorBidi" w:hAnsiTheme="majorBidi" w:cstheme="majorBidi"/>
        </w:rPr>
        <w:t>section</w:t>
      </w:r>
      <w:proofErr w:type="gramEnd"/>
      <w:r w:rsidRPr="00361139">
        <w:rPr>
          <w:rFonts w:asciiTheme="majorBidi" w:hAnsiTheme="majorBidi" w:cstheme="majorBidi"/>
        </w:rPr>
        <w:t xml:space="preserve"> the GEF Secretariat notes that this guidance was used to inform the GEF-6 and GEF-7 programming and that all projects approved in the GEF-7 period follow this guidance. On this topic, the GEF response also notes that </w:t>
      </w:r>
      <w:r w:rsidRPr="00361139">
        <w:rPr>
          <w:rFonts w:asciiTheme="majorBidi" w:hAnsiTheme="majorBidi" w:cstheme="majorBidi"/>
          <w:i/>
        </w:rPr>
        <w:t>throughout GEF-7, there has been a focus on synergies within the chemicals and waste focal area and with other focal areas</w:t>
      </w:r>
      <w:r w:rsidRPr="00361139">
        <w:rPr>
          <w:rFonts w:asciiTheme="majorBidi" w:hAnsiTheme="majorBidi" w:cstheme="majorBidi"/>
        </w:rPr>
        <w:t>, which has allowed Minamata Convention projects to achieve synergies across the chemicals and waste focal area.</w:t>
      </w:r>
    </w:p>
    <w:p w14:paraId="6EA6A974"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third section of the GEF guidance, </w:t>
      </w:r>
      <w:r w:rsidRPr="00361139">
        <w:rPr>
          <w:rFonts w:asciiTheme="majorBidi" w:hAnsiTheme="majorBidi" w:cstheme="majorBidi"/>
          <w:i/>
        </w:rPr>
        <w:t>Programme priorities,</w:t>
      </w:r>
      <w:r w:rsidRPr="00361139">
        <w:rPr>
          <w:rFonts w:asciiTheme="majorBidi" w:hAnsiTheme="majorBidi" w:cstheme="majorBidi"/>
        </w:rPr>
        <w:t xml:space="preserve"> indicates specific types of activities to be prioritized, such as MIAs and ASGM NAP in case of enabling activities, as well as activities to implement the provisions of the Convention with priority to those that: </w:t>
      </w:r>
      <w:r w:rsidRPr="00361139">
        <w:rPr>
          <w:rFonts w:asciiTheme="majorBidi" w:hAnsiTheme="majorBidi" w:cstheme="majorBidi"/>
          <w:i/>
        </w:rPr>
        <w:t xml:space="preserve">(a) relate to legally binding obligations; (b) facilitate early implementation on entry into force of the Convention for a Party; </w:t>
      </w:r>
      <w:r w:rsidRPr="00361139">
        <w:rPr>
          <w:rFonts w:asciiTheme="majorBidi" w:hAnsiTheme="majorBidi" w:cstheme="majorBidi"/>
        </w:rPr>
        <w:t>and/or</w:t>
      </w:r>
      <w:r w:rsidRPr="00361139">
        <w:rPr>
          <w:rFonts w:asciiTheme="majorBidi" w:hAnsiTheme="majorBidi" w:cstheme="majorBidi"/>
          <w:i/>
        </w:rPr>
        <w:t xml:space="preserve"> (c) allow for a reduction in mercury emissions and releases and address the health and environmental impacts of mercury.</w:t>
      </w:r>
      <w:r w:rsidRPr="00361139">
        <w:rPr>
          <w:rFonts w:asciiTheme="majorBidi" w:hAnsiTheme="majorBidi" w:cstheme="majorBidi"/>
        </w:rPr>
        <w:t xml:space="preserve"> The guidance in this section also requests the GEF, when providing resources for an activity, to </w:t>
      </w:r>
      <w:proofErr w:type="gramStart"/>
      <w:r w:rsidRPr="00361139">
        <w:rPr>
          <w:rFonts w:asciiTheme="majorBidi" w:hAnsiTheme="majorBidi" w:cstheme="majorBidi"/>
        </w:rPr>
        <w:t>take into account</w:t>
      </w:r>
      <w:proofErr w:type="gramEnd"/>
      <w:r w:rsidRPr="00361139">
        <w:rPr>
          <w:rFonts w:asciiTheme="majorBidi" w:hAnsiTheme="majorBidi" w:cstheme="majorBidi"/>
        </w:rPr>
        <w:t xml:space="preserve"> the potential mercury reductions of a proposed activity relative to its costs.</w:t>
      </w:r>
    </w:p>
    <w:p w14:paraId="0ABFCC24"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As mentioned in the section on </w:t>
      </w:r>
      <w:r w:rsidRPr="00361139">
        <w:rPr>
          <w:rFonts w:asciiTheme="majorBidi" w:hAnsiTheme="majorBidi" w:cstheme="majorBidi"/>
          <w:i/>
        </w:rPr>
        <w:t>GEF funding</w:t>
      </w:r>
      <w:r w:rsidRPr="00361139">
        <w:rPr>
          <w:rFonts w:asciiTheme="majorBidi" w:hAnsiTheme="majorBidi" w:cstheme="majorBidi"/>
        </w:rPr>
        <w:t xml:space="preserve"> above, the GEF projects under review focusing on MIAs or ASGM NAP comprise almost the totality of the EAs financed in this period (96% of the total number of EA projects under review) while the majority of the GEF funds was invested in the MSPs, FSPs and Program activities mainly focusing on phasing-out of specific mercury-added products, strengthening of environmentally sound management of mercury and other hazardous chemicals, or on the Artisanal and Small-scale Gold Mining (ASGM) initiative.</w:t>
      </w:r>
    </w:p>
    <w:p w14:paraId="7B07446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On this section, the GEF Secretariat notes that </w:t>
      </w:r>
      <w:r w:rsidRPr="00361139">
        <w:rPr>
          <w:rFonts w:asciiTheme="majorBidi" w:hAnsiTheme="majorBidi" w:cstheme="majorBidi"/>
          <w:i/>
        </w:rPr>
        <w:t xml:space="preserve">all projects and programs in GEF-7 that seek to implement the Minamata Convention have been designed consistently with this guidance, </w:t>
      </w:r>
      <w:r w:rsidRPr="00361139">
        <w:rPr>
          <w:rFonts w:asciiTheme="majorBidi" w:hAnsiTheme="majorBidi" w:cstheme="majorBidi"/>
        </w:rPr>
        <w:t>and that</w:t>
      </w:r>
      <w:r w:rsidRPr="00361139">
        <w:rPr>
          <w:rFonts w:asciiTheme="majorBidi" w:hAnsiTheme="majorBidi" w:cstheme="majorBidi"/>
          <w:i/>
        </w:rPr>
        <w:t xml:space="preserve"> other programmed resources for projects that are aimed at early implementation address several areas of priorities of the Minamata Convention that meet the agreed incremental costs of mercury reduction, such as chlor-alkali, mercury products including medical devices and ASGM. These projects estimate to address 1,629 metric tons of mercury</w:t>
      </w:r>
      <w:r w:rsidRPr="00361139">
        <w:rPr>
          <w:rFonts w:asciiTheme="majorBidi" w:hAnsiTheme="majorBidi" w:cstheme="majorBidi"/>
        </w:rPr>
        <w:t>.</w:t>
      </w:r>
    </w:p>
    <w:p w14:paraId="60D961D7" w14:textId="301F44E9"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fourth section of the guidance to the GEF provides an </w:t>
      </w:r>
      <w:r w:rsidRPr="00361139">
        <w:rPr>
          <w:rFonts w:asciiTheme="majorBidi" w:hAnsiTheme="majorBidi" w:cstheme="majorBidi"/>
          <w:i/>
        </w:rPr>
        <w:t>Indicative list of categories of activities</w:t>
      </w:r>
      <w:r w:rsidRPr="00361139">
        <w:rPr>
          <w:rFonts w:asciiTheme="majorBidi" w:hAnsiTheme="majorBidi" w:cstheme="majorBidi"/>
        </w:rPr>
        <w:t xml:space="preserve"> that could receive support, differentiating by </w:t>
      </w:r>
      <w:r w:rsidRPr="00361139">
        <w:rPr>
          <w:rFonts w:asciiTheme="majorBidi" w:hAnsiTheme="majorBidi" w:cstheme="majorBidi"/>
          <w:i/>
        </w:rPr>
        <w:t>enabling activities</w:t>
      </w:r>
      <w:r w:rsidRPr="00361139">
        <w:rPr>
          <w:rFonts w:asciiTheme="majorBidi" w:hAnsiTheme="majorBidi" w:cstheme="majorBidi"/>
        </w:rPr>
        <w:t xml:space="preserve"> (MIAs, ASGM NAP and other EAs as agreed by the COP) and </w:t>
      </w:r>
      <w:r w:rsidRPr="00361139">
        <w:rPr>
          <w:rFonts w:asciiTheme="majorBidi" w:hAnsiTheme="majorBidi" w:cstheme="majorBidi"/>
          <w:i/>
        </w:rPr>
        <w:t>activities to implement the provisions of the Convention</w:t>
      </w:r>
      <w:r w:rsidRPr="00361139">
        <w:rPr>
          <w:rFonts w:asciiTheme="majorBidi" w:hAnsiTheme="majorBidi" w:cstheme="majorBidi"/>
        </w:rPr>
        <w:t>, that: a)</w:t>
      </w:r>
      <w:r w:rsidR="00C11F95" w:rsidRPr="00361139">
        <w:rPr>
          <w:rFonts w:asciiTheme="majorBidi" w:hAnsiTheme="majorBidi" w:cstheme="majorBidi"/>
        </w:rPr>
        <w:t> </w:t>
      </w:r>
      <w:r w:rsidRPr="00361139">
        <w:rPr>
          <w:rFonts w:asciiTheme="majorBidi" w:hAnsiTheme="majorBidi" w:cstheme="majorBidi"/>
          <w:i/>
        </w:rPr>
        <w:t xml:space="preserve">relate to legally binding obligations </w:t>
      </w:r>
      <w:r w:rsidRPr="00361139">
        <w:rPr>
          <w:rFonts w:asciiTheme="majorBidi" w:hAnsiTheme="majorBidi" w:cstheme="majorBidi"/>
        </w:rPr>
        <w:t>(including a list of possible areas related to these activities); b)</w:t>
      </w:r>
      <w:r w:rsidR="00C11F95" w:rsidRPr="00361139">
        <w:rPr>
          <w:rFonts w:asciiTheme="majorBidi" w:hAnsiTheme="majorBidi" w:cstheme="majorBidi"/>
        </w:rPr>
        <w:t> </w:t>
      </w:r>
      <w:r w:rsidRPr="00361139">
        <w:rPr>
          <w:rFonts w:asciiTheme="majorBidi" w:hAnsiTheme="majorBidi" w:cstheme="majorBidi"/>
          <w:i/>
        </w:rPr>
        <w:t xml:space="preserve">facilitate early implementation on entry into force of the Convention for a Party </w:t>
      </w:r>
      <w:r w:rsidRPr="00361139">
        <w:rPr>
          <w:rFonts w:asciiTheme="majorBidi" w:hAnsiTheme="majorBidi" w:cstheme="majorBidi"/>
        </w:rPr>
        <w:t xml:space="preserve">(including a list of possible categories for which financial support may be considered); or c) </w:t>
      </w:r>
      <w:r w:rsidRPr="00361139">
        <w:rPr>
          <w:rFonts w:asciiTheme="majorBidi" w:hAnsiTheme="majorBidi" w:cstheme="majorBidi"/>
          <w:i/>
        </w:rPr>
        <w:t>allow for the reduction of mercury emissions and releases and address both the health and environmental impacts of mercury</w:t>
      </w:r>
      <w:r w:rsidRPr="00361139">
        <w:rPr>
          <w:rFonts w:asciiTheme="majorBidi" w:hAnsiTheme="majorBidi" w:cstheme="majorBidi"/>
        </w:rPr>
        <w:t xml:space="preserve">. In the GEF Secretariat response to this section, it is noted that </w:t>
      </w:r>
      <w:r w:rsidRPr="00361139">
        <w:rPr>
          <w:rFonts w:asciiTheme="majorBidi" w:hAnsiTheme="majorBidi" w:cstheme="majorBidi"/>
          <w:i/>
        </w:rPr>
        <w:t>all MSPs and FSPs include capacity building</w:t>
      </w:r>
      <w:r w:rsidRPr="00361139">
        <w:rPr>
          <w:rFonts w:asciiTheme="majorBidi" w:hAnsiTheme="majorBidi" w:cstheme="majorBidi"/>
        </w:rPr>
        <w:t xml:space="preserve"> and that </w:t>
      </w:r>
      <w:r w:rsidRPr="00361139">
        <w:rPr>
          <w:rFonts w:asciiTheme="majorBidi" w:hAnsiTheme="majorBidi" w:cstheme="majorBidi"/>
          <w:i/>
        </w:rPr>
        <w:t xml:space="preserve">GEF-funded projects in the GEF-7 period primarily focus on implementing obligations of the Convention that reduce mercury. </w:t>
      </w:r>
    </w:p>
    <w:p w14:paraId="0E8B575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All review findings confirm the adherence of the GEF funded activities under review to the guidance. National Focal Points, from GEF recipient countries and participating in the survey, expressed an appreciation rate of 67% toward GEF contribution in meeting the costs in support of the implementation of the Convention.</w:t>
      </w:r>
    </w:p>
    <w:p w14:paraId="12A25D1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fifth and final section of the GEF guidance deals with the </w:t>
      </w:r>
      <w:r w:rsidRPr="00361139">
        <w:rPr>
          <w:rFonts w:asciiTheme="majorBidi" w:hAnsiTheme="majorBidi" w:cstheme="majorBidi"/>
          <w:i/>
        </w:rPr>
        <w:t>Review by the Conference of the Parties</w:t>
      </w:r>
      <w:r w:rsidRPr="00361139">
        <w:rPr>
          <w:rFonts w:asciiTheme="majorBidi" w:hAnsiTheme="majorBidi" w:cstheme="majorBidi"/>
        </w:rPr>
        <w:t xml:space="preserve"> of the guidance itself, to be conducted on a regular basis </w:t>
      </w:r>
      <w:proofErr w:type="gramStart"/>
      <w:r w:rsidRPr="00361139">
        <w:rPr>
          <w:rFonts w:asciiTheme="majorBidi" w:hAnsiTheme="majorBidi" w:cstheme="majorBidi"/>
        </w:rPr>
        <w:t>in order for</w:t>
      </w:r>
      <w:proofErr w:type="gramEnd"/>
      <w:r w:rsidRPr="00361139">
        <w:rPr>
          <w:rFonts w:asciiTheme="majorBidi" w:hAnsiTheme="majorBidi" w:cstheme="majorBidi"/>
        </w:rPr>
        <w:t xml:space="preserve"> the COP to </w:t>
      </w:r>
      <w:r w:rsidRPr="00361139">
        <w:rPr>
          <w:rFonts w:asciiTheme="majorBidi" w:hAnsiTheme="majorBidi" w:cstheme="majorBidi"/>
          <w:i/>
        </w:rPr>
        <w:t>take appropriate action to improve the effectiveness of the financial mechanism, including by updating and prioritizing as necessary its guidance to GEF</w:t>
      </w:r>
      <w:r w:rsidRPr="00361139">
        <w:rPr>
          <w:rFonts w:asciiTheme="majorBidi" w:hAnsiTheme="majorBidi" w:cstheme="majorBidi"/>
        </w:rPr>
        <w:t>.</w:t>
      </w:r>
    </w:p>
    <w:p w14:paraId="79DA86A2" w14:textId="4CB2DECE" w:rsidR="00CC73DD" w:rsidRPr="00361139" w:rsidRDefault="009D5362" w:rsidP="009D5362">
      <w:pPr>
        <w:pStyle w:val="CH2"/>
        <w:rPr>
          <w:lang w:val="en-GB"/>
        </w:rPr>
      </w:pPr>
      <w:bookmarkStart w:id="207" w:name="_Toc138845684"/>
      <w:bookmarkStart w:id="208" w:name="_Toc138845739"/>
      <w:bookmarkStart w:id="209" w:name="_Toc138847828"/>
      <w:r w:rsidRPr="00361139">
        <w:rPr>
          <w:lang w:val="en-GB"/>
        </w:rPr>
        <w:tab/>
      </w:r>
      <w:r w:rsidRPr="00361139">
        <w:rPr>
          <w:lang w:val="en-GB"/>
        </w:rPr>
        <w:tab/>
      </w:r>
      <w:bookmarkStart w:id="210" w:name="_Toc139975463"/>
      <w:bookmarkStart w:id="211" w:name="_Toc139976224"/>
      <w:bookmarkStart w:id="212" w:name="_Toc139982238"/>
      <w:bookmarkStart w:id="213" w:name="_Toc139983950"/>
      <w:bookmarkStart w:id="214" w:name="_Toc139984192"/>
      <w:r w:rsidR="00CC73DD" w:rsidRPr="00361139">
        <w:rPr>
          <w:lang w:val="en-GB"/>
        </w:rPr>
        <w:t>The guidance to the SIP</w:t>
      </w:r>
      <w:bookmarkEnd w:id="207"/>
      <w:bookmarkEnd w:id="208"/>
      <w:bookmarkEnd w:id="209"/>
      <w:bookmarkEnd w:id="210"/>
      <w:bookmarkEnd w:id="211"/>
      <w:bookmarkEnd w:id="212"/>
      <w:bookmarkEnd w:id="213"/>
      <w:bookmarkEnd w:id="214"/>
    </w:p>
    <w:p w14:paraId="4F6BED0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Decision MC-1/6 approves the guidance on the operations and duration of the Specific International Programme (SIP) as set out in annex I to the decision, named </w:t>
      </w:r>
      <w:r w:rsidRPr="00361139">
        <w:rPr>
          <w:rFonts w:asciiTheme="majorBidi" w:hAnsiTheme="majorBidi" w:cstheme="majorBidi"/>
          <w:i/>
        </w:rPr>
        <w:t>Hosting arrangements, guidance on the operations of and duration of the Specific International Programme to Support Capacity-Building and Technical Assistance</w:t>
      </w:r>
      <w:r w:rsidRPr="00361139">
        <w:rPr>
          <w:rFonts w:asciiTheme="majorBidi" w:hAnsiTheme="majorBidi" w:cstheme="majorBidi"/>
        </w:rPr>
        <w:t xml:space="preserve">. The first two paragraphs of the annex deal with </w:t>
      </w:r>
      <w:r w:rsidRPr="00361139">
        <w:rPr>
          <w:rFonts w:asciiTheme="majorBidi" w:hAnsiTheme="majorBidi" w:cstheme="majorBidi"/>
          <w:i/>
        </w:rPr>
        <w:t>Governance arrangements for the Specific International Programme</w:t>
      </w:r>
      <w:r w:rsidRPr="00361139">
        <w:rPr>
          <w:rFonts w:asciiTheme="majorBidi" w:hAnsiTheme="majorBidi" w:cstheme="majorBidi"/>
        </w:rPr>
        <w:t xml:space="preserve">; the </w:t>
      </w:r>
      <w:r w:rsidRPr="00361139">
        <w:rPr>
          <w:rFonts w:asciiTheme="majorBidi" w:hAnsiTheme="majorBidi" w:cstheme="majorBidi"/>
          <w:i/>
        </w:rPr>
        <w:t>Guidance on the Specific International Programme</w:t>
      </w:r>
      <w:r w:rsidRPr="00361139">
        <w:rPr>
          <w:rFonts w:asciiTheme="majorBidi" w:hAnsiTheme="majorBidi" w:cstheme="majorBidi"/>
        </w:rPr>
        <w:t xml:space="preserve"> is contained in the rest of the annex.</w:t>
      </w:r>
    </w:p>
    <w:p w14:paraId="7A715998"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 xml:space="preserve">The </w:t>
      </w:r>
      <w:r w:rsidRPr="00361139">
        <w:rPr>
          <w:rFonts w:asciiTheme="majorBidi" w:hAnsiTheme="majorBidi" w:cstheme="majorBidi"/>
          <w:i/>
        </w:rPr>
        <w:t xml:space="preserve">Guidance </w:t>
      </w:r>
      <w:r w:rsidRPr="00361139">
        <w:rPr>
          <w:rFonts w:asciiTheme="majorBidi" w:hAnsiTheme="majorBidi" w:cstheme="majorBidi"/>
        </w:rPr>
        <w:t xml:space="preserve">on the SIP is composed of five sections. The first section defines the SIP </w:t>
      </w:r>
      <w:r w:rsidRPr="00361139">
        <w:rPr>
          <w:rFonts w:asciiTheme="majorBidi" w:hAnsiTheme="majorBidi" w:cstheme="majorBidi"/>
          <w:i/>
        </w:rPr>
        <w:t>Scope</w:t>
      </w:r>
      <w:r w:rsidRPr="00361139">
        <w:rPr>
          <w:rFonts w:asciiTheme="majorBidi" w:hAnsiTheme="majorBidi" w:cstheme="majorBidi"/>
        </w:rPr>
        <w:t xml:space="preserve"> as </w:t>
      </w:r>
      <w:r w:rsidRPr="00361139">
        <w:rPr>
          <w:rFonts w:asciiTheme="majorBidi" w:hAnsiTheme="majorBidi" w:cstheme="majorBidi"/>
          <w:i/>
        </w:rPr>
        <w:t>to support capacity-building and technical assistance</w:t>
      </w:r>
      <w:r w:rsidRPr="00361139">
        <w:rPr>
          <w:rFonts w:asciiTheme="majorBidi" w:hAnsiTheme="majorBidi" w:cstheme="majorBidi"/>
        </w:rPr>
        <w:t xml:space="preserve"> and includes a recommendation </w:t>
      </w:r>
      <w:r w:rsidRPr="00361139">
        <w:rPr>
          <w:rFonts w:asciiTheme="majorBidi" w:hAnsiTheme="majorBidi" w:cstheme="majorBidi"/>
          <w:i/>
        </w:rPr>
        <w:t>to avoid duplication and overlap</w:t>
      </w:r>
      <w:r w:rsidRPr="00361139">
        <w:rPr>
          <w:rFonts w:asciiTheme="majorBidi" w:hAnsiTheme="majorBidi" w:cstheme="majorBidi"/>
        </w:rPr>
        <w:t>. The findings of this review confirm a good working relationship among the MC, the GEF and</w:t>
      </w:r>
      <w:r w:rsidRPr="00361139">
        <w:rPr>
          <w:rFonts w:asciiTheme="majorBidi" w:hAnsiTheme="majorBidi" w:cstheme="majorBidi"/>
          <w:bCs/>
        </w:rPr>
        <w:t xml:space="preserve"> the </w:t>
      </w:r>
      <w:r w:rsidRPr="00361139">
        <w:rPr>
          <w:rFonts w:asciiTheme="majorBidi" w:hAnsiTheme="majorBidi" w:cstheme="majorBidi"/>
        </w:rPr>
        <w:t>Special Programme</w:t>
      </w:r>
      <w:r w:rsidRPr="00361139">
        <w:rPr>
          <w:rStyle w:val="FootnoteReference"/>
          <w:rFonts w:asciiTheme="majorBidi" w:eastAsia="SimSun" w:hAnsiTheme="majorBidi" w:cstheme="majorBidi"/>
        </w:rPr>
        <w:footnoteReference w:id="40"/>
      </w:r>
      <w:r w:rsidRPr="00361139">
        <w:rPr>
          <w:rFonts w:asciiTheme="majorBidi" w:hAnsiTheme="majorBidi" w:cstheme="majorBidi"/>
        </w:rPr>
        <w:t xml:space="preserve"> Secretariats under the UNEP Chemicals and Waste Management Programme, and the UNEP Global Mercury Partnership (GMP)</w:t>
      </w:r>
      <w:r w:rsidRPr="00361139">
        <w:rPr>
          <w:rStyle w:val="FootnoteReference"/>
          <w:rFonts w:asciiTheme="majorBidi" w:eastAsia="SimSun" w:hAnsiTheme="majorBidi" w:cstheme="majorBidi"/>
        </w:rPr>
        <w:footnoteReference w:id="41"/>
      </w:r>
      <w:r w:rsidRPr="00361139">
        <w:rPr>
          <w:rFonts w:asciiTheme="majorBidi" w:hAnsiTheme="majorBidi" w:cstheme="majorBidi"/>
        </w:rPr>
        <w:t xml:space="preserve"> which insured, in the period under review, to achieve complementarity of activities and avoid duplications among the different funding mechanisms and the stakeholder’s community.</w:t>
      </w:r>
    </w:p>
    <w:p w14:paraId="69870890"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second section on </w:t>
      </w:r>
      <w:r w:rsidRPr="00361139">
        <w:rPr>
          <w:rFonts w:asciiTheme="majorBidi" w:hAnsiTheme="majorBidi" w:cstheme="majorBidi"/>
          <w:i/>
        </w:rPr>
        <w:t>Eligibility</w:t>
      </w:r>
      <w:r w:rsidRPr="00361139">
        <w:rPr>
          <w:rFonts w:asciiTheme="majorBidi" w:hAnsiTheme="majorBidi" w:cstheme="majorBidi"/>
        </w:rPr>
        <w:t xml:space="preserve"> identifies developing-country Parties and Parties with economies in transition as those eligible for resources under the financial mechanism and recommends taking </w:t>
      </w:r>
      <w:r w:rsidRPr="00361139">
        <w:rPr>
          <w:rFonts w:asciiTheme="majorBidi" w:hAnsiTheme="majorBidi" w:cstheme="majorBidi"/>
          <w:i/>
        </w:rPr>
        <w:t>full account of the specific needs and special circumstances of Parties that are Small Island Developing States and Least Developed Countries</w:t>
      </w:r>
      <w:r w:rsidRPr="00361139">
        <w:rPr>
          <w:rFonts w:asciiTheme="majorBidi" w:hAnsiTheme="majorBidi" w:cstheme="majorBidi"/>
        </w:rPr>
        <w:t>. The MC Secretariat and the SIP Governing Board ensured that all 24 projects funded through the SIP, in its first three rounds of operations, were assigned to eligible Parties and</w:t>
      </w:r>
      <w:proofErr w:type="gramStart"/>
      <w:r w:rsidRPr="00361139">
        <w:rPr>
          <w:rFonts w:asciiTheme="majorBidi" w:hAnsiTheme="majorBidi" w:cstheme="majorBidi"/>
        </w:rPr>
        <w:t>, in particular, 6</w:t>
      </w:r>
      <w:proofErr w:type="gramEnd"/>
      <w:r w:rsidRPr="00361139">
        <w:rPr>
          <w:rFonts w:asciiTheme="majorBidi" w:hAnsiTheme="majorBidi" w:cstheme="majorBidi"/>
        </w:rPr>
        <w:t xml:space="preserve"> of these projects were assigned to LDC and 2 to SIDS Parties (the distribution of SIP projects and funds among these groups is shown in Table 5).</w:t>
      </w:r>
    </w:p>
    <w:p w14:paraId="7C606F53"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third section, on </w:t>
      </w:r>
      <w:r w:rsidRPr="00361139">
        <w:rPr>
          <w:rFonts w:asciiTheme="majorBidi" w:hAnsiTheme="majorBidi" w:cstheme="majorBidi"/>
          <w:i/>
        </w:rPr>
        <w:t>Operations,</w:t>
      </w:r>
      <w:r w:rsidRPr="00361139">
        <w:rPr>
          <w:rFonts w:asciiTheme="majorBidi" w:hAnsiTheme="majorBidi" w:cstheme="majorBidi"/>
        </w:rPr>
        <w:t xml:space="preserve"> identifies the main criteria that should guide SIP operations: </w:t>
      </w:r>
      <w:r w:rsidRPr="00361139">
        <w:rPr>
          <w:rFonts w:asciiTheme="majorBidi" w:hAnsiTheme="majorBidi" w:cstheme="majorBidi"/>
          <w:i/>
        </w:rPr>
        <w:t>country-drivenness</w:t>
      </w:r>
      <w:r w:rsidRPr="00361139">
        <w:rPr>
          <w:rFonts w:asciiTheme="majorBidi" w:hAnsiTheme="majorBidi" w:cstheme="majorBidi"/>
        </w:rPr>
        <w:t xml:space="preserve">, taking into consideration national priorities; </w:t>
      </w:r>
      <w:r w:rsidRPr="00361139">
        <w:rPr>
          <w:rFonts w:asciiTheme="majorBidi" w:hAnsiTheme="majorBidi" w:cstheme="majorBidi"/>
          <w:i/>
        </w:rPr>
        <w:t xml:space="preserve">complementarity </w:t>
      </w:r>
      <w:r w:rsidRPr="00361139">
        <w:rPr>
          <w:rFonts w:asciiTheme="majorBidi" w:hAnsiTheme="majorBidi" w:cstheme="majorBidi"/>
        </w:rPr>
        <w:t xml:space="preserve">with other existing arrangements to provide capacity-building and technical support; built upon </w:t>
      </w:r>
      <w:r w:rsidRPr="00361139">
        <w:rPr>
          <w:rFonts w:asciiTheme="majorBidi" w:hAnsiTheme="majorBidi" w:cstheme="majorBidi"/>
          <w:i/>
        </w:rPr>
        <w:t xml:space="preserve">lessons learned </w:t>
      </w:r>
      <w:r w:rsidRPr="00361139">
        <w:rPr>
          <w:rFonts w:asciiTheme="majorBidi" w:hAnsiTheme="majorBidi" w:cstheme="majorBidi"/>
        </w:rPr>
        <w:t xml:space="preserve">and engage at the national and regional levels, including by encouraging South-South cooperation; and be </w:t>
      </w:r>
      <w:r w:rsidRPr="00361139">
        <w:rPr>
          <w:rFonts w:asciiTheme="majorBidi" w:hAnsiTheme="majorBidi" w:cstheme="majorBidi"/>
          <w:i/>
        </w:rPr>
        <w:t>consistent with the integrated approach</w:t>
      </w:r>
      <w:r w:rsidRPr="00361139">
        <w:rPr>
          <w:rFonts w:asciiTheme="majorBidi" w:hAnsiTheme="majorBidi" w:cstheme="majorBidi"/>
        </w:rPr>
        <w:t xml:space="preserve"> to financing the sound management of chemicals and waste, as relevant to the implementation of the Convention. As for these review findings, all reports from ongoing SIP projects, as well as the few terminal reviews and evaluations available, confirm the country-driven approach of the projects and the engagement at national and regional level (three SIP projects have regional components and involve eleven countries). The constant inter-exchange of information with the other funding mechanisms also insured, in the first three rounds under review, a strongly integrated approach to financing.</w:t>
      </w:r>
    </w:p>
    <w:p w14:paraId="1A9BBC64" w14:textId="115B5DAE"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fourth section of the SIP Guidance identifies the </w:t>
      </w:r>
      <w:r w:rsidRPr="00361139">
        <w:rPr>
          <w:rFonts w:asciiTheme="majorBidi" w:hAnsiTheme="majorBidi" w:cstheme="majorBidi"/>
          <w:i/>
        </w:rPr>
        <w:t>Resources</w:t>
      </w:r>
      <w:r w:rsidRPr="00361139">
        <w:rPr>
          <w:rFonts w:asciiTheme="majorBidi" w:hAnsiTheme="majorBidi" w:cstheme="majorBidi"/>
        </w:rPr>
        <w:t xml:space="preserve"> for the SIP as </w:t>
      </w:r>
      <w:r w:rsidRPr="00361139">
        <w:rPr>
          <w:rFonts w:asciiTheme="majorBidi" w:hAnsiTheme="majorBidi" w:cstheme="majorBidi"/>
          <w:i/>
        </w:rPr>
        <w:t>financial and in</w:t>
      </w:r>
      <w:r w:rsidR="00707D0F" w:rsidRPr="00361139">
        <w:noBreakHyphen/>
      </w:r>
      <w:r w:rsidRPr="00361139">
        <w:rPr>
          <w:rFonts w:asciiTheme="majorBidi" w:hAnsiTheme="majorBidi" w:cstheme="majorBidi"/>
          <w:i/>
        </w:rPr>
        <w:t>kind contributions and expertise</w:t>
      </w:r>
      <w:r w:rsidRPr="00361139">
        <w:rPr>
          <w:rFonts w:asciiTheme="majorBidi" w:hAnsiTheme="majorBidi" w:cstheme="majorBidi"/>
        </w:rPr>
        <w:t xml:space="preserve"> and encourages contributions of resources </w:t>
      </w:r>
      <w:r w:rsidRPr="00361139">
        <w:rPr>
          <w:rFonts w:asciiTheme="majorBidi" w:hAnsiTheme="majorBidi" w:cstheme="majorBidi"/>
          <w:i/>
        </w:rPr>
        <w:t>from a broad range of sources</w:t>
      </w:r>
      <w:r w:rsidRPr="00361139">
        <w:rPr>
          <w:rFonts w:asciiTheme="majorBidi" w:hAnsiTheme="majorBidi" w:cstheme="majorBidi"/>
        </w:rPr>
        <w:t xml:space="preserve"> including </w:t>
      </w:r>
      <w:r w:rsidRPr="00361139">
        <w:rPr>
          <w:rFonts w:asciiTheme="majorBidi" w:hAnsiTheme="majorBidi" w:cstheme="majorBidi"/>
          <w:i/>
        </w:rPr>
        <w:t>all Parties to the Minamata Convention with the capacity to contribute, as well as other relevant stakeholders</w:t>
      </w:r>
      <w:r w:rsidRPr="00361139">
        <w:rPr>
          <w:rFonts w:asciiTheme="majorBidi" w:hAnsiTheme="majorBidi" w:cstheme="majorBidi"/>
        </w:rPr>
        <w:t xml:space="preserve">. All reports from ongoing SIP projects, as well as the few </w:t>
      </w:r>
      <w:proofErr w:type="gramStart"/>
      <w:r w:rsidRPr="00361139">
        <w:rPr>
          <w:rFonts w:asciiTheme="majorBidi" w:hAnsiTheme="majorBidi" w:cstheme="majorBidi"/>
        </w:rPr>
        <w:t>terminal</w:t>
      </w:r>
      <w:proofErr w:type="gramEnd"/>
      <w:r w:rsidRPr="00361139">
        <w:rPr>
          <w:rFonts w:asciiTheme="majorBidi" w:hAnsiTheme="majorBidi" w:cstheme="majorBidi"/>
        </w:rPr>
        <w:t xml:space="preserve"> reports available, confirm a significant involvement of national and regional agencies in the implementation of most of SIP projects; the above section on the </w:t>
      </w:r>
      <w:r w:rsidRPr="00361139">
        <w:rPr>
          <w:rFonts w:asciiTheme="majorBidi" w:hAnsiTheme="majorBidi" w:cstheme="majorBidi"/>
          <w:i/>
        </w:rPr>
        <w:t>Co-financing in SIP projects</w:t>
      </w:r>
      <w:r w:rsidRPr="00361139">
        <w:rPr>
          <w:rFonts w:asciiTheme="majorBidi" w:hAnsiTheme="majorBidi" w:cstheme="majorBidi"/>
        </w:rPr>
        <w:t xml:space="preserve"> and Table 1 also report an overall 52% of in-kind co-financing in the funding of the SIP projects under review.</w:t>
      </w:r>
    </w:p>
    <w:p w14:paraId="6396F7E8"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COP guidance section on </w:t>
      </w:r>
      <w:r w:rsidRPr="00361139">
        <w:rPr>
          <w:rFonts w:asciiTheme="majorBidi" w:hAnsiTheme="majorBidi" w:cstheme="majorBidi"/>
          <w:i/>
        </w:rPr>
        <w:t>Resource</w:t>
      </w:r>
      <w:r w:rsidRPr="00361139">
        <w:rPr>
          <w:rFonts w:asciiTheme="majorBidi" w:hAnsiTheme="majorBidi" w:cstheme="majorBidi"/>
        </w:rPr>
        <w:t xml:space="preserve"> also requests the MC Secretariat to develop, in consultation with the SIP Governing Board, a resource mobilization strategy with a view to attracting a broad range of donors, building on lessons learned in other areas and include approaches whose purpose is to leverage resources, including in-kind resources, from non-State actors. On this request the MC Secretariat reported in its Overall report on the SIP to COP3</w:t>
      </w:r>
      <w:r w:rsidRPr="00361139">
        <w:rPr>
          <w:rFonts w:asciiTheme="majorBidi" w:hAnsiTheme="majorBidi" w:cstheme="majorBidi"/>
          <w:vertAlign w:val="superscript"/>
        </w:rPr>
        <w:footnoteReference w:id="42"/>
      </w:r>
      <w:r w:rsidRPr="00361139">
        <w:rPr>
          <w:rFonts w:asciiTheme="majorBidi" w:hAnsiTheme="majorBidi" w:cstheme="majorBidi"/>
        </w:rPr>
        <w:t xml:space="preserve"> that: </w:t>
      </w:r>
      <w:r w:rsidRPr="00361139">
        <w:rPr>
          <w:rFonts w:asciiTheme="majorBidi" w:hAnsiTheme="majorBidi" w:cstheme="majorBidi"/>
          <w:i/>
        </w:rPr>
        <w:t xml:space="preserve">Following extensive deliberations on the elements of a resource mobilization strategy for the SIP, the Governing Board concluded that rather than requesting the Secretariat to draft a fully-fledged resource mobilization strategy at this stage, the priority would be to identify two to three tangible areas of effort to support the mobilization of resources through strategic communication. Furthermore, while hoping for contributions from non-traditional donors and other non-traditional funding sources, the Governing Board identified traditional donors as the most important source of funds at present. </w:t>
      </w:r>
      <w:r w:rsidRPr="00361139">
        <w:rPr>
          <w:rFonts w:asciiTheme="majorBidi" w:hAnsiTheme="majorBidi" w:cstheme="majorBidi"/>
        </w:rPr>
        <w:t xml:space="preserve">The MC Secretariat also confirmed that, in following up that advice, its activity in this area is mainly focused on improving communications about the SIP and, particularly, on direct communications to donor party Governments. </w:t>
      </w:r>
    </w:p>
    <w:p w14:paraId="31B1663C"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The fifth and last section of the SIP Guidance sets the</w:t>
      </w:r>
      <w:r w:rsidRPr="00361139">
        <w:rPr>
          <w:rFonts w:asciiTheme="majorBidi" w:hAnsiTheme="majorBidi" w:cstheme="majorBidi"/>
          <w:i/>
        </w:rPr>
        <w:t xml:space="preserve"> Duration</w:t>
      </w:r>
      <w:r w:rsidRPr="00361139">
        <w:rPr>
          <w:rFonts w:asciiTheme="majorBidi" w:hAnsiTheme="majorBidi" w:cstheme="majorBidi"/>
        </w:rPr>
        <w:t xml:space="preserve"> of the SIP to ten years from the establishment of the trust fund</w:t>
      </w:r>
      <w:r w:rsidRPr="00361139">
        <w:rPr>
          <w:rStyle w:val="FootnoteReference"/>
          <w:rFonts w:asciiTheme="majorBidi" w:eastAsia="SimSun" w:hAnsiTheme="majorBidi" w:cstheme="majorBidi"/>
        </w:rPr>
        <w:footnoteReference w:id="43"/>
      </w:r>
      <w:r w:rsidRPr="00361139">
        <w:rPr>
          <w:rFonts w:asciiTheme="majorBidi" w:hAnsiTheme="majorBidi" w:cstheme="majorBidi"/>
        </w:rPr>
        <w:t>, extendable by the COP to a maximum of additional seven years.</w:t>
      </w:r>
    </w:p>
    <w:p w14:paraId="7DABD54C" w14:textId="39C14BFB" w:rsidR="00CC73DD" w:rsidRPr="00361139" w:rsidRDefault="00687912" w:rsidP="0063248A">
      <w:pPr>
        <w:pStyle w:val="CH1"/>
        <w:rPr>
          <w:lang w:val="en-GB"/>
        </w:rPr>
      </w:pPr>
      <w:bookmarkStart w:id="215" w:name="_Toc122452723"/>
      <w:bookmarkStart w:id="216" w:name="_Toc122452900"/>
      <w:bookmarkStart w:id="217" w:name="_Toc138845685"/>
      <w:bookmarkStart w:id="218" w:name="_Toc138845740"/>
      <w:bookmarkStart w:id="219" w:name="_Toc138847829"/>
      <w:r w:rsidRPr="00361139">
        <w:rPr>
          <w:lang w:val="en-GB"/>
        </w:rPr>
        <w:tab/>
      </w:r>
      <w:bookmarkStart w:id="220" w:name="_Toc139975464"/>
      <w:bookmarkStart w:id="221" w:name="_Toc139976225"/>
      <w:bookmarkStart w:id="222" w:name="_Toc139982239"/>
      <w:bookmarkStart w:id="223" w:name="_Toc139983951"/>
      <w:bookmarkStart w:id="224" w:name="_Toc139984193"/>
      <w:r w:rsidRPr="00361139">
        <w:rPr>
          <w:lang w:val="en-GB"/>
        </w:rPr>
        <w:t>3.</w:t>
      </w:r>
      <w:r w:rsidRPr="00361139">
        <w:rPr>
          <w:lang w:val="en-GB"/>
        </w:rPr>
        <w:tab/>
      </w:r>
      <w:r w:rsidR="00CC73DD" w:rsidRPr="00361139">
        <w:rPr>
          <w:lang w:val="en-GB"/>
        </w:rPr>
        <w:t>The Effectiveness and the Efficiency</w:t>
      </w:r>
      <w:bookmarkEnd w:id="215"/>
      <w:bookmarkEnd w:id="216"/>
      <w:bookmarkEnd w:id="217"/>
      <w:bookmarkEnd w:id="218"/>
      <w:bookmarkEnd w:id="219"/>
      <w:bookmarkEnd w:id="220"/>
      <w:bookmarkEnd w:id="221"/>
      <w:bookmarkEnd w:id="222"/>
      <w:bookmarkEnd w:id="223"/>
      <w:bookmarkEnd w:id="224"/>
    </w:p>
    <w:p w14:paraId="4422CC14" w14:textId="5F43E4B8" w:rsidR="00CC73DD" w:rsidRPr="00361139" w:rsidRDefault="00687912" w:rsidP="00687912">
      <w:pPr>
        <w:pStyle w:val="CH2"/>
        <w:rPr>
          <w:lang w:val="en-GB"/>
        </w:rPr>
      </w:pPr>
      <w:bookmarkStart w:id="225" w:name="_Toc138845686"/>
      <w:bookmarkStart w:id="226" w:name="_Toc138845741"/>
      <w:bookmarkStart w:id="227" w:name="_Toc138847830"/>
      <w:r w:rsidRPr="00361139">
        <w:rPr>
          <w:lang w:val="en-GB"/>
        </w:rPr>
        <w:tab/>
      </w:r>
      <w:r w:rsidRPr="00361139">
        <w:rPr>
          <w:lang w:val="en-GB"/>
        </w:rPr>
        <w:tab/>
      </w:r>
      <w:bookmarkStart w:id="228" w:name="_Toc139975465"/>
      <w:bookmarkStart w:id="229" w:name="_Toc139976226"/>
      <w:bookmarkStart w:id="230" w:name="_Toc139982240"/>
      <w:bookmarkStart w:id="231" w:name="_Toc139983952"/>
      <w:bookmarkStart w:id="232" w:name="_Toc139984194"/>
      <w:r w:rsidR="00CC73DD" w:rsidRPr="00361139">
        <w:rPr>
          <w:lang w:val="en-GB"/>
        </w:rPr>
        <w:t>The provision of adequate, predictable, and timely financial resources</w:t>
      </w:r>
      <w:bookmarkEnd w:id="225"/>
      <w:bookmarkEnd w:id="226"/>
      <w:bookmarkEnd w:id="227"/>
      <w:bookmarkEnd w:id="228"/>
      <w:bookmarkEnd w:id="229"/>
      <w:bookmarkEnd w:id="230"/>
      <w:bookmarkEnd w:id="231"/>
      <w:bookmarkEnd w:id="232"/>
    </w:p>
    <w:p w14:paraId="05FC04B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Article 13 of the Minamata Convention clearly defines, in its paragraph 5, the scope of the MC financial mechanism as: </w:t>
      </w:r>
      <w:r w:rsidRPr="00361139">
        <w:rPr>
          <w:rFonts w:asciiTheme="majorBidi" w:hAnsiTheme="majorBidi" w:cstheme="majorBidi"/>
          <w:i/>
        </w:rPr>
        <w:t>the provision of adequate, predictable, and timely financial resources […] to support developing country Parties and Parties with economies in transition in implementing their obligations under this Convention.</w:t>
      </w:r>
    </w:p>
    <w:p w14:paraId="304CC395"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 general and extensive appreciation of the MC financial mechanism has come out, “strong and clear”, from all the inputs received in this review by the National Focal Points to the Convention and the other main stakeholders. The funding mentioned in Section 2 above were clearly indicated, by all sources, of paramount importance in successfully supporting the recipient Parties in their progress toward the implementation of the objectives of the Convention.</w:t>
      </w:r>
    </w:p>
    <w:p w14:paraId="0BF7F75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the survey, the focal points of countries recipient of SIP and/or GEF funding expressed specific appreciation toward the </w:t>
      </w:r>
      <w:r w:rsidRPr="00361139">
        <w:rPr>
          <w:rFonts w:asciiTheme="majorBidi" w:hAnsiTheme="majorBidi" w:cstheme="majorBidi"/>
          <w:i/>
        </w:rPr>
        <w:t>adequacy</w:t>
      </w:r>
      <w:r w:rsidRPr="00361139">
        <w:rPr>
          <w:rFonts w:asciiTheme="majorBidi" w:hAnsiTheme="majorBidi" w:cstheme="majorBidi"/>
        </w:rPr>
        <w:t xml:space="preserve"> (82% of appreciation for SIP and 72% for GEF), the </w:t>
      </w:r>
      <w:r w:rsidRPr="00361139">
        <w:rPr>
          <w:rFonts w:asciiTheme="majorBidi" w:hAnsiTheme="majorBidi" w:cstheme="majorBidi"/>
          <w:i/>
        </w:rPr>
        <w:t>predictability</w:t>
      </w:r>
      <w:r w:rsidRPr="00361139">
        <w:rPr>
          <w:rFonts w:asciiTheme="majorBidi" w:hAnsiTheme="majorBidi" w:cstheme="majorBidi"/>
        </w:rPr>
        <w:t xml:space="preserve"> (82% of appreciation for SIP and 72% for GEF) and the </w:t>
      </w:r>
      <w:r w:rsidRPr="00361139">
        <w:rPr>
          <w:rFonts w:asciiTheme="majorBidi" w:hAnsiTheme="majorBidi" w:cstheme="majorBidi"/>
          <w:i/>
        </w:rPr>
        <w:t>timeliness</w:t>
      </w:r>
      <w:r w:rsidRPr="00361139">
        <w:rPr>
          <w:rFonts w:asciiTheme="majorBidi" w:hAnsiTheme="majorBidi" w:cstheme="majorBidi"/>
        </w:rPr>
        <w:t xml:space="preserve"> (83% of appreciation for SIP and 71% for GEF) of the financial resources received. </w:t>
      </w:r>
    </w:p>
    <w:p w14:paraId="42D8474E"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An additional element of analysis, specific about the </w:t>
      </w:r>
      <w:r w:rsidRPr="00361139">
        <w:rPr>
          <w:rFonts w:asciiTheme="majorBidi" w:hAnsiTheme="majorBidi" w:cstheme="majorBidi"/>
          <w:i/>
        </w:rPr>
        <w:t>adequacy</w:t>
      </w:r>
      <w:r w:rsidRPr="00361139">
        <w:rPr>
          <w:rFonts w:asciiTheme="majorBidi" w:hAnsiTheme="majorBidi" w:cstheme="majorBidi"/>
        </w:rPr>
        <w:t xml:space="preserve"> of the resources, might be obtained in considering that, according to the GEF Secretariat (accountable, in the period under review, for more than 98% of the funding disbursed by the MC financial mechanism), the funds allocated under the GEF-7 cycle for the Minamata Convention were enough to support all project requests and no project application respecting GEF parameters, among those submitted through the MC financial mechanism in the period under review, was rejected. </w:t>
      </w:r>
    </w:p>
    <w:p w14:paraId="7E34437D" w14:textId="77777777" w:rsidR="00CC73DD" w:rsidRPr="00361139" w:rsidRDefault="00CC73DD" w:rsidP="000C76AC">
      <w:pPr>
        <w:pStyle w:val="Normalnumber"/>
        <w:numPr>
          <w:ilvl w:val="0"/>
          <w:numId w:val="9"/>
        </w:numPr>
        <w:rPr>
          <w:rFonts w:asciiTheme="majorBidi" w:hAnsiTheme="majorBidi" w:cstheme="majorBidi"/>
        </w:rPr>
      </w:pPr>
      <w:proofErr w:type="gramStart"/>
      <w:r w:rsidRPr="00361139">
        <w:rPr>
          <w:rFonts w:asciiTheme="majorBidi" w:hAnsiTheme="majorBidi" w:cstheme="majorBidi"/>
        </w:rPr>
        <w:t>Again</w:t>
      </w:r>
      <w:proofErr w:type="gramEnd"/>
      <w:r w:rsidRPr="00361139">
        <w:rPr>
          <w:rFonts w:asciiTheme="majorBidi" w:hAnsiTheme="majorBidi" w:cstheme="majorBidi"/>
        </w:rPr>
        <w:t xml:space="preserve"> from the survey results, respondents from recipient countries indicated an 82% rate of appreciation toward SIP funding contribution in improving their country capacity</w:t>
      </w:r>
      <w:r w:rsidRPr="00361139">
        <w:rPr>
          <w:rFonts w:asciiTheme="majorBidi" w:hAnsiTheme="majorBidi" w:cstheme="majorBidi"/>
          <w:i/>
        </w:rPr>
        <w:t xml:space="preserve"> in implementing its obligations under the Convention</w:t>
      </w:r>
      <w:r w:rsidRPr="00361139">
        <w:rPr>
          <w:rFonts w:asciiTheme="majorBidi" w:hAnsiTheme="majorBidi" w:cstheme="majorBidi"/>
        </w:rPr>
        <w:t xml:space="preserve">; and a 67% rate of appreciation toward GEF funding contribution in </w:t>
      </w:r>
      <w:r w:rsidRPr="00361139">
        <w:rPr>
          <w:rFonts w:asciiTheme="majorBidi" w:hAnsiTheme="majorBidi" w:cstheme="majorBidi"/>
          <w:i/>
        </w:rPr>
        <w:t>meeting costs in support of implementation of the Convention</w:t>
      </w:r>
      <w:r w:rsidRPr="00361139">
        <w:rPr>
          <w:rFonts w:asciiTheme="majorBidi" w:hAnsiTheme="majorBidi" w:cstheme="majorBidi"/>
        </w:rPr>
        <w:t>.</w:t>
      </w:r>
    </w:p>
    <w:p w14:paraId="360E0F8B" w14:textId="7809D7F8" w:rsidR="00CC73DD" w:rsidRPr="00361139" w:rsidRDefault="00687912" w:rsidP="00687912">
      <w:pPr>
        <w:pStyle w:val="CH2"/>
        <w:rPr>
          <w:lang w:val="en-GB"/>
        </w:rPr>
      </w:pPr>
      <w:bookmarkStart w:id="233" w:name="_Toc138845687"/>
      <w:bookmarkStart w:id="234" w:name="_Toc138845742"/>
      <w:bookmarkStart w:id="235" w:name="_Toc138847831"/>
      <w:r w:rsidRPr="00361139">
        <w:rPr>
          <w:lang w:val="en-GB"/>
        </w:rPr>
        <w:tab/>
      </w:r>
      <w:r w:rsidRPr="00361139">
        <w:rPr>
          <w:lang w:val="en-GB"/>
        </w:rPr>
        <w:tab/>
      </w:r>
      <w:bookmarkStart w:id="236" w:name="_Toc139975466"/>
      <w:bookmarkStart w:id="237" w:name="_Toc139976227"/>
      <w:bookmarkStart w:id="238" w:name="_Toc139982241"/>
      <w:bookmarkStart w:id="239" w:name="_Toc139983953"/>
      <w:bookmarkStart w:id="240" w:name="_Toc139984195"/>
      <w:r w:rsidR="00CC73DD" w:rsidRPr="00361139">
        <w:rPr>
          <w:lang w:val="en-GB"/>
        </w:rPr>
        <w:t>Accessing the funds</w:t>
      </w:r>
      <w:bookmarkEnd w:id="233"/>
      <w:bookmarkEnd w:id="234"/>
      <w:bookmarkEnd w:id="235"/>
      <w:bookmarkEnd w:id="236"/>
      <w:bookmarkEnd w:id="237"/>
      <w:bookmarkEnd w:id="238"/>
      <w:bookmarkEnd w:id="239"/>
      <w:bookmarkEnd w:id="240"/>
    </w:p>
    <w:p w14:paraId="54770829" w14:textId="77777777" w:rsidR="00CC73DD" w:rsidRPr="00361139" w:rsidRDefault="00CC73DD" w:rsidP="000C76AC">
      <w:pPr>
        <w:pStyle w:val="Normalnumber"/>
        <w:numPr>
          <w:ilvl w:val="0"/>
          <w:numId w:val="9"/>
        </w:numPr>
        <w:rPr>
          <w:rFonts w:asciiTheme="majorBidi" w:hAnsiTheme="majorBidi" w:cstheme="majorBidi"/>
        </w:rPr>
      </w:pPr>
      <w:proofErr w:type="gramStart"/>
      <w:r w:rsidRPr="00361139">
        <w:rPr>
          <w:rFonts w:asciiTheme="majorBidi" w:hAnsiTheme="majorBidi" w:cstheme="majorBidi"/>
        </w:rPr>
        <w:t>Generally speaking, the</w:t>
      </w:r>
      <w:proofErr w:type="gramEnd"/>
      <w:r w:rsidRPr="00361139">
        <w:rPr>
          <w:rFonts w:asciiTheme="majorBidi" w:hAnsiTheme="majorBidi" w:cstheme="majorBidi"/>
          <w:i/>
        </w:rPr>
        <w:t xml:space="preserve"> guidance</w:t>
      </w:r>
      <w:r w:rsidRPr="00361139">
        <w:rPr>
          <w:rFonts w:asciiTheme="majorBidi" w:hAnsiTheme="majorBidi" w:cstheme="majorBidi"/>
        </w:rPr>
        <w:t xml:space="preserve"> provided by GEF and MC Secretariats for accessing the funds of the MC financial mechanism was highly appreciated in the responses and comments of representatives of the recipient countries (76% rate of appreciation for both SIP and GEF guidance). </w:t>
      </w:r>
    </w:p>
    <w:p w14:paraId="7580DD5D" w14:textId="1F5FF61C"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More specifically, according to the review findings, the MC Secretariat developed clear and specific guidelines for accessing each round of SIP funding (the different components of these guidelines received, through the survey, between 60% and 73% of appreciation rate for their </w:t>
      </w:r>
      <w:r w:rsidRPr="00361139">
        <w:rPr>
          <w:rFonts w:asciiTheme="majorBidi" w:hAnsiTheme="majorBidi" w:cstheme="majorBidi"/>
          <w:i/>
        </w:rPr>
        <w:t>user</w:t>
      </w:r>
      <w:r w:rsidR="00707D0F" w:rsidRPr="00361139">
        <w:noBreakHyphen/>
      </w:r>
      <w:r w:rsidRPr="00361139">
        <w:rPr>
          <w:rFonts w:asciiTheme="majorBidi" w:hAnsiTheme="majorBidi" w:cstheme="majorBidi"/>
          <w:i/>
        </w:rPr>
        <w:t>friendliness</w:t>
      </w:r>
      <w:r w:rsidRPr="00361139">
        <w:rPr>
          <w:rFonts w:asciiTheme="majorBidi" w:hAnsiTheme="majorBidi" w:cstheme="majorBidi"/>
        </w:rPr>
        <w:t xml:space="preserve"> and the </w:t>
      </w:r>
      <w:r w:rsidRPr="00361139">
        <w:rPr>
          <w:rFonts w:asciiTheme="majorBidi" w:hAnsiTheme="majorBidi" w:cstheme="majorBidi"/>
          <w:i/>
        </w:rPr>
        <w:t>simplicity</w:t>
      </w:r>
      <w:r w:rsidRPr="00361139">
        <w:rPr>
          <w:rFonts w:asciiTheme="majorBidi" w:hAnsiTheme="majorBidi" w:cstheme="majorBidi"/>
        </w:rPr>
        <w:t xml:space="preserve"> for accessing project funds was rated with 62% of appreciation). In more general terms, the MC Secretariat received a 77% rate of appreciation for the </w:t>
      </w:r>
      <w:r w:rsidRPr="00361139">
        <w:rPr>
          <w:rFonts w:asciiTheme="majorBidi" w:hAnsiTheme="majorBidi" w:cstheme="majorBidi"/>
          <w:i/>
        </w:rPr>
        <w:t>support</w:t>
      </w:r>
      <w:r w:rsidRPr="00361139">
        <w:rPr>
          <w:rFonts w:asciiTheme="majorBidi" w:hAnsiTheme="majorBidi" w:cstheme="majorBidi"/>
        </w:rPr>
        <w:t xml:space="preserve"> received by recipient countries when requesting SIP funding.</w:t>
      </w:r>
    </w:p>
    <w:p w14:paraId="6BB93C2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GEF’s different approach, where all </w:t>
      </w:r>
      <w:proofErr w:type="gramStart"/>
      <w:r w:rsidRPr="00361139">
        <w:rPr>
          <w:rFonts w:asciiTheme="majorBidi" w:hAnsiTheme="majorBidi" w:cstheme="majorBidi"/>
        </w:rPr>
        <w:t>projects</w:t>
      </w:r>
      <w:proofErr w:type="gramEnd"/>
      <w:r w:rsidRPr="00361139">
        <w:rPr>
          <w:rFonts w:asciiTheme="majorBidi" w:hAnsiTheme="majorBidi" w:cstheme="majorBidi"/>
        </w:rPr>
        <w:t xml:space="preserve"> phases are mediated by the implementing agencies, received similar ratings (65% rate of appreciation for the</w:t>
      </w:r>
      <w:r w:rsidRPr="00361139">
        <w:rPr>
          <w:rFonts w:asciiTheme="majorBidi" w:hAnsiTheme="majorBidi" w:cstheme="majorBidi"/>
          <w:i/>
        </w:rPr>
        <w:t xml:space="preserve"> simplicity</w:t>
      </w:r>
      <w:r w:rsidRPr="00361139">
        <w:rPr>
          <w:rFonts w:asciiTheme="majorBidi" w:hAnsiTheme="majorBidi" w:cstheme="majorBidi"/>
        </w:rPr>
        <w:t xml:space="preserve"> in accessing project funds and 78% for the </w:t>
      </w:r>
      <w:r w:rsidRPr="00361139">
        <w:rPr>
          <w:rFonts w:asciiTheme="majorBidi" w:hAnsiTheme="majorBidi" w:cstheme="majorBidi"/>
          <w:i/>
        </w:rPr>
        <w:t>support</w:t>
      </w:r>
      <w:r w:rsidRPr="00361139">
        <w:rPr>
          <w:rFonts w:asciiTheme="majorBidi" w:hAnsiTheme="majorBidi" w:cstheme="majorBidi"/>
        </w:rPr>
        <w:t xml:space="preserve"> received by recipient countries when requesting funding). From survey comments and the interviews, however, the general feedback was that often many developing countries did not have enough expertise, within their national agencies, to initiate themselves a GEF project application and that they often relied on initial proposals by implementing agencies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start the application process.</w:t>
      </w:r>
    </w:p>
    <w:p w14:paraId="3C44CE3A"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terms of </w:t>
      </w:r>
      <w:r w:rsidRPr="00361139">
        <w:rPr>
          <w:rFonts w:asciiTheme="majorBidi" w:hAnsiTheme="majorBidi" w:cstheme="majorBidi"/>
          <w:i/>
        </w:rPr>
        <w:t xml:space="preserve">average time, </w:t>
      </w:r>
      <w:r w:rsidRPr="00361139">
        <w:rPr>
          <w:rFonts w:asciiTheme="majorBidi" w:hAnsiTheme="majorBidi" w:cstheme="majorBidi"/>
        </w:rPr>
        <w:t xml:space="preserve">the preparation of SIP projects was indicated by recipient countries as much faster than the GEF projects (5-6 months average for SIP projects vs. 11 months for GEF projects). The longer time needed for GEF projects approval is also confirmed by the data provided by the GEF Secretariat, indicating an average of 3-4 months required from the PIF submission to the GEF Council approval, or an average of 6-7 months from the project document submission to the CEO endorsement or approval. </w:t>
      </w:r>
    </w:p>
    <w:p w14:paraId="36A853D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 xml:space="preserve">Notwithstanding the above differences, obviously related, among other factors, to the different sizes of the projects in terms of activities and related funding, the appreciation rates for the </w:t>
      </w:r>
      <w:r w:rsidRPr="00361139">
        <w:rPr>
          <w:rFonts w:asciiTheme="majorBidi" w:hAnsiTheme="majorBidi" w:cstheme="majorBidi"/>
          <w:bCs/>
          <w:i/>
          <w:iCs/>
        </w:rPr>
        <w:t>expeditiousness</w:t>
      </w:r>
      <w:r w:rsidRPr="00361139">
        <w:rPr>
          <w:rFonts w:asciiTheme="majorBidi" w:hAnsiTheme="majorBidi" w:cstheme="majorBidi"/>
        </w:rPr>
        <w:t xml:space="preserve"> of accessing project funds was of 63% for both SIP and GEF funded projects.</w:t>
      </w:r>
    </w:p>
    <w:p w14:paraId="72A672D1" w14:textId="77777777" w:rsidR="00CC73DD" w:rsidRPr="00361139" w:rsidRDefault="00CC73DD" w:rsidP="000C76AC">
      <w:pPr>
        <w:pStyle w:val="Normalnumber"/>
        <w:numPr>
          <w:ilvl w:val="0"/>
          <w:numId w:val="9"/>
        </w:numPr>
        <w:rPr>
          <w:rFonts w:asciiTheme="majorBidi" w:hAnsiTheme="majorBidi" w:cstheme="majorBidi"/>
        </w:rPr>
      </w:pPr>
      <w:proofErr w:type="gramStart"/>
      <w:r w:rsidRPr="00361139">
        <w:rPr>
          <w:rFonts w:asciiTheme="majorBidi" w:hAnsiTheme="majorBidi" w:cstheme="majorBidi"/>
        </w:rPr>
        <w:t>A similar feedback</w:t>
      </w:r>
      <w:proofErr w:type="gramEnd"/>
      <w:r w:rsidRPr="00361139">
        <w:rPr>
          <w:rFonts w:asciiTheme="majorBidi" w:hAnsiTheme="majorBidi" w:cstheme="majorBidi"/>
        </w:rPr>
        <w:t xml:space="preserve"> was provided by the focal points on </w:t>
      </w:r>
      <w:r w:rsidRPr="00361139">
        <w:rPr>
          <w:rFonts w:asciiTheme="majorBidi" w:hAnsiTheme="majorBidi" w:cstheme="majorBidi"/>
          <w:i/>
        </w:rPr>
        <w:t>flexibility</w:t>
      </w:r>
      <w:r w:rsidRPr="00361139">
        <w:rPr>
          <w:rFonts w:asciiTheme="majorBidi" w:hAnsiTheme="majorBidi" w:cstheme="majorBidi"/>
        </w:rPr>
        <w:t xml:space="preserve">: GEF projects were generally indicated as slightly less flexible in terms of the procedures for accessing funds. High praises, however, were given to the support received, by both the MC Secretariat and the implementing agencies, in those cases where the existing rules were not exactly meeting the country needs. </w:t>
      </w:r>
      <w:r w:rsidRPr="00361139">
        <w:rPr>
          <w:rFonts w:asciiTheme="majorBidi" w:hAnsiTheme="majorBidi" w:cstheme="majorBidi"/>
          <w:bCs/>
          <w:i/>
          <w:iCs/>
        </w:rPr>
        <w:t>Flexibility</w:t>
      </w:r>
      <w:r w:rsidRPr="00361139">
        <w:rPr>
          <w:rFonts w:asciiTheme="majorBidi" w:hAnsiTheme="majorBidi" w:cstheme="majorBidi"/>
        </w:rPr>
        <w:t xml:space="preserve"> of accessing project(s) funds received, through the survey, an appreciation rate of 68% for SIP projects and 64% for GEF projects.</w:t>
      </w:r>
    </w:p>
    <w:p w14:paraId="768FAFD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terms of </w:t>
      </w:r>
      <w:r w:rsidRPr="00361139">
        <w:rPr>
          <w:rFonts w:asciiTheme="majorBidi" w:hAnsiTheme="majorBidi" w:cstheme="majorBidi"/>
          <w:i/>
        </w:rPr>
        <w:t>transparency and timeliness of the project approval processes</w:t>
      </w:r>
      <w:r w:rsidRPr="00361139">
        <w:rPr>
          <w:rFonts w:asciiTheme="majorBidi" w:hAnsiTheme="majorBidi" w:cstheme="majorBidi"/>
        </w:rPr>
        <w:t xml:space="preserve"> the feedback received through the review was also quite positive and the appreciation rate, expressed by the focal points through the survey, was of 67% for the </w:t>
      </w:r>
      <w:r w:rsidRPr="00361139">
        <w:rPr>
          <w:rFonts w:asciiTheme="majorBidi" w:hAnsiTheme="majorBidi" w:cstheme="majorBidi"/>
          <w:i/>
        </w:rPr>
        <w:t>transparency</w:t>
      </w:r>
      <w:r w:rsidRPr="00361139">
        <w:rPr>
          <w:rFonts w:asciiTheme="majorBidi" w:hAnsiTheme="majorBidi" w:cstheme="majorBidi"/>
        </w:rPr>
        <w:t xml:space="preserve"> of the funding provided by the financial mechanism and of 61% for </w:t>
      </w:r>
      <w:r w:rsidRPr="00361139">
        <w:rPr>
          <w:rFonts w:asciiTheme="majorBidi" w:hAnsiTheme="majorBidi" w:cstheme="majorBidi"/>
          <w:i/>
        </w:rPr>
        <w:t>timeliness</w:t>
      </w:r>
      <w:r w:rsidRPr="00361139">
        <w:rPr>
          <w:rFonts w:asciiTheme="majorBidi" w:hAnsiTheme="majorBidi" w:cstheme="majorBidi"/>
        </w:rPr>
        <w:t xml:space="preserve"> of the project approval processes. It is noted, however, that the GEF reports to COP are not currently required to include, and do not include, information about the full list of applicant countries and that the MC Secretariat reports to COP on SIP activities do not include the </w:t>
      </w:r>
      <w:r w:rsidRPr="00361139">
        <w:rPr>
          <w:rFonts w:asciiTheme="majorBidi" w:hAnsiTheme="majorBidi" w:cstheme="majorBidi"/>
          <w:i/>
        </w:rPr>
        <w:t>relevant information on the rejection of project proposals</w:t>
      </w:r>
      <w:r w:rsidRPr="00361139">
        <w:rPr>
          <w:rFonts w:asciiTheme="majorBidi" w:hAnsiTheme="majorBidi" w:cstheme="majorBidi"/>
        </w:rPr>
        <w:t xml:space="preserve"> as requested by the </w:t>
      </w:r>
      <w:r w:rsidRPr="00361139">
        <w:rPr>
          <w:rFonts w:asciiTheme="majorBidi" w:hAnsiTheme="majorBidi" w:cstheme="majorBidi"/>
          <w:i/>
        </w:rPr>
        <w:t>Terms of reference of the Specific International Programme</w:t>
      </w:r>
      <w:r w:rsidRPr="00361139">
        <w:rPr>
          <w:rStyle w:val="FootnoteReference"/>
          <w:rFonts w:asciiTheme="majorBidi" w:eastAsia="SimSun" w:hAnsiTheme="majorBidi" w:cstheme="majorBidi"/>
        </w:rPr>
        <w:footnoteReference w:id="44"/>
      </w:r>
      <w:r w:rsidRPr="00361139">
        <w:rPr>
          <w:rFonts w:asciiTheme="majorBidi" w:hAnsiTheme="majorBidi" w:cstheme="majorBidi"/>
        </w:rPr>
        <w:t xml:space="preserve">. In both cases, this information could have helped the general assessment of possible existing problems in the application process by this review. </w:t>
      </w:r>
    </w:p>
    <w:p w14:paraId="0159A4F3"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main problems related to accessing the funds, raised by some of the focal points (collected through interviews and survey comments) referred to the </w:t>
      </w:r>
      <w:r w:rsidRPr="00361139">
        <w:rPr>
          <w:rFonts w:asciiTheme="majorBidi" w:hAnsiTheme="majorBidi" w:cstheme="majorBidi"/>
          <w:i/>
        </w:rPr>
        <w:t>language-barriers</w:t>
      </w:r>
      <w:r w:rsidRPr="00361139">
        <w:rPr>
          <w:rFonts w:asciiTheme="majorBidi" w:hAnsiTheme="majorBidi" w:cstheme="majorBidi"/>
        </w:rPr>
        <w:t xml:space="preserve"> and the</w:t>
      </w:r>
      <w:r w:rsidRPr="00361139">
        <w:rPr>
          <w:rFonts w:asciiTheme="majorBidi" w:hAnsiTheme="majorBidi" w:cstheme="majorBidi"/>
          <w:i/>
        </w:rPr>
        <w:t xml:space="preserve"> lack of dedicated resources</w:t>
      </w:r>
      <w:r w:rsidRPr="00361139">
        <w:rPr>
          <w:rFonts w:asciiTheme="majorBidi" w:hAnsiTheme="majorBidi" w:cstheme="majorBidi"/>
        </w:rPr>
        <w:t xml:space="preserve"> at national level able to follow up the project application process. Some NFPs, or project managers, also mentioned as challenges: the difficulty in some countries to </w:t>
      </w:r>
      <w:r w:rsidRPr="00361139">
        <w:rPr>
          <w:rFonts w:asciiTheme="majorBidi" w:hAnsiTheme="majorBidi" w:cstheme="majorBidi"/>
          <w:i/>
        </w:rPr>
        <w:t>open a Government bank account</w:t>
      </w:r>
      <w:r w:rsidRPr="00361139">
        <w:rPr>
          <w:rFonts w:asciiTheme="majorBidi" w:hAnsiTheme="majorBidi" w:cstheme="majorBidi"/>
        </w:rPr>
        <w:t xml:space="preserve"> which could be used for the project implementation (it was suggested that national executing agencies could be allowed to directly receive these funds); the </w:t>
      </w:r>
      <w:r w:rsidRPr="00361139">
        <w:rPr>
          <w:rFonts w:asciiTheme="majorBidi" w:hAnsiTheme="majorBidi" w:cstheme="majorBidi"/>
          <w:i/>
        </w:rPr>
        <w:t>limited time</w:t>
      </w:r>
      <w:r w:rsidRPr="00361139">
        <w:rPr>
          <w:rFonts w:asciiTheme="majorBidi" w:hAnsiTheme="majorBidi" w:cstheme="majorBidi"/>
        </w:rPr>
        <w:t xml:space="preserve"> in preparing the project proposal (especially in terms of consulting with national stakeholders); </w:t>
      </w:r>
      <w:r w:rsidRPr="00361139">
        <w:rPr>
          <w:rFonts w:asciiTheme="majorBidi" w:hAnsiTheme="majorBidi" w:cstheme="majorBidi"/>
          <w:i/>
        </w:rPr>
        <w:t>difficulties in understanding</w:t>
      </w:r>
      <w:r w:rsidRPr="00361139">
        <w:rPr>
          <w:rFonts w:asciiTheme="majorBidi" w:hAnsiTheme="majorBidi" w:cstheme="majorBidi"/>
        </w:rPr>
        <w:t xml:space="preserve"> the theory of change or the budget allocation framework details; </w:t>
      </w:r>
      <w:r w:rsidRPr="00361139">
        <w:rPr>
          <w:rFonts w:asciiTheme="majorBidi" w:hAnsiTheme="majorBidi" w:cstheme="majorBidi"/>
          <w:i/>
        </w:rPr>
        <w:t>gathering the required information</w:t>
      </w:r>
      <w:r w:rsidRPr="00361139">
        <w:rPr>
          <w:rFonts w:asciiTheme="majorBidi" w:hAnsiTheme="majorBidi" w:cstheme="majorBidi"/>
        </w:rPr>
        <w:t xml:space="preserve"> at national level; and more generally speaking, the </w:t>
      </w:r>
      <w:r w:rsidRPr="00361139">
        <w:rPr>
          <w:rFonts w:asciiTheme="majorBidi" w:hAnsiTheme="majorBidi" w:cstheme="majorBidi"/>
          <w:i/>
        </w:rPr>
        <w:t>lack of existing information</w:t>
      </w:r>
      <w:r w:rsidRPr="00361139">
        <w:rPr>
          <w:rFonts w:asciiTheme="majorBidi" w:hAnsiTheme="majorBidi" w:cstheme="majorBidi"/>
        </w:rPr>
        <w:t xml:space="preserve"> and </w:t>
      </w:r>
      <w:r w:rsidRPr="00361139">
        <w:rPr>
          <w:rFonts w:asciiTheme="majorBidi" w:hAnsiTheme="majorBidi" w:cstheme="majorBidi"/>
          <w:i/>
        </w:rPr>
        <w:t>previous experience</w:t>
      </w:r>
      <w:r w:rsidRPr="00361139">
        <w:rPr>
          <w:rFonts w:asciiTheme="majorBidi" w:hAnsiTheme="majorBidi" w:cstheme="majorBidi"/>
        </w:rPr>
        <w:t xml:space="preserve"> in these types of activities at national level. A common request was for small grants aimed at strengthening national capacity in project preparation; </w:t>
      </w:r>
      <w:proofErr w:type="gramStart"/>
      <w:r w:rsidRPr="00361139">
        <w:rPr>
          <w:rFonts w:asciiTheme="majorBidi" w:hAnsiTheme="majorBidi" w:cstheme="majorBidi"/>
        </w:rPr>
        <w:t>also</w:t>
      </w:r>
      <w:proofErr w:type="gramEnd"/>
      <w:r w:rsidRPr="00361139">
        <w:rPr>
          <w:rFonts w:asciiTheme="majorBidi" w:hAnsiTheme="majorBidi" w:cstheme="majorBidi"/>
        </w:rPr>
        <w:t xml:space="preserve"> webinars (similar to those organized by the MC Secretariat for accessing the SIP funding) were suggested for accessing GEF funded projects</w:t>
      </w:r>
      <w:r w:rsidRPr="00361139">
        <w:rPr>
          <w:rStyle w:val="FootnoteReference"/>
          <w:rFonts w:asciiTheme="majorBidi" w:eastAsia="SimSun" w:hAnsiTheme="majorBidi" w:cstheme="majorBidi"/>
        </w:rPr>
        <w:footnoteReference w:id="45"/>
      </w:r>
      <w:r w:rsidRPr="00361139">
        <w:rPr>
          <w:rFonts w:asciiTheme="majorBidi" w:hAnsiTheme="majorBidi" w:cstheme="majorBidi"/>
        </w:rPr>
        <w:t>.</w:t>
      </w:r>
    </w:p>
    <w:p w14:paraId="6719A9A9" w14:textId="2EF57139" w:rsidR="00CC73DD" w:rsidRPr="00361139" w:rsidRDefault="00687912" w:rsidP="00687912">
      <w:pPr>
        <w:pStyle w:val="CH2"/>
        <w:rPr>
          <w:lang w:val="en-GB"/>
        </w:rPr>
      </w:pPr>
      <w:bookmarkStart w:id="241" w:name="_Toc138845688"/>
      <w:bookmarkStart w:id="242" w:name="_Toc138845743"/>
      <w:bookmarkStart w:id="243" w:name="_Toc138847832"/>
      <w:r w:rsidRPr="00361139">
        <w:rPr>
          <w:lang w:val="en-GB"/>
        </w:rPr>
        <w:tab/>
      </w:r>
      <w:r w:rsidRPr="00361139">
        <w:rPr>
          <w:lang w:val="en-GB"/>
        </w:rPr>
        <w:tab/>
      </w:r>
      <w:bookmarkStart w:id="244" w:name="_Toc139975467"/>
      <w:bookmarkStart w:id="245" w:name="_Toc139976228"/>
      <w:bookmarkStart w:id="246" w:name="_Toc139982242"/>
      <w:bookmarkStart w:id="247" w:name="_Toc139983954"/>
      <w:bookmarkStart w:id="248" w:name="_Toc139984196"/>
      <w:r w:rsidR="00CC73DD" w:rsidRPr="00361139">
        <w:rPr>
          <w:lang w:val="en-GB"/>
        </w:rPr>
        <w:t>Implementing the projects</w:t>
      </w:r>
      <w:bookmarkEnd w:id="241"/>
      <w:bookmarkEnd w:id="242"/>
      <w:bookmarkEnd w:id="243"/>
      <w:bookmarkEnd w:id="244"/>
      <w:bookmarkEnd w:id="245"/>
      <w:bookmarkEnd w:id="246"/>
      <w:bookmarkEnd w:id="247"/>
      <w:bookmarkEnd w:id="248"/>
    </w:p>
    <w:p w14:paraId="5E8E98C0"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Consistently with the comments reported above, the project implementation phase was regarded, by </w:t>
      </w:r>
      <w:proofErr w:type="gramStart"/>
      <w:r w:rsidRPr="00361139">
        <w:rPr>
          <w:rFonts w:asciiTheme="majorBidi" w:hAnsiTheme="majorBidi" w:cstheme="majorBidi"/>
        </w:rPr>
        <w:t>the vast majority of</w:t>
      </w:r>
      <w:proofErr w:type="gramEnd"/>
      <w:r w:rsidRPr="00361139">
        <w:rPr>
          <w:rFonts w:asciiTheme="majorBidi" w:hAnsiTheme="majorBidi" w:cstheme="majorBidi"/>
        </w:rPr>
        <w:t xml:space="preserve"> the focal points contacted, as a demanding but not too difficult process. Both GEF and SIP projects received a positive appreciation for the </w:t>
      </w:r>
      <w:r w:rsidRPr="00361139">
        <w:rPr>
          <w:rFonts w:asciiTheme="majorBidi" w:hAnsiTheme="majorBidi" w:cstheme="majorBidi"/>
          <w:i/>
        </w:rPr>
        <w:t>simplicity</w:t>
      </w:r>
      <w:r w:rsidRPr="00361139">
        <w:rPr>
          <w:rFonts w:asciiTheme="majorBidi" w:hAnsiTheme="majorBidi" w:cstheme="majorBidi"/>
        </w:rPr>
        <w:t xml:space="preserve"> (66-70% of appreciation rate), </w:t>
      </w:r>
      <w:r w:rsidRPr="00361139">
        <w:rPr>
          <w:rFonts w:asciiTheme="majorBidi" w:hAnsiTheme="majorBidi" w:cstheme="majorBidi"/>
          <w:i/>
        </w:rPr>
        <w:t>flexibility</w:t>
      </w:r>
      <w:r w:rsidRPr="00361139">
        <w:rPr>
          <w:rFonts w:asciiTheme="majorBidi" w:hAnsiTheme="majorBidi" w:cstheme="majorBidi"/>
        </w:rPr>
        <w:t xml:space="preserve"> (64-72%) and </w:t>
      </w:r>
      <w:r w:rsidRPr="00361139">
        <w:rPr>
          <w:rFonts w:asciiTheme="majorBidi" w:hAnsiTheme="majorBidi" w:cstheme="majorBidi"/>
          <w:i/>
        </w:rPr>
        <w:t>expeditiousness</w:t>
      </w:r>
      <w:r w:rsidRPr="00361139">
        <w:rPr>
          <w:rFonts w:asciiTheme="majorBidi" w:hAnsiTheme="majorBidi" w:cstheme="majorBidi"/>
        </w:rPr>
        <w:t xml:space="preserve"> (64-69%) of implementing and reporting on projects. </w:t>
      </w:r>
      <w:proofErr w:type="gramStart"/>
      <w:r w:rsidRPr="00361139">
        <w:rPr>
          <w:rFonts w:asciiTheme="majorBidi" w:hAnsiTheme="majorBidi" w:cstheme="majorBidi"/>
        </w:rPr>
        <w:t>However</w:t>
      </w:r>
      <w:proofErr w:type="gramEnd"/>
      <w:r w:rsidRPr="00361139">
        <w:rPr>
          <w:rFonts w:asciiTheme="majorBidi" w:hAnsiTheme="majorBidi" w:cstheme="majorBidi"/>
        </w:rPr>
        <w:t xml:space="preserve"> the lowest rates in the above ranges were always referred to the GEF funded projects and also in their comments the focal points underlined and praised the greater flexibility of the SIP projects.</w:t>
      </w:r>
    </w:p>
    <w:p w14:paraId="1F86F9A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feedback on the </w:t>
      </w:r>
      <w:r w:rsidRPr="00361139">
        <w:rPr>
          <w:rFonts w:asciiTheme="majorBidi" w:hAnsiTheme="majorBidi" w:cstheme="majorBidi"/>
          <w:i/>
        </w:rPr>
        <w:t>transparency</w:t>
      </w:r>
      <w:r w:rsidRPr="00361139">
        <w:rPr>
          <w:rFonts w:asciiTheme="majorBidi" w:hAnsiTheme="majorBidi" w:cstheme="majorBidi"/>
        </w:rPr>
        <w:t xml:space="preserve"> of the funding provided by the MC financial mechanism for the achievement of the objective of the Convention was also quite positive (67% of appreciation rate in the survey). Parties’ comments were also generally positive about the comprehensive extent of the GEF project approval and understanding, as well as appreciative of, the efforts managed by the SIP, notwithstanding its </w:t>
      </w:r>
      <w:proofErr w:type="gramStart"/>
      <w:r w:rsidRPr="00361139">
        <w:rPr>
          <w:rFonts w:asciiTheme="majorBidi" w:hAnsiTheme="majorBidi" w:cstheme="majorBidi"/>
        </w:rPr>
        <w:t>funds</w:t>
      </w:r>
      <w:proofErr w:type="gramEnd"/>
      <w:r w:rsidRPr="00361139">
        <w:rPr>
          <w:rFonts w:asciiTheme="majorBidi" w:hAnsiTheme="majorBidi" w:cstheme="majorBidi"/>
        </w:rPr>
        <w:t xml:space="preserve"> limitations. </w:t>
      </w:r>
    </w:p>
    <w:p w14:paraId="182572B0"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All projects under review were reported as being carefully negotiated, in both GEF and SIP cases, in order to ensure an adequate level of </w:t>
      </w:r>
      <w:r w:rsidRPr="00361139">
        <w:rPr>
          <w:rFonts w:asciiTheme="majorBidi" w:hAnsiTheme="majorBidi" w:cstheme="majorBidi"/>
          <w:i/>
        </w:rPr>
        <w:t>country ownership</w:t>
      </w:r>
      <w:r w:rsidRPr="00361139">
        <w:rPr>
          <w:rFonts w:asciiTheme="majorBidi" w:hAnsiTheme="majorBidi" w:cstheme="majorBidi"/>
        </w:rPr>
        <w:t xml:space="preserve"> of the activities funded by the MC financial mechanism (for which the survey reported a 67% of appreciation rate) as well as of </w:t>
      </w:r>
      <w:r w:rsidRPr="00361139">
        <w:rPr>
          <w:rFonts w:asciiTheme="majorBidi" w:hAnsiTheme="majorBidi" w:cstheme="majorBidi"/>
          <w:i/>
        </w:rPr>
        <w:t>stakeholder involvement</w:t>
      </w:r>
      <w:r w:rsidRPr="00361139">
        <w:rPr>
          <w:rFonts w:asciiTheme="majorBidi" w:hAnsiTheme="majorBidi" w:cstheme="majorBidi"/>
        </w:rPr>
        <w:t xml:space="preserve"> (confirmed by both the significant level of co-financing of most projects and a 71% of appreciation rate in the survey). </w:t>
      </w:r>
    </w:p>
    <w:p w14:paraId="6FAD81AE"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It is worth noting that both entities comprising the MC financial mechanism give high importance, in their guidance to the project design, to the widest possible level of involvement of stakeholders at various levels of the project implementation. On the other hand, some focal points </w:t>
      </w:r>
      <w:r w:rsidRPr="00361139">
        <w:rPr>
          <w:rFonts w:asciiTheme="majorBidi" w:hAnsiTheme="majorBidi" w:cstheme="majorBidi"/>
        </w:rPr>
        <w:lastRenderedPageBreak/>
        <w:t>commented that, in some cases, the limited time available for preparing the project application did not allow enough time for consulting with major stakeholders.</w:t>
      </w:r>
    </w:p>
    <w:p w14:paraId="6E54F5CE" w14:textId="3C406724" w:rsidR="00CC73DD" w:rsidRPr="00361139" w:rsidRDefault="00687912" w:rsidP="00687912">
      <w:pPr>
        <w:pStyle w:val="CH2"/>
        <w:ind w:left="0" w:firstLine="0"/>
        <w:rPr>
          <w:lang w:val="en-GB"/>
        </w:rPr>
      </w:pPr>
      <w:bookmarkStart w:id="249" w:name="_Toc138845689"/>
      <w:bookmarkStart w:id="250" w:name="_Toc138845744"/>
      <w:bookmarkStart w:id="251" w:name="_Toc138847833"/>
      <w:r w:rsidRPr="00361139">
        <w:rPr>
          <w:lang w:val="en-GB"/>
        </w:rPr>
        <w:tab/>
      </w:r>
      <w:r w:rsidRPr="00361139">
        <w:rPr>
          <w:lang w:val="en-GB"/>
        </w:rPr>
        <w:tab/>
      </w:r>
      <w:bookmarkStart w:id="252" w:name="_Toc139975468"/>
      <w:bookmarkStart w:id="253" w:name="_Toc139976229"/>
      <w:bookmarkStart w:id="254" w:name="_Toc139982243"/>
      <w:bookmarkStart w:id="255" w:name="_Toc139983955"/>
      <w:bookmarkStart w:id="256" w:name="_Toc139984197"/>
      <w:r w:rsidR="00CC73DD" w:rsidRPr="00361139">
        <w:rPr>
          <w:lang w:val="en-GB"/>
        </w:rPr>
        <w:t>Projects results</w:t>
      </w:r>
      <w:bookmarkEnd w:id="249"/>
      <w:bookmarkEnd w:id="250"/>
      <w:bookmarkEnd w:id="251"/>
      <w:bookmarkEnd w:id="252"/>
      <w:bookmarkEnd w:id="253"/>
      <w:bookmarkEnd w:id="254"/>
      <w:bookmarkEnd w:id="255"/>
      <w:bookmarkEnd w:id="256"/>
    </w:p>
    <w:p w14:paraId="4C66DAF1" w14:textId="432BCF0C"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In terms of results, it is important to note that most of the projects under review are still on</w:t>
      </w:r>
      <w:r w:rsidR="00707D0F" w:rsidRPr="00361139">
        <w:noBreakHyphen/>
      </w:r>
      <w:r w:rsidRPr="00361139">
        <w:rPr>
          <w:rFonts w:asciiTheme="majorBidi" w:hAnsiTheme="majorBidi" w:cstheme="majorBidi"/>
        </w:rPr>
        <w:t>going and only a small fraction of them produced a final report</w:t>
      </w:r>
      <w:r w:rsidRPr="00361139">
        <w:rPr>
          <w:rStyle w:val="FootnoteReference"/>
          <w:rFonts w:asciiTheme="majorBidi" w:eastAsia="SimSun" w:hAnsiTheme="majorBidi" w:cstheme="majorBidi"/>
        </w:rPr>
        <w:footnoteReference w:id="46"/>
      </w:r>
      <w:r w:rsidRPr="00361139">
        <w:rPr>
          <w:rFonts w:asciiTheme="majorBidi" w:hAnsiTheme="majorBidi" w:cstheme="majorBidi"/>
        </w:rPr>
        <w:t xml:space="preserve">. With reference to the projects under review, and as of January 2023, the GEF Secretariat reported 31 projects implemented (28% of the GEF projects under review) of which 25 (22%) having submitted their final PIR; 46 under implementation (41%); and 34 having just received their endorsement/approval (31%). The MC Secretariat, in the same period and with reference to the three first rounds of SIP, also reported 4 projects having produced their final reports (17% of the SIP projects under review), 17 projects under implementation (71%) and 3 projects about to start their activities (12%). </w:t>
      </w:r>
    </w:p>
    <w:p w14:paraId="20EA3A2D" w14:textId="77EE86FE"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All GEF projects under review and having submitted a final report were approved under GEF</w:t>
      </w:r>
      <w:r w:rsidR="00707D0F" w:rsidRPr="00361139">
        <w:noBreakHyphen/>
      </w:r>
      <w:r w:rsidRPr="00361139">
        <w:rPr>
          <w:rFonts w:asciiTheme="majorBidi" w:hAnsiTheme="majorBidi" w:cstheme="majorBidi"/>
        </w:rPr>
        <w:t xml:space="preserve">6. </w:t>
      </w:r>
      <w:proofErr w:type="gramStart"/>
      <w:r w:rsidRPr="00361139">
        <w:rPr>
          <w:rFonts w:asciiTheme="majorBidi" w:hAnsiTheme="majorBidi" w:cstheme="majorBidi"/>
        </w:rPr>
        <w:t>With the exception of</w:t>
      </w:r>
      <w:proofErr w:type="gramEnd"/>
      <w:r w:rsidRPr="00361139">
        <w:rPr>
          <w:rFonts w:asciiTheme="majorBidi" w:hAnsiTheme="majorBidi" w:cstheme="majorBidi"/>
        </w:rPr>
        <w:t xml:space="preserve"> one national MSP (focusing on environmentally sound management of mercury), all the other concluded projects were enabling activities dealing either with the </w:t>
      </w:r>
      <w:r w:rsidRPr="00361139">
        <w:rPr>
          <w:rFonts w:asciiTheme="majorBidi" w:hAnsiTheme="majorBidi" w:cstheme="majorBidi"/>
          <w:i/>
        </w:rPr>
        <w:t>Minamata Convention Initial Assessments</w:t>
      </w:r>
      <w:r w:rsidRPr="00361139">
        <w:rPr>
          <w:rFonts w:asciiTheme="majorBidi" w:hAnsiTheme="majorBidi" w:cstheme="majorBidi"/>
        </w:rPr>
        <w:t xml:space="preserve"> or with the </w:t>
      </w:r>
      <w:r w:rsidRPr="00361139">
        <w:rPr>
          <w:rFonts w:asciiTheme="majorBidi" w:hAnsiTheme="majorBidi" w:cstheme="majorBidi"/>
          <w:i/>
        </w:rPr>
        <w:t>National Action Plans for Artisanal and Small-Scale Gold Mining</w:t>
      </w:r>
      <w:r w:rsidRPr="00361139">
        <w:rPr>
          <w:rFonts w:asciiTheme="majorBidi" w:hAnsiTheme="majorBidi" w:cstheme="majorBidi"/>
        </w:rPr>
        <w:t xml:space="preserve"> initiatives (15 MIA projects and 9 ASGM NAP projects).</w:t>
      </w:r>
    </w:p>
    <w:p w14:paraId="54C69608"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MIA projects were all aimed to facilitating the ratification and/or early implementation of the Minamata Convention by providing an overview of each country’s use, emissions and releases of mercury and mercury compounds as well as an assessment of existing national capacities in the related sectors. In terms of results, the final reports of the MIA projects under review consistently refer to completed or updated inventories of mercury releases and emissions (performed in accordance with the UNEP’s </w:t>
      </w:r>
      <w:r w:rsidRPr="00361139">
        <w:rPr>
          <w:rFonts w:asciiTheme="majorBidi" w:hAnsiTheme="majorBidi" w:cstheme="majorBidi"/>
          <w:i/>
        </w:rPr>
        <w:t>Toolkit for identification and quantification of mercury releases</w:t>
      </w:r>
      <w:r w:rsidRPr="00361139">
        <w:rPr>
          <w:rStyle w:val="FootnoteReference"/>
          <w:rFonts w:asciiTheme="majorBidi" w:eastAsia="SimSun" w:hAnsiTheme="majorBidi" w:cstheme="majorBidi"/>
        </w:rPr>
        <w:footnoteReference w:id="47"/>
      </w:r>
      <w:r w:rsidRPr="00361139">
        <w:rPr>
          <w:rFonts w:asciiTheme="majorBidi" w:hAnsiTheme="majorBidi" w:cstheme="majorBidi"/>
        </w:rPr>
        <w:t>), as well as to the assessments of national policy, legislative and institutional frameworks in relation to the implementation of the Minamata Convention</w:t>
      </w:r>
      <w:r w:rsidRPr="00361139">
        <w:rPr>
          <w:rStyle w:val="FootnoteReference"/>
          <w:rFonts w:asciiTheme="majorBidi" w:eastAsia="SimSun" w:hAnsiTheme="majorBidi" w:cstheme="majorBidi"/>
        </w:rPr>
        <w:footnoteReference w:id="48"/>
      </w:r>
      <w:r w:rsidRPr="00361139">
        <w:rPr>
          <w:rFonts w:asciiTheme="majorBidi" w:hAnsiTheme="majorBidi" w:cstheme="majorBidi"/>
        </w:rPr>
        <w:t>. Other common MIA projects results included the identification of populations at risk and the development of national strategies for education and awareness-raising, identification of national priorities, and/or dissemination of information among relevant stakeholder groups.</w:t>
      </w:r>
    </w:p>
    <w:p w14:paraId="617687E5"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Half of the non-MIA GEF projects under review were or are being carried out under the broader programmatic approaches of the </w:t>
      </w:r>
      <w:r w:rsidRPr="00361139">
        <w:rPr>
          <w:rFonts w:asciiTheme="majorBidi" w:hAnsiTheme="majorBidi" w:cstheme="majorBidi"/>
          <w:i/>
        </w:rPr>
        <w:t xml:space="preserve">Artisanal and Small-Scale Gold Mining (ASGM) </w:t>
      </w:r>
      <w:r w:rsidRPr="00361139">
        <w:rPr>
          <w:rFonts w:asciiTheme="majorBidi" w:hAnsiTheme="majorBidi" w:cstheme="majorBidi"/>
        </w:rPr>
        <w:t xml:space="preserve">initiative, to support the transition away from mercury use in artisanal and small-scale gold mining. The most recent of these ASGM projects is the GEF </w:t>
      </w:r>
      <w:proofErr w:type="spellStart"/>
      <w:r w:rsidRPr="00361139">
        <w:rPr>
          <w:rFonts w:asciiTheme="majorBidi" w:hAnsiTheme="majorBidi" w:cstheme="majorBidi"/>
        </w:rPr>
        <w:t>PlanetGOLD</w:t>
      </w:r>
      <w:proofErr w:type="spellEnd"/>
      <w:r w:rsidRPr="00361139">
        <w:rPr>
          <w:rFonts w:asciiTheme="majorBidi" w:hAnsiTheme="majorBidi" w:cstheme="majorBidi"/>
        </w:rPr>
        <w:t xml:space="preserve"> programme which, in the period under review, had active projects in eight countries and has been reporting a powerful knowledge management component to foster the sustainability and scaling up of project results</w:t>
      </w:r>
      <w:r w:rsidRPr="00361139">
        <w:rPr>
          <w:rStyle w:val="FootnoteReference"/>
          <w:rFonts w:asciiTheme="majorBidi" w:eastAsia="SimSun" w:hAnsiTheme="majorBidi" w:cstheme="majorBidi"/>
        </w:rPr>
        <w:footnoteReference w:id="49"/>
      </w:r>
      <w:r w:rsidRPr="00361139">
        <w:rPr>
          <w:rFonts w:asciiTheme="majorBidi" w:hAnsiTheme="majorBidi" w:cstheme="majorBidi"/>
        </w:rPr>
        <w:t>.</w:t>
      </w:r>
    </w:p>
    <w:p w14:paraId="1B4857FA" w14:textId="2223782E"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With reference to the </w:t>
      </w:r>
      <w:r w:rsidRPr="00361139">
        <w:rPr>
          <w:rFonts w:asciiTheme="majorBidi" w:hAnsiTheme="majorBidi" w:cstheme="majorBidi"/>
          <w:i/>
        </w:rPr>
        <w:t>Artisanal and Small-Scale Gold Mining</w:t>
      </w:r>
      <w:r w:rsidRPr="00361139">
        <w:rPr>
          <w:rFonts w:asciiTheme="majorBidi" w:hAnsiTheme="majorBidi" w:cstheme="majorBidi"/>
        </w:rPr>
        <w:t xml:space="preserve"> initiative, a recent report of the GEF Independent Evaluation Office</w:t>
      </w:r>
      <w:r w:rsidRPr="00361139">
        <w:rPr>
          <w:rFonts w:asciiTheme="majorBidi" w:hAnsiTheme="majorBidi" w:cstheme="majorBidi"/>
          <w:vertAlign w:val="superscript"/>
        </w:rPr>
        <w:footnoteReference w:id="50"/>
      </w:r>
      <w:r w:rsidRPr="00361139">
        <w:rPr>
          <w:rFonts w:asciiTheme="majorBidi" w:hAnsiTheme="majorBidi" w:cstheme="majorBidi"/>
        </w:rPr>
        <w:t xml:space="preserve"> provides detailed evaluative evidence on the relevance, coherence, effectiveness, efficiency, and sustainability of GEF interventions in the ASGM portfolio. Among its conclusions, it reports that: a) GEF ASGM interventions are highly relevant to the Minamata Convention and national government priorities related to mercury reductions; b) completed GEF projects had success in reducing mercury use from ASGM in project areas; c) formalization continued to build momentum after project completion</w:t>
      </w:r>
      <w:r w:rsidR="00334B82" w:rsidRPr="00361139">
        <w:rPr>
          <w:rFonts w:asciiTheme="majorBidi" w:hAnsiTheme="majorBidi" w:cstheme="majorBidi"/>
        </w:rPr>
        <w:t xml:space="preserve"> </w:t>
      </w:r>
      <w:r w:rsidRPr="00361139">
        <w:rPr>
          <w:rFonts w:asciiTheme="majorBidi" w:hAnsiTheme="majorBidi" w:cstheme="majorBidi"/>
        </w:rPr>
        <w:t>(e.g. creation of national artisanal miners’ associations); d) the GOLD program is being implemented in many of the countries with the highest mercury use in the world; and e) the GOLD program’s global “hub” has promoted collaboration and learning between child projects.</w:t>
      </w:r>
    </w:p>
    <w:p w14:paraId="4163C7FE" w14:textId="15464FAB" w:rsidR="00CC73DD" w:rsidRPr="00361139" w:rsidRDefault="00CC73DD" w:rsidP="000C76AC">
      <w:pPr>
        <w:pStyle w:val="Normalnumber"/>
        <w:keepNext/>
        <w:keepLines/>
        <w:numPr>
          <w:ilvl w:val="0"/>
          <w:numId w:val="9"/>
        </w:numPr>
        <w:ind w:left="1247"/>
        <w:rPr>
          <w:rFonts w:asciiTheme="majorBidi" w:hAnsiTheme="majorBidi" w:cstheme="majorBidi"/>
        </w:rPr>
      </w:pPr>
      <w:r w:rsidRPr="00361139">
        <w:rPr>
          <w:rFonts w:asciiTheme="majorBidi" w:hAnsiTheme="majorBidi" w:cstheme="majorBidi"/>
        </w:rPr>
        <w:lastRenderedPageBreak/>
        <w:t>Another example of the GEF broader programmatic approach is the GEF ISLANDS</w:t>
      </w:r>
      <w:r w:rsidR="00D579DE" w:rsidRPr="00361139">
        <w:rPr>
          <w:rFonts w:asciiTheme="majorBidi" w:hAnsiTheme="majorBidi" w:cstheme="majorBidi"/>
        </w:rPr>
        <w:t xml:space="preserve"> </w:t>
      </w:r>
      <w:r w:rsidRPr="00361139">
        <w:rPr>
          <w:rFonts w:asciiTheme="majorBidi" w:hAnsiTheme="majorBidi" w:cstheme="majorBidi"/>
        </w:rPr>
        <w:t>program (Implementing Sustainable and Low and Non-Chemical Development in SIDS), working in 28 Small Island Developing States to manage the growing impacts of chemicals and wastes on their environments, including the management of at least 38 metric tons of mercury from products, health care and other use sectors.</w:t>
      </w:r>
    </w:p>
    <w:p w14:paraId="2BFC41A1"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projects comprised in these broader and more structured approaches have all benefitted of an increased level of south-south cooperation among the so-called </w:t>
      </w:r>
      <w:r w:rsidRPr="00361139">
        <w:rPr>
          <w:rFonts w:asciiTheme="majorBidi" w:hAnsiTheme="majorBidi" w:cstheme="majorBidi"/>
          <w:i/>
        </w:rPr>
        <w:t>child projects</w:t>
      </w:r>
      <w:r w:rsidRPr="00361139">
        <w:rPr>
          <w:rFonts w:asciiTheme="majorBidi" w:hAnsiTheme="majorBidi" w:cstheme="majorBidi"/>
        </w:rPr>
        <w:t xml:space="preserve"> and have been able to apply better standards to their activities, because refined through wide collaboration and broadly circulated by the agencies in charge of the </w:t>
      </w:r>
      <w:r w:rsidRPr="00361139">
        <w:rPr>
          <w:rFonts w:asciiTheme="majorBidi" w:hAnsiTheme="majorBidi" w:cstheme="majorBidi"/>
          <w:i/>
        </w:rPr>
        <w:t>hub-projects</w:t>
      </w:r>
      <w:r w:rsidRPr="00361139">
        <w:rPr>
          <w:rFonts w:asciiTheme="majorBidi" w:hAnsiTheme="majorBidi" w:cstheme="majorBidi"/>
        </w:rPr>
        <w:t>.</w:t>
      </w:r>
    </w:p>
    <w:p w14:paraId="076E759D"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Starting with the GEF-7 cycle, a new </w:t>
      </w:r>
      <w:r w:rsidRPr="00361139">
        <w:rPr>
          <w:rFonts w:asciiTheme="majorBidi" w:hAnsiTheme="majorBidi" w:cstheme="majorBidi"/>
          <w:i/>
        </w:rPr>
        <w:t>result framework</w:t>
      </w:r>
      <w:r w:rsidRPr="00361139">
        <w:rPr>
          <w:rFonts w:asciiTheme="majorBidi" w:hAnsiTheme="majorBidi" w:cstheme="majorBidi"/>
        </w:rPr>
        <w:t xml:space="preserve"> was implemented by the GEF Secretariat by introducing 11 core indicators and associated sub-indicators spanning all 5 focal areas of GEF activity</w:t>
      </w:r>
      <w:r w:rsidRPr="00361139">
        <w:rPr>
          <w:rStyle w:val="FootnoteReference"/>
          <w:rFonts w:asciiTheme="majorBidi" w:eastAsia="SimSun" w:hAnsiTheme="majorBidi" w:cstheme="majorBidi"/>
        </w:rPr>
        <w:footnoteReference w:id="51"/>
      </w:r>
      <w:r w:rsidRPr="00361139">
        <w:rPr>
          <w:rFonts w:asciiTheme="majorBidi" w:hAnsiTheme="majorBidi" w:cstheme="majorBidi"/>
        </w:rPr>
        <w:t>. The only core indicator including mercury is indicator no. 9 (</w:t>
      </w:r>
      <w:r w:rsidRPr="00361139">
        <w:rPr>
          <w:rFonts w:asciiTheme="majorBidi" w:hAnsiTheme="majorBidi" w:cstheme="majorBidi"/>
          <w:i/>
        </w:rPr>
        <w:t>chemicals of global concern and their waste reduced</w:t>
      </w:r>
      <w:r w:rsidRPr="00361139">
        <w:rPr>
          <w:rFonts w:asciiTheme="majorBidi" w:hAnsiTheme="majorBidi" w:cstheme="majorBidi"/>
        </w:rPr>
        <w:t>) and the only sub-indicator directly referring to mercury is no. 9.2 (</w:t>
      </w:r>
      <w:r w:rsidRPr="00361139">
        <w:rPr>
          <w:rFonts w:asciiTheme="majorBidi" w:hAnsiTheme="majorBidi" w:cstheme="majorBidi"/>
          <w:i/>
        </w:rPr>
        <w:t>quantity of mercury reduced</w:t>
      </w:r>
      <w:r w:rsidRPr="00361139">
        <w:rPr>
          <w:rFonts w:asciiTheme="majorBidi" w:hAnsiTheme="majorBidi" w:cstheme="majorBidi"/>
        </w:rPr>
        <w:t>). A different sub-indicator, no. 9.6 (</w:t>
      </w:r>
      <w:r w:rsidRPr="00361139">
        <w:rPr>
          <w:rFonts w:asciiTheme="majorBidi" w:hAnsiTheme="majorBidi" w:cstheme="majorBidi"/>
          <w:i/>
        </w:rPr>
        <w:t>POPs/Mercury containing materials and products directly avoided</w:t>
      </w:r>
      <w:r w:rsidRPr="00361139">
        <w:rPr>
          <w:rFonts w:asciiTheme="majorBidi" w:hAnsiTheme="majorBidi" w:cstheme="majorBidi"/>
        </w:rPr>
        <w:t>), also refers to mercury but in conjunction with other POPs and only provides an estimation of the aggregated amounts of materials and/or products containing POPs/mercury that has been avoided as a direct result of the GEF projects</w:t>
      </w:r>
      <w:r w:rsidRPr="00361139">
        <w:rPr>
          <w:rStyle w:val="FootnoteReference"/>
          <w:rFonts w:asciiTheme="majorBidi" w:eastAsia="SimSun" w:hAnsiTheme="majorBidi" w:cstheme="majorBidi"/>
        </w:rPr>
        <w:footnoteReference w:id="52"/>
      </w:r>
      <w:r w:rsidRPr="00361139">
        <w:rPr>
          <w:rFonts w:asciiTheme="majorBidi" w:hAnsiTheme="majorBidi" w:cstheme="majorBidi"/>
        </w:rPr>
        <w:t>.</w:t>
      </w:r>
    </w:p>
    <w:p w14:paraId="33A2BD63" w14:textId="77777777" w:rsidR="00CC73DD" w:rsidRPr="00361139" w:rsidRDefault="00CC73DD" w:rsidP="000C76AC">
      <w:pPr>
        <w:pStyle w:val="Normalnumber"/>
        <w:numPr>
          <w:ilvl w:val="0"/>
          <w:numId w:val="9"/>
        </w:numPr>
        <w:rPr>
          <w:rFonts w:asciiTheme="majorBidi" w:hAnsiTheme="majorBidi" w:cstheme="majorBidi"/>
        </w:rPr>
      </w:pPr>
      <w:proofErr w:type="gramStart"/>
      <w:r w:rsidRPr="00361139">
        <w:rPr>
          <w:rFonts w:asciiTheme="majorBidi" w:hAnsiTheme="majorBidi" w:cstheme="majorBidi"/>
        </w:rPr>
        <w:t>With the exception of</w:t>
      </w:r>
      <w:proofErr w:type="gramEnd"/>
      <w:r w:rsidRPr="00361139">
        <w:rPr>
          <w:rFonts w:asciiTheme="majorBidi" w:hAnsiTheme="majorBidi" w:cstheme="majorBidi"/>
        </w:rPr>
        <w:t xml:space="preserve"> the enabling activities, all the GEF projects approved in the GEF-7 cycle (and onward) should report on the total </w:t>
      </w:r>
      <w:r w:rsidRPr="00361139">
        <w:rPr>
          <w:rFonts w:asciiTheme="majorBidi" w:hAnsiTheme="majorBidi" w:cstheme="majorBidi"/>
          <w:i/>
        </w:rPr>
        <w:t xml:space="preserve">quantity of mercury reduced </w:t>
      </w:r>
      <w:r w:rsidRPr="00361139">
        <w:rPr>
          <w:rFonts w:asciiTheme="majorBidi" w:hAnsiTheme="majorBidi" w:cstheme="majorBidi"/>
        </w:rPr>
        <w:t>expressed in metric tons. According to the data provided by the GEF Secretariat, a total value of about 1613 tons of mercury is expected to be reduced by 18 of the projects under review (of which 4 MSPs, 12 FSPs and 2 PFDs) for a total value of about 166 million USD estimated for activities directly related to the objectives of the Minamata Convention. As of January 2023, two of the above projects were under implementation and the remaining 16 had recently received their endorsement/approval and were about to start.</w:t>
      </w:r>
    </w:p>
    <w:p w14:paraId="05483F08" w14:textId="5FD74BBC"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With reference to SIP projects, the focal points participating in the survey indicated the article(s) of the Convention for which those funding improved their capacity in implementing its obligations. The main articles to which they referred were: art. 18 on </w:t>
      </w:r>
      <w:r w:rsidRPr="00361139">
        <w:rPr>
          <w:rFonts w:asciiTheme="majorBidi" w:hAnsiTheme="majorBidi" w:cstheme="majorBidi"/>
          <w:i/>
        </w:rPr>
        <w:t xml:space="preserve">public information, awareness and education </w:t>
      </w:r>
      <w:r w:rsidRPr="00361139">
        <w:rPr>
          <w:rFonts w:asciiTheme="majorBidi" w:hAnsiTheme="majorBidi" w:cstheme="majorBidi"/>
        </w:rPr>
        <w:t xml:space="preserve">(indicated by 58% of the respondents), art. 4 on </w:t>
      </w:r>
      <w:r w:rsidRPr="00361139">
        <w:rPr>
          <w:rFonts w:asciiTheme="majorBidi" w:hAnsiTheme="majorBidi" w:cstheme="majorBidi"/>
          <w:i/>
        </w:rPr>
        <w:t>mercury-added products</w:t>
      </w:r>
      <w:r w:rsidRPr="00361139">
        <w:rPr>
          <w:rFonts w:asciiTheme="majorBidi" w:hAnsiTheme="majorBidi" w:cstheme="majorBidi"/>
        </w:rPr>
        <w:t xml:space="preserve"> (50%), art. 17 on </w:t>
      </w:r>
      <w:r w:rsidRPr="00361139">
        <w:rPr>
          <w:rFonts w:asciiTheme="majorBidi" w:hAnsiTheme="majorBidi" w:cstheme="majorBidi"/>
          <w:i/>
        </w:rPr>
        <w:t xml:space="preserve">information exchange </w:t>
      </w:r>
      <w:r w:rsidRPr="00361139">
        <w:rPr>
          <w:rFonts w:asciiTheme="majorBidi" w:hAnsiTheme="majorBidi" w:cstheme="majorBidi"/>
        </w:rPr>
        <w:t xml:space="preserve">(42%), art. 11 on </w:t>
      </w:r>
      <w:r w:rsidRPr="00361139">
        <w:rPr>
          <w:rFonts w:asciiTheme="majorBidi" w:hAnsiTheme="majorBidi" w:cstheme="majorBidi"/>
          <w:i/>
        </w:rPr>
        <w:t>mercury wastes</w:t>
      </w:r>
      <w:r w:rsidRPr="00361139">
        <w:rPr>
          <w:rFonts w:asciiTheme="majorBidi" w:hAnsiTheme="majorBidi" w:cstheme="majorBidi"/>
        </w:rPr>
        <w:t xml:space="preserve"> (33%), art. 19 on </w:t>
      </w:r>
      <w:r w:rsidRPr="00361139">
        <w:rPr>
          <w:rFonts w:asciiTheme="majorBidi" w:hAnsiTheme="majorBidi" w:cstheme="majorBidi"/>
          <w:i/>
        </w:rPr>
        <w:t xml:space="preserve">research, development and monitoring </w:t>
      </w:r>
      <w:r w:rsidRPr="00361139">
        <w:rPr>
          <w:rFonts w:asciiTheme="majorBidi" w:hAnsiTheme="majorBidi" w:cstheme="majorBidi"/>
        </w:rPr>
        <w:t xml:space="preserve">(33%), art. 3 on </w:t>
      </w:r>
      <w:r w:rsidRPr="00361139">
        <w:rPr>
          <w:rFonts w:asciiTheme="majorBidi" w:hAnsiTheme="majorBidi" w:cstheme="majorBidi"/>
          <w:i/>
        </w:rPr>
        <w:t xml:space="preserve">mercury supply sources and trade </w:t>
      </w:r>
      <w:r w:rsidRPr="00361139">
        <w:rPr>
          <w:rFonts w:asciiTheme="majorBidi" w:hAnsiTheme="majorBidi" w:cstheme="majorBidi"/>
        </w:rPr>
        <w:t xml:space="preserve">(33%), art. 8 on </w:t>
      </w:r>
      <w:r w:rsidRPr="00361139">
        <w:rPr>
          <w:rFonts w:asciiTheme="majorBidi" w:hAnsiTheme="majorBidi" w:cstheme="majorBidi"/>
          <w:i/>
        </w:rPr>
        <w:t xml:space="preserve">emissions </w:t>
      </w:r>
      <w:r w:rsidRPr="00361139">
        <w:rPr>
          <w:rFonts w:asciiTheme="majorBidi" w:hAnsiTheme="majorBidi" w:cstheme="majorBidi"/>
        </w:rPr>
        <w:t>(33%), and art. 9</w:t>
      </w:r>
      <w:r w:rsidR="00334B82" w:rsidRPr="00361139">
        <w:rPr>
          <w:rFonts w:asciiTheme="majorBidi" w:hAnsiTheme="majorBidi" w:cstheme="majorBidi"/>
        </w:rPr>
        <w:t xml:space="preserve"> </w:t>
      </w:r>
      <w:r w:rsidRPr="00361139">
        <w:rPr>
          <w:rFonts w:asciiTheme="majorBidi" w:hAnsiTheme="majorBidi" w:cstheme="majorBidi"/>
        </w:rPr>
        <w:t xml:space="preserve">on </w:t>
      </w:r>
      <w:r w:rsidRPr="00361139">
        <w:rPr>
          <w:rFonts w:asciiTheme="majorBidi" w:hAnsiTheme="majorBidi" w:cstheme="majorBidi"/>
          <w:i/>
        </w:rPr>
        <w:t>releases</w:t>
      </w:r>
      <w:r w:rsidRPr="00361139">
        <w:rPr>
          <w:rFonts w:asciiTheme="majorBidi" w:hAnsiTheme="majorBidi" w:cstheme="majorBidi"/>
        </w:rPr>
        <w:t xml:space="preserve"> (33%).</w:t>
      </w:r>
    </w:p>
    <w:p w14:paraId="3FA6D4F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Similar results could be extracted from the final reports of the few SIP funded projects which have terminated their activities: most of the main projects outcomes are reported under art. 4 on </w:t>
      </w:r>
      <w:r w:rsidRPr="00361139">
        <w:rPr>
          <w:rFonts w:asciiTheme="majorBidi" w:hAnsiTheme="majorBidi" w:cstheme="majorBidi"/>
          <w:i/>
        </w:rPr>
        <w:t>mercury-added products</w:t>
      </w:r>
      <w:r w:rsidRPr="00361139">
        <w:rPr>
          <w:rFonts w:asciiTheme="majorBidi" w:hAnsiTheme="majorBidi" w:cstheme="majorBidi"/>
        </w:rPr>
        <w:t xml:space="preserve"> (e.g. inventories, feasibility analysis or strategy development for sound collection, storage, transportation, and processing of mercury-added products); and art. 18 on </w:t>
      </w:r>
      <w:r w:rsidRPr="00361139">
        <w:rPr>
          <w:rFonts w:asciiTheme="majorBidi" w:hAnsiTheme="majorBidi" w:cstheme="majorBidi"/>
          <w:i/>
        </w:rPr>
        <w:t xml:space="preserve">public information, awareness and education </w:t>
      </w:r>
      <w:r w:rsidRPr="00361139">
        <w:rPr>
          <w:rFonts w:asciiTheme="majorBidi" w:hAnsiTheme="majorBidi" w:cstheme="majorBidi"/>
        </w:rPr>
        <w:t xml:space="preserve">(e.g. awareness campaigns, engaging/sharing knowledge between key stakeholders). Figure 1 provides an overview of the </w:t>
      </w:r>
      <w:r w:rsidRPr="00361139">
        <w:rPr>
          <w:rFonts w:asciiTheme="majorBidi" w:hAnsiTheme="majorBidi" w:cstheme="majorBidi"/>
          <w:bCs/>
        </w:rPr>
        <w:t>Minamata Convention articles targeted by the first three rounds of SIP projects.</w:t>
      </w:r>
    </w:p>
    <w:p w14:paraId="7E46123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Specific SIP funded projects also reported results under art. 12 on </w:t>
      </w:r>
      <w:r w:rsidRPr="00361139">
        <w:rPr>
          <w:rFonts w:asciiTheme="majorBidi" w:hAnsiTheme="majorBidi" w:cstheme="majorBidi"/>
          <w:i/>
        </w:rPr>
        <w:t>contaminated sites</w:t>
      </w:r>
      <w:r w:rsidRPr="00361139">
        <w:rPr>
          <w:rFonts w:asciiTheme="majorBidi" w:hAnsiTheme="majorBidi" w:cstheme="majorBidi"/>
        </w:rPr>
        <w:t xml:space="preserve"> (e.g. producing a waste and contaminated materials inventory in mercury cell chlor-alkali plant and developing a guideline for decontamination of mercury wastes); art. 16 on </w:t>
      </w:r>
      <w:r w:rsidRPr="00361139">
        <w:rPr>
          <w:rFonts w:asciiTheme="majorBidi" w:hAnsiTheme="majorBidi" w:cstheme="majorBidi"/>
          <w:i/>
        </w:rPr>
        <w:t>health aspects</w:t>
      </w:r>
      <w:r w:rsidRPr="00361139">
        <w:rPr>
          <w:rFonts w:asciiTheme="majorBidi" w:hAnsiTheme="majorBidi" w:cstheme="majorBidi"/>
        </w:rPr>
        <w:t xml:space="preserve"> (e.g. producing a health risk assessment report); or art. 19 on </w:t>
      </w:r>
      <w:r w:rsidRPr="00361139">
        <w:rPr>
          <w:rFonts w:asciiTheme="majorBidi" w:hAnsiTheme="majorBidi" w:cstheme="majorBidi"/>
          <w:i/>
        </w:rPr>
        <w:t>research, development and monitoring</w:t>
      </w:r>
      <w:r w:rsidRPr="00361139">
        <w:rPr>
          <w:rFonts w:asciiTheme="majorBidi" w:hAnsiTheme="majorBidi" w:cstheme="majorBidi"/>
        </w:rPr>
        <w:t xml:space="preserve"> (e.g. enhance capacities for research and mercury surveillance; strengthening the technical capacity of the local government agencies, laboratories, academies and research centres; or developing mercury sampling and </w:t>
      </w:r>
      <w:proofErr w:type="spellStart"/>
      <w:r w:rsidRPr="00361139">
        <w:rPr>
          <w:rFonts w:asciiTheme="majorBidi" w:hAnsiTheme="majorBidi" w:cstheme="majorBidi"/>
        </w:rPr>
        <w:t>analyzing</w:t>
      </w:r>
      <w:proofErr w:type="spellEnd"/>
      <w:r w:rsidRPr="00361139">
        <w:rPr>
          <w:rFonts w:asciiTheme="majorBidi" w:hAnsiTheme="majorBidi" w:cstheme="majorBidi"/>
        </w:rPr>
        <w:t xml:space="preserve"> methods in different media). All SIP final reports also include in their results an important institutional component such as the development of a draft legal framework or national strategies on mercury (</w:t>
      </w:r>
      <w:proofErr w:type="gramStart"/>
      <w:r w:rsidRPr="00361139">
        <w:rPr>
          <w:rFonts w:asciiTheme="majorBidi" w:hAnsiTheme="majorBidi" w:cstheme="majorBidi"/>
        </w:rPr>
        <w:t>e.g.</w:t>
      </w:r>
      <w:proofErr w:type="gramEnd"/>
      <w:r w:rsidRPr="00361139">
        <w:rPr>
          <w:rFonts w:asciiTheme="majorBidi" w:hAnsiTheme="majorBidi" w:cstheme="majorBidi"/>
        </w:rPr>
        <w:t xml:space="preserve"> for phasing out/down mercury-added products; for handling mercury lamps; on movement of hazardous wastes; etc.).</w:t>
      </w:r>
    </w:p>
    <w:p w14:paraId="613621DF" w14:textId="39973EC9" w:rsidR="00CC73DD" w:rsidRPr="00361139" w:rsidRDefault="00687912" w:rsidP="00687912">
      <w:pPr>
        <w:pStyle w:val="CH2"/>
        <w:ind w:left="0" w:firstLine="0"/>
        <w:rPr>
          <w:lang w:val="en-GB"/>
        </w:rPr>
      </w:pPr>
      <w:bookmarkStart w:id="257" w:name="_Toc138845690"/>
      <w:bookmarkStart w:id="258" w:name="_Toc138845745"/>
      <w:bookmarkStart w:id="259" w:name="_Toc138847834"/>
      <w:r w:rsidRPr="00361139">
        <w:rPr>
          <w:lang w:val="en-GB"/>
        </w:rPr>
        <w:tab/>
      </w:r>
      <w:r w:rsidRPr="00361139">
        <w:rPr>
          <w:lang w:val="en-GB"/>
        </w:rPr>
        <w:tab/>
      </w:r>
      <w:bookmarkStart w:id="260" w:name="_Toc139975469"/>
      <w:bookmarkStart w:id="261" w:name="_Toc139976230"/>
      <w:bookmarkStart w:id="262" w:name="_Toc139982244"/>
      <w:bookmarkStart w:id="263" w:name="_Toc139983956"/>
      <w:bookmarkStart w:id="264" w:name="_Toc139984198"/>
      <w:r w:rsidR="00CC73DD" w:rsidRPr="00361139">
        <w:rPr>
          <w:lang w:val="en-GB"/>
        </w:rPr>
        <w:t>The effectiveness and efficiency of the MC financial mechanism</w:t>
      </w:r>
      <w:bookmarkEnd w:id="257"/>
      <w:bookmarkEnd w:id="258"/>
      <w:bookmarkEnd w:id="259"/>
      <w:bookmarkEnd w:id="260"/>
      <w:bookmarkEnd w:id="261"/>
      <w:bookmarkEnd w:id="262"/>
      <w:bookmarkEnd w:id="263"/>
      <w:bookmarkEnd w:id="264"/>
    </w:p>
    <w:p w14:paraId="74BE49F1"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Overall, the focal points from countries recipient of the funding, rated positively in the survey the </w:t>
      </w:r>
      <w:r w:rsidRPr="00361139">
        <w:rPr>
          <w:rFonts w:asciiTheme="majorBidi" w:hAnsiTheme="majorBidi" w:cstheme="majorBidi"/>
          <w:i/>
        </w:rPr>
        <w:t>efficiency</w:t>
      </w:r>
      <w:r w:rsidRPr="00361139">
        <w:rPr>
          <w:rFonts w:asciiTheme="majorBidi" w:hAnsiTheme="majorBidi" w:cstheme="majorBidi"/>
        </w:rPr>
        <w:t xml:space="preserve"> and the </w:t>
      </w:r>
      <w:r w:rsidRPr="00361139">
        <w:rPr>
          <w:rFonts w:asciiTheme="majorBidi" w:hAnsiTheme="majorBidi" w:cstheme="majorBidi"/>
          <w:i/>
        </w:rPr>
        <w:t>effectiveness</w:t>
      </w:r>
      <w:r w:rsidRPr="00361139">
        <w:rPr>
          <w:rFonts w:asciiTheme="majorBidi" w:hAnsiTheme="majorBidi" w:cstheme="majorBidi"/>
        </w:rPr>
        <w:t xml:space="preserve"> of both the entities entrusted with the operation of the MC financial mechanism (74% of appreciation for both SIP efficiency and effectiveness, 72% of appreciation for </w:t>
      </w:r>
      <w:r w:rsidRPr="00361139">
        <w:rPr>
          <w:rFonts w:asciiTheme="majorBidi" w:hAnsiTheme="majorBidi" w:cstheme="majorBidi"/>
        </w:rPr>
        <w:lastRenderedPageBreak/>
        <w:t>GEF efficiency and 71% of appreciation for GEF effectiveness). Similar questions, focusing on both entities together, asked to all focal points participating to the survey (independently from them being or not representatives of countries recipient of the funding), scored similar rating values (68-69% of appreciation for the efficiency and the effectiveness of the entities entrusted with the operation of the MC financial mechanism).</w:t>
      </w:r>
    </w:p>
    <w:p w14:paraId="43278BE6" w14:textId="059CD9E4" w:rsidR="00CC73DD" w:rsidRPr="00361139" w:rsidRDefault="00CC73DD" w:rsidP="00687912">
      <w:pPr>
        <w:pStyle w:val="Titlefigure"/>
        <w:rPr>
          <w:lang w:val="en-GB"/>
        </w:rPr>
      </w:pPr>
      <w:r w:rsidRPr="00361139">
        <w:rPr>
          <w:b w:val="0"/>
          <w:bCs/>
          <w:lang w:val="en-GB"/>
        </w:rPr>
        <w:t>Figure 1</w:t>
      </w:r>
      <w:r w:rsidR="00687912" w:rsidRPr="00361139">
        <w:rPr>
          <w:lang w:val="en-GB"/>
        </w:rPr>
        <w:t xml:space="preserve"> </w:t>
      </w:r>
      <w:r w:rsidR="00687912" w:rsidRPr="00361139">
        <w:rPr>
          <w:lang w:val="en-GB"/>
        </w:rPr>
        <w:br/>
      </w:r>
      <w:r w:rsidRPr="00361139">
        <w:rPr>
          <w:lang w:val="en-GB"/>
        </w:rPr>
        <w:t xml:space="preserve">Minamata Convention articles </w:t>
      </w:r>
      <w:r w:rsidRPr="00361139">
        <w:rPr>
          <w:bCs/>
          <w:lang w:val="en-GB"/>
        </w:rPr>
        <w:t>targeted by the first three rounds of SIP projects.</w:t>
      </w:r>
      <w:r w:rsidRPr="00361139">
        <w:rPr>
          <w:lang w:val="en-GB"/>
        </w:rPr>
        <w:t xml:space="preserve"> (</w:t>
      </w:r>
      <w:proofErr w:type="gramStart"/>
      <w:r w:rsidRPr="00361139">
        <w:rPr>
          <w:lang w:val="en-GB"/>
        </w:rPr>
        <w:t>courtesy</w:t>
      </w:r>
      <w:proofErr w:type="gramEnd"/>
      <w:r w:rsidRPr="00361139">
        <w:rPr>
          <w:lang w:val="en-GB"/>
        </w:rPr>
        <w:t xml:space="preserve"> of the MC Secretariat).</w:t>
      </w:r>
    </w:p>
    <w:p w14:paraId="589A410E" w14:textId="77777777" w:rsidR="00687912" w:rsidRPr="00361139" w:rsidRDefault="00CC73DD" w:rsidP="00687912">
      <w:pPr>
        <w:pStyle w:val="NormalNonumber"/>
        <w:rPr>
          <w:lang w:val="en-GB"/>
        </w:rPr>
      </w:pPr>
      <w:r w:rsidRPr="00361139">
        <w:rPr>
          <w:noProof/>
          <w:bdr w:val="single" w:sz="12" w:space="0" w:color="auto"/>
          <w:lang w:val="en-GB"/>
        </w:rPr>
        <w:drawing>
          <wp:inline distT="0" distB="0" distL="0" distR="0" wp14:anchorId="2C2CE239" wp14:editId="50EF5D47">
            <wp:extent cx="5490538" cy="3489264"/>
            <wp:effectExtent l="0" t="0" r="15240" b="16510"/>
            <wp:docPr id="4" name="Chart 4">
              <a:extLst xmlns:a="http://schemas.openxmlformats.org/drawingml/2006/main">
                <a:ext uri="{FF2B5EF4-FFF2-40B4-BE49-F238E27FC236}">
                  <a16:creationId xmlns:a16="http://schemas.microsoft.com/office/drawing/2014/main" id="{BCCF023F-BBA1-A1B5-9B12-42025C4854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43C6A80" w14:textId="32288C47" w:rsidR="00CC73DD" w:rsidRPr="00361139" w:rsidRDefault="00CC73DD" w:rsidP="00687912">
      <w:pPr>
        <w:pStyle w:val="Normalnumber"/>
      </w:pPr>
      <w:r w:rsidRPr="00361139">
        <w:t>As for the focal points and project managers contacted and involved in projects funded through the MC financial mechanism, all clearly stated that they experienced no significant problems in dealing with the funding entities in all phases and funding of their project activities and that both mechanisms resulted truly efficient and effective in supporting the projects from design to implementation.</w:t>
      </w:r>
    </w:p>
    <w:p w14:paraId="3CCE774F" w14:textId="77777777" w:rsidR="00CC73DD" w:rsidRPr="00361139" w:rsidRDefault="00CC73DD" w:rsidP="00687912">
      <w:pPr>
        <w:pStyle w:val="Normalnumber"/>
      </w:pPr>
      <w:r w:rsidRPr="00361139">
        <w:t xml:space="preserve">Table 7 provide a summary of the appreciation rates extracted from the survey, relatives to the performance criteria, requested by the </w:t>
      </w:r>
      <w:proofErr w:type="spellStart"/>
      <w:r w:rsidRPr="00361139">
        <w:t>ToR</w:t>
      </w:r>
      <w:proofErr w:type="spellEnd"/>
      <w:r w:rsidRPr="00361139">
        <w:t xml:space="preserve"> for this review, to be </w:t>
      </w:r>
      <w:proofErr w:type="gramStart"/>
      <w:r w:rsidRPr="00361139">
        <w:t>taken into account</w:t>
      </w:r>
      <w:proofErr w:type="gramEnd"/>
      <w:r w:rsidRPr="00361139">
        <w:t xml:space="preserve"> for the assessment of the effectiveness and efficiency of the financial mechanism. </w:t>
      </w:r>
    </w:p>
    <w:p w14:paraId="57C3DE20" w14:textId="4C56D4B3" w:rsidR="00CC73DD" w:rsidRPr="00361139" w:rsidRDefault="00E23B72" w:rsidP="00E23B72">
      <w:pPr>
        <w:pStyle w:val="CH1"/>
        <w:rPr>
          <w:lang w:val="en-GB"/>
        </w:rPr>
      </w:pPr>
      <w:bookmarkStart w:id="265" w:name="_Toc138845691"/>
      <w:bookmarkStart w:id="266" w:name="_Toc138845746"/>
      <w:bookmarkStart w:id="267" w:name="_Toc138847835"/>
      <w:r w:rsidRPr="00361139">
        <w:rPr>
          <w:lang w:val="en-GB"/>
        </w:rPr>
        <w:tab/>
      </w:r>
      <w:bookmarkStart w:id="268" w:name="_Toc139975470"/>
      <w:bookmarkStart w:id="269" w:name="_Toc139976231"/>
      <w:bookmarkStart w:id="270" w:name="_Toc139982245"/>
      <w:bookmarkStart w:id="271" w:name="_Toc139983957"/>
      <w:bookmarkStart w:id="272" w:name="_Toc139984199"/>
      <w:r w:rsidRPr="00361139">
        <w:rPr>
          <w:lang w:val="en-GB"/>
        </w:rPr>
        <w:t>4.</w:t>
      </w:r>
      <w:r w:rsidRPr="00361139">
        <w:rPr>
          <w:lang w:val="en-GB"/>
        </w:rPr>
        <w:tab/>
      </w:r>
      <w:r w:rsidR="00CC73DD" w:rsidRPr="00361139">
        <w:rPr>
          <w:lang w:val="en-GB"/>
        </w:rPr>
        <w:t>The Sustainability of the Resources and the Changing Needs of Developing Countries</w:t>
      </w:r>
      <w:bookmarkEnd w:id="265"/>
      <w:bookmarkEnd w:id="266"/>
      <w:bookmarkEnd w:id="267"/>
      <w:bookmarkEnd w:id="268"/>
      <w:bookmarkEnd w:id="269"/>
      <w:bookmarkEnd w:id="270"/>
      <w:bookmarkEnd w:id="271"/>
      <w:bookmarkEnd w:id="272"/>
    </w:p>
    <w:p w14:paraId="102D55F5"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According to Art. 13 of the Convention, and as reflected in the </w:t>
      </w:r>
      <w:proofErr w:type="spellStart"/>
      <w:r w:rsidRPr="00361139">
        <w:rPr>
          <w:rFonts w:asciiTheme="majorBidi" w:hAnsiTheme="majorBidi" w:cstheme="majorBidi"/>
        </w:rPr>
        <w:t>ToR</w:t>
      </w:r>
      <w:proofErr w:type="spellEnd"/>
      <w:r w:rsidRPr="00361139">
        <w:rPr>
          <w:rFonts w:asciiTheme="majorBidi" w:hAnsiTheme="majorBidi" w:cstheme="majorBidi"/>
        </w:rPr>
        <w:t xml:space="preserve"> of this review, an important focus of this analysis is </w:t>
      </w:r>
      <w:r w:rsidRPr="00361139">
        <w:rPr>
          <w:rFonts w:asciiTheme="majorBidi" w:hAnsiTheme="majorBidi" w:cstheme="majorBidi"/>
          <w:i/>
        </w:rPr>
        <w:t>the ability</w:t>
      </w:r>
      <w:r w:rsidRPr="00361139">
        <w:rPr>
          <w:rFonts w:asciiTheme="majorBidi" w:hAnsiTheme="majorBidi" w:cstheme="majorBidi"/>
        </w:rPr>
        <w:t xml:space="preserve">, of the entities entrusted to operationalize the MC financial mechanism, </w:t>
      </w:r>
      <w:r w:rsidRPr="00361139">
        <w:rPr>
          <w:rFonts w:asciiTheme="majorBidi" w:hAnsiTheme="majorBidi" w:cstheme="majorBidi"/>
          <w:i/>
        </w:rPr>
        <w:t>to address the changing needs of developing country Parties and Parties with economies in transition</w:t>
      </w:r>
      <w:r w:rsidRPr="00361139">
        <w:rPr>
          <w:rFonts w:asciiTheme="majorBidi" w:hAnsiTheme="majorBidi" w:cstheme="majorBidi"/>
        </w:rPr>
        <w:t>. This section specifically focuses on this aspect by considering the sustainability of the financial resources and its impact on these changing needs.</w:t>
      </w:r>
    </w:p>
    <w:p w14:paraId="364753CC" w14:textId="477F8850" w:rsidR="00CC73DD" w:rsidRPr="00361139" w:rsidRDefault="00CC73DD" w:rsidP="00742A9A">
      <w:pPr>
        <w:pStyle w:val="Titletable"/>
        <w:rPr>
          <w:lang w:val="en-GB"/>
        </w:rPr>
      </w:pPr>
      <w:bookmarkStart w:id="273" w:name="_Toc139982246"/>
      <w:bookmarkStart w:id="274" w:name="_Toc139983958"/>
      <w:r w:rsidRPr="00361139">
        <w:rPr>
          <w:b w:val="0"/>
          <w:bCs w:val="0"/>
          <w:lang w:val="en-GB"/>
        </w:rPr>
        <w:lastRenderedPageBreak/>
        <w:t>Table 7</w:t>
      </w:r>
      <w:r w:rsidR="00E23B72" w:rsidRPr="00361139">
        <w:rPr>
          <w:lang w:val="en-GB"/>
        </w:rPr>
        <w:t xml:space="preserve"> </w:t>
      </w:r>
      <w:r w:rsidR="00E23B72" w:rsidRPr="00361139">
        <w:rPr>
          <w:lang w:val="en-GB"/>
        </w:rPr>
        <w:br/>
      </w:r>
      <w:r w:rsidRPr="00361139">
        <w:rPr>
          <w:lang w:val="en-GB"/>
        </w:rPr>
        <w:t xml:space="preserve">Summary of the appreciation rates extracted from the survey, relatives to the performance criteria, requested by the </w:t>
      </w:r>
      <w:proofErr w:type="spellStart"/>
      <w:r w:rsidRPr="00361139">
        <w:rPr>
          <w:lang w:val="en-GB"/>
        </w:rPr>
        <w:t>ToR</w:t>
      </w:r>
      <w:proofErr w:type="spellEnd"/>
      <w:r w:rsidRPr="00361139">
        <w:rPr>
          <w:lang w:val="en-GB"/>
        </w:rPr>
        <w:t xml:space="preserve"> for this review to be </w:t>
      </w:r>
      <w:proofErr w:type="gramStart"/>
      <w:r w:rsidRPr="00361139">
        <w:rPr>
          <w:lang w:val="en-GB"/>
        </w:rPr>
        <w:t>taken into account</w:t>
      </w:r>
      <w:proofErr w:type="gramEnd"/>
      <w:r w:rsidRPr="00361139">
        <w:rPr>
          <w:lang w:val="en-GB"/>
        </w:rPr>
        <w:t xml:space="preserve"> for the assessment of the effectiveness and efficiency of the financial mechanism.</w:t>
      </w:r>
      <w:bookmarkEnd w:id="273"/>
      <w:bookmarkEnd w:id="274"/>
    </w:p>
    <w:tbl>
      <w:tblPr>
        <w:tblStyle w:val="TableGrid"/>
        <w:tblW w:w="8307" w:type="dxa"/>
        <w:jc w:val="right"/>
        <w:tblLayout w:type="fixed"/>
        <w:tblLook w:val="04A0" w:firstRow="1" w:lastRow="0" w:firstColumn="1" w:lastColumn="0" w:noHBand="0" w:noVBand="1"/>
      </w:tblPr>
      <w:tblGrid>
        <w:gridCol w:w="4469"/>
        <w:gridCol w:w="1033"/>
        <w:gridCol w:w="1179"/>
        <w:gridCol w:w="1626"/>
      </w:tblGrid>
      <w:tr w:rsidR="006534F8" w:rsidRPr="00361139" w14:paraId="6F1C5454" w14:textId="77777777" w:rsidTr="00170708">
        <w:trPr>
          <w:trHeight w:val="57"/>
          <w:jc w:val="right"/>
        </w:trPr>
        <w:tc>
          <w:tcPr>
            <w:tcW w:w="6681" w:type="dxa"/>
            <w:gridSpan w:val="3"/>
            <w:hideMark/>
          </w:tcPr>
          <w:p w14:paraId="06204838" w14:textId="77777777" w:rsidR="00E23B72" w:rsidRPr="00361139" w:rsidRDefault="00E23B72" w:rsidP="00742A9A">
            <w:pPr>
              <w:pStyle w:val="Normal-pool-Table"/>
              <w:keepNext/>
              <w:keepLines/>
              <w:rPr>
                <w:b/>
                <w:bCs/>
                <w:i/>
                <w:iCs/>
                <w:szCs w:val="18"/>
                <w:lang w:val="en-GB"/>
              </w:rPr>
            </w:pPr>
            <w:r w:rsidRPr="00361139">
              <w:rPr>
                <w:b/>
                <w:bCs/>
                <w:i/>
                <w:iCs/>
                <w:szCs w:val="18"/>
                <w:lang w:val="en-GB"/>
              </w:rPr>
              <w:t>Performance criteria</w:t>
            </w:r>
          </w:p>
        </w:tc>
        <w:tc>
          <w:tcPr>
            <w:tcW w:w="1626" w:type="dxa"/>
          </w:tcPr>
          <w:p w14:paraId="1F7F3B8D" w14:textId="77777777" w:rsidR="00E23B72" w:rsidRPr="00361139" w:rsidRDefault="00E23B72" w:rsidP="00742A9A">
            <w:pPr>
              <w:pStyle w:val="Normal-pool-Table"/>
              <w:keepNext/>
              <w:keepLines/>
              <w:rPr>
                <w:b/>
                <w:bCs/>
                <w:i/>
                <w:iCs/>
                <w:szCs w:val="18"/>
                <w:lang w:val="en-GB"/>
              </w:rPr>
            </w:pPr>
            <w:r w:rsidRPr="00361139">
              <w:rPr>
                <w:b/>
                <w:bCs/>
                <w:i/>
                <w:iCs/>
                <w:szCs w:val="18"/>
                <w:lang w:val="en-GB"/>
              </w:rPr>
              <w:t>Appreciation rates</w:t>
            </w:r>
          </w:p>
        </w:tc>
      </w:tr>
      <w:tr w:rsidR="006534F8" w:rsidRPr="00361139" w14:paraId="2354F31D" w14:textId="77777777" w:rsidTr="00170708">
        <w:trPr>
          <w:trHeight w:val="57"/>
          <w:jc w:val="right"/>
        </w:trPr>
        <w:tc>
          <w:tcPr>
            <w:tcW w:w="6681" w:type="dxa"/>
            <w:gridSpan w:val="3"/>
            <w:hideMark/>
          </w:tcPr>
          <w:p w14:paraId="2CDC1EFE" w14:textId="77777777" w:rsidR="00E23B72" w:rsidRPr="00361139" w:rsidRDefault="00E23B72" w:rsidP="00742A9A">
            <w:pPr>
              <w:pStyle w:val="Normal-pool-Table"/>
              <w:keepNext/>
              <w:keepLines/>
              <w:rPr>
                <w:szCs w:val="18"/>
                <w:lang w:val="en-GB"/>
              </w:rPr>
            </w:pPr>
            <w:r w:rsidRPr="00361139">
              <w:rPr>
                <w:szCs w:val="18"/>
                <w:lang w:val="en-GB"/>
              </w:rPr>
              <w:t>The responsiveness of the GEF and the SIP to the guidance provided by the COP</w:t>
            </w:r>
          </w:p>
        </w:tc>
        <w:tc>
          <w:tcPr>
            <w:tcW w:w="1626" w:type="dxa"/>
          </w:tcPr>
          <w:p w14:paraId="139DAF26" w14:textId="77777777" w:rsidR="00E23B72" w:rsidRPr="00361139" w:rsidRDefault="00E23B72" w:rsidP="00742A9A">
            <w:pPr>
              <w:pStyle w:val="Normal-pool-Table"/>
              <w:keepNext/>
              <w:keepLines/>
              <w:jc w:val="center"/>
              <w:rPr>
                <w:szCs w:val="18"/>
                <w:lang w:val="en-GB"/>
              </w:rPr>
            </w:pPr>
            <w:r w:rsidRPr="00361139">
              <w:rPr>
                <w:szCs w:val="18"/>
                <w:lang w:val="en-GB"/>
              </w:rPr>
              <w:t>65%</w:t>
            </w:r>
          </w:p>
        </w:tc>
      </w:tr>
      <w:tr w:rsidR="006534F8" w:rsidRPr="00361139" w14:paraId="0894B705" w14:textId="77777777" w:rsidTr="00170708">
        <w:trPr>
          <w:trHeight w:val="57"/>
          <w:jc w:val="right"/>
        </w:trPr>
        <w:tc>
          <w:tcPr>
            <w:tcW w:w="6681" w:type="dxa"/>
            <w:gridSpan w:val="3"/>
            <w:hideMark/>
          </w:tcPr>
          <w:p w14:paraId="0CFF5CC1" w14:textId="77777777" w:rsidR="00E23B72" w:rsidRPr="00361139" w:rsidRDefault="00E23B72" w:rsidP="00742A9A">
            <w:pPr>
              <w:pStyle w:val="Normal-pool-Table"/>
              <w:keepNext/>
              <w:keepLines/>
              <w:rPr>
                <w:szCs w:val="18"/>
                <w:lang w:val="en-GB"/>
              </w:rPr>
            </w:pPr>
            <w:r w:rsidRPr="00361139">
              <w:rPr>
                <w:szCs w:val="18"/>
                <w:lang w:val="en-GB"/>
              </w:rPr>
              <w:t>The extent to which the projects funded by the financial mechanism have reduced, or are expected to reduce, the supply, use, emissions and releases of mercury, and deliver other benefits in terms of Convention implementation</w:t>
            </w:r>
          </w:p>
        </w:tc>
        <w:tc>
          <w:tcPr>
            <w:tcW w:w="1626" w:type="dxa"/>
          </w:tcPr>
          <w:p w14:paraId="3B961AF3" w14:textId="77777777" w:rsidR="00E23B72" w:rsidRPr="00361139" w:rsidRDefault="00E23B72" w:rsidP="00742A9A">
            <w:pPr>
              <w:pStyle w:val="Normal-pool-Table"/>
              <w:keepNext/>
              <w:keepLines/>
              <w:jc w:val="center"/>
              <w:rPr>
                <w:szCs w:val="18"/>
                <w:lang w:val="en-GB"/>
              </w:rPr>
            </w:pPr>
            <w:r w:rsidRPr="00361139">
              <w:rPr>
                <w:szCs w:val="18"/>
                <w:lang w:val="en-GB"/>
              </w:rPr>
              <w:t>61%</w:t>
            </w:r>
          </w:p>
        </w:tc>
      </w:tr>
      <w:tr w:rsidR="006534F8" w:rsidRPr="00361139" w14:paraId="59A9FC9E" w14:textId="77777777" w:rsidTr="00170708">
        <w:trPr>
          <w:trHeight w:val="57"/>
          <w:jc w:val="right"/>
        </w:trPr>
        <w:tc>
          <w:tcPr>
            <w:tcW w:w="6681" w:type="dxa"/>
            <w:gridSpan w:val="3"/>
            <w:hideMark/>
          </w:tcPr>
          <w:p w14:paraId="4C3DED05" w14:textId="77777777" w:rsidR="00E23B72" w:rsidRPr="00361139" w:rsidRDefault="00E23B72" w:rsidP="00742A9A">
            <w:pPr>
              <w:pStyle w:val="Normal-pool-Table"/>
              <w:keepNext/>
              <w:keepLines/>
              <w:rPr>
                <w:szCs w:val="18"/>
                <w:lang w:val="en-GB"/>
              </w:rPr>
            </w:pPr>
            <w:r w:rsidRPr="00361139">
              <w:rPr>
                <w:szCs w:val="18"/>
                <w:lang w:val="en-GB"/>
              </w:rPr>
              <w:t>The transparency of the funding provided by the financial mechanism for the achievement of the objective of the Convention</w:t>
            </w:r>
          </w:p>
        </w:tc>
        <w:tc>
          <w:tcPr>
            <w:tcW w:w="1626" w:type="dxa"/>
          </w:tcPr>
          <w:p w14:paraId="7EBAA71D" w14:textId="77777777" w:rsidR="00E23B72" w:rsidRPr="00361139" w:rsidRDefault="00E23B72" w:rsidP="00742A9A">
            <w:pPr>
              <w:pStyle w:val="Normal-pool-Table"/>
              <w:keepNext/>
              <w:keepLines/>
              <w:jc w:val="center"/>
              <w:rPr>
                <w:szCs w:val="18"/>
                <w:lang w:val="en-GB"/>
              </w:rPr>
            </w:pPr>
            <w:r w:rsidRPr="00361139">
              <w:rPr>
                <w:szCs w:val="18"/>
                <w:lang w:val="en-GB"/>
              </w:rPr>
              <w:t>67%</w:t>
            </w:r>
          </w:p>
        </w:tc>
      </w:tr>
      <w:tr w:rsidR="006534F8" w:rsidRPr="00361139" w14:paraId="20E03308" w14:textId="77777777" w:rsidTr="00170708">
        <w:trPr>
          <w:trHeight w:val="57"/>
          <w:jc w:val="right"/>
        </w:trPr>
        <w:tc>
          <w:tcPr>
            <w:tcW w:w="6681" w:type="dxa"/>
            <w:gridSpan w:val="3"/>
            <w:hideMark/>
          </w:tcPr>
          <w:p w14:paraId="694D279E" w14:textId="77777777" w:rsidR="00E23B72" w:rsidRPr="00361139" w:rsidRDefault="00E23B72" w:rsidP="008144F7">
            <w:pPr>
              <w:pStyle w:val="Normal-pool-Table"/>
              <w:rPr>
                <w:szCs w:val="18"/>
                <w:lang w:val="en-GB"/>
              </w:rPr>
            </w:pPr>
            <w:r w:rsidRPr="00361139">
              <w:rPr>
                <w:szCs w:val="18"/>
                <w:lang w:val="en-GB"/>
              </w:rPr>
              <w:t>The timeliness of the project approval processes</w:t>
            </w:r>
          </w:p>
        </w:tc>
        <w:tc>
          <w:tcPr>
            <w:tcW w:w="1626" w:type="dxa"/>
          </w:tcPr>
          <w:p w14:paraId="4FF5B9A8" w14:textId="77777777" w:rsidR="00E23B72" w:rsidRPr="00361139" w:rsidRDefault="00E23B72" w:rsidP="00086F6B">
            <w:pPr>
              <w:pStyle w:val="Normal-pool-Table"/>
              <w:jc w:val="center"/>
              <w:rPr>
                <w:szCs w:val="18"/>
                <w:lang w:val="en-GB"/>
              </w:rPr>
            </w:pPr>
            <w:r w:rsidRPr="00361139">
              <w:rPr>
                <w:szCs w:val="18"/>
                <w:lang w:val="en-GB"/>
              </w:rPr>
              <w:t>61%</w:t>
            </w:r>
          </w:p>
        </w:tc>
      </w:tr>
      <w:tr w:rsidR="006534F8" w:rsidRPr="00361139" w14:paraId="70F4A707" w14:textId="77777777" w:rsidTr="00170708">
        <w:trPr>
          <w:trHeight w:val="57"/>
          <w:jc w:val="right"/>
        </w:trPr>
        <w:tc>
          <w:tcPr>
            <w:tcW w:w="6681" w:type="dxa"/>
            <w:gridSpan w:val="3"/>
            <w:hideMark/>
          </w:tcPr>
          <w:p w14:paraId="54127AF1" w14:textId="77777777" w:rsidR="00E23B72" w:rsidRPr="00361139" w:rsidRDefault="00E23B72" w:rsidP="008144F7">
            <w:pPr>
              <w:pStyle w:val="Normal-pool-Table"/>
              <w:rPr>
                <w:szCs w:val="18"/>
                <w:lang w:val="en-GB"/>
              </w:rPr>
            </w:pPr>
            <w:r w:rsidRPr="00361139">
              <w:rPr>
                <w:szCs w:val="18"/>
                <w:lang w:val="en-GB"/>
              </w:rPr>
              <w:t>The simplicity, flexibility and expeditiousness of the procedures for accessing funds and for implementing and reporting on projects</w:t>
            </w:r>
          </w:p>
        </w:tc>
        <w:tc>
          <w:tcPr>
            <w:tcW w:w="1626" w:type="dxa"/>
          </w:tcPr>
          <w:p w14:paraId="640362DD" w14:textId="77777777" w:rsidR="00E23B72" w:rsidRPr="00361139" w:rsidRDefault="00E23B72" w:rsidP="00086F6B">
            <w:pPr>
              <w:pStyle w:val="Normal-pool-Table"/>
              <w:jc w:val="center"/>
              <w:rPr>
                <w:szCs w:val="18"/>
                <w:lang w:val="en-GB"/>
              </w:rPr>
            </w:pPr>
            <w:r w:rsidRPr="00361139">
              <w:rPr>
                <w:szCs w:val="18"/>
                <w:lang w:val="en-GB"/>
              </w:rPr>
              <w:t>60%</w:t>
            </w:r>
          </w:p>
        </w:tc>
      </w:tr>
      <w:tr w:rsidR="00170708" w:rsidRPr="00361139" w14:paraId="3A5E7C89" w14:textId="77777777" w:rsidTr="00086F6B">
        <w:trPr>
          <w:trHeight w:val="57"/>
          <w:jc w:val="right"/>
        </w:trPr>
        <w:tc>
          <w:tcPr>
            <w:tcW w:w="4469" w:type="dxa"/>
            <w:vMerge w:val="restart"/>
            <w:vAlign w:val="center"/>
            <w:hideMark/>
          </w:tcPr>
          <w:p w14:paraId="74B8A336" w14:textId="77777777" w:rsidR="00E23B72" w:rsidRPr="00361139" w:rsidRDefault="00E23B72" w:rsidP="008144F7">
            <w:pPr>
              <w:pStyle w:val="Normal-pool-Table"/>
              <w:rPr>
                <w:b/>
                <w:bCs/>
                <w:szCs w:val="18"/>
                <w:lang w:val="en-GB"/>
              </w:rPr>
            </w:pPr>
            <w:r w:rsidRPr="00361139">
              <w:rPr>
                <w:b/>
                <w:bCs/>
                <w:szCs w:val="18"/>
                <w:lang w:val="en-GB"/>
              </w:rPr>
              <w:t>Responses from focal points of recipient countries only</w:t>
            </w:r>
          </w:p>
        </w:tc>
        <w:tc>
          <w:tcPr>
            <w:tcW w:w="2212" w:type="dxa"/>
            <w:gridSpan w:val="2"/>
          </w:tcPr>
          <w:p w14:paraId="6A5A4F91" w14:textId="77777777" w:rsidR="00E23B72" w:rsidRPr="00361139" w:rsidRDefault="00E23B72" w:rsidP="00086F6B">
            <w:pPr>
              <w:pStyle w:val="Normal-pool-Table"/>
              <w:jc w:val="center"/>
              <w:rPr>
                <w:b/>
                <w:bCs/>
                <w:szCs w:val="18"/>
                <w:lang w:val="en-GB"/>
              </w:rPr>
            </w:pPr>
            <w:r w:rsidRPr="00361139">
              <w:rPr>
                <w:b/>
                <w:bCs/>
                <w:szCs w:val="18"/>
                <w:lang w:val="en-GB"/>
              </w:rPr>
              <w:t>Appreciation rates</w:t>
            </w:r>
          </w:p>
        </w:tc>
        <w:tc>
          <w:tcPr>
            <w:tcW w:w="1626" w:type="dxa"/>
          </w:tcPr>
          <w:p w14:paraId="25AB5EBF" w14:textId="77777777" w:rsidR="00E23B72" w:rsidRPr="00361139" w:rsidRDefault="00E23B72" w:rsidP="00CD20F8">
            <w:pPr>
              <w:pStyle w:val="Normal-pool-Table"/>
              <w:jc w:val="center"/>
              <w:rPr>
                <w:szCs w:val="18"/>
                <w:lang w:val="en-GB"/>
              </w:rPr>
            </w:pPr>
          </w:p>
        </w:tc>
      </w:tr>
      <w:tr w:rsidR="00170708" w:rsidRPr="00361139" w14:paraId="665D0B05" w14:textId="77777777" w:rsidTr="00170708">
        <w:trPr>
          <w:trHeight w:val="57"/>
          <w:jc w:val="right"/>
        </w:trPr>
        <w:tc>
          <w:tcPr>
            <w:tcW w:w="4469" w:type="dxa"/>
            <w:vMerge/>
            <w:hideMark/>
          </w:tcPr>
          <w:p w14:paraId="55DC619E" w14:textId="77777777" w:rsidR="00E23B72" w:rsidRPr="00361139" w:rsidRDefault="00E23B72" w:rsidP="008144F7">
            <w:pPr>
              <w:pStyle w:val="Normal-pool-Table"/>
              <w:rPr>
                <w:szCs w:val="18"/>
                <w:lang w:val="en-GB"/>
              </w:rPr>
            </w:pPr>
          </w:p>
        </w:tc>
        <w:tc>
          <w:tcPr>
            <w:tcW w:w="1033" w:type="dxa"/>
          </w:tcPr>
          <w:p w14:paraId="0299E00A" w14:textId="77777777" w:rsidR="00E23B72" w:rsidRPr="00361139" w:rsidRDefault="00E23B72" w:rsidP="00086F6B">
            <w:pPr>
              <w:pStyle w:val="Normal-pool-Table"/>
              <w:jc w:val="center"/>
              <w:rPr>
                <w:b/>
                <w:bCs/>
                <w:szCs w:val="18"/>
                <w:lang w:val="en-GB"/>
              </w:rPr>
            </w:pPr>
            <w:r w:rsidRPr="00361139">
              <w:rPr>
                <w:b/>
                <w:bCs/>
                <w:szCs w:val="18"/>
                <w:lang w:val="en-GB"/>
              </w:rPr>
              <w:t>SIP</w:t>
            </w:r>
          </w:p>
        </w:tc>
        <w:tc>
          <w:tcPr>
            <w:tcW w:w="1179" w:type="dxa"/>
          </w:tcPr>
          <w:p w14:paraId="643499DA" w14:textId="77777777" w:rsidR="00E23B72" w:rsidRPr="00361139" w:rsidRDefault="00E23B72" w:rsidP="00086F6B">
            <w:pPr>
              <w:pStyle w:val="Normal-pool-Table"/>
              <w:jc w:val="center"/>
              <w:rPr>
                <w:b/>
                <w:bCs/>
                <w:szCs w:val="18"/>
                <w:lang w:val="en-GB"/>
              </w:rPr>
            </w:pPr>
            <w:r w:rsidRPr="00361139">
              <w:rPr>
                <w:b/>
                <w:bCs/>
                <w:szCs w:val="18"/>
                <w:lang w:val="en-GB"/>
              </w:rPr>
              <w:t>GEF</w:t>
            </w:r>
          </w:p>
        </w:tc>
        <w:tc>
          <w:tcPr>
            <w:tcW w:w="1626" w:type="dxa"/>
          </w:tcPr>
          <w:p w14:paraId="50FF1F35" w14:textId="77777777" w:rsidR="00E23B72" w:rsidRPr="00361139" w:rsidRDefault="00E23B72" w:rsidP="00CD20F8">
            <w:pPr>
              <w:pStyle w:val="Normal-pool-Table"/>
              <w:jc w:val="center"/>
              <w:rPr>
                <w:szCs w:val="18"/>
                <w:lang w:val="en-GB"/>
              </w:rPr>
            </w:pPr>
          </w:p>
        </w:tc>
      </w:tr>
      <w:tr w:rsidR="00170708" w:rsidRPr="00361139" w14:paraId="0BCAEA10" w14:textId="77777777" w:rsidTr="00170708">
        <w:trPr>
          <w:trHeight w:val="57"/>
          <w:jc w:val="right"/>
        </w:trPr>
        <w:tc>
          <w:tcPr>
            <w:tcW w:w="4469" w:type="dxa"/>
            <w:hideMark/>
          </w:tcPr>
          <w:p w14:paraId="1A7CA5B2" w14:textId="77777777" w:rsidR="00E23B72" w:rsidRPr="00361139" w:rsidRDefault="00E23B72" w:rsidP="008144F7">
            <w:pPr>
              <w:pStyle w:val="Normal-pool-Table"/>
              <w:rPr>
                <w:i/>
                <w:iCs/>
                <w:szCs w:val="18"/>
                <w:lang w:val="en-GB"/>
              </w:rPr>
            </w:pPr>
            <w:r w:rsidRPr="00361139">
              <w:rPr>
                <w:i/>
                <w:iCs/>
                <w:szCs w:val="18"/>
                <w:lang w:val="en-GB"/>
              </w:rPr>
              <w:t xml:space="preserve">Simplicity of accessing project(s) funds </w:t>
            </w:r>
          </w:p>
        </w:tc>
        <w:tc>
          <w:tcPr>
            <w:tcW w:w="1033" w:type="dxa"/>
          </w:tcPr>
          <w:p w14:paraId="3AED6033" w14:textId="77777777" w:rsidR="00E23B72" w:rsidRPr="00361139" w:rsidRDefault="00E23B72" w:rsidP="00086F6B">
            <w:pPr>
              <w:pStyle w:val="Normal-pool-Table"/>
              <w:jc w:val="center"/>
              <w:rPr>
                <w:i/>
                <w:iCs/>
                <w:szCs w:val="18"/>
                <w:lang w:val="en-GB"/>
              </w:rPr>
            </w:pPr>
            <w:r w:rsidRPr="00361139">
              <w:rPr>
                <w:i/>
                <w:iCs/>
                <w:szCs w:val="18"/>
                <w:lang w:val="en-GB"/>
              </w:rPr>
              <w:t>62%</w:t>
            </w:r>
          </w:p>
        </w:tc>
        <w:tc>
          <w:tcPr>
            <w:tcW w:w="1179" w:type="dxa"/>
          </w:tcPr>
          <w:p w14:paraId="3F9069C1" w14:textId="77777777" w:rsidR="00E23B72" w:rsidRPr="00361139" w:rsidRDefault="00E23B72" w:rsidP="00086F6B">
            <w:pPr>
              <w:pStyle w:val="Normal-pool-Table"/>
              <w:jc w:val="center"/>
              <w:rPr>
                <w:i/>
                <w:iCs/>
                <w:szCs w:val="18"/>
                <w:lang w:val="en-GB"/>
              </w:rPr>
            </w:pPr>
            <w:r w:rsidRPr="00361139">
              <w:rPr>
                <w:i/>
                <w:iCs/>
                <w:szCs w:val="18"/>
                <w:lang w:val="en-GB"/>
              </w:rPr>
              <w:t>65%</w:t>
            </w:r>
          </w:p>
        </w:tc>
        <w:tc>
          <w:tcPr>
            <w:tcW w:w="1626" w:type="dxa"/>
          </w:tcPr>
          <w:p w14:paraId="2235FA2A" w14:textId="77777777" w:rsidR="00E23B72" w:rsidRPr="00361139" w:rsidRDefault="00E23B72" w:rsidP="00CD20F8">
            <w:pPr>
              <w:pStyle w:val="Normal-pool-Table"/>
              <w:jc w:val="center"/>
              <w:rPr>
                <w:szCs w:val="18"/>
                <w:lang w:val="en-GB"/>
              </w:rPr>
            </w:pPr>
          </w:p>
        </w:tc>
      </w:tr>
      <w:tr w:rsidR="00170708" w:rsidRPr="00361139" w14:paraId="6FA811B9" w14:textId="77777777" w:rsidTr="00170708">
        <w:trPr>
          <w:trHeight w:val="57"/>
          <w:jc w:val="right"/>
        </w:trPr>
        <w:tc>
          <w:tcPr>
            <w:tcW w:w="4469" w:type="dxa"/>
            <w:hideMark/>
          </w:tcPr>
          <w:p w14:paraId="02822243" w14:textId="77777777" w:rsidR="00E23B72" w:rsidRPr="00361139" w:rsidRDefault="00E23B72" w:rsidP="008144F7">
            <w:pPr>
              <w:pStyle w:val="Normal-pool-Table"/>
              <w:rPr>
                <w:i/>
                <w:iCs/>
                <w:szCs w:val="18"/>
                <w:lang w:val="en-GB"/>
              </w:rPr>
            </w:pPr>
            <w:r w:rsidRPr="00361139">
              <w:rPr>
                <w:i/>
                <w:iCs/>
                <w:szCs w:val="18"/>
                <w:lang w:val="en-GB"/>
              </w:rPr>
              <w:t xml:space="preserve">Simplicity of implementing the project(s) </w:t>
            </w:r>
          </w:p>
        </w:tc>
        <w:tc>
          <w:tcPr>
            <w:tcW w:w="1033" w:type="dxa"/>
          </w:tcPr>
          <w:p w14:paraId="55690B87" w14:textId="77777777" w:rsidR="00E23B72" w:rsidRPr="00361139" w:rsidRDefault="00E23B72" w:rsidP="00086F6B">
            <w:pPr>
              <w:pStyle w:val="Normal-pool-Table"/>
              <w:jc w:val="center"/>
              <w:rPr>
                <w:i/>
                <w:iCs/>
                <w:szCs w:val="18"/>
                <w:lang w:val="en-GB"/>
              </w:rPr>
            </w:pPr>
            <w:r w:rsidRPr="00361139">
              <w:rPr>
                <w:i/>
                <w:iCs/>
                <w:szCs w:val="18"/>
                <w:lang w:val="en-GB"/>
              </w:rPr>
              <w:t>70%</w:t>
            </w:r>
          </w:p>
        </w:tc>
        <w:tc>
          <w:tcPr>
            <w:tcW w:w="1179" w:type="dxa"/>
          </w:tcPr>
          <w:p w14:paraId="39EC13CF" w14:textId="77777777" w:rsidR="00E23B72" w:rsidRPr="00361139" w:rsidRDefault="00E23B72" w:rsidP="00086F6B">
            <w:pPr>
              <w:pStyle w:val="Normal-pool-Table"/>
              <w:jc w:val="center"/>
              <w:rPr>
                <w:i/>
                <w:iCs/>
                <w:szCs w:val="18"/>
                <w:lang w:val="en-GB"/>
              </w:rPr>
            </w:pPr>
            <w:r w:rsidRPr="00361139">
              <w:rPr>
                <w:i/>
                <w:iCs/>
                <w:szCs w:val="18"/>
                <w:lang w:val="en-GB"/>
              </w:rPr>
              <w:t>66%</w:t>
            </w:r>
          </w:p>
        </w:tc>
        <w:tc>
          <w:tcPr>
            <w:tcW w:w="1626" w:type="dxa"/>
          </w:tcPr>
          <w:p w14:paraId="30C0CDE8" w14:textId="77777777" w:rsidR="00E23B72" w:rsidRPr="00361139" w:rsidRDefault="00E23B72" w:rsidP="00CD20F8">
            <w:pPr>
              <w:pStyle w:val="Normal-pool-Table"/>
              <w:jc w:val="center"/>
              <w:rPr>
                <w:szCs w:val="18"/>
                <w:lang w:val="en-GB"/>
              </w:rPr>
            </w:pPr>
          </w:p>
        </w:tc>
      </w:tr>
      <w:tr w:rsidR="00170708" w:rsidRPr="00361139" w14:paraId="6CE1AFA9" w14:textId="77777777" w:rsidTr="00170708">
        <w:trPr>
          <w:trHeight w:val="57"/>
          <w:jc w:val="right"/>
        </w:trPr>
        <w:tc>
          <w:tcPr>
            <w:tcW w:w="4469" w:type="dxa"/>
            <w:hideMark/>
          </w:tcPr>
          <w:p w14:paraId="1DBCDB3F" w14:textId="77777777" w:rsidR="00E23B72" w:rsidRPr="00361139" w:rsidRDefault="00E23B72" w:rsidP="008144F7">
            <w:pPr>
              <w:pStyle w:val="Normal-pool-Table"/>
              <w:rPr>
                <w:i/>
                <w:iCs/>
                <w:szCs w:val="18"/>
                <w:lang w:val="en-GB"/>
              </w:rPr>
            </w:pPr>
            <w:r w:rsidRPr="00361139">
              <w:rPr>
                <w:i/>
                <w:iCs/>
                <w:szCs w:val="18"/>
                <w:lang w:val="en-GB"/>
              </w:rPr>
              <w:t xml:space="preserve">Simplicity of reporting on project(s) </w:t>
            </w:r>
          </w:p>
        </w:tc>
        <w:tc>
          <w:tcPr>
            <w:tcW w:w="1033" w:type="dxa"/>
          </w:tcPr>
          <w:p w14:paraId="7133CF3C" w14:textId="77777777" w:rsidR="00E23B72" w:rsidRPr="00361139" w:rsidRDefault="00E23B72" w:rsidP="00086F6B">
            <w:pPr>
              <w:pStyle w:val="Normal-pool-Table"/>
              <w:jc w:val="center"/>
              <w:rPr>
                <w:i/>
                <w:iCs/>
                <w:szCs w:val="18"/>
                <w:lang w:val="en-GB"/>
              </w:rPr>
            </w:pPr>
            <w:r w:rsidRPr="00361139">
              <w:rPr>
                <w:i/>
                <w:iCs/>
                <w:szCs w:val="18"/>
                <w:lang w:val="en-GB"/>
              </w:rPr>
              <w:t>67%</w:t>
            </w:r>
          </w:p>
        </w:tc>
        <w:tc>
          <w:tcPr>
            <w:tcW w:w="1179" w:type="dxa"/>
          </w:tcPr>
          <w:p w14:paraId="6BA21858" w14:textId="77777777" w:rsidR="00E23B72" w:rsidRPr="00361139" w:rsidRDefault="00E23B72" w:rsidP="00086F6B">
            <w:pPr>
              <w:pStyle w:val="Normal-pool-Table"/>
              <w:jc w:val="center"/>
              <w:rPr>
                <w:i/>
                <w:iCs/>
                <w:szCs w:val="18"/>
                <w:lang w:val="en-GB"/>
              </w:rPr>
            </w:pPr>
            <w:r w:rsidRPr="00361139">
              <w:rPr>
                <w:i/>
                <w:iCs/>
                <w:szCs w:val="18"/>
                <w:lang w:val="en-GB"/>
              </w:rPr>
              <w:t>66%</w:t>
            </w:r>
          </w:p>
        </w:tc>
        <w:tc>
          <w:tcPr>
            <w:tcW w:w="1626" w:type="dxa"/>
          </w:tcPr>
          <w:p w14:paraId="448CE95F" w14:textId="77777777" w:rsidR="00E23B72" w:rsidRPr="00361139" w:rsidRDefault="00E23B72" w:rsidP="00CD20F8">
            <w:pPr>
              <w:pStyle w:val="Normal-pool-Table"/>
              <w:jc w:val="center"/>
              <w:rPr>
                <w:szCs w:val="18"/>
                <w:lang w:val="en-GB"/>
              </w:rPr>
            </w:pPr>
          </w:p>
        </w:tc>
      </w:tr>
      <w:tr w:rsidR="00170708" w:rsidRPr="00361139" w14:paraId="09605A68" w14:textId="77777777" w:rsidTr="00170708">
        <w:trPr>
          <w:trHeight w:val="57"/>
          <w:jc w:val="right"/>
        </w:trPr>
        <w:tc>
          <w:tcPr>
            <w:tcW w:w="4469" w:type="dxa"/>
            <w:hideMark/>
          </w:tcPr>
          <w:p w14:paraId="291CD18B" w14:textId="77777777" w:rsidR="00E23B72" w:rsidRPr="00361139" w:rsidRDefault="00E23B72" w:rsidP="008144F7">
            <w:pPr>
              <w:pStyle w:val="Normal-pool-Table"/>
              <w:rPr>
                <w:i/>
                <w:iCs/>
                <w:szCs w:val="18"/>
                <w:lang w:val="en-GB"/>
              </w:rPr>
            </w:pPr>
            <w:r w:rsidRPr="00361139">
              <w:rPr>
                <w:rStyle w:val="Emphasis"/>
                <w:szCs w:val="18"/>
                <w:lang w:val="en-GB"/>
              </w:rPr>
              <w:t>Flexibility</w:t>
            </w:r>
            <w:r w:rsidRPr="00361139">
              <w:rPr>
                <w:i/>
                <w:iCs/>
                <w:szCs w:val="18"/>
                <w:lang w:val="en-GB"/>
              </w:rPr>
              <w:t xml:space="preserve"> of accessing project(s) funds </w:t>
            </w:r>
          </w:p>
        </w:tc>
        <w:tc>
          <w:tcPr>
            <w:tcW w:w="1033" w:type="dxa"/>
          </w:tcPr>
          <w:p w14:paraId="519F91BE" w14:textId="77777777" w:rsidR="00E23B72" w:rsidRPr="00361139" w:rsidRDefault="00E23B72" w:rsidP="00086F6B">
            <w:pPr>
              <w:pStyle w:val="Normal-pool-Table"/>
              <w:jc w:val="center"/>
              <w:rPr>
                <w:i/>
                <w:iCs/>
                <w:szCs w:val="18"/>
                <w:lang w:val="en-GB"/>
              </w:rPr>
            </w:pPr>
            <w:r w:rsidRPr="00361139">
              <w:rPr>
                <w:i/>
                <w:iCs/>
                <w:szCs w:val="18"/>
                <w:lang w:val="en-GB"/>
              </w:rPr>
              <w:t>68%</w:t>
            </w:r>
          </w:p>
        </w:tc>
        <w:tc>
          <w:tcPr>
            <w:tcW w:w="1179" w:type="dxa"/>
          </w:tcPr>
          <w:p w14:paraId="71A71477" w14:textId="77777777" w:rsidR="00E23B72" w:rsidRPr="00361139" w:rsidRDefault="00E23B72" w:rsidP="00086F6B">
            <w:pPr>
              <w:pStyle w:val="Normal-pool-Table"/>
              <w:jc w:val="center"/>
              <w:rPr>
                <w:i/>
                <w:iCs/>
                <w:szCs w:val="18"/>
                <w:lang w:val="en-GB"/>
              </w:rPr>
            </w:pPr>
            <w:r w:rsidRPr="00361139">
              <w:rPr>
                <w:i/>
                <w:iCs/>
                <w:szCs w:val="18"/>
                <w:lang w:val="en-GB"/>
              </w:rPr>
              <w:t>64%</w:t>
            </w:r>
          </w:p>
        </w:tc>
        <w:tc>
          <w:tcPr>
            <w:tcW w:w="1626" w:type="dxa"/>
          </w:tcPr>
          <w:p w14:paraId="31C90F65" w14:textId="77777777" w:rsidR="00E23B72" w:rsidRPr="00361139" w:rsidRDefault="00E23B72" w:rsidP="00CD20F8">
            <w:pPr>
              <w:pStyle w:val="Normal-pool-Table"/>
              <w:jc w:val="center"/>
              <w:rPr>
                <w:szCs w:val="18"/>
                <w:lang w:val="en-GB"/>
              </w:rPr>
            </w:pPr>
          </w:p>
        </w:tc>
      </w:tr>
      <w:tr w:rsidR="00170708" w:rsidRPr="00361139" w14:paraId="7355624B" w14:textId="77777777" w:rsidTr="00170708">
        <w:trPr>
          <w:trHeight w:val="57"/>
          <w:jc w:val="right"/>
        </w:trPr>
        <w:tc>
          <w:tcPr>
            <w:tcW w:w="4469" w:type="dxa"/>
            <w:hideMark/>
          </w:tcPr>
          <w:p w14:paraId="5078EA8C" w14:textId="0A1FE429" w:rsidR="00E23B72" w:rsidRPr="00361139" w:rsidRDefault="00E23B72" w:rsidP="008144F7">
            <w:pPr>
              <w:pStyle w:val="Normal-pool-Table"/>
              <w:rPr>
                <w:i/>
                <w:iCs/>
                <w:szCs w:val="18"/>
                <w:lang w:val="en-GB"/>
              </w:rPr>
            </w:pPr>
            <w:r w:rsidRPr="00361139">
              <w:rPr>
                <w:rStyle w:val="Emphasis"/>
                <w:szCs w:val="18"/>
                <w:lang w:val="en-GB"/>
              </w:rPr>
              <w:t>Flexibility</w:t>
            </w:r>
            <w:r w:rsidRPr="00361139">
              <w:rPr>
                <w:i/>
                <w:iCs/>
                <w:szCs w:val="18"/>
                <w:lang w:val="en-GB"/>
              </w:rPr>
              <w:t xml:space="preserve"> in implementing the project(s)</w:t>
            </w:r>
            <w:r w:rsidR="00334B82" w:rsidRPr="00361139">
              <w:rPr>
                <w:i/>
                <w:iCs/>
                <w:szCs w:val="18"/>
                <w:lang w:val="en-GB"/>
              </w:rPr>
              <w:t xml:space="preserve"> </w:t>
            </w:r>
          </w:p>
        </w:tc>
        <w:tc>
          <w:tcPr>
            <w:tcW w:w="1033" w:type="dxa"/>
          </w:tcPr>
          <w:p w14:paraId="49CAE17D" w14:textId="77777777" w:rsidR="00E23B72" w:rsidRPr="00361139" w:rsidRDefault="00E23B72" w:rsidP="00086F6B">
            <w:pPr>
              <w:pStyle w:val="Normal-pool-Table"/>
              <w:jc w:val="center"/>
              <w:rPr>
                <w:i/>
                <w:iCs/>
                <w:szCs w:val="18"/>
                <w:lang w:val="en-GB"/>
              </w:rPr>
            </w:pPr>
            <w:r w:rsidRPr="00361139">
              <w:rPr>
                <w:i/>
                <w:iCs/>
                <w:szCs w:val="18"/>
                <w:lang w:val="en-GB"/>
              </w:rPr>
              <w:t>72%</w:t>
            </w:r>
          </w:p>
        </w:tc>
        <w:tc>
          <w:tcPr>
            <w:tcW w:w="1179" w:type="dxa"/>
          </w:tcPr>
          <w:p w14:paraId="07395014" w14:textId="77777777" w:rsidR="00E23B72" w:rsidRPr="00361139" w:rsidRDefault="00E23B72" w:rsidP="00086F6B">
            <w:pPr>
              <w:pStyle w:val="Normal-pool-Table"/>
              <w:jc w:val="center"/>
              <w:rPr>
                <w:i/>
                <w:iCs/>
                <w:szCs w:val="18"/>
                <w:lang w:val="en-GB"/>
              </w:rPr>
            </w:pPr>
            <w:r w:rsidRPr="00361139">
              <w:rPr>
                <w:i/>
                <w:iCs/>
                <w:szCs w:val="18"/>
                <w:lang w:val="en-GB"/>
              </w:rPr>
              <w:t>70%</w:t>
            </w:r>
          </w:p>
        </w:tc>
        <w:tc>
          <w:tcPr>
            <w:tcW w:w="1626" w:type="dxa"/>
          </w:tcPr>
          <w:p w14:paraId="3CC1D6AC" w14:textId="77777777" w:rsidR="00E23B72" w:rsidRPr="00361139" w:rsidRDefault="00E23B72" w:rsidP="00CD20F8">
            <w:pPr>
              <w:pStyle w:val="Normal-pool-Table"/>
              <w:jc w:val="center"/>
              <w:rPr>
                <w:szCs w:val="18"/>
                <w:lang w:val="en-GB"/>
              </w:rPr>
            </w:pPr>
          </w:p>
        </w:tc>
      </w:tr>
      <w:tr w:rsidR="00170708" w:rsidRPr="00361139" w14:paraId="048B6618" w14:textId="77777777" w:rsidTr="00170708">
        <w:trPr>
          <w:trHeight w:val="57"/>
          <w:jc w:val="right"/>
        </w:trPr>
        <w:tc>
          <w:tcPr>
            <w:tcW w:w="4469" w:type="dxa"/>
            <w:hideMark/>
          </w:tcPr>
          <w:p w14:paraId="2DA8C0F9" w14:textId="3F22F75D" w:rsidR="00E23B72" w:rsidRPr="00361139" w:rsidRDefault="00E23B72" w:rsidP="008144F7">
            <w:pPr>
              <w:pStyle w:val="Normal-pool-Table"/>
              <w:rPr>
                <w:i/>
                <w:iCs/>
                <w:szCs w:val="18"/>
                <w:lang w:val="en-GB"/>
              </w:rPr>
            </w:pPr>
            <w:r w:rsidRPr="00361139">
              <w:rPr>
                <w:rStyle w:val="Emphasis"/>
                <w:szCs w:val="18"/>
                <w:lang w:val="en-GB"/>
              </w:rPr>
              <w:t>Flexibility</w:t>
            </w:r>
            <w:r w:rsidRPr="00361139">
              <w:rPr>
                <w:i/>
                <w:iCs/>
                <w:szCs w:val="18"/>
                <w:lang w:val="en-GB"/>
              </w:rPr>
              <w:t xml:space="preserve"> in reporting on project(s)</w:t>
            </w:r>
            <w:r w:rsidR="00334B82" w:rsidRPr="00361139">
              <w:rPr>
                <w:i/>
                <w:iCs/>
                <w:szCs w:val="18"/>
                <w:lang w:val="en-GB"/>
              </w:rPr>
              <w:t xml:space="preserve"> </w:t>
            </w:r>
          </w:p>
        </w:tc>
        <w:tc>
          <w:tcPr>
            <w:tcW w:w="1033" w:type="dxa"/>
          </w:tcPr>
          <w:p w14:paraId="3DFFCF53" w14:textId="77777777" w:rsidR="00E23B72" w:rsidRPr="00361139" w:rsidRDefault="00E23B72" w:rsidP="00086F6B">
            <w:pPr>
              <w:pStyle w:val="Normal-pool-Table"/>
              <w:jc w:val="center"/>
              <w:rPr>
                <w:i/>
                <w:iCs/>
                <w:szCs w:val="18"/>
                <w:lang w:val="en-GB"/>
              </w:rPr>
            </w:pPr>
            <w:r w:rsidRPr="00361139">
              <w:rPr>
                <w:i/>
                <w:iCs/>
                <w:szCs w:val="18"/>
                <w:lang w:val="en-GB"/>
              </w:rPr>
              <w:t>72%</w:t>
            </w:r>
          </w:p>
        </w:tc>
        <w:tc>
          <w:tcPr>
            <w:tcW w:w="1179" w:type="dxa"/>
          </w:tcPr>
          <w:p w14:paraId="19C165D7" w14:textId="77777777" w:rsidR="00E23B72" w:rsidRPr="00361139" w:rsidRDefault="00E23B72" w:rsidP="00086F6B">
            <w:pPr>
              <w:pStyle w:val="Normal-pool-Table"/>
              <w:jc w:val="center"/>
              <w:rPr>
                <w:i/>
                <w:iCs/>
                <w:szCs w:val="18"/>
                <w:lang w:val="en-GB"/>
              </w:rPr>
            </w:pPr>
            <w:r w:rsidRPr="00361139">
              <w:rPr>
                <w:i/>
                <w:iCs/>
                <w:szCs w:val="18"/>
                <w:lang w:val="en-GB"/>
              </w:rPr>
              <w:t>64%</w:t>
            </w:r>
          </w:p>
        </w:tc>
        <w:tc>
          <w:tcPr>
            <w:tcW w:w="1626" w:type="dxa"/>
          </w:tcPr>
          <w:p w14:paraId="2B6CB5E9" w14:textId="77777777" w:rsidR="00E23B72" w:rsidRPr="00361139" w:rsidRDefault="00E23B72" w:rsidP="00CD20F8">
            <w:pPr>
              <w:pStyle w:val="Normal-pool-Table"/>
              <w:jc w:val="center"/>
              <w:rPr>
                <w:szCs w:val="18"/>
                <w:lang w:val="en-GB"/>
              </w:rPr>
            </w:pPr>
          </w:p>
        </w:tc>
      </w:tr>
      <w:tr w:rsidR="00170708" w:rsidRPr="00361139" w14:paraId="1C05CAA8" w14:textId="77777777" w:rsidTr="00170708">
        <w:trPr>
          <w:trHeight w:val="57"/>
          <w:jc w:val="right"/>
        </w:trPr>
        <w:tc>
          <w:tcPr>
            <w:tcW w:w="4469" w:type="dxa"/>
            <w:hideMark/>
          </w:tcPr>
          <w:p w14:paraId="72D84DE7" w14:textId="1A4DF6BF" w:rsidR="00E23B72" w:rsidRPr="00361139" w:rsidRDefault="00E23B72" w:rsidP="008144F7">
            <w:pPr>
              <w:pStyle w:val="Normal-pool-Table"/>
              <w:rPr>
                <w:i/>
                <w:iCs/>
                <w:szCs w:val="18"/>
                <w:lang w:val="en-GB"/>
              </w:rPr>
            </w:pPr>
            <w:r w:rsidRPr="00361139">
              <w:rPr>
                <w:rStyle w:val="Emphasis"/>
                <w:szCs w:val="18"/>
                <w:lang w:val="en-GB"/>
              </w:rPr>
              <w:t>Expeditiousness</w:t>
            </w:r>
            <w:r w:rsidRPr="00361139">
              <w:rPr>
                <w:i/>
                <w:iCs/>
                <w:szCs w:val="18"/>
                <w:lang w:val="en-GB"/>
              </w:rPr>
              <w:t xml:space="preserve"> of accessing project(s) funds</w:t>
            </w:r>
            <w:r w:rsidR="00334B82" w:rsidRPr="00361139">
              <w:rPr>
                <w:i/>
                <w:iCs/>
                <w:szCs w:val="18"/>
                <w:lang w:val="en-GB"/>
              </w:rPr>
              <w:t xml:space="preserve"> </w:t>
            </w:r>
          </w:p>
        </w:tc>
        <w:tc>
          <w:tcPr>
            <w:tcW w:w="1033" w:type="dxa"/>
          </w:tcPr>
          <w:p w14:paraId="6F31970B" w14:textId="77777777" w:rsidR="00E23B72" w:rsidRPr="00361139" w:rsidRDefault="00E23B72" w:rsidP="00086F6B">
            <w:pPr>
              <w:pStyle w:val="Normal-pool-Table"/>
              <w:jc w:val="center"/>
              <w:rPr>
                <w:i/>
                <w:iCs/>
                <w:szCs w:val="18"/>
                <w:lang w:val="en-GB"/>
              </w:rPr>
            </w:pPr>
            <w:r w:rsidRPr="00361139">
              <w:rPr>
                <w:i/>
                <w:iCs/>
                <w:szCs w:val="18"/>
                <w:lang w:val="en-GB"/>
              </w:rPr>
              <w:t>63%</w:t>
            </w:r>
          </w:p>
        </w:tc>
        <w:tc>
          <w:tcPr>
            <w:tcW w:w="1179" w:type="dxa"/>
          </w:tcPr>
          <w:p w14:paraId="5C7C7236" w14:textId="77777777" w:rsidR="00E23B72" w:rsidRPr="00361139" w:rsidRDefault="00E23B72" w:rsidP="00086F6B">
            <w:pPr>
              <w:pStyle w:val="Normal-pool-Table"/>
              <w:jc w:val="center"/>
              <w:rPr>
                <w:i/>
                <w:iCs/>
                <w:szCs w:val="18"/>
                <w:lang w:val="en-GB"/>
              </w:rPr>
            </w:pPr>
            <w:r w:rsidRPr="00361139">
              <w:rPr>
                <w:i/>
                <w:iCs/>
                <w:szCs w:val="18"/>
                <w:lang w:val="en-GB"/>
              </w:rPr>
              <w:t>63%</w:t>
            </w:r>
          </w:p>
        </w:tc>
        <w:tc>
          <w:tcPr>
            <w:tcW w:w="1626" w:type="dxa"/>
          </w:tcPr>
          <w:p w14:paraId="2D366D24" w14:textId="77777777" w:rsidR="00E23B72" w:rsidRPr="00361139" w:rsidRDefault="00E23B72" w:rsidP="00CD20F8">
            <w:pPr>
              <w:pStyle w:val="Normal-pool-Table"/>
              <w:jc w:val="center"/>
              <w:rPr>
                <w:szCs w:val="18"/>
                <w:lang w:val="en-GB"/>
              </w:rPr>
            </w:pPr>
          </w:p>
        </w:tc>
      </w:tr>
      <w:tr w:rsidR="00170708" w:rsidRPr="00361139" w14:paraId="775B2B1F" w14:textId="77777777" w:rsidTr="00170708">
        <w:trPr>
          <w:trHeight w:val="57"/>
          <w:jc w:val="right"/>
        </w:trPr>
        <w:tc>
          <w:tcPr>
            <w:tcW w:w="4469" w:type="dxa"/>
            <w:hideMark/>
          </w:tcPr>
          <w:p w14:paraId="253C5AF0" w14:textId="6D05F620" w:rsidR="00E23B72" w:rsidRPr="00361139" w:rsidRDefault="00E23B72" w:rsidP="008144F7">
            <w:pPr>
              <w:pStyle w:val="Normal-pool-Table"/>
              <w:rPr>
                <w:i/>
                <w:iCs/>
                <w:szCs w:val="18"/>
                <w:lang w:val="en-GB"/>
              </w:rPr>
            </w:pPr>
            <w:r w:rsidRPr="00361139">
              <w:rPr>
                <w:rStyle w:val="Emphasis"/>
                <w:szCs w:val="18"/>
                <w:lang w:val="en-GB"/>
              </w:rPr>
              <w:t>Expeditiousness</w:t>
            </w:r>
            <w:r w:rsidRPr="00361139">
              <w:rPr>
                <w:i/>
                <w:iCs/>
                <w:szCs w:val="18"/>
                <w:lang w:val="en-GB"/>
              </w:rPr>
              <w:t xml:space="preserve"> in implementing the project(s)</w:t>
            </w:r>
            <w:r w:rsidR="00334B82" w:rsidRPr="00361139">
              <w:rPr>
                <w:i/>
                <w:iCs/>
                <w:szCs w:val="18"/>
                <w:lang w:val="en-GB"/>
              </w:rPr>
              <w:t xml:space="preserve"> </w:t>
            </w:r>
          </w:p>
        </w:tc>
        <w:tc>
          <w:tcPr>
            <w:tcW w:w="1033" w:type="dxa"/>
          </w:tcPr>
          <w:p w14:paraId="17795CBE" w14:textId="77777777" w:rsidR="00E23B72" w:rsidRPr="00361139" w:rsidRDefault="00E23B72" w:rsidP="00086F6B">
            <w:pPr>
              <w:pStyle w:val="Normal-pool-Table"/>
              <w:jc w:val="center"/>
              <w:rPr>
                <w:i/>
                <w:iCs/>
                <w:szCs w:val="18"/>
                <w:lang w:val="en-GB"/>
              </w:rPr>
            </w:pPr>
            <w:r w:rsidRPr="00361139">
              <w:rPr>
                <w:i/>
                <w:iCs/>
                <w:szCs w:val="18"/>
                <w:lang w:val="en-GB"/>
              </w:rPr>
              <w:t>69%</w:t>
            </w:r>
          </w:p>
        </w:tc>
        <w:tc>
          <w:tcPr>
            <w:tcW w:w="1179" w:type="dxa"/>
          </w:tcPr>
          <w:p w14:paraId="25E7974D" w14:textId="77777777" w:rsidR="00E23B72" w:rsidRPr="00361139" w:rsidRDefault="00E23B72" w:rsidP="00086F6B">
            <w:pPr>
              <w:pStyle w:val="Normal-pool-Table"/>
              <w:jc w:val="center"/>
              <w:rPr>
                <w:i/>
                <w:iCs/>
                <w:szCs w:val="18"/>
                <w:lang w:val="en-GB"/>
              </w:rPr>
            </w:pPr>
            <w:r w:rsidRPr="00361139">
              <w:rPr>
                <w:i/>
                <w:iCs/>
                <w:szCs w:val="18"/>
                <w:lang w:val="en-GB"/>
              </w:rPr>
              <w:t>68%</w:t>
            </w:r>
          </w:p>
        </w:tc>
        <w:tc>
          <w:tcPr>
            <w:tcW w:w="1626" w:type="dxa"/>
          </w:tcPr>
          <w:p w14:paraId="40A43A3E" w14:textId="77777777" w:rsidR="00E23B72" w:rsidRPr="00361139" w:rsidRDefault="00E23B72" w:rsidP="00CD20F8">
            <w:pPr>
              <w:pStyle w:val="Normal-pool-Table"/>
              <w:jc w:val="center"/>
              <w:rPr>
                <w:szCs w:val="18"/>
                <w:lang w:val="en-GB"/>
              </w:rPr>
            </w:pPr>
          </w:p>
        </w:tc>
      </w:tr>
      <w:tr w:rsidR="00170708" w:rsidRPr="00361139" w14:paraId="6B4ACB06" w14:textId="77777777" w:rsidTr="00170708">
        <w:trPr>
          <w:trHeight w:val="57"/>
          <w:jc w:val="right"/>
        </w:trPr>
        <w:tc>
          <w:tcPr>
            <w:tcW w:w="4469" w:type="dxa"/>
            <w:hideMark/>
          </w:tcPr>
          <w:p w14:paraId="7F9232DA" w14:textId="77777777" w:rsidR="00E23B72" w:rsidRPr="00361139" w:rsidRDefault="00E23B72" w:rsidP="008144F7">
            <w:pPr>
              <w:pStyle w:val="Normal-pool-Table"/>
              <w:rPr>
                <w:i/>
                <w:iCs/>
                <w:szCs w:val="18"/>
                <w:lang w:val="en-GB"/>
              </w:rPr>
            </w:pPr>
            <w:r w:rsidRPr="00361139">
              <w:rPr>
                <w:rStyle w:val="Emphasis"/>
                <w:szCs w:val="18"/>
                <w:lang w:val="en-GB"/>
              </w:rPr>
              <w:t>Expeditiousness</w:t>
            </w:r>
            <w:r w:rsidRPr="00361139">
              <w:rPr>
                <w:i/>
                <w:iCs/>
                <w:szCs w:val="18"/>
                <w:lang w:val="en-GB"/>
              </w:rPr>
              <w:t xml:space="preserve"> in reporting on project(s) </w:t>
            </w:r>
          </w:p>
        </w:tc>
        <w:tc>
          <w:tcPr>
            <w:tcW w:w="1033" w:type="dxa"/>
          </w:tcPr>
          <w:p w14:paraId="26B5D94C" w14:textId="77777777" w:rsidR="00E23B72" w:rsidRPr="00361139" w:rsidRDefault="00E23B72" w:rsidP="00086F6B">
            <w:pPr>
              <w:pStyle w:val="Normal-pool-Table"/>
              <w:jc w:val="center"/>
              <w:rPr>
                <w:i/>
                <w:iCs/>
                <w:szCs w:val="18"/>
                <w:lang w:val="en-GB"/>
              </w:rPr>
            </w:pPr>
            <w:r w:rsidRPr="00361139">
              <w:rPr>
                <w:i/>
                <w:iCs/>
                <w:szCs w:val="18"/>
                <w:lang w:val="en-GB"/>
              </w:rPr>
              <w:t>69%</w:t>
            </w:r>
          </w:p>
        </w:tc>
        <w:tc>
          <w:tcPr>
            <w:tcW w:w="1179" w:type="dxa"/>
          </w:tcPr>
          <w:p w14:paraId="295DF514" w14:textId="77777777" w:rsidR="00E23B72" w:rsidRPr="00361139" w:rsidRDefault="00E23B72" w:rsidP="00086F6B">
            <w:pPr>
              <w:pStyle w:val="Normal-pool-Table"/>
              <w:jc w:val="center"/>
              <w:rPr>
                <w:i/>
                <w:iCs/>
                <w:szCs w:val="18"/>
                <w:lang w:val="en-GB"/>
              </w:rPr>
            </w:pPr>
            <w:r w:rsidRPr="00361139">
              <w:rPr>
                <w:i/>
                <w:iCs/>
                <w:szCs w:val="18"/>
                <w:lang w:val="en-GB"/>
              </w:rPr>
              <w:t>64%</w:t>
            </w:r>
          </w:p>
        </w:tc>
        <w:tc>
          <w:tcPr>
            <w:tcW w:w="1626" w:type="dxa"/>
          </w:tcPr>
          <w:p w14:paraId="148FCA26" w14:textId="77777777" w:rsidR="00E23B72" w:rsidRPr="00361139" w:rsidRDefault="00E23B72" w:rsidP="00CD20F8">
            <w:pPr>
              <w:pStyle w:val="Normal-pool-Table"/>
              <w:jc w:val="center"/>
              <w:rPr>
                <w:szCs w:val="18"/>
                <w:lang w:val="en-GB"/>
              </w:rPr>
            </w:pPr>
          </w:p>
        </w:tc>
      </w:tr>
      <w:tr w:rsidR="006534F8" w:rsidRPr="00361139" w14:paraId="1F930A26" w14:textId="77777777" w:rsidTr="00170708">
        <w:trPr>
          <w:trHeight w:val="57"/>
          <w:jc w:val="right"/>
        </w:trPr>
        <w:tc>
          <w:tcPr>
            <w:tcW w:w="6681" w:type="dxa"/>
            <w:gridSpan w:val="3"/>
            <w:hideMark/>
          </w:tcPr>
          <w:p w14:paraId="2F5BA05D" w14:textId="77777777" w:rsidR="00E23B72" w:rsidRPr="00361139" w:rsidRDefault="00E23B72" w:rsidP="008144F7">
            <w:pPr>
              <w:pStyle w:val="Normal-pool-Table"/>
              <w:rPr>
                <w:szCs w:val="18"/>
                <w:lang w:val="en-GB"/>
              </w:rPr>
            </w:pPr>
            <w:r w:rsidRPr="00361139">
              <w:rPr>
                <w:szCs w:val="18"/>
                <w:lang w:val="en-GB"/>
              </w:rPr>
              <w:t>The adequacy of the available resources</w:t>
            </w:r>
          </w:p>
        </w:tc>
        <w:tc>
          <w:tcPr>
            <w:tcW w:w="1626" w:type="dxa"/>
          </w:tcPr>
          <w:p w14:paraId="6923DAF0" w14:textId="77777777" w:rsidR="00E23B72" w:rsidRPr="00361139" w:rsidRDefault="00E23B72" w:rsidP="00CD20F8">
            <w:pPr>
              <w:pStyle w:val="Normal-pool-Table"/>
              <w:jc w:val="center"/>
              <w:rPr>
                <w:szCs w:val="18"/>
                <w:lang w:val="en-GB"/>
              </w:rPr>
            </w:pPr>
            <w:r w:rsidRPr="00361139">
              <w:rPr>
                <w:szCs w:val="18"/>
                <w:lang w:val="en-GB"/>
              </w:rPr>
              <w:t>58%</w:t>
            </w:r>
          </w:p>
        </w:tc>
      </w:tr>
      <w:tr w:rsidR="006534F8" w:rsidRPr="00361139" w14:paraId="5A808600" w14:textId="77777777" w:rsidTr="00170708">
        <w:trPr>
          <w:trHeight w:val="57"/>
          <w:jc w:val="right"/>
        </w:trPr>
        <w:tc>
          <w:tcPr>
            <w:tcW w:w="6681" w:type="dxa"/>
            <w:gridSpan w:val="3"/>
            <w:hideMark/>
          </w:tcPr>
          <w:p w14:paraId="66F908ED" w14:textId="77777777" w:rsidR="00E23B72" w:rsidRPr="00361139" w:rsidRDefault="00E23B72" w:rsidP="008144F7">
            <w:pPr>
              <w:pStyle w:val="Normal-pool-Table"/>
              <w:rPr>
                <w:szCs w:val="18"/>
                <w:lang w:val="en-GB"/>
              </w:rPr>
            </w:pPr>
            <w:r w:rsidRPr="00361139">
              <w:rPr>
                <w:szCs w:val="18"/>
                <w:lang w:val="en-GB"/>
              </w:rPr>
              <w:t>The sustainability, of the funding provided by the financial mechanism for the achievement of the objective of the Convention</w:t>
            </w:r>
          </w:p>
        </w:tc>
        <w:tc>
          <w:tcPr>
            <w:tcW w:w="1626" w:type="dxa"/>
          </w:tcPr>
          <w:p w14:paraId="7AD863FB" w14:textId="77777777" w:rsidR="00E23B72" w:rsidRPr="00361139" w:rsidRDefault="00E23B72" w:rsidP="00CD20F8">
            <w:pPr>
              <w:pStyle w:val="Normal-pool-Table"/>
              <w:jc w:val="center"/>
              <w:rPr>
                <w:szCs w:val="18"/>
                <w:lang w:val="en-GB"/>
              </w:rPr>
            </w:pPr>
            <w:r w:rsidRPr="00361139">
              <w:rPr>
                <w:szCs w:val="18"/>
                <w:lang w:val="en-GB"/>
              </w:rPr>
              <w:t>66%</w:t>
            </w:r>
          </w:p>
        </w:tc>
      </w:tr>
      <w:tr w:rsidR="006534F8" w:rsidRPr="00361139" w14:paraId="7540BC7E" w14:textId="77777777" w:rsidTr="00170708">
        <w:trPr>
          <w:trHeight w:val="57"/>
          <w:jc w:val="right"/>
        </w:trPr>
        <w:tc>
          <w:tcPr>
            <w:tcW w:w="6681" w:type="dxa"/>
            <w:gridSpan w:val="3"/>
            <w:hideMark/>
          </w:tcPr>
          <w:p w14:paraId="0FA1848C" w14:textId="77777777" w:rsidR="00E23B72" w:rsidRPr="00361139" w:rsidRDefault="00E23B72" w:rsidP="008144F7">
            <w:pPr>
              <w:pStyle w:val="Normal-pool-Table"/>
              <w:rPr>
                <w:szCs w:val="18"/>
                <w:lang w:val="en-GB"/>
              </w:rPr>
            </w:pPr>
            <w:r w:rsidRPr="00361139">
              <w:rPr>
                <w:szCs w:val="18"/>
                <w:lang w:val="en-GB"/>
              </w:rPr>
              <w:t>The Country ownership of activities funded by the financial mechanism</w:t>
            </w:r>
          </w:p>
        </w:tc>
        <w:tc>
          <w:tcPr>
            <w:tcW w:w="1626" w:type="dxa"/>
          </w:tcPr>
          <w:p w14:paraId="42669A78" w14:textId="77777777" w:rsidR="00E23B72" w:rsidRPr="00361139" w:rsidRDefault="00E23B72" w:rsidP="00CD20F8">
            <w:pPr>
              <w:pStyle w:val="Normal-pool-Table"/>
              <w:jc w:val="center"/>
              <w:rPr>
                <w:szCs w:val="18"/>
                <w:lang w:val="en-GB"/>
              </w:rPr>
            </w:pPr>
            <w:r w:rsidRPr="00361139">
              <w:rPr>
                <w:szCs w:val="18"/>
                <w:lang w:val="en-GB"/>
              </w:rPr>
              <w:t>67%</w:t>
            </w:r>
          </w:p>
        </w:tc>
      </w:tr>
      <w:tr w:rsidR="006534F8" w:rsidRPr="00361139" w14:paraId="6F371B29" w14:textId="77777777" w:rsidTr="00170708">
        <w:trPr>
          <w:trHeight w:val="57"/>
          <w:jc w:val="right"/>
        </w:trPr>
        <w:tc>
          <w:tcPr>
            <w:tcW w:w="6681" w:type="dxa"/>
            <w:gridSpan w:val="3"/>
            <w:hideMark/>
          </w:tcPr>
          <w:p w14:paraId="4F8C11E1" w14:textId="77777777" w:rsidR="00E23B72" w:rsidRPr="00361139" w:rsidRDefault="00E23B72" w:rsidP="008144F7">
            <w:pPr>
              <w:pStyle w:val="Normal-pool-Table"/>
              <w:rPr>
                <w:szCs w:val="18"/>
                <w:lang w:val="en-GB"/>
              </w:rPr>
            </w:pPr>
            <w:r w:rsidRPr="00361139">
              <w:rPr>
                <w:szCs w:val="18"/>
                <w:lang w:val="en-GB"/>
              </w:rPr>
              <w:t>The level of stakeholder involvement in the activities funded by the financial mechanism</w:t>
            </w:r>
          </w:p>
        </w:tc>
        <w:tc>
          <w:tcPr>
            <w:tcW w:w="1626" w:type="dxa"/>
          </w:tcPr>
          <w:p w14:paraId="4B96B1FD" w14:textId="77777777" w:rsidR="00E23B72" w:rsidRPr="00361139" w:rsidRDefault="00E23B72" w:rsidP="00CD20F8">
            <w:pPr>
              <w:pStyle w:val="Normal-pool-Table"/>
              <w:jc w:val="center"/>
              <w:rPr>
                <w:szCs w:val="18"/>
                <w:lang w:val="en-GB"/>
              </w:rPr>
            </w:pPr>
            <w:r w:rsidRPr="00361139">
              <w:rPr>
                <w:szCs w:val="18"/>
                <w:lang w:val="en-GB"/>
              </w:rPr>
              <w:t>71%</w:t>
            </w:r>
          </w:p>
        </w:tc>
      </w:tr>
    </w:tbl>
    <w:p w14:paraId="00A57176" w14:textId="77777777" w:rsidR="00E23B72" w:rsidRPr="00361139" w:rsidRDefault="00E23B72" w:rsidP="00E23B72">
      <w:pPr>
        <w:pStyle w:val="Normal-pool"/>
        <w:rPr>
          <w:lang w:val="en-GB"/>
        </w:rPr>
      </w:pPr>
    </w:p>
    <w:p w14:paraId="0BF25D85" w14:textId="77777777" w:rsidR="00CC73DD" w:rsidRPr="00361139" w:rsidRDefault="00CC73DD" w:rsidP="00170708">
      <w:pPr>
        <w:pStyle w:val="Normalnumber"/>
      </w:pPr>
      <w:r w:rsidRPr="00361139">
        <w:t>Funds allocated by the GEF Trust Fund to the implementation of the Minamata Convention in the past and current cycles show an incremental progression (+46% of increment between GEF-6 and GEF-7 and an additional +31% between GEF-7 and GEF-8). Figure 2 shows the GEF total resources, by cycles, allocated to the implementation of the Minamata Convention and those programmed/used for the financing of mercury projects</w:t>
      </w:r>
      <w:r w:rsidRPr="00361139">
        <w:rPr>
          <w:vertAlign w:val="superscript"/>
        </w:rPr>
        <w:footnoteReference w:id="53"/>
      </w:r>
      <w:r w:rsidRPr="00361139">
        <w:t>.</w:t>
      </w:r>
    </w:p>
    <w:p w14:paraId="6BFA7295" w14:textId="77777777" w:rsidR="00CC73DD" w:rsidRPr="00361139" w:rsidRDefault="00CC73DD" w:rsidP="00170708">
      <w:pPr>
        <w:pStyle w:val="Normalnumber"/>
      </w:pPr>
      <w:r w:rsidRPr="00361139">
        <w:t xml:space="preserve">It is worth noticing, however, that the Convention is entering now in a more mature phase of its implementation and that the initial requests for enabling activities, submitted by most of the recipient countries in the past cycles, are being currently replaced by undeniable needs for medium and full size projects that will have an important impact on the level of funds needed by the recipient countries for the implementation of the objectives of the Convention. </w:t>
      </w:r>
    </w:p>
    <w:p w14:paraId="020AB1F9" w14:textId="77777777" w:rsidR="00CC73DD" w:rsidRPr="00361139" w:rsidRDefault="00CC73DD" w:rsidP="00170708">
      <w:pPr>
        <w:pStyle w:val="Normalnumber"/>
        <w:rPr>
          <w:rFonts w:asciiTheme="majorBidi" w:hAnsiTheme="majorBidi" w:cstheme="majorBidi"/>
        </w:rPr>
      </w:pPr>
      <w:r w:rsidRPr="00361139">
        <w:t>In looking again at Table 2, and in considering the changing needs of developing country Parties and Parties with economies in transition, it is easy to predict that should the recipient</w:t>
      </w:r>
      <w:r w:rsidRPr="00361139">
        <w:rPr>
          <w:rFonts w:asciiTheme="majorBidi" w:hAnsiTheme="majorBidi" w:cstheme="majorBidi"/>
        </w:rPr>
        <w:t xml:space="preserve"> Parties of the 25 GEF-7 funded EA projects under review decide to request funding for the follow-up of their initial MIA or for the implementation of their ASGM NAP, these activities alone would require between 50 and 300 million USD of GEF funding (calculated as the average cost, in the period under review, of the same number of MSPs or FSPs)</w:t>
      </w:r>
      <w:r w:rsidRPr="00361139">
        <w:rPr>
          <w:rStyle w:val="FootnoteReference"/>
          <w:rFonts w:asciiTheme="majorBidi" w:eastAsia="SimSun" w:hAnsiTheme="majorBidi" w:cstheme="majorBidi"/>
        </w:rPr>
        <w:footnoteReference w:id="54"/>
      </w:r>
      <w:r w:rsidRPr="00361139">
        <w:rPr>
          <w:rFonts w:asciiTheme="majorBidi" w:hAnsiTheme="majorBidi" w:cstheme="majorBidi"/>
        </w:rPr>
        <w:t xml:space="preserve">. </w:t>
      </w:r>
    </w:p>
    <w:p w14:paraId="6F5A4A09" w14:textId="77777777" w:rsidR="00CC73DD" w:rsidRPr="00361139" w:rsidRDefault="00CC73DD" w:rsidP="00170708">
      <w:pPr>
        <w:pStyle w:val="Normalnumber"/>
      </w:pPr>
      <w:r w:rsidRPr="00361139">
        <w:t xml:space="preserve">In addition, while the ASGM initiative has been one of the main </w:t>
      </w:r>
      <w:proofErr w:type="gramStart"/>
      <w:r w:rsidRPr="00361139">
        <w:t>focus</w:t>
      </w:r>
      <w:proofErr w:type="gramEnd"/>
      <w:r w:rsidRPr="00361139">
        <w:t xml:space="preserve"> of the past projects, new deadlines are fast approaching under the Convention (as per the Convention text and applicable annexes) and new categories of projects </w:t>
      </w:r>
      <w:r w:rsidRPr="00361139">
        <w:lastRenderedPageBreak/>
        <w:t>activities and related funding will be consequently needed by the eligible Parties to face the new challenges of implementing the Convention objectives</w:t>
      </w:r>
      <w:r w:rsidRPr="00361139">
        <w:rPr>
          <w:rStyle w:val="FootnoteReference"/>
          <w:rFonts w:eastAsia="SimSun"/>
          <w:szCs w:val="20"/>
        </w:rPr>
        <w:footnoteReference w:id="55"/>
      </w:r>
      <w:r w:rsidRPr="00361139">
        <w:t xml:space="preserve">. </w:t>
      </w:r>
    </w:p>
    <w:p w14:paraId="75D73E65" w14:textId="77777777" w:rsidR="00CC73DD" w:rsidRPr="00361139" w:rsidRDefault="00CC73DD" w:rsidP="00170708">
      <w:pPr>
        <w:pStyle w:val="Normalnumber"/>
      </w:pPr>
      <w:r w:rsidRPr="00361139">
        <w:t>Funds received by the SIP trust fund, independently from the much limited amount compared to the GEF funds, have not shown the same type of incremental progression (after a +88% of increment, between the first and the second round, there has been a small increment of +2% between the second and the third round) and the on-going voluntary contributions for the fourth round, as of March 2023, had reached just the 36%, in total, of the previous round. Figure 3 shows the SIP total funds received and those effectively used for the financing of projects.</w:t>
      </w:r>
    </w:p>
    <w:p w14:paraId="5D8194A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SIP donors, so far, have been also a very small group of countries (the list of the 10 donors for the first three rounds is shown in Table 4), among which one donor, Norway, contributed alone for the 42% of the total amount of the first three rounds. </w:t>
      </w:r>
    </w:p>
    <w:p w14:paraId="4F310DDB"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three completed SIP rounds received, in total, 56 valid project applications</w:t>
      </w:r>
      <w:r w:rsidRPr="00361139">
        <w:rPr>
          <w:rStyle w:val="FootnoteReference"/>
          <w:rFonts w:asciiTheme="majorBidi" w:eastAsia="SimSun" w:hAnsiTheme="majorBidi" w:cstheme="majorBidi"/>
        </w:rPr>
        <w:footnoteReference w:id="56"/>
      </w:r>
      <w:r w:rsidRPr="00361139">
        <w:rPr>
          <w:rFonts w:asciiTheme="majorBidi" w:hAnsiTheme="majorBidi" w:cstheme="majorBidi"/>
        </w:rPr>
        <w:t xml:space="preserve"> of which 24 were approved for funding. The application number increased in each round and, only in the third round, 15 applications could not be approved for funding and for those applications, the Board formulated recommendations to be transmitted by the MC Secretariat to each of the applicants for their consideration and to enable them to strengthen their applications for possible submission to the fourth or subsequent rounds. It is expected therefore that the number of SIP applications will continue to increase in the coming rounds with a consequent increase of the request for funding.</w:t>
      </w:r>
    </w:p>
    <w:p w14:paraId="5A314337" w14:textId="30C70C5A" w:rsidR="00CC73DD" w:rsidRPr="00361139" w:rsidRDefault="00CC73DD" w:rsidP="00334B82">
      <w:pPr>
        <w:pStyle w:val="Titlefigure"/>
        <w:rPr>
          <w:lang w:val="en-GB"/>
        </w:rPr>
      </w:pPr>
      <w:r w:rsidRPr="00361139">
        <w:rPr>
          <w:b w:val="0"/>
          <w:bCs/>
          <w:lang w:val="en-GB"/>
        </w:rPr>
        <w:t>Figure 2</w:t>
      </w:r>
      <w:r w:rsidR="00334B82" w:rsidRPr="00361139">
        <w:rPr>
          <w:lang w:val="en-GB"/>
        </w:rPr>
        <w:t xml:space="preserve"> </w:t>
      </w:r>
      <w:r w:rsidR="00334B82" w:rsidRPr="00361139">
        <w:rPr>
          <w:lang w:val="en-GB"/>
        </w:rPr>
        <w:br/>
      </w:r>
      <w:r w:rsidRPr="00361139">
        <w:rPr>
          <w:lang w:val="en-GB"/>
        </w:rPr>
        <w:t>GEF total resources, by cycles, allocated to the implementation of the Minamata Convention and programmed for the financing of mercury projects (as of January 2023, source: GEF Secretariat).</w:t>
      </w:r>
    </w:p>
    <w:p w14:paraId="2EEC7F3B" w14:textId="77777777" w:rsidR="00CC73DD" w:rsidRPr="00361139" w:rsidRDefault="00CC73DD" w:rsidP="00334B82">
      <w:pPr>
        <w:pStyle w:val="NormalNonumber"/>
        <w:rPr>
          <w:lang w:val="en-GB"/>
        </w:rPr>
      </w:pPr>
      <w:r w:rsidRPr="00361139">
        <w:rPr>
          <w:noProof/>
          <w:lang w:val="en-GB"/>
        </w:rPr>
        <w:drawing>
          <wp:inline distT="0" distB="0" distL="0" distR="0" wp14:anchorId="09DA4BF5" wp14:editId="16A09D58">
            <wp:extent cx="5732145" cy="2183849"/>
            <wp:effectExtent l="0" t="0" r="1905" b="698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A332FD0" w14:textId="2E49A3E0" w:rsidR="00CC73DD" w:rsidRPr="00361139" w:rsidRDefault="00CC73DD" w:rsidP="00334B82">
      <w:pPr>
        <w:pStyle w:val="Titlefigure"/>
        <w:rPr>
          <w:lang w:val="en-GB"/>
        </w:rPr>
      </w:pPr>
      <w:r w:rsidRPr="00361139">
        <w:rPr>
          <w:b w:val="0"/>
          <w:bCs/>
          <w:lang w:val="en-GB"/>
        </w:rPr>
        <w:lastRenderedPageBreak/>
        <w:t>Figure 3</w:t>
      </w:r>
      <w:r w:rsidR="00334B82" w:rsidRPr="00361139">
        <w:rPr>
          <w:lang w:val="en-GB"/>
        </w:rPr>
        <w:t xml:space="preserve"> </w:t>
      </w:r>
      <w:r w:rsidR="00334B82" w:rsidRPr="00361139">
        <w:rPr>
          <w:lang w:val="en-GB"/>
        </w:rPr>
        <w:br/>
      </w:r>
      <w:r w:rsidRPr="00361139">
        <w:rPr>
          <w:lang w:val="en-GB"/>
        </w:rPr>
        <w:t>SIP total resources, by round, received by the Specific Trust Fund and used for the financing of projects (as of March 2023, source: MC Secretariat).</w:t>
      </w:r>
    </w:p>
    <w:p w14:paraId="78BE121B" w14:textId="77777777" w:rsidR="00CC73DD" w:rsidRPr="00361139" w:rsidRDefault="00CC73DD" w:rsidP="00334B82">
      <w:pPr>
        <w:pStyle w:val="NormalNonumber"/>
        <w:rPr>
          <w:lang w:val="en-GB"/>
        </w:rPr>
      </w:pPr>
      <w:r w:rsidRPr="00361139">
        <w:rPr>
          <w:noProof/>
          <w:lang w:val="en-GB"/>
        </w:rPr>
        <w:drawing>
          <wp:inline distT="0" distB="0" distL="0" distR="0" wp14:anchorId="2AC0FA4F" wp14:editId="484F6B29">
            <wp:extent cx="5732145" cy="2190586"/>
            <wp:effectExtent l="0" t="0" r="1905" b="63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0D49C53" w14:textId="77777777" w:rsidR="00CC73DD" w:rsidRPr="00361139" w:rsidRDefault="00CC73DD" w:rsidP="000C76AC">
      <w:pPr>
        <w:pStyle w:val="Normalnumber"/>
        <w:numPr>
          <w:ilvl w:val="0"/>
          <w:numId w:val="9"/>
        </w:numPr>
        <w:spacing w:before="240"/>
        <w:rPr>
          <w:rFonts w:asciiTheme="majorBidi" w:hAnsiTheme="majorBidi" w:cstheme="majorBidi"/>
        </w:rPr>
      </w:pPr>
      <w:bookmarkStart w:id="275" w:name="_Toc122452726"/>
      <w:bookmarkStart w:id="276" w:name="_Toc122452903"/>
      <w:r w:rsidRPr="00361139">
        <w:rPr>
          <w:rFonts w:asciiTheme="majorBidi" w:hAnsiTheme="majorBidi" w:cstheme="majorBidi"/>
        </w:rPr>
        <w:t>In 2023, SIP has reached the mid-term of its initial 10-years mandate</w:t>
      </w:r>
      <w:r w:rsidRPr="00361139">
        <w:rPr>
          <w:rStyle w:val="FootnoteReference"/>
          <w:rFonts w:asciiTheme="majorBidi" w:eastAsia="SimSun" w:hAnsiTheme="majorBidi" w:cstheme="majorBidi"/>
        </w:rPr>
        <w:footnoteReference w:id="57"/>
      </w:r>
      <w:r w:rsidRPr="00361139">
        <w:rPr>
          <w:rFonts w:asciiTheme="majorBidi" w:hAnsiTheme="majorBidi" w:cstheme="majorBidi"/>
        </w:rPr>
        <w:t>; a simple calculation shows that, hypothetically, in order to assist, at least once each eligible Party with an average funded SIP project, before the end of its mandate the fund should receive about 4 million USD for each of the next five years, with a significant and steady increment of +62% with respect to the funds received in the third round</w:t>
      </w:r>
      <w:r w:rsidRPr="00361139">
        <w:rPr>
          <w:rStyle w:val="FootnoteReference"/>
          <w:rFonts w:asciiTheme="majorBidi" w:eastAsia="SimSun" w:hAnsiTheme="majorBidi" w:cstheme="majorBidi"/>
        </w:rPr>
        <w:footnoteReference w:id="58"/>
      </w:r>
      <w:r w:rsidRPr="00361139">
        <w:rPr>
          <w:rFonts w:asciiTheme="majorBidi" w:hAnsiTheme="majorBidi" w:cstheme="majorBidi"/>
        </w:rPr>
        <w:t xml:space="preserve">. </w:t>
      </w:r>
    </w:p>
    <w:p w14:paraId="477DD493"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scope of the above calculations is only to suggest that the current level of resources, when considering the approaching objectives of the Convention, is in all probability insufficient to address the expected increase of demand from </w:t>
      </w:r>
      <w:bookmarkStart w:id="277" w:name="_Toc122452725"/>
      <w:bookmarkStart w:id="278" w:name="_Toc122452902"/>
      <w:r w:rsidRPr="00361139">
        <w:rPr>
          <w:rFonts w:asciiTheme="majorBidi" w:hAnsiTheme="majorBidi" w:cstheme="majorBidi"/>
        </w:rPr>
        <w:t>developing country Parties and Parties with economies in transition for the implementation of MC-specific projects in the next coming years.</w:t>
      </w:r>
      <w:bookmarkEnd w:id="277"/>
      <w:bookmarkEnd w:id="278"/>
    </w:p>
    <w:p w14:paraId="4150DCA0" w14:textId="4CFCDEC4" w:rsidR="00CC73DD" w:rsidRPr="00361139" w:rsidRDefault="00334B82" w:rsidP="00334B82">
      <w:pPr>
        <w:pStyle w:val="CH1"/>
        <w:rPr>
          <w:lang w:val="en-GB"/>
        </w:rPr>
      </w:pPr>
      <w:bookmarkStart w:id="279" w:name="_Toc138845692"/>
      <w:bookmarkStart w:id="280" w:name="_Toc138845747"/>
      <w:bookmarkStart w:id="281" w:name="_Toc138847836"/>
      <w:r w:rsidRPr="00361139">
        <w:rPr>
          <w:lang w:val="en-GB"/>
        </w:rPr>
        <w:tab/>
      </w:r>
      <w:bookmarkStart w:id="282" w:name="_Toc139975471"/>
      <w:bookmarkStart w:id="283" w:name="_Toc139976232"/>
      <w:bookmarkStart w:id="284" w:name="_Toc139982247"/>
      <w:bookmarkStart w:id="285" w:name="_Toc139983959"/>
      <w:bookmarkStart w:id="286" w:name="_Toc139984200"/>
      <w:r w:rsidRPr="00361139">
        <w:rPr>
          <w:lang w:val="en-GB"/>
        </w:rPr>
        <w:t>5.</w:t>
      </w:r>
      <w:r w:rsidRPr="00361139">
        <w:rPr>
          <w:lang w:val="en-GB"/>
        </w:rPr>
        <w:tab/>
      </w:r>
      <w:r w:rsidR="00CC73DD" w:rsidRPr="00361139">
        <w:rPr>
          <w:lang w:val="en-GB"/>
        </w:rPr>
        <w:t>Conclusions, lessons learned and recommendations</w:t>
      </w:r>
      <w:bookmarkEnd w:id="275"/>
      <w:bookmarkEnd w:id="276"/>
      <w:bookmarkEnd w:id="279"/>
      <w:bookmarkEnd w:id="280"/>
      <w:bookmarkEnd w:id="281"/>
      <w:bookmarkEnd w:id="282"/>
      <w:bookmarkEnd w:id="283"/>
      <w:bookmarkEnd w:id="284"/>
      <w:bookmarkEnd w:id="285"/>
      <w:bookmarkEnd w:id="286"/>
    </w:p>
    <w:p w14:paraId="562CBC11" w14:textId="16131B5D" w:rsidR="00CC73DD" w:rsidRPr="00361139" w:rsidRDefault="00334B82" w:rsidP="00334B82">
      <w:pPr>
        <w:pStyle w:val="CH2"/>
        <w:rPr>
          <w:lang w:val="en-GB"/>
        </w:rPr>
      </w:pPr>
      <w:bookmarkStart w:id="287" w:name="_Toc138845693"/>
      <w:bookmarkStart w:id="288" w:name="_Toc138845748"/>
      <w:bookmarkStart w:id="289" w:name="_Toc138847837"/>
      <w:r w:rsidRPr="00361139">
        <w:rPr>
          <w:lang w:val="en-GB"/>
        </w:rPr>
        <w:tab/>
      </w:r>
      <w:r w:rsidRPr="00361139">
        <w:rPr>
          <w:lang w:val="en-GB"/>
        </w:rPr>
        <w:tab/>
      </w:r>
      <w:bookmarkStart w:id="290" w:name="_Toc139975472"/>
      <w:bookmarkStart w:id="291" w:name="_Toc139976233"/>
      <w:bookmarkStart w:id="292" w:name="_Toc139982248"/>
      <w:bookmarkStart w:id="293" w:name="_Toc139983960"/>
      <w:bookmarkStart w:id="294" w:name="_Toc139984201"/>
      <w:r w:rsidR="00CC73DD" w:rsidRPr="00361139">
        <w:rPr>
          <w:lang w:val="en-GB"/>
        </w:rPr>
        <w:t>Conclusions</w:t>
      </w:r>
      <w:bookmarkEnd w:id="287"/>
      <w:bookmarkEnd w:id="288"/>
      <w:bookmarkEnd w:id="289"/>
      <w:bookmarkEnd w:id="290"/>
      <w:bookmarkEnd w:id="291"/>
      <w:bookmarkEnd w:id="292"/>
      <w:bookmarkEnd w:id="293"/>
      <w:bookmarkEnd w:id="294"/>
    </w:p>
    <w:p w14:paraId="0D37BF21"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A first important conclusion of this review is that</w:t>
      </w:r>
      <w:r w:rsidRPr="00361139">
        <w:rPr>
          <w:rFonts w:asciiTheme="majorBidi" w:hAnsiTheme="majorBidi" w:cstheme="majorBidi"/>
          <w:i/>
        </w:rPr>
        <w:t>, in the period under consideration, the financial mechanism established under Article 13 of the Minamata Convention has proven effective in the provision of adequate, predictable, and timely financial resources for supporting developing country Parties and Parties with economies in transition in implementing their obligations under the Convention</w:t>
      </w:r>
      <w:r w:rsidRPr="00361139">
        <w:rPr>
          <w:rFonts w:asciiTheme="majorBidi" w:hAnsiTheme="majorBidi" w:cstheme="majorBidi"/>
        </w:rPr>
        <w:t>.</w:t>
      </w:r>
    </w:p>
    <w:p w14:paraId="2EAC1E7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This first conclusion is supported by the feedback received, as well as by the findings (mainly those in the sections on </w:t>
      </w:r>
      <w:r w:rsidRPr="00361139">
        <w:rPr>
          <w:rFonts w:asciiTheme="majorBidi" w:hAnsiTheme="majorBidi" w:cstheme="majorBidi"/>
          <w:i/>
        </w:rPr>
        <w:t>The Funding</w:t>
      </w:r>
      <w:r w:rsidRPr="00361139">
        <w:rPr>
          <w:rFonts w:asciiTheme="majorBidi" w:hAnsiTheme="majorBidi" w:cstheme="majorBidi"/>
        </w:rPr>
        <w:t xml:space="preserve"> and </w:t>
      </w:r>
      <w:r w:rsidRPr="00361139">
        <w:rPr>
          <w:rFonts w:asciiTheme="majorBidi" w:hAnsiTheme="majorBidi" w:cstheme="majorBidi"/>
          <w:i/>
        </w:rPr>
        <w:t xml:space="preserve">The Effectiveness and the Efficiency) </w:t>
      </w:r>
      <w:r w:rsidRPr="00361139">
        <w:rPr>
          <w:rFonts w:asciiTheme="majorBidi" w:hAnsiTheme="majorBidi" w:cstheme="majorBidi"/>
        </w:rPr>
        <w:t>reporting an important number of projects funded by the MC financial mechanism, all addressing mercury-related activities, having a significant impact on a large number of eligible countries, mobilizing considerable additional funds through the co-financing, and taking in account the specific needs and special circumstances of Parties that are Small Island Developing States or Least Developed Countries.</w:t>
      </w:r>
    </w:p>
    <w:p w14:paraId="1C1AA8E2"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second, equally important, conclusion is that, </w:t>
      </w:r>
      <w:r w:rsidRPr="00361139">
        <w:rPr>
          <w:rFonts w:asciiTheme="majorBidi" w:hAnsiTheme="majorBidi" w:cstheme="majorBidi"/>
          <w:i/>
        </w:rPr>
        <w:t xml:space="preserve">at this stage of the operations of the Convention, the MC financial mechanism </w:t>
      </w:r>
      <w:proofErr w:type="gramStart"/>
      <w:r w:rsidRPr="00361139">
        <w:rPr>
          <w:rFonts w:asciiTheme="majorBidi" w:hAnsiTheme="majorBidi" w:cstheme="majorBidi"/>
          <w:i/>
        </w:rPr>
        <w:t>is in need of</w:t>
      </w:r>
      <w:proofErr w:type="gramEnd"/>
      <w:r w:rsidRPr="00361139">
        <w:rPr>
          <w:rFonts w:asciiTheme="majorBidi" w:hAnsiTheme="majorBidi" w:cstheme="majorBidi"/>
          <w:i/>
        </w:rPr>
        <w:t xml:space="preserve"> both a substantial increase of financial resources and a more specific guidance to the entities entrusted to its operationalization, in order to face the present and impending challenges of implementing the Convention</w:t>
      </w:r>
      <w:r w:rsidRPr="00361139">
        <w:rPr>
          <w:rFonts w:asciiTheme="majorBidi" w:hAnsiTheme="majorBidi" w:cstheme="majorBidi"/>
        </w:rPr>
        <w:t>.</w:t>
      </w:r>
    </w:p>
    <w:p w14:paraId="45CDA92A"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other words, it stands to reason that the MC financial mechanism,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sustain a significant impact on the implementation of the Convention, will require, in the near future, increased generosity and flexibility from the donor’s side as well as clearly defined interventions and capacity of prioritization by the COP in its guidance, the entities comprising the mechanism, the implementing agencies and the recipient countries.</w:t>
      </w:r>
    </w:p>
    <w:p w14:paraId="7DDF798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lastRenderedPageBreak/>
        <w:t>In terms of financial resources, the review findings show that the GEF (responsible in the period under review for more than 98% of the funds disbursed through the MC financial mechanism) managed to address quite satisfactorily the financial demand from eligible countries</w:t>
      </w:r>
      <w:r w:rsidRPr="00361139">
        <w:rPr>
          <w:rFonts w:asciiTheme="majorBidi" w:hAnsiTheme="majorBidi" w:cstheme="majorBidi"/>
          <w:i/>
        </w:rPr>
        <w:t>.</w:t>
      </w:r>
      <w:r w:rsidRPr="00361139">
        <w:rPr>
          <w:rFonts w:asciiTheme="majorBidi" w:hAnsiTheme="majorBidi" w:cstheme="majorBidi"/>
        </w:rPr>
        <w:t xml:space="preserve"> The SIP funding, on the other hand, with its very limited resources (less than 2% of the funds disbursed through the MC financial mechanism), has been able to accommodate about half of the applications received in its first three rounds and has produced a significant queue of projects recommended for possible submission to the fourth or subsequent rounds. </w:t>
      </w:r>
    </w:p>
    <w:p w14:paraId="01466F5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looking at the Convention objectives and the deadlines that the COP decided to meet in the coming years, it could be realistically expected that the financial demand from eligible countries will significantly increase, both as a consequence of the results of the enabling activities MIAs or ASGM NAP, as well as in response to the new impending challenges of the implementation (see section on </w:t>
      </w:r>
      <w:r w:rsidRPr="00361139">
        <w:rPr>
          <w:rFonts w:asciiTheme="majorBidi" w:hAnsiTheme="majorBidi" w:cstheme="majorBidi"/>
          <w:i/>
        </w:rPr>
        <w:t>The Sustainability of the Resources and the Changing Needs of Developing Countries</w:t>
      </w:r>
      <w:r w:rsidRPr="00361139">
        <w:rPr>
          <w:rFonts w:asciiTheme="majorBidi" w:hAnsiTheme="majorBidi" w:cstheme="majorBidi"/>
        </w:rPr>
        <w:t>). The recently started GEF-8 cycle and SIP fourth round will be both, in their different areas and measures of impact, two important tests for the sustainability of the MC financial mechanism and for the ability of the entities entrusted to operationalize the mechanism, to address the changing needs of developing country Parties and Parties with economies in transition.</w:t>
      </w:r>
    </w:p>
    <w:p w14:paraId="062A05B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terms of guidance to the entities comprising the MC financial mechanism, it is reasonable, </w:t>
      </w:r>
      <w:proofErr w:type="gramStart"/>
      <w:r w:rsidRPr="00361139">
        <w:rPr>
          <w:rFonts w:asciiTheme="majorBidi" w:hAnsiTheme="majorBidi" w:cstheme="majorBidi"/>
        </w:rPr>
        <w:t>on the basis of</w:t>
      </w:r>
      <w:proofErr w:type="gramEnd"/>
      <w:r w:rsidRPr="00361139">
        <w:rPr>
          <w:rFonts w:asciiTheme="majorBidi" w:hAnsiTheme="majorBidi" w:cstheme="majorBidi"/>
        </w:rPr>
        <w:t xml:space="preserve"> the findings of this review, to consider that it is possible to increase the efficiency of the mechanism by providing a more detailed guidance, in line with the objectives and the deadlines already set by the Minamata Convention and its COP decisions</w:t>
      </w:r>
      <w:r w:rsidRPr="00361139">
        <w:rPr>
          <w:rStyle w:val="FootnoteReference"/>
          <w:rFonts w:asciiTheme="majorBidi" w:eastAsia="SimSun" w:hAnsiTheme="majorBidi" w:cstheme="majorBidi"/>
        </w:rPr>
        <w:footnoteReference w:id="59"/>
      </w:r>
      <w:r w:rsidRPr="00361139">
        <w:rPr>
          <w:rFonts w:asciiTheme="majorBidi" w:hAnsiTheme="majorBidi" w:cstheme="majorBidi"/>
        </w:rPr>
        <w:t>.</w:t>
      </w:r>
    </w:p>
    <w:p w14:paraId="152B192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The GEF projects implemented in the period under review have impacted on many different areas, but it has been largely recognized that more structured programs (</w:t>
      </w:r>
      <w:proofErr w:type="gramStart"/>
      <w:r w:rsidRPr="00361139">
        <w:rPr>
          <w:rFonts w:asciiTheme="majorBidi" w:hAnsiTheme="majorBidi" w:cstheme="majorBidi"/>
        </w:rPr>
        <w:t>e.g.</w:t>
      </w:r>
      <w:proofErr w:type="gramEnd"/>
      <w:r w:rsidRPr="00361139">
        <w:rPr>
          <w:rFonts w:asciiTheme="majorBidi" w:hAnsiTheme="majorBidi" w:cstheme="majorBidi"/>
        </w:rPr>
        <w:t xml:space="preserve"> the GEF interventions in the ASGM Sector or the ISLANDS program) have provided more important synergies, capacity building and technology transfer to the participating countries than other projects independently implemented by single countries. The obvious reason of this difference is that the </w:t>
      </w:r>
      <w:proofErr w:type="gramStart"/>
      <w:r w:rsidRPr="00361139">
        <w:rPr>
          <w:rFonts w:asciiTheme="majorBidi" w:hAnsiTheme="majorBidi" w:cstheme="majorBidi"/>
        </w:rPr>
        <w:t>so called</w:t>
      </w:r>
      <w:proofErr w:type="gramEnd"/>
      <w:r w:rsidRPr="00361139">
        <w:rPr>
          <w:rFonts w:asciiTheme="majorBidi" w:hAnsiTheme="majorBidi" w:cstheme="majorBidi"/>
        </w:rPr>
        <w:t xml:space="preserve"> global </w:t>
      </w:r>
      <w:r w:rsidRPr="00361139">
        <w:rPr>
          <w:rFonts w:asciiTheme="majorBidi" w:hAnsiTheme="majorBidi" w:cstheme="majorBidi"/>
          <w:i/>
        </w:rPr>
        <w:t xml:space="preserve">hub projects </w:t>
      </w:r>
      <w:r w:rsidRPr="00361139">
        <w:rPr>
          <w:rFonts w:asciiTheme="majorBidi" w:hAnsiTheme="majorBidi" w:cstheme="majorBidi"/>
        </w:rPr>
        <w:t xml:space="preserve">(and the related larger impact of different groups of stakeholders on these projects through these hubs) have promoted collaboration and learning between </w:t>
      </w:r>
      <w:r w:rsidRPr="00361139">
        <w:rPr>
          <w:rFonts w:asciiTheme="majorBidi" w:hAnsiTheme="majorBidi" w:cstheme="majorBidi"/>
          <w:i/>
        </w:rPr>
        <w:t>child projects</w:t>
      </w:r>
      <w:r w:rsidRPr="00361139">
        <w:rPr>
          <w:rFonts w:asciiTheme="majorBidi" w:hAnsiTheme="majorBidi" w:cstheme="majorBidi"/>
        </w:rPr>
        <w:t xml:space="preserve"> at a level that it is very difficult to be reached by more traditional types of projects managed on a smaller scale of activities. </w:t>
      </w:r>
    </w:p>
    <w:p w14:paraId="3170A4F3"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additional step of favouring a comprehensive and synergistic approach to the Convention objectives could be extremely important, in terms of economy of scale, in refining the global approach of all MC Parties to the implementation of the Convention and, accordingly, in guiding the GEF to offer more timely and structured </w:t>
      </w:r>
      <w:r w:rsidRPr="00361139">
        <w:rPr>
          <w:rFonts w:asciiTheme="majorBidi" w:hAnsiTheme="majorBidi" w:cstheme="majorBidi"/>
          <w:i/>
        </w:rPr>
        <w:t>hub projects</w:t>
      </w:r>
      <w:r w:rsidRPr="00361139">
        <w:rPr>
          <w:rFonts w:asciiTheme="majorBidi" w:hAnsiTheme="majorBidi" w:cstheme="majorBidi"/>
        </w:rPr>
        <w:t xml:space="preserve"> targeting the most urgent areas of action for the implementation of the Convention, such as: waste, storage, products, trade, emissions, releases, health, etc.</w:t>
      </w:r>
    </w:p>
    <w:p w14:paraId="4974C631"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Still in terms of economy of scale, it is important to consider the results of the current GEF effort to achieve Global Environmental Benefits (GEBs) by associating mercury-related projects to other focal areas (e.g. </w:t>
      </w:r>
      <w:proofErr w:type="spellStart"/>
      <w:r w:rsidRPr="00361139">
        <w:rPr>
          <w:rFonts w:asciiTheme="majorBidi" w:hAnsiTheme="majorBidi" w:cstheme="majorBidi"/>
        </w:rPr>
        <w:t>PlanetGOLD</w:t>
      </w:r>
      <w:proofErr w:type="spellEnd"/>
      <w:r w:rsidRPr="00361139">
        <w:rPr>
          <w:rFonts w:asciiTheme="majorBidi" w:hAnsiTheme="majorBidi" w:cstheme="majorBidi"/>
        </w:rPr>
        <w:t>+ program and the Mexico primary mercury project both have GEBs associated with the land degradation focal area, while earlier projects, not funded through the chemicals and waste areas, in some occasion addressed the ASGM initiative with complete or partial funding from the international waters focal area</w:t>
      </w:r>
      <w:r w:rsidRPr="00361139">
        <w:rPr>
          <w:rStyle w:val="FootnoteReference"/>
          <w:rFonts w:asciiTheme="majorBidi" w:eastAsia="SimSun" w:hAnsiTheme="majorBidi" w:cstheme="majorBidi"/>
        </w:rPr>
        <w:footnoteReference w:id="60"/>
      </w:r>
      <w:r w:rsidRPr="00361139">
        <w:rPr>
          <w:rFonts w:asciiTheme="majorBidi" w:hAnsiTheme="majorBidi" w:cstheme="majorBidi"/>
        </w:rPr>
        <w:t xml:space="preserve">). </w:t>
      </w:r>
      <w:proofErr w:type="gramStart"/>
      <w:r w:rsidRPr="00361139">
        <w:rPr>
          <w:rFonts w:asciiTheme="majorBidi" w:hAnsiTheme="majorBidi" w:cstheme="majorBidi"/>
        </w:rPr>
        <w:t>Similarly</w:t>
      </w:r>
      <w:proofErr w:type="gramEnd"/>
      <w:r w:rsidRPr="00361139">
        <w:rPr>
          <w:rFonts w:asciiTheme="majorBidi" w:hAnsiTheme="majorBidi" w:cstheme="majorBidi"/>
        </w:rPr>
        <w:t xml:space="preserve"> it would be possible considering the association of activities aimed at reducing mercury-related emissions and releases with the climate change, international waters, and/or land degradation areas. </w:t>
      </w:r>
    </w:p>
    <w:p w14:paraId="1FE40F88"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While the GEF has already moved in a direction of multifocal area with an integrated approach, a specific guidance by the COP in the same direction, and in line with the objectives and the deadlines of the Convention, could help the GEF and the implementing agencies to better deal with the specific needs of the Convention by offering, to the eligible countries, even better opportunities for regional and south-south cooperation, as well as increased capacity building and technology transfer, while working toward the implementation of the Convention. </w:t>
      </w:r>
    </w:p>
    <w:p w14:paraId="0B34A40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different approach is suggested for the SIP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maintain its efficient approach in supporting capacity-building and technical assistance. What has been more appreciated by the recipient countries of this alternative and innovative programme is its flexibility and ease of access and implementation, compared to the heavier and more complex procedures of accessing GEF funding. It has been noted that the limitations in the SIP project funds make these projects mostly unfit to deal </w:t>
      </w:r>
      <w:r w:rsidRPr="00361139">
        <w:rPr>
          <w:rFonts w:asciiTheme="majorBidi" w:hAnsiTheme="majorBidi" w:cstheme="majorBidi"/>
        </w:rPr>
        <w:lastRenderedPageBreak/>
        <w:t xml:space="preserve">with any type of structural intervention on the field; on the other hand, they are considered efficient in dealing with capacity building on national needs and have helped to produce, within governmental agencies, important advancement in the preparation of new national legislation, guidelines, training activities and other </w:t>
      </w:r>
      <w:r w:rsidRPr="00361139">
        <w:rPr>
          <w:rFonts w:asciiTheme="majorBidi" w:hAnsiTheme="majorBidi" w:cstheme="majorBidi"/>
          <w:i/>
        </w:rPr>
        <w:t>ad hoc</w:t>
      </w:r>
      <w:r w:rsidRPr="00361139">
        <w:rPr>
          <w:rFonts w:asciiTheme="majorBidi" w:hAnsiTheme="majorBidi" w:cstheme="majorBidi"/>
        </w:rPr>
        <w:t xml:space="preserve"> national initiatives which could have been more difficult to address, possibly with the same momentum, through GEF funding and the intermediation of implementing agencies. </w:t>
      </w:r>
    </w:p>
    <w:p w14:paraId="7D868A25"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As also indicated by most of the suggestions received, the findings of this review suggest that the SIP should continue to play an important role in funding all those </w:t>
      </w:r>
      <w:r w:rsidRPr="00361139">
        <w:rPr>
          <w:rFonts w:asciiTheme="majorBidi" w:hAnsiTheme="majorBidi" w:cstheme="majorBidi"/>
          <w:i/>
        </w:rPr>
        <w:t>ad hoc</w:t>
      </w:r>
      <w:r w:rsidRPr="00361139">
        <w:rPr>
          <w:rFonts w:asciiTheme="majorBidi" w:hAnsiTheme="majorBidi" w:cstheme="majorBidi"/>
        </w:rPr>
        <w:t xml:space="preserve"> activities needed by some Parties for aligning their priorities to those of the other Parties of the Convention in facing the main challenges of its implementation. Should the COP decide to update the GEF guidance to focus, more specifically, on structural and targeted intervention, the SIP could continue to play an important role in providing a small but necessary buffer of funds to deal with specific national needs in terms of capacity-building and technical assistance. </w:t>
      </w:r>
    </w:p>
    <w:p w14:paraId="2D6E9E36" w14:textId="16CF5C88"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 xml:space="preserve">A third and last conclusion of this review is that </w:t>
      </w:r>
      <w:r w:rsidRPr="00361139">
        <w:rPr>
          <w:rFonts w:asciiTheme="majorBidi" w:hAnsiTheme="majorBidi" w:cstheme="majorBidi"/>
          <w:i/>
        </w:rPr>
        <w:t>a higher level of definition in the monitoring and reporting of the activities funded through the MC financial mechanism could greatly increase its efficiency</w:t>
      </w:r>
      <w:r w:rsidRPr="00361139">
        <w:rPr>
          <w:rFonts w:asciiTheme="majorBidi" w:hAnsiTheme="majorBidi" w:cstheme="majorBidi"/>
        </w:rPr>
        <w:t xml:space="preserve">. </w:t>
      </w:r>
      <w:proofErr w:type="gramStart"/>
      <w:r w:rsidRPr="00361139">
        <w:rPr>
          <w:rFonts w:asciiTheme="majorBidi" w:hAnsiTheme="majorBidi" w:cstheme="majorBidi"/>
        </w:rPr>
        <w:t>In particular, some</w:t>
      </w:r>
      <w:proofErr w:type="gramEnd"/>
      <w:r w:rsidRPr="00361139">
        <w:rPr>
          <w:rFonts w:asciiTheme="majorBidi" w:hAnsiTheme="majorBidi" w:cstheme="majorBidi"/>
        </w:rPr>
        <w:t xml:space="preserve"> relatively small improvements in this area could greatly facilitate the understanding of the global progress in the implementation of the Convention and, accordingly, the identification of the corrective measures to adopt, when necessary, to ensure better and more efficient results. </w:t>
      </w:r>
    </w:p>
    <w:p w14:paraId="07B83F55" w14:textId="77777777"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 xml:space="preserve">A first measure suggested, in following up this last conclusion, is the development of a </w:t>
      </w:r>
      <w:r w:rsidRPr="00361139">
        <w:rPr>
          <w:rFonts w:asciiTheme="majorBidi" w:hAnsiTheme="majorBidi" w:cstheme="majorBidi"/>
          <w:i/>
        </w:rPr>
        <w:t>larger standard set of mercury indicators</w:t>
      </w:r>
      <w:r w:rsidRPr="00361139">
        <w:rPr>
          <w:rFonts w:asciiTheme="majorBidi" w:hAnsiTheme="majorBidi" w:cstheme="majorBidi"/>
        </w:rPr>
        <w:t xml:space="preserve">, consistent with the Convention objectives, which might be used in the future reporting of all new projects funded under the MC financial mechanism, and possibly extended to all Parties through the format of the national report required by Art. 21. The introduction of new indicators could also be extended to a </w:t>
      </w:r>
      <w:r w:rsidRPr="00361139">
        <w:rPr>
          <w:rFonts w:asciiTheme="majorBidi" w:hAnsiTheme="majorBidi" w:cstheme="majorBidi"/>
          <w:i/>
        </w:rPr>
        <w:t>subset of GEF specific mercury indicators,</w:t>
      </w:r>
      <w:r w:rsidRPr="00361139">
        <w:rPr>
          <w:rFonts w:asciiTheme="majorBidi" w:hAnsiTheme="majorBidi" w:cstheme="majorBidi"/>
        </w:rPr>
        <w:t xml:space="preserve"> to be discussed with the GEF Secretariat, under its sub-indicator 9.2 on </w:t>
      </w:r>
      <w:r w:rsidRPr="00361139">
        <w:rPr>
          <w:rFonts w:asciiTheme="majorBidi" w:hAnsiTheme="majorBidi" w:cstheme="majorBidi"/>
          <w:i/>
        </w:rPr>
        <w:t xml:space="preserve">quantity of mercury reduced </w:t>
      </w:r>
      <w:r w:rsidRPr="00361139">
        <w:rPr>
          <w:rFonts w:asciiTheme="majorBidi" w:hAnsiTheme="majorBidi" w:cstheme="majorBidi"/>
        </w:rPr>
        <w:t xml:space="preserve">(e.g. on quantity of mercury-added products reduced, quantity of waste, emissions, releases, etc.), together with the split of sub-indicator 9.6 (on </w:t>
      </w:r>
      <w:r w:rsidRPr="00361139">
        <w:rPr>
          <w:rFonts w:asciiTheme="majorBidi" w:hAnsiTheme="majorBidi" w:cstheme="majorBidi"/>
          <w:i/>
        </w:rPr>
        <w:t>POPs/Mercury containing materials and products directly avoided)</w:t>
      </w:r>
      <w:r w:rsidRPr="00361139">
        <w:rPr>
          <w:rFonts w:asciiTheme="majorBidi" w:hAnsiTheme="majorBidi" w:cstheme="majorBidi"/>
        </w:rPr>
        <w:t xml:space="preserve"> into two different sub-categories of </w:t>
      </w:r>
      <w:r w:rsidRPr="00361139">
        <w:rPr>
          <w:rFonts w:asciiTheme="majorBidi" w:hAnsiTheme="majorBidi" w:cstheme="majorBidi"/>
          <w:i/>
        </w:rPr>
        <w:t>POPs</w:t>
      </w:r>
      <w:r w:rsidRPr="00361139">
        <w:rPr>
          <w:rFonts w:asciiTheme="majorBidi" w:hAnsiTheme="majorBidi" w:cstheme="majorBidi"/>
        </w:rPr>
        <w:t xml:space="preserve"> and </w:t>
      </w:r>
      <w:r w:rsidRPr="00361139">
        <w:rPr>
          <w:rFonts w:asciiTheme="majorBidi" w:hAnsiTheme="majorBidi" w:cstheme="majorBidi"/>
          <w:i/>
        </w:rPr>
        <w:t>mercury-added products</w:t>
      </w:r>
      <w:r w:rsidRPr="00361139">
        <w:rPr>
          <w:rFonts w:asciiTheme="majorBidi" w:hAnsiTheme="majorBidi" w:cstheme="majorBidi"/>
        </w:rPr>
        <w:t>.</w:t>
      </w:r>
    </w:p>
    <w:p w14:paraId="42625ED2" w14:textId="77777777"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A new set of indicators, specific for all mercury-related projects, might greatly help in monitoring all Parties progresses toward the Convention objectives and, in the larger context of the GEF moving in direction of multifocal areas and integrated approaches, to compare results even when the activities are not fully funded under the chemical and waste area.</w:t>
      </w:r>
    </w:p>
    <w:p w14:paraId="52DC67F1" w14:textId="1A31F3E4"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 more detailed level of reporting could also be used by GEF and SIP about the process of approval of new projects as per guidance, as well as for reporting to the COP about the system of weights and criteria used in the assignation and/or prioritization of projects, including relevant information on the rejection of project proposals. This information is, generally, already shared with applicant countries, but could also benefit the COP and its reviewing mechanism to better understand problems and needs of the applicant countries. An overall periodic reporting on applications received, projects funded, problems </w:t>
      </w:r>
      <w:proofErr w:type="gramStart"/>
      <w:r w:rsidRPr="00361139">
        <w:rPr>
          <w:rFonts w:asciiTheme="majorBidi" w:hAnsiTheme="majorBidi" w:cstheme="majorBidi"/>
        </w:rPr>
        <w:t>addressed</w:t>
      </w:r>
      <w:proofErr w:type="gramEnd"/>
      <w:r w:rsidRPr="00361139">
        <w:rPr>
          <w:rFonts w:asciiTheme="majorBidi" w:hAnsiTheme="majorBidi" w:cstheme="majorBidi"/>
        </w:rPr>
        <w:t xml:space="preserve"> and project results could also be used, as a communication tool, by the MC Secretariat, in launching, possibly in partnership with other stakeholder groups, a SIP resource mobilization strategy with a view to attracting a broader range of donors.</w:t>
      </w:r>
      <w:r w:rsidR="00334B82" w:rsidRPr="00361139">
        <w:rPr>
          <w:rFonts w:asciiTheme="majorBidi" w:hAnsiTheme="majorBidi" w:cstheme="majorBidi"/>
        </w:rPr>
        <w:t xml:space="preserve"> </w:t>
      </w:r>
    </w:p>
    <w:p w14:paraId="6C8C7798" w14:textId="24609E88" w:rsidR="00CC73DD" w:rsidRPr="00361139" w:rsidRDefault="00CC73DD" w:rsidP="000C76AC">
      <w:pPr>
        <w:pStyle w:val="Normalnumber"/>
        <w:numPr>
          <w:ilvl w:val="0"/>
          <w:numId w:val="9"/>
        </w:numPr>
        <w:rPr>
          <w:rFonts w:asciiTheme="majorBidi" w:hAnsiTheme="majorBidi" w:cstheme="majorBidi"/>
          <w:color w:val="000000"/>
        </w:rPr>
      </w:pPr>
      <w:r w:rsidRPr="00361139">
        <w:rPr>
          <w:rFonts w:asciiTheme="majorBidi" w:hAnsiTheme="majorBidi" w:cstheme="majorBidi"/>
        </w:rPr>
        <w:t xml:space="preserve">An additional measure, directly suggested by the undertakings of this review, is a </w:t>
      </w:r>
      <w:r w:rsidRPr="00361139">
        <w:rPr>
          <w:rFonts w:asciiTheme="majorBidi" w:hAnsiTheme="majorBidi" w:cstheme="majorBidi"/>
          <w:i/>
        </w:rPr>
        <w:t xml:space="preserve">better synchronization between the periodic reviews of the MC financial mechanism and the GEF cycles. </w:t>
      </w:r>
      <w:r w:rsidRPr="00361139">
        <w:rPr>
          <w:rFonts w:asciiTheme="majorBidi" w:hAnsiTheme="majorBidi" w:cstheme="majorBidi"/>
        </w:rPr>
        <w:t>The present review was requested to cover the activities of the MC financial mechanism starting from a cut-off date (August 2019) that was not related to the project cycles and this resulted in the analysis of only a part of the GEF-6 funded projects and of mostly unfinished GEF-7 funded projects. A different focus, in this case on all MC-related final project reports of the GEF-6 cycle and all the approved MC</w:t>
      </w:r>
      <w:r w:rsidR="00D579DE" w:rsidRPr="00361139">
        <w:noBreakHyphen/>
      </w:r>
      <w:r w:rsidRPr="00361139">
        <w:rPr>
          <w:rFonts w:asciiTheme="majorBidi" w:hAnsiTheme="majorBidi" w:cstheme="majorBidi"/>
        </w:rPr>
        <w:t xml:space="preserve">related project documents of the GEF-7 cycle, would probably have allowed the review to deal with more homogeneous data-sets, gain better input in terms of documentation and analysis, and more consistently comparing, in terms of efficiency and effectiveness, the project results with the rationale of their design. </w:t>
      </w:r>
    </w:p>
    <w:p w14:paraId="63D4E36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In brief, the findings of this review confirm that the financial mechanism of the Minamata Convention has been quite effective in the period under review and suggest that the COP could increase its efficiency by providing a more defined guidance, to the entities entrusted to its operationalization. Among other things, the new guidance should address: a further differentiation of the operational targets of the two entities comprising the mechanism; an even better alignment of the funded activities with the Convention objectives and deadlines; and a further improvement of the overall system of monitoring and reporting on the activities of the two entities, aligned with the priorities and the objectives of the Convention. </w:t>
      </w:r>
    </w:p>
    <w:p w14:paraId="7924B085" w14:textId="1BCFC501" w:rsidR="00CC73DD" w:rsidRPr="00361139" w:rsidRDefault="00334B82" w:rsidP="00FE7E56">
      <w:pPr>
        <w:pStyle w:val="CH2"/>
        <w:rPr>
          <w:lang w:val="en-GB"/>
        </w:rPr>
      </w:pPr>
      <w:bookmarkStart w:id="295" w:name="_Toc138845694"/>
      <w:bookmarkStart w:id="296" w:name="_Toc138845749"/>
      <w:bookmarkStart w:id="297" w:name="_Toc138847838"/>
      <w:r w:rsidRPr="00361139">
        <w:rPr>
          <w:lang w:val="en-GB"/>
        </w:rPr>
        <w:lastRenderedPageBreak/>
        <w:tab/>
      </w:r>
      <w:r w:rsidRPr="00361139">
        <w:rPr>
          <w:lang w:val="en-GB"/>
        </w:rPr>
        <w:tab/>
      </w:r>
      <w:bookmarkStart w:id="298" w:name="_Toc139975473"/>
      <w:bookmarkStart w:id="299" w:name="_Toc139976234"/>
      <w:bookmarkStart w:id="300" w:name="_Toc139982249"/>
      <w:bookmarkStart w:id="301" w:name="_Toc139983961"/>
      <w:bookmarkStart w:id="302" w:name="_Toc139984202"/>
      <w:r w:rsidR="00CC73DD" w:rsidRPr="00361139">
        <w:rPr>
          <w:lang w:val="en-GB"/>
        </w:rPr>
        <w:t xml:space="preserve">Lessons </w:t>
      </w:r>
      <w:proofErr w:type="gramStart"/>
      <w:r w:rsidR="00CC73DD" w:rsidRPr="00361139">
        <w:rPr>
          <w:lang w:val="en-GB"/>
        </w:rPr>
        <w:t>learned</w:t>
      </w:r>
      <w:bookmarkEnd w:id="295"/>
      <w:bookmarkEnd w:id="296"/>
      <w:bookmarkEnd w:id="297"/>
      <w:bookmarkEnd w:id="298"/>
      <w:bookmarkEnd w:id="299"/>
      <w:bookmarkEnd w:id="300"/>
      <w:bookmarkEnd w:id="301"/>
      <w:bookmarkEnd w:id="302"/>
      <w:proofErr w:type="gramEnd"/>
    </w:p>
    <w:p w14:paraId="0F94D0C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Most of the activities funded by the MC financial mechanism, in the period under review, are currently under implementation and it is still quite early to draw lessons from their results. On the other hand, there are some important lessons learned during the preparation and implementation phases which are worth to be mentioned.</w:t>
      </w:r>
    </w:p>
    <w:tbl>
      <w:tblPr>
        <w:tblStyle w:val="TableGrid"/>
        <w:tblW w:w="8217" w:type="dxa"/>
        <w:jc w:val="right"/>
        <w:tblLayout w:type="fixed"/>
        <w:tblLook w:val="04A0" w:firstRow="1" w:lastRow="0" w:firstColumn="1" w:lastColumn="0" w:noHBand="0" w:noVBand="1"/>
      </w:tblPr>
      <w:tblGrid>
        <w:gridCol w:w="1962"/>
        <w:gridCol w:w="6255"/>
      </w:tblGrid>
      <w:tr w:rsidR="00CC73DD" w:rsidRPr="00361139" w14:paraId="0C8B87C2" w14:textId="77777777" w:rsidTr="006A78C4">
        <w:trPr>
          <w:trHeight w:val="57"/>
          <w:jc w:val="right"/>
        </w:trPr>
        <w:tc>
          <w:tcPr>
            <w:tcW w:w="1962" w:type="dxa"/>
          </w:tcPr>
          <w:p w14:paraId="43E4C24F" w14:textId="77777777" w:rsidR="00CC73DD" w:rsidRPr="00361139" w:rsidRDefault="00CC73DD" w:rsidP="00334B82">
            <w:pPr>
              <w:pStyle w:val="Normal-pool-Table"/>
              <w:rPr>
                <w:b/>
                <w:bCs/>
                <w:lang w:val="en-GB"/>
              </w:rPr>
            </w:pPr>
            <w:r w:rsidRPr="00361139">
              <w:rPr>
                <w:rFonts w:asciiTheme="majorBidi" w:hAnsiTheme="majorBidi" w:cstheme="majorBidi"/>
                <w:b/>
                <w:bCs/>
                <w:szCs w:val="18"/>
                <w:lang w:val="en-GB"/>
              </w:rPr>
              <w:br w:type="page"/>
            </w:r>
            <w:r w:rsidRPr="00361139">
              <w:rPr>
                <w:rFonts w:asciiTheme="majorBidi" w:hAnsiTheme="majorBidi" w:cstheme="majorBidi"/>
                <w:b/>
                <w:bCs/>
                <w:szCs w:val="18"/>
                <w:lang w:val="en-GB"/>
              </w:rPr>
              <w:br w:type="page"/>
            </w:r>
            <w:r w:rsidRPr="00361139">
              <w:rPr>
                <w:b/>
                <w:bCs/>
                <w:lang w:val="en-GB"/>
              </w:rPr>
              <w:t>Lesson Learned #1:</w:t>
            </w:r>
          </w:p>
        </w:tc>
        <w:tc>
          <w:tcPr>
            <w:tcW w:w="6255" w:type="dxa"/>
          </w:tcPr>
          <w:p w14:paraId="39FF2718" w14:textId="77777777" w:rsidR="00CC73DD" w:rsidRPr="00361139" w:rsidRDefault="00CC73DD" w:rsidP="00334B82">
            <w:pPr>
              <w:pStyle w:val="Normal-pool-Table"/>
              <w:rPr>
                <w:lang w:val="en-GB"/>
              </w:rPr>
            </w:pPr>
            <w:r w:rsidRPr="00361139">
              <w:rPr>
                <w:i/>
                <w:lang w:val="en-GB"/>
              </w:rPr>
              <w:t>A dedicated team makes the difference between an activity and a successful one.</w:t>
            </w:r>
          </w:p>
        </w:tc>
      </w:tr>
      <w:tr w:rsidR="00CC73DD" w:rsidRPr="00361139" w14:paraId="791CDC63" w14:textId="77777777" w:rsidTr="006A78C4">
        <w:trPr>
          <w:trHeight w:val="57"/>
          <w:jc w:val="right"/>
        </w:trPr>
        <w:tc>
          <w:tcPr>
            <w:tcW w:w="1962" w:type="dxa"/>
          </w:tcPr>
          <w:p w14:paraId="5FE3CE41" w14:textId="77777777" w:rsidR="00CC73DD" w:rsidRPr="00361139" w:rsidRDefault="00CC73DD" w:rsidP="00334B82">
            <w:pPr>
              <w:pStyle w:val="Normal-pool-Table"/>
              <w:rPr>
                <w:b/>
                <w:bCs/>
                <w:lang w:val="en-GB"/>
              </w:rPr>
            </w:pPr>
            <w:r w:rsidRPr="00361139">
              <w:rPr>
                <w:b/>
                <w:bCs/>
                <w:lang w:val="en-GB"/>
              </w:rPr>
              <w:t>Context/comment:</w:t>
            </w:r>
          </w:p>
        </w:tc>
        <w:tc>
          <w:tcPr>
            <w:tcW w:w="6255" w:type="dxa"/>
          </w:tcPr>
          <w:p w14:paraId="416C76F8" w14:textId="77777777" w:rsidR="00CC73DD" w:rsidRPr="00361139" w:rsidRDefault="00CC73DD" w:rsidP="00334B82">
            <w:pPr>
              <w:pStyle w:val="Normal-pool-Table"/>
              <w:rPr>
                <w:lang w:val="en-GB"/>
              </w:rPr>
            </w:pPr>
            <w:r w:rsidRPr="00361139">
              <w:rPr>
                <w:lang w:val="en-GB"/>
              </w:rPr>
              <w:t xml:space="preserve">This is to say that the support and availability of committed teams, such as the MC Secretariat, the GEF Secretariat and the UNEP Global Mercury Partnership (GMP), have been </w:t>
            </w:r>
            <w:proofErr w:type="spellStart"/>
            <w:r w:rsidRPr="00361139">
              <w:rPr>
                <w:lang w:val="en-GB"/>
              </w:rPr>
              <w:t>catalyzing</w:t>
            </w:r>
            <w:proofErr w:type="spellEnd"/>
            <w:r w:rsidRPr="00361139">
              <w:rPr>
                <w:lang w:val="en-GB"/>
              </w:rPr>
              <w:t xml:space="preserve"> important resources in terms of knowledge and coordination which resulted in significant assets for the implementation of many projects. </w:t>
            </w:r>
          </w:p>
        </w:tc>
      </w:tr>
      <w:tr w:rsidR="00CC73DD" w:rsidRPr="00361139" w14:paraId="1C45C89F" w14:textId="77777777" w:rsidTr="006A78C4">
        <w:trPr>
          <w:trHeight w:val="57"/>
          <w:jc w:val="right"/>
        </w:trPr>
        <w:tc>
          <w:tcPr>
            <w:tcW w:w="8217" w:type="dxa"/>
            <w:gridSpan w:val="2"/>
          </w:tcPr>
          <w:p w14:paraId="633FA910" w14:textId="77777777" w:rsidR="00CC73DD" w:rsidRPr="00361139" w:rsidRDefault="00CC73DD" w:rsidP="00334B82">
            <w:pPr>
              <w:pStyle w:val="Normal-pool-Table"/>
              <w:rPr>
                <w:b/>
                <w:bCs/>
                <w:lang w:val="en-GB"/>
              </w:rPr>
            </w:pPr>
          </w:p>
        </w:tc>
      </w:tr>
      <w:tr w:rsidR="00CC73DD" w:rsidRPr="00361139" w14:paraId="04E74C32" w14:textId="77777777" w:rsidTr="006A78C4">
        <w:trPr>
          <w:trHeight w:val="57"/>
          <w:jc w:val="right"/>
        </w:trPr>
        <w:tc>
          <w:tcPr>
            <w:tcW w:w="1962" w:type="dxa"/>
          </w:tcPr>
          <w:p w14:paraId="3C2E2E44" w14:textId="77777777" w:rsidR="00CC73DD" w:rsidRPr="00361139" w:rsidRDefault="00CC73DD" w:rsidP="00334B82">
            <w:pPr>
              <w:pStyle w:val="Normal-pool-Table"/>
              <w:rPr>
                <w:b/>
                <w:bCs/>
                <w:lang w:val="en-GB"/>
              </w:rPr>
            </w:pPr>
            <w:r w:rsidRPr="00361139">
              <w:rPr>
                <w:b/>
                <w:bCs/>
                <w:lang w:val="en-GB"/>
              </w:rPr>
              <w:t>Lesson Learned #2:</w:t>
            </w:r>
          </w:p>
        </w:tc>
        <w:tc>
          <w:tcPr>
            <w:tcW w:w="6255" w:type="dxa"/>
          </w:tcPr>
          <w:p w14:paraId="52B1AA83" w14:textId="77777777" w:rsidR="00CC73DD" w:rsidRPr="00361139" w:rsidRDefault="00CC73DD" w:rsidP="00334B82">
            <w:pPr>
              <w:pStyle w:val="Normal-pool-Table"/>
              <w:rPr>
                <w:lang w:val="en-GB"/>
              </w:rPr>
            </w:pPr>
            <w:r w:rsidRPr="00361139">
              <w:rPr>
                <w:i/>
                <w:lang w:val="en-GB"/>
              </w:rPr>
              <w:t>South-South cooperation is an important source of investments into promoting green economies.</w:t>
            </w:r>
          </w:p>
        </w:tc>
      </w:tr>
      <w:tr w:rsidR="00CC73DD" w:rsidRPr="00361139" w14:paraId="6A1316B1" w14:textId="77777777" w:rsidTr="006A78C4">
        <w:trPr>
          <w:trHeight w:val="57"/>
          <w:jc w:val="right"/>
        </w:trPr>
        <w:tc>
          <w:tcPr>
            <w:tcW w:w="1962" w:type="dxa"/>
          </w:tcPr>
          <w:p w14:paraId="3862BD28" w14:textId="77777777" w:rsidR="00CC73DD" w:rsidRPr="00361139" w:rsidRDefault="00CC73DD" w:rsidP="00334B82">
            <w:pPr>
              <w:pStyle w:val="Normal-pool-Table"/>
              <w:rPr>
                <w:b/>
                <w:bCs/>
                <w:lang w:val="en-GB"/>
              </w:rPr>
            </w:pPr>
            <w:r w:rsidRPr="00361139">
              <w:rPr>
                <w:b/>
                <w:bCs/>
                <w:lang w:val="en-GB"/>
              </w:rPr>
              <w:t>Context/comment:</w:t>
            </w:r>
          </w:p>
        </w:tc>
        <w:tc>
          <w:tcPr>
            <w:tcW w:w="6255" w:type="dxa"/>
          </w:tcPr>
          <w:p w14:paraId="3EFF7AB4" w14:textId="77777777" w:rsidR="00CC73DD" w:rsidRPr="00361139" w:rsidRDefault="00CC73DD" w:rsidP="00334B82">
            <w:pPr>
              <w:pStyle w:val="Normal-pool-Table"/>
              <w:rPr>
                <w:lang w:val="en-GB"/>
              </w:rPr>
            </w:pPr>
            <w:r w:rsidRPr="00361139">
              <w:rPr>
                <w:lang w:val="en-GB"/>
              </w:rPr>
              <w:t xml:space="preserve">GEF funded regional and global programs, such as </w:t>
            </w:r>
            <w:proofErr w:type="spellStart"/>
            <w:r w:rsidRPr="00361139">
              <w:rPr>
                <w:lang w:val="en-GB"/>
              </w:rPr>
              <w:t>PlanetGOLD</w:t>
            </w:r>
            <w:proofErr w:type="spellEnd"/>
            <w:r w:rsidRPr="00361139">
              <w:rPr>
                <w:lang w:val="en-GB"/>
              </w:rPr>
              <w:t xml:space="preserve"> and ISLANDS, demonstrated that structured activities programs greatly favour collaboration and learning among</w:t>
            </w:r>
            <w:r w:rsidRPr="00361139">
              <w:rPr>
                <w:i/>
                <w:lang w:val="en-GB"/>
              </w:rPr>
              <w:t xml:space="preserve"> child</w:t>
            </w:r>
            <w:r w:rsidRPr="00361139">
              <w:rPr>
                <w:lang w:val="en-GB"/>
              </w:rPr>
              <w:t xml:space="preserve"> projects and encourage important synergies, often unreachable by traditional types of projects managed on a smaller scale of activities.</w:t>
            </w:r>
          </w:p>
        </w:tc>
      </w:tr>
      <w:tr w:rsidR="00CC73DD" w:rsidRPr="00361139" w14:paraId="1E021869" w14:textId="77777777" w:rsidTr="006A78C4">
        <w:trPr>
          <w:trHeight w:val="57"/>
          <w:jc w:val="right"/>
        </w:trPr>
        <w:tc>
          <w:tcPr>
            <w:tcW w:w="8217" w:type="dxa"/>
            <w:gridSpan w:val="2"/>
          </w:tcPr>
          <w:p w14:paraId="795A7331" w14:textId="77777777" w:rsidR="00CC73DD" w:rsidRPr="00361139" w:rsidRDefault="00CC73DD" w:rsidP="00334B82">
            <w:pPr>
              <w:pStyle w:val="Normal-pool-Table"/>
              <w:rPr>
                <w:b/>
                <w:bCs/>
                <w:lang w:val="en-GB"/>
              </w:rPr>
            </w:pPr>
          </w:p>
        </w:tc>
      </w:tr>
      <w:tr w:rsidR="00CC73DD" w:rsidRPr="00361139" w14:paraId="7A4E76AA" w14:textId="77777777" w:rsidTr="006A78C4">
        <w:trPr>
          <w:trHeight w:val="57"/>
          <w:jc w:val="right"/>
        </w:trPr>
        <w:tc>
          <w:tcPr>
            <w:tcW w:w="1962" w:type="dxa"/>
          </w:tcPr>
          <w:p w14:paraId="516F467D" w14:textId="77777777" w:rsidR="00CC73DD" w:rsidRPr="00361139" w:rsidRDefault="00CC73DD" w:rsidP="00334B82">
            <w:pPr>
              <w:pStyle w:val="Normal-pool-Table"/>
              <w:rPr>
                <w:b/>
                <w:bCs/>
                <w:lang w:val="en-GB"/>
              </w:rPr>
            </w:pPr>
            <w:r w:rsidRPr="00361139">
              <w:rPr>
                <w:b/>
                <w:bCs/>
                <w:lang w:val="en-GB"/>
              </w:rPr>
              <w:t>Lesson Learned #3:</w:t>
            </w:r>
          </w:p>
        </w:tc>
        <w:tc>
          <w:tcPr>
            <w:tcW w:w="6255" w:type="dxa"/>
          </w:tcPr>
          <w:p w14:paraId="34F01B27" w14:textId="77777777" w:rsidR="00CC73DD" w:rsidRPr="00361139" w:rsidRDefault="00CC73DD" w:rsidP="00334B82">
            <w:pPr>
              <w:pStyle w:val="Normal-pool-Table"/>
              <w:rPr>
                <w:lang w:val="en-GB"/>
              </w:rPr>
            </w:pPr>
            <w:r w:rsidRPr="00361139">
              <w:rPr>
                <w:i/>
                <w:lang w:val="en-GB"/>
              </w:rPr>
              <w:t>Co-financing is an essential and effective component of the interventions funded by the MC financial mechanism.</w:t>
            </w:r>
          </w:p>
        </w:tc>
      </w:tr>
      <w:tr w:rsidR="00CC73DD" w:rsidRPr="00361139" w14:paraId="340214A9" w14:textId="77777777" w:rsidTr="006A78C4">
        <w:trPr>
          <w:trHeight w:val="57"/>
          <w:jc w:val="right"/>
        </w:trPr>
        <w:tc>
          <w:tcPr>
            <w:tcW w:w="1962" w:type="dxa"/>
          </w:tcPr>
          <w:p w14:paraId="2F2B4D3F" w14:textId="77777777" w:rsidR="00CC73DD" w:rsidRPr="00361139" w:rsidRDefault="00CC73DD" w:rsidP="00334B82">
            <w:pPr>
              <w:pStyle w:val="Normal-pool-Table"/>
              <w:rPr>
                <w:b/>
                <w:bCs/>
                <w:lang w:val="en-GB"/>
              </w:rPr>
            </w:pPr>
            <w:r w:rsidRPr="00361139">
              <w:rPr>
                <w:b/>
                <w:bCs/>
                <w:lang w:val="en-GB"/>
              </w:rPr>
              <w:t>Context/comment:</w:t>
            </w:r>
          </w:p>
        </w:tc>
        <w:tc>
          <w:tcPr>
            <w:tcW w:w="6255" w:type="dxa"/>
          </w:tcPr>
          <w:p w14:paraId="2B3F3C89" w14:textId="77777777" w:rsidR="00CC73DD" w:rsidRPr="00361139" w:rsidRDefault="00CC73DD" w:rsidP="00334B82">
            <w:pPr>
              <w:pStyle w:val="Normal-pool-Table"/>
              <w:rPr>
                <w:lang w:val="en-GB"/>
              </w:rPr>
            </w:pPr>
            <w:r w:rsidRPr="00361139">
              <w:rPr>
                <w:lang w:val="en-GB"/>
              </w:rPr>
              <w:t xml:space="preserve">The impressive rate of co-financing in the projects under review (6.8/1 ratio between the co-financing of GEF projects and the GEF funding) has proved very effective in both the larger assets made available to the project activities and the number and quality of the </w:t>
            </w:r>
            <w:proofErr w:type="gramStart"/>
            <w:r w:rsidRPr="00361139">
              <w:rPr>
                <w:lang w:val="en-GB"/>
              </w:rPr>
              <w:t>stakeholders</w:t>
            </w:r>
            <w:proofErr w:type="gramEnd"/>
            <w:r w:rsidRPr="00361139">
              <w:rPr>
                <w:lang w:val="en-GB"/>
              </w:rPr>
              <w:t xml:space="preserve"> participation (and the consequent higher level of country ownership) to the activities funded by the MC financial mechanism.</w:t>
            </w:r>
          </w:p>
        </w:tc>
      </w:tr>
      <w:tr w:rsidR="00CC73DD" w:rsidRPr="00361139" w14:paraId="6902CAC4" w14:textId="77777777" w:rsidTr="006A78C4">
        <w:trPr>
          <w:trHeight w:val="57"/>
          <w:jc w:val="right"/>
        </w:trPr>
        <w:tc>
          <w:tcPr>
            <w:tcW w:w="8217" w:type="dxa"/>
            <w:gridSpan w:val="2"/>
          </w:tcPr>
          <w:p w14:paraId="4EDF5669" w14:textId="77777777" w:rsidR="00CC73DD" w:rsidRPr="00361139" w:rsidRDefault="00CC73DD" w:rsidP="00334B82">
            <w:pPr>
              <w:pStyle w:val="Normal-pool-Table"/>
              <w:rPr>
                <w:b/>
                <w:bCs/>
                <w:lang w:val="en-GB"/>
              </w:rPr>
            </w:pPr>
          </w:p>
        </w:tc>
      </w:tr>
      <w:tr w:rsidR="00CC73DD" w:rsidRPr="00361139" w14:paraId="0BE1B696" w14:textId="77777777" w:rsidTr="006A78C4">
        <w:trPr>
          <w:trHeight w:val="57"/>
          <w:jc w:val="right"/>
        </w:trPr>
        <w:tc>
          <w:tcPr>
            <w:tcW w:w="1962" w:type="dxa"/>
          </w:tcPr>
          <w:p w14:paraId="2B29AC21" w14:textId="77777777" w:rsidR="00CC73DD" w:rsidRPr="00361139" w:rsidRDefault="00CC73DD" w:rsidP="00334B82">
            <w:pPr>
              <w:pStyle w:val="Normal-pool-Table"/>
              <w:rPr>
                <w:b/>
                <w:bCs/>
                <w:lang w:val="en-GB"/>
              </w:rPr>
            </w:pPr>
            <w:r w:rsidRPr="00361139">
              <w:rPr>
                <w:b/>
                <w:bCs/>
                <w:lang w:val="en-GB"/>
              </w:rPr>
              <w:t>Lesson Learned #4:</w:t>
            </w:r>
          </w:p>
        </w:tc>
        <w:tc>
          <w:tcPr>
            <w:tcW w:w="6255" w:type="dxa"/>
          </w:tcPr>
          <w:p w14:paraId="78BD292E" w14:textId="77777777" w:rsidR="00CC73DD" w:rsidRPr="00361139" w:rsidRDefault="00CC73DD" w:rsidP="00334B82">
            <w:pPr>
              <w:pStyle w:val="Normal-pool-Table"/>
              <w:rPr>
                <w:lang w:val="en-GB"/>
              </w:rPr>
            </w:pPr>
            <w:r w:rsidRPr="00361139">
              <w:rPr>
                <w:i/>
                <w:lang w:val="en-GB"/>
              </w:rPr>
              <w:t>National Focal Points of the Convention are often subject to a high turnover and, when appointed, should be assisted with fast-learning tools to better approach the Convention and its financial mechanism.</w:t>
            </w:r>
          </w:p>
        </w:tc>
      </w:tr>
      <w:tr w:rsidR="00CC73DD" w:rsidRPr="00361139" w14:paraId="769092BF" w14:textId="77777777" w:rsidTr="006A78C4">
        <w:trPr>
          <w:trHeight w:val="57"/>
          <w:jc w:val="right"/>
        </w:trPr>
        <w:tc>
          <w:tcPr>
            <w:tcW w:w="1962" w:type="dxa"/>
          </w:tcPr>
          <w:p w14:paraId="6D26491E" w14:textId="77777777" w:rsidR="00CC73DD" w:rsidRPr="00361139" w:rsidRDefault="00CC73DD" w:rsidP="00334B82">
            <w:pPr>
              <w:pStyle w:val="Normal-pool-Table"/>
              <w:rPr>
                <w:b/>
                <w:bCs/>
                <w:lang w:val="en-GB"/>
              </w:rPr>
            </w:pPr>
            <w:r w:rsidRPr="00361139">
              <w:rPr>
                <w:b/>
                <w:bCs/>
                <w:lang w:val="en-GB"/>
              </w:rPr>
              <w:t>Context/comment:</w:t>
            </w:r>
          </w:p>
        </w:tc>
        <w:tc>
          <w:tcPr>
            <w:tcW w:w="6255" w:type="dxa"/>
          </w:tcPr>
          <w:p w14:paraId="70CFFFAD" w14:textId="77777777" w:rsidR="00CC73DD" w:rsidRPr="00361139" w:rsidRDefault="00CC73DD" w:rsidP="00334B82">
            <w:pPr>
              <w:pStyle w:val="Normal-pool-Table"/>
              <w:rPr>
                <w:lang w:val="en-GB"/>
              </w:rPr>
            </w:pPr>
            <w:r w:rsidRPr="00361139">
              <w:rPr>
                <w:lang w:val="en-GB"/>
              </w:rPr>
              <w:t xml:space="preserve">This lesson has come from multiple sources during this review </w:t>
            </w:r>
            <w:proofErr w:type="gramStart"/>
            <w:r w:rsidRPr="00361139">
              <w:rPr>
                <w:lang w:val="en-GB"/>
              </w:rPr>
              <w:t>and also</w:t>
            </w:r>
            <w:proofErr w:type="gramEnd"/>
            <w:r w:rsidRPr="00361139">
              <w:rPr>
                <w:lang w:val="en-GB"/>
              </w:rPr>
              <w:t xml:space="preserve"> extends to the needs of training activities on how to submit an application to the MC financial mechanism or directed to the persons in charge of designing a project compatible with the standards requested by the two entities entrusted to its operationalization.</w:t>
            </w:r>
          </w:p>
        </w:tc>
      </w:tr>
    </w:tbl>
    <w:p w14:paraId="235A8FD1" w14:textId="4A0EA3D0" w:rsidR="00CC73DD" w:rsidRPr="00361139" w:rsidRDefault="00AE2CE9" w:rsidP="00FE7E56">
      <w:pPr>
        <w:pStyle w:val="CH2"/>
        <w:rPr>
          <w:lang w:val="en-GB"/>
        </w:rPr>
      </w:pPr>
      <w:bookmarkStart w:id="303" w:name="_Toc138845695"/>
      <w:bookmarkStart w:id="304" w:name="_Toc138845750"/>
      <w:bookmarkStart w:id="305" w:name="_Toc138847839"/>
      <w:r w:rsidRPr="00361139">
        <w:rPr>
          <w:lang w:val="en-GB"/>
        </w:rPr>
        <w:tab/>
      </w:r>
      <w:r w:rsidRPr="00361139">
        <w:rPr>
          <w:lang w:val="en-GB"/>
        </w:rPr>
        <w:tab/>
      </w:r>
      <w:bookmarkStart w:id="306" w:name="_Toc139975474"/>
      <w:bookmarkStart w:id="307" w:name="_Toc139976235"/>
      <w:bookmarkStart w:id="308" w:name="_Toc139982250"/>
      <w:bookmarkStart w:id="309" w:name="_Toc139983962"/>
      <w:bookmarkStart w:id="310" w:name="_Toc139984203"/>
      <w:r w:rsidR="00CC73DD" w:rsidRPr="00361139">
        <w:rPr>
          <w:lang w:val="en-GB"/>
        </w:rPr>
        <w:t>Recommendations</w:t>
      </w:r>
      <w:bookmarkEnd w:id="303"/>
      <w:bookmarkEnd w:id="304"/>
      <w:bookmarkEnd w:id="305"/>
      <w:bookmarkEnd w:id="306"/>
      <w:bookmarkEnd w:id="307"/>
      <w:bookmarkEnd w:id="308"/>
      <w:bookmarkEnd w:id="309"/>
      <w:bookmarkEnd w:id="310"/>
    </w:p>
    <w:p w14:paraId="644C0417"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As pointed out in the conclusions above, it is suggested that the COP could improve the efficiency and the </w:t>
      </w:r>
      <w:r w:rsidRPr="00361139">
        <w:t>effectiveness</w:t>
      </w:r>
      <w:r w:rsidRPr="00361139">
        <w:rPr>
          <w:rFonts w:asciiTheme="majorBidi" w:hAnsiTheme="majorBidi" w:cstheme="majorBidi"/>
        </w:rPr>
        <w:t xml:space="preserve"> of the MC financial mechanism in meeting the objective of the Convention, by considering the following recommendations.</w:t>
      </w:r>
    </w:p>
    <w:tbl>
      <w:tblPr>
        <w:tblStyle w:val="TableGrid"/>
        <w:tblW w:w="8307" w:type="dxa"/>
        <w:jc w:val="right"/>
        <w:tblLayout w:type="fixed"/>
        <w:tblLook w:val="04A0" w:firstRow="1" w:lastRow="0" w:firstColumn="1" w:lastColumn="0" w:noHBand="0" w:noVBand="1"/>
      </w:tblPr>
      <w:tblGrid>
        <w:gridCol w:w="2495"/>
        <w:gridCol w:w="5812"/>
      </w:tblGrid>
      <w:tr w:rsidR="00CC73DD" w:rsidRPr="00361139" w14:paraId="391F6D3F" w14:textId="77777777" w:rsidTr="006534F8">
        <w:trPr>
          <w:trHeight w:val="57"/>
          <w:jc w:val="right"/>
        </w:trPr>
        <w:tc>
          <w:tcPr>
            <w:tcW w:w="2552" w:type="dxa"/>
          </w:tcPr>
          <w:p w14:paraId="5345C4EA" w14:textId="77777777" w:rsidR="00CC73DD" w:rsidRPr="00361139" w:rsidRDefault="00CC73DD" w:rsidP="006534F8">
            <w:pPr>
              <w:pStyle w:val="Normal-pool-Table"/>
              <w:rPr>
                <w:rFonts w:asciiTheme="majorBidi" w:hAnsiTheme="majorBidi" w:cstheme="majorBidi"/>
                <w:b/>
                <w:bCs/>
                <w:szCs w:val="18"/>
                <w:lang w:val="en-GB"/>
              </w:rPr>
            </w:pPr>
            <w:r w:rsidRPr="00361139">
              <w:rPr>
                <w:b/>
                <w:bCs/>
                <w:lang w:val="en-GB"/>
              </w:rPr>
              <w:t>Recommendation #1:</w:t>
            </w:r>
          </w:p>
        </w:tc>
        <w:tc>
          <w:tcPr>
            <w:tcW w:w="5952" w:type="dxa"/>
          </w:tcPr>
          <w:p w14:paraId="36A027B0" w14:textId="77777777" w:rsidR="00CC73DD" w:rsidRPr="00361139" w:rsidRDefault="00CC73DD" w:rsidP="006534F8">
            <w:pPr>
              <w:pStyle w:val="Normal-pool-Table"/>
              <w:rPr>
                <w:lang w:val="en-GB"/>
              </w:rPr>
            </w:pPr>
            <w:r w:rsidRPr="00361139">
              <w:rPr>
                <w:lang w:val="en-GB"/>
              </w:rPr>
              <w:t xml:space="preserve">Providing a more defined guidance, to the entities entrusted to operationalize the MC financial mechanism </w:t>
            </w:r>
            <w:r w:rsidRPr="00361139">
              <w:rPr>
                <w:i/>
                <w:lang w:val="en-GB"/>
              </w:rPr>
              <w:t>(recommendations 4-11 below include suggestions to this purpose)</w:t>
            </w:r>
            <w:r w:rsidRPr="00361139">
              <w:rPr>
                <w:lang w:val="en-GB"/>
              </w:rPr>
              <w:t>.</w:t>
            </w:r>
          </w:p>
        </w:tc>
      </w:tr>
      <w:tr w:rsidR="00CC73DD" w:rsidRPr="00361139" w14:paraId="1D6F55C4" w14:textId="77777777" w:rsidTr="006534F8">
        <w:trPr>
          <w:trHeight w:val="57"/>
          <w:jc w:val="right"/>
        </w:trPr>
        <w:tc>
          <w:tcPr>
            <w:tcW w:w="8504" w:type="dxa"/>
            <w:gridSpan w:val="2"/>
          </w:tcPr>
          <w:p w14:paraId="05AEC95B" w14:textId="77777777" w:rsidR="00CC73DD" w:rsidRPr="00361139" w:rsidRDefault="00CC73DD" w:rsidP="006534F8">
            <w:pPr>
              <w:pStyle w:val="Normal-pool-Table"/>
              <w:rPr>
                <w:b/>
                <w:bCs/>
                <w:lang w:val="en-GB"/>
              </w:rPr>
            </w:pPr>
          </w:p>
        </w:tc>
      </w:tr>
      <w:tr w:rsidR="00CC73DD" w:rsidRPr="00361139" w14:paraId="48D3EDAA" w14:textId="77777777" w:rsidTr="006534F8">
        <w:trPr>
          <w:trHeight w:val="57"/>
          <w:jc w:val="right"/>
        </w:trPr>
        <w:tc>
          <w:tcPr>
            <w:tcW w:w="2552" w:type="dxa"/>
          </w:tcPr>
          <w:p w14:paraId="533A1266"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#2:</w:t>
            </w:r>
          </w:p>
        </w:tc>
        <w:tc>
          <w:tcPr>
            <w:tcW w:w="5952" w:type="dxa"/>
          </w:tcPr>
          <w:p w14:paraId="75E0B6DB" w14:textId="77777777" w:rsidR="00CC73DD" w:rsidRPr="00361139" w:rsidRDefault="00CC73DD" w:rsidP="006534F8">
            <w:pPr>
              <w:pStyle w:val="Normal-pool-Table"/>
              <w:rPr>
                <w:lang w:val="en-GB"/>
              </w:rPr>
            </w:pPr>
            <w:r w:rsidRPr="00361139">
              <w:rPr>
                <w:lang w:val="en-GB"/>
              </w:rPr>
              <w:t xml:space="preserve">Developing a </w:t>
            </w:r>
            <w:r w:rsidRPr="00361139">
              <w:rPr>
                <w:i/>
                <w:lang w:val="en-GB"/>
              </w:rPr>
              <w:t>larger standard set of mercury-related indicators</w:t>
            </w:r>
            <w:r w:rsidRPr="00361139">
              <w:rPr>
                <w:lang w:val="en-GB"/>
              </w:rPr>
              <w:t>, consistent with the Convention objectives, which might be used in the reporting of all new projects funded under the MC financial mechanism and possibly extended to all Parties through the format of the national report required by Article 21.</w:t>
            </w:r>
          </w:p>
        </w:tc>
      </w:tr>
      <w:tr w:rsidR="00CC73DD" w:rsidRPr="00361139" w14:paraId="1E0B0EEA" w14:textId="77777777" w:rsidTr="006534F8">
        <w:trPr>
          <w:trHeight w:val="57"/>
          <w:jc w:val="right"/>
        </w:trPr>
        <w:tc>
          <w:tcPr>
            <w:tcW w:w="8504" w:type="dxa"/>
            <w:gridSpan w:val="2"/>
          </w:tcPr>
          <w:p w14:paraId="05516136" w14:textId="77777777" w:rsidR="00CC73DD" w:rsidRPr="00361139" w:rsidRDefault="00CC73DD" w:rsidP="006534F8">
            <w:pPr>
              <w:pStyle w:val="Normal-pool-Table"/>
              <w:rPr>
                <w:b/>
                <w:bCs/>
                <w:lang w:val="en-GB"/>
              </w:rPr>
            </w:pPr>
          </w:p>
        </w:tc>
      </w:tr>
      <w:tr w:rsidR="00CC73DD" w:rsidRPr="00361139" w14:paraId="029FA686" w14:textId="77777777" w:rsidTr="006534F8">
        <w:trPr>
          <w:trHeight w:val="57"/>
          <w:jc w:val="right"/>
        </w:trPr>
        <w:tc>
          <w:tcPr>
            <w:tcW w:w="2552" w:type="dxa"/>
          </w:tcPr>
          <w:p w14:paraId="2947E6A0"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#3:</w:t>
            </w:r>
          </w:p>
        </w:tc>
        <w:tc>
          <w:tcPr>
            <w:tcW w:w="5952" w:type="dxa"/>
          </w:tcPr>
          <w:p w14:paraId="466743C5" w14:textId="77777777" w:rsidR="00CC73DD" w:rsidRPr="00361139" w:rsidRDefault="00CC73DD" w:rsidP="006534F8">
            <w:pPr>
              <w:pStyle w:val="Normal-pool-Table"/>
              <w:rPr>
                <w:lang w:val="en-GB"/>
              </w:rPr>
            </w:pPr>
            <w:r w:rsidRPr="00361139">
              <w:rPr>
                <w:lang w:val="en-GB"/>
              </w:rPr>
              <w:t xml:space="preserve">Planning future reviews of the financial mechanism with a view to achieve better synchronization with the GEF replenishment cycles and with a focus to </w:t>
            </w:r>
            <w:proofErr w:type="spellStart"/>
            <w:r w:rsidRPr="00361139">
              <w:rPr>
                <w:lang w:val="en-GB"/>
              </w:rPr>
              <w:t>analyze</w:t>
            </w:r>
            <w:proofErr w:type="spellEnd"/>
            <w:r w:rsidRPr="00361139">
              <w:rPr>
                <w:lang w:val="en-GB"/>
              </w:rPr>
              <w:t xml:space="preserve"> all final reports of a closing cycle and all the approved project documents of the following one. </w:t>
            </w:r>
          </w:p>
        </w:tc>
      </w:tr>
      <w:tr w:rsidR="00CC73DD" w:rsidRPr="00361139" w14:paraId="1C2DDBB7" w14:textId="77777777" w:rsidTr="006534F8">
        <w:trPr>
          <w:trHeight w:val="57"/>
          <w:jc w:val="right"/>
        </w:trPr>
        <w:tc>
          <w:tcPr>
            <w:tcW w:w="8504" w:type="dxa"/>
            <w:gridSpan w:val="2"/>
          </w:tcPr>
          <w:p w14:paraId="41C420DF" w14:textId="77777777" w:rsidR="00CC73DD" w:rsidRPr="00361139" w:rsidRDefault="00CC73DD" w:rsidP="006534F8">
            <w:pPr>
              <w:pStyle w:val="Normal-pool-Table"/>
              <w:rPr>
                <w:b/>
                <w:bCs/>
                <w:lang w:val="en-GB"/>
              </w:rPr>
            </w:pPr>
          </w:p>
        </w:tc>
      </w:tr>
      <w:tr w:rsidR="00CC73DD" w:rsidRPr="00361139" w14:paraId="419DC78E" w14:textId="77777777" w:rsidTr="006534F8">
        <w:trPr>
          <w:trHeight w:val="57"/>
          <w:jc w:val="right"/>
        </w:trPr>
        <w:tc>
          <w:tcPr>
            <w:tcW w:w="2552" w:type="dxa"/>
          </w:tcPr>
          <w:p w14:paraId="2652B7A6"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#4:</w:t>
            </w:r>
          </w:p>
        </w:tc>
        <w:tc>
          <w:tcPr>
            <w:tcW w:w="5952" w:type="dxa"/>
          </w:tcPr>
          <w:p w14:paraId="4E5C2FAC" w14:textId="77777777" w:rsidR="00CC73DD" w:rsidRPr="00361139" w:rsidRDefault="00CC73DD" w:rsidP="006534F8">
            <w:pPr>
              <w:pStyle w:val="Normal-pool-Table"/>
              <w:rPr>
                <w:lang w:val="en-GB"/>
              </w:rPr>
            </w:pPr>
            <w:r w:rsidRPr="00361139">
              <w:rPr>
                <w:lang w:val="en-GB"/>
              </w:rPr>
              <w:t xml:space="preserve">Request the GEF to prioritize the funding of coordinated regional and global activities targeting specific objectives of the Minamata Convention, such as the reduction of mercury in waste, storage, products, trade, emissions, </w:t>
            </w:r>
            <w:r w:rsidRPr="00361139">
              <w:rPr>
                <w:lang w:val="en-GB"/>
              </w:rPr>
              <w:lastRenderedPageBreak/>
              <w:t>releases, etc., and in line with the priorities and the deadlines set by COP decisions.</w:t>
            </w:r>
          </w:p>
        </w:tc>
      </w:tr>
      <w:tr w:rsidR="00CC73DD" w:rsidRPr="00361139" w14:paraId="003B4E86" w14:textId="77777777" w:rsidTr="006534F8">
        <w:trPr>
          <w:trHeight w:val="57"/>
          <w:jc w:val="right"/>
        </w:trPr>
        <w:tc>
          <w:tcPr>
            <w:tcW w:w="8504" w:type="dxa"/>
            <w:gridSpan w:val="2"/>
          </w:tcPr>
          <w:p w14:paraId="5CFD65E8" w14:textId="77777777" w:rsidR="00CC73DD" w:rsidRPr="00361139" w:rsidRDefault="00CC73DD" w:rsidP="006534F8">
            <w:pPr>
              <w:pStyle w:val="Normal-pool-Table"/>
              <w:rPr>
                <w:lang w:val="en-GB"/>
              </w:rPr>
            </w:pPr>
          </w:p>
        </w:tc>
      </w:tr>
      <w:tr w:rsidR="00CC73DD" w:rsidRPr="00361139" w14:paraId="3D508C0C" w14:textId="77777777" w:rsidTr="006534F8">
        <w:trPr>
          <w:trHeight w:val="57"/>
          <w:jc w:val="right"/>
        </w:trPr>
        <w:tc>
          <w:tcPr>
            <w:tcW w:w="2552" w:type="dxa"/>
          </w:tcPr>
          <w:p w14:paraId="7E402AF7"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#5:</w:t>
            </w:r>
          </w:p>
        </w:tc>
        <w:tc>
          <w:tcPr>
            <w:tcW w:w="5952" w:type="dxa"/>
          </w:tcPr>
          <w:p w14:paraId="7EBD4016" w14:textId="77777777" w:rsidR="00CC73DD" w:rsidRPr="00361139" w:rsidRDefault="00CC73DD" w:rsidP="006534F8">
            <w:pPr>
              <w:pStyle w:val="Normal-pool-Table"/>
              <w:rPr>
                <w:lang w:val="en-GB"/>
              </w:rPr>
            </w:pPr>
            <w:r w:rsidRPr="00361139">
              <w:rPr>
                <w:lang w:val="en-GB"/>
              </w:rPr>
              <w:t xml:space="preserve">Request the GEF to provide, through its implementing agencies and in collaboration with stakeholder groups, global components for the coordination of the regional and global activities of the funded projects, acting as </w:t>
            </w:r>
            <w:r w:rsidRPr="00361139">
              <w:rPr>
                <w:i/>
                <w:lang w:val="en-GB"/>
              </w:rPr>
              <w:t>knowledge hubs</w:t>
            </w:r>
            <w:r w:rsidRPr="00361139">
              <w:rPr>
                <w:lang w:val="en-GB"/>
              </w:rPr>
              <w:t xml:space="preserve"> developing and disseminating knowledge products, including tools, guidance, methodologies, and training materials; and favouring experts interchange and consultation at the regional level.</w:t>
            </w:r>
          </w:p>
        </w:tc>
      </w:tr>
      <w:tr w:rsidR="00CC73DD" w:rsidRPr="00361139" w14:paraId="28579639" w14:textId="77777777" w:rsidTr="006534F8">
        <w:trPr>
          <w:trHeight w:val="57"/>
          <w:jc w:val="right"/>
        </w:trPr>
        <w:tc>
          <w:tcPr>
            <w:tcW w:w="8504" w:type="dxa"/>
            <w:gridSpan w:val="2"/>
          </w:tcPr>
          <w:p w14:paraId="56196C2B" w14:textId="77777777" w:rsidR="00CC73DD" w:rsidRPr="00361139" w:rsidRDefault="00CC73DD" w:rsidP="006534F8">
            <w:pPr>
              <w:pStyle w:val="Normal-pool-Table"/>
              <w:rPr>
                <w:b/>
                <w:bCs/>
                <w:lang w:val="en-GB"/>
              </w:rPr>
            </w:pPr>
          </w:p>
        </w:tc>
      </w:tr>
      <w:tr w:rsidR="00CC73DD" w:rsidRPr="00361139" w14:paraId="39B2C8DA" w14:textId="77777777" w:rsidTr="006534F8">
        <w:trPr>
          <w:trHeight w:val="57"/>
          <w:jc w:val="right"/>
        </w:trPr>
        <w:tc>
          <w:tcPr>
            <w:tcW w:w="2552" w:type="dxa"/>
          </w:tcPr>
          <w:p w14:paraId="432AD210"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#6:</w:t>
            </w:r>
          </w:p>
        </w:tc>
        <w:tc>
          <w:tcPr>
            <w:tcW w:w="5952" w:type="dxa"/>
          </w:tcPr>
          <w:p w14:paraId="5CC982FB" w14:textId="77777777" w:rsidR="00CC73DD" w:rsidRPr="00361139" w:rsidRDefault="00CC73DD" w:rsidP="006534F8">
            <w:pPr>
              <w:pStyle w:val="Normal-pool-Table"/>
              <w:rPr>
                <w:lang w:val="en-GB"/>
              </w:rPr>
            </w:pPr>
            <w:r w:rsidRPr="00361139">
              <w:rPr>
                <w:lang w:val="en-GB"/>
              </w:rPr>
              <w:t>Request the GEF, GEF agencies, and Parties in their applications to the GEF to introduce, to a feasible extent, mercury-related project components in multifocal area projects, with objectives related to those of the Convention and the intent to produce synergisms and economies of scale.</w:t>
            </w:r>
          </w:p>
        </w:tc>
      </w:tr>
      <w:tr w:rsidR="00CC73DD" w:rsidRPr="00361139" w14:paraId="3CC481D1" w14:textId="77777777" w:rsidTr="006534F8">
        <w:trPr>
          <w:trHeight w:val="57"/>
          <w:jc w:val="right"/>
        </w:trPr>
        <w:tc>
          <w:tcPr>
            <w:tcW w:w="8504" w:type="dxa"/>
            <w:gridSpan w:val="2"/>
          </w:tcPr>
          <w:p w14:paraId="1AD01BBA" w14:textId="77777777" w:rsidR="00CC73DD" w:rsidRPr="00361139" w:rsidRDefault="00CC73DD" w:rsidP="006534F8">
            <w:pPr>
              <w:pStyle w:val="Normal-pool-Table"/>
              <w:rPr>
                <w:b/>
                <w:bCs/>
                <w:lang w:val="en-GB"/>
              </w:rPr>
            </w:pPr>
          </w:p>
        </w:tc>
      </w:tr>
      <w:tr w:rsidR="00CC73DD" w:rsidRPr="00361139" w14:paraId="48E55BCF" w14:textId="77777777" w:rsidTr="006534F8">
        <w:trPr>
          <w:trHeight w:val="57"/>
          <w:jc w:val="right"/>
        </w:trPr>
        <w:tc>
          <w:tcPr>
            <w:tcW w:w="2552" w:type="dxa"/>
          </w:tcPr>
          <w:p w14:paraId="59B50132"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#7:</w:t>
            </w:r>
          </w:p>
        </w:tc>
        <w:tc>
          <w:tcPr>
            <w:tcW w:w="5952" w:type="dxa"/>
          </w:tcPr>
          <w:p w14:paraId="0FFBC5F1" w14:textId="69A8FBCF" w:rsidR="00CC73DD" w:rsidRPr="00361139" w:rsidRDefault="00CC73DD" w:rsidP="006534F8">
            <w:pPr>
              <w:pStyle w:val="Normal-pool-Table"/>
              <w:rPr>
                <w:lang w:val="en-GB"/>
              </w:rPr>
            </w:pPr>
            <w:r w:rsidRPr="00361139">
              <w:rPr>
                <w:lang w:val="en-GB"/>
              </w:rPr>
              <w:t xml:space="preserve">Request the GEF to introduce, in its </w:t>
            </w:r>
            <w:r w:rsidRPr="00361139">
              <w:rPr>
                <w:i/>
                <w:lang w:val="en-GB"/>
              </w:rPr>
              <w:t xml:space="preserve">result framework, </w:t>
            </w:r>
            <w:r w:rsidRPr="00361139">
              <w:rPr>
                <w:lang w:val="en-GB"/>
              </w:rPr>
              <w:t>new mercury-related sub-indicators; in particular, new sub-indicators about quantity of mercury reduced by GEF funded activities for mercury-added products, mercury wastes, emissions, releases, etc. (under sub-indicator 9.2) and mercury</w:t>
            </w:r>
            <w:r w:rsidR="00D579DE" w:rsidRPr="00361139">
              <w:rPr>
                <w:lang w:val="en-GB"/>
              </w:rPr>
              <w:noBreakHyphen/>
            </w:r>
            <w:r w:rsidRPr="00361139">
              <w:rPr>
                <w:lang w:val="en-GB"/>
              </w:rPr>
              <w:t>containing materials and products directly avoided (under sub</w:t>
            </w:r>
            <w:r w:rsidR="008F3D8D" w:rsidRPr="00361139">
              <w:rPr>
                <w:lang w:val="en-GB"/>
              </w:rPr>
              <w:noBreakHyphen/>
            </w:r>
            <w:r w:rsidRPr="00361139">
              <w:rPr>
                <w:lang w:val="en-GB"/>
              </w:rPr>
              <w:t>indicator 9.6).</w:t>
            </w:r>
          </w:p>
        </w:tc>
      </w:tr>
      <w:tr w:rsidR="00CC73DD" w:rsidRPr="00361139" w14:paraId="70B25A71" w14:textId="77777777" w:rsidTr="006534F8">
        <w:trPr>
          <w:trHeight w:val="57"/>
          <w:jc w:val="right"/>
        </w:trPr>
        <w:tc>
          <w:tcPr>
            <w:tcW w:w="8504" w:type="dxa"/>
            <w:gridSpan w:val="2"/>
          </w:tcPr>
          <w:p w14:paraId="21FFE2F3" w14:textId="77777777" w:rsidR="00CC73DD" w:rsidRPr="00361139" w:rsidRDefault="00CC73DD" w:rsidP="006534F8">
            <w:pPr>
              <w:pStyle w:val="Normal-pool-Table"/>
              <w:rPr>
                <w:b/>
                <w:bCs/>
                <w:lang w:val="en-GB"/>
              </w:rPr>
            </w:pPr>
          </w:p>
        </w:tc>
      </w:tr>
      <w:tr w:rsidR="00CC73DD" w:rsidRPr="00361139" w14:paraId="3C52081F" w14:textId="77777777" w:rsidTr="006534F8">
        <w:trPr>
          <w:trHeight w:val="57"/>
          <w:jc w:val="right"/>
        </w:trPr>
        <w:tc>
          <w:tcPr>
            <w:tcW w:w="2552" w:type="dxa"/>
          </w:tcPr>
          <w:p w14:paraId="05449CE9"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#8:</w:t>
            </w:r>
          </w:p>
        </w:tc>
        <w:tc>
          <w:tcPr>
            <w:tcW w:w="5952" w:type="dxa"/>
          </w:tcPr>
          <w:p w14:paraId="344453DD" w14:textId="26F5BA02" w:rsidR="00CC73DD" w:rsidRPr="00361139" w:rsidRDefault="00CC73DD" w:rsidP="006534F8">
            <w:pPr>
              <w:pStyle w:val="Normal-pool-Table"/>
              <w:rPr>
                <w:lang w:val="en-GB"/>
              </w:rPr>
            </w:pPr>
            <w:r w:rsidRPr="00361139">
              <w:rPr>
                <w:lang w:val="en-GB"/>
              </w:rPr>
              <w:t>Request the SIP Governing Board to prioritize the funding for the capacity building of governmental agencies in developing or enhancing mercury</w:t>
            </w:r>
            <w:r w:rsidR="008F3D8D" w:rsidRPr="00361139">
              <w:rPr>
                <w:lang w:val="en-GB"/>
              </w:rPr>
              <w:noBreakHyphen/>
            </w:r>
            <w:r w:rsidRPr="00361139">
              <w:rPr>
                <w:lang w:val="en-GB"/>
              </w:rPr>
              <w:t xml:space="preserve">related national legislation and guidelines </w:t>
            </w:r>
            <w:proofErr w:type="gramStart"/>
            <w:r w:rsidRPr="00361139">
              <w:rPr>
                <w:lang w:val="en-GB"/>
              </w:rPr>
              <w:t>in order to</w:t>
            </w:r>
            <w:proofErr w:type="gramEnd"/>
            <w:r w:rsidRPr="00361139">
              <w:rPr>
                <w:lang w:val="en-GB"/>
              </w:rPr>
              <w:t xml:space="preserve"> align recipient Parties priorities to those of the other Parties of the Convention in facing the main challenges of its implementation.</w:t>
            </w:r>
          </w:p>
        </w:tc>
      </w:tr>
      <w:tr w:rsidR="00CC73DD" w:rsidRPr="00361139" w14:paraId="6DB8A090" w14:textId="77777777" w:rsidTr="006534F8">
        <w:trPr>
          <w:trHeight w:val="57"/>
          <w:jc w:val="right"/>
        </w:trPr>
        <w:tc>
          <w:tcPr>
            <w:tcW w:w="8504" w:type="dxa"/>
            <w:gridSpan w:val="2"/>
          </w:tcPr>
          <w:p w14:paraId="320E6800" w14:textId="77777777" w:rsidR="00CC73DD" w:rsidRPr="00361139" w:rsidRDefault="00CC73DD" w:rsidP="006534F8">
            <w:pPr>
              <w:pStyle w:val="Normal-pool-Table"/>
              <w:rPr>
                <w:b/>
                <w:bCs/>
                <w:lang w:val="en-GB"/>
              </w:rPr>
            </w:pPr>
          </w:p>
        </w:tc>
      </w:tr>
      <w:tr w:rsidR="00CC73DD" w:rsidRPr="00361139" w14:paraId="795EE938" w14:textId="77777777" w:rsidTr="006534F8">
        <w:trPr>
          <w:trHeight w:val="57"/>
          <w:jc w:val="right"/>
        </w:trPr>
        <w:tc>
          <w:tcPr>
            <w:tcW w:w="2552" w:type="dxa"/>
          </w:tcPr>
          <w:p w14:paraId="5EF4A8F9"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#9:</w:t>
            </w:r>
          </w:p>
        </w:tc>
        <w:tc>
          <w:tcPr>
            <w:tcW w:w="5952" w:type="dxa"/>
          </w:tcPr>
          <w:p w14:paraId="6B03519D" w14:textId="77777777" w:rsidR="00CC73DD" w:rsidRPr="00361139" w:rsidRDefault="00CC73DD" w:rsidP="006534F8">
            <w:pPr>
              <w:pStyle w:val="Normal-pool-Table"/>
              <w:rPr>
                <w:lang w:val="en-GB"/>
              </w:rPr>
            </w:pPr>
            <w:r w:rsidRPr="00361139">
              <w:rPr>
                <w:lang w:val="en-GB"/>
              </w:rPr>
              <w:t>Request the GEF and MC Secretariat, in their reports to the COP, to provide more detailed information on all project applications received and relevant information on the rejection of project proposals.</w:t>
            </w:r>
          </w:p>
        </w:tc>
      </w:tr>
      <w:tr w:rsidR="00CC73DD" w:rsidRPr="00361139" w14:paraId="53C78BEA" w14:textId="77777777" w:rsidTr="006534F8">
        <w:trPr>
          <w:trHeight w:val="57"/>
          <w:jc w:val="right"/>
        </w:trPr>
        <w:tc>
          <w:tcPr>
            <w:tcW w:w="8504" w:type="dxa"/>
            <w:gridSpan w:val="2"/>
          </w:tcPr>
          <w:p w14:paraId="49260CD8" w14:textId="77777777" w:rsidR="00CC73DD" w:rsidRPr="00361139" w:rsidRDefault="00CC73DD" w:rsidP="006534F8">
            <w:pPr>
              <w:pStyle w:val="Normal-pool-Table"/>
              <w:rPr>
                <w:b/>
                <w:bCs/>
                <w:lang w:val="en-GB"/>
              </w:rPr>
            </w:pPr>
          </w:p>
        </w:tc>
      </w:tr>
      <w:tr w:rsidR="00CC73DD" w:rsidRPr="00361139" w14:paraId="64AAC26E" w14:textId="77777777" w:rsidTr="006534F8">
        <w:trPr>
          <w:trHeight w:val="57"/>
          <w:jc w:val="right"/>
        </w:trPr>
        <w:tc>
          <w:tcPr>
            <w:tcW w:w="2552" w:type="dxa"/>
          </w:tcPr>
          <w:p w14:paraId="294F7ADB"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#10:</w:t>
            </w:r>
          </w:p>
        </w:tc>
        <w:tc>
          <w:tcPr>
            <w:tcW w:w="5952" w:type="dxa"/>
          </w:tcPr>
          <w:p w14:paraId="6928FE25" w14:textId="288BC9D8" w:rsidR="00CC73DD" w:rsidRPr="00361139" w:rsidRDefault="00CC73DD" w:rsidP="006534F8">
            <w:pPr>
              <w:pStyle w:val="Normal-pool-Table"/>
              <w:rPr>
                <w:lang w:val="en-GB"/>
              </w:rPr>
            </w:pPr>
            <w:r w:rsidRPr="00361139">
              <w:rPr>
                <w:lang w:val="en-GB"/>
              </w:rPr>
              <w:t xml:space="preserve">Request the GEF and MC Secretariat, to make further efforts in providing guidelines to their funding application in different languages and to integrate these guidelines with </w:t>
            </w:r>
            <w:r w:rsidRPr="00361139">
              <w:rPr>
                <w:i/>
                <w:lang w:val="en-GB"/>
              </w:rPr>
              <w:t>ad hoc,</w:t>
            </w:r>
            <w:r w:rsidRPr="00361139">
              <w:rPr>
                <w:lang w:val="en-GB"/>
              </w:rPr>
              <w:t xml:space="preserve"> online, multi-language tools (</w:t>
            </w:r>
            <w:proofErr w:type="gramStart"/>
            <w:r w:rsidRPr="00361139">
              <w:rPr>
                <w:lang w:val="en-GB"/>
              </w:rPr>
              <w:t>e.g.</w:t>
            </w:r>
            <w:proofErr w:type="gramEnd"/>
            <w:r w:rsidRPr="00361139">
              <w:rPr>
                <w:lang w:val="en-GB"/>
              </w:rPr>
              <w:t xml:space="preserve"> Q&amp;As, chat</w:t>
            </w:r>
            <w:r w:rsidR="008F3D8D" w:rsidRPr="00361139">
              <w:rPr>
                <w:lang w:val="en-GB"/>
              </w:rPr>
              <w:noBreakHyphen/>
            </w:r>
            <w:r w:rsidRPr="00361139">
              <w:rPr>
                <w:lang w:val="en-GB"/>
              </w:rPr>
              <w:t>box, webinars) aimed to assist developing country Parties and Parties with economies in transition in their applications to the MC financial mechanism, also taking into account the high turnover of National Focal Points.</w:t>
            </w:r>
          </w:p>
        </w:tc>
      </w:tr>
      <w:tr w:rsidR="00CC73DD" w:rsidRPr="00361139" w14:paraId="2DFF009F" w14:textId="77777777" w:rsidTr="006534F8">
        <w:trPr>
          <w:trHeight w:val="57"/>
          <w:jc w:val="right"/>
        </w:trPr>
        <w:tc>
          <w:tcPr>
            <w:tcW w:w="8504" w:type="dxa"/>
            <w:gridSpan w:val="2"/>
          </w:tcPr>
          <w:p w14:paraId="05F1F2DF" w14:textId="77777777" w:rsidR="00CC73DD" w:rsidRPr="00361139" w:rsidRDefault="00CC73DD" w:rsidP="006534F8">
            <w:pPr>
              <w:pStyle w:val="Normal-pool-Table"/>
              <w:rPr>
                <w:lang w:val="en-GB"/>
              </w:rPr>
            </w:pPr>
          </w:p>
        </w:tc>
      </w:tr>
      <w:tr w:rsidR="00CC73DD" w:rsidRPr="00361139" w14:paraId="7B8428BF" w14:textId="77777777" w:rsidTr="006534F8">
        <w:trPr>
          <w:trHeight w:val="57"/>
          <w:jc w:val="right"/>
        </w:trPr>
        <w:tc>
          <w:tcPr>
            <w:tcW w:w="2552" w:type="dxa"/>
          </w:tcPr>
          <w:p w14:paraId="2AC7A2AA" w14:textId="77777777" w:rsidR="00CC73DD" w:rsidRPr="00361139" w:rsidRDefault="00CC73DD" w:rsidP="006534F8">
            <w:pPr>
              <w:pStyle w:val="Normal-pool-Table"/>
              <w:rPr>
                <w:b/>
                <w:bCs/>
                <w:lang w:val="en-GB"/>
              </w:rPr>
            </w:pPr>
            <w:r w:rsidRPr="00361139">
              <w:rPr>
                <w:rFonts w:asciiTheme="majorBidi" w:hAnsiTheme="majorBidi" w:cstheme="majorBidi"/>
                <w:b/>
                <w:bCs/>
                <w:szCs w:val="18"/>
                <w:lang w:val="en-GB"/>
              </w:rPr>
              <w:br w:type="page"/>
            </w:r>
            <w:r w:rsidRPr="00361139">
              <w:rPr>
                <w:b/>
                <w:bCs/>
                <w:lang w:val="en-GB"/>
              </w:rPr>
              <w:t>Recommendation #11:</w:t>
            </w:r>
          </w:p>
        </w:tc>
        <w:tc>
          <w:tcPr>
            <w:tcW w:w="5952" w:type="dxa"/>
          </w:tcPr>
          <w:p w14:paraId="47B81180" w14:textId="77777777" w:rsidR="00CC73DD" w:rsidRPr="00361139" w:rsidRDefault="00CC73DD" w:rsidP="006534F8">
            <w:pPr>
              <w:pStyle w:val="Normal-pool-Table"/>
              <w:rPr>
                <w:lang w:val="en-GB"/>
              </w:rPr>
            </w:pPr>
            <w:r w:rsidRPr="00361139">
              <w:rPr>
                <w:lang w:val="en-GB"/>
              </w:rPr>
              <w:t>Request the MC Secretariat, to develop, and launch in partnership with stakeholder groups, a SIP resource mobilization strategy based on the widest sharing of information extracted from project reports, applications received, projects funded, problems addressed and project results of SIP funded activities, with a view to attracting a broader range of donors, including donors from the private sector, donor aid agencies and civil society organizations.</w:t>
            </w:r>
          </w:p>
        </w:tc>
      </w:tr>
    </w:tbl>
    <w:p w14:paraId="5D875B09" w14:textId="064905FE" w:rsidR="00401A72" w:rsidRPr="00361139" w:rsidRDefault="00401A72" w:rsidP="005B7459">
      <w:pPr>
        <w:pStyle w:val="Normal-pool"/>
        <w:rPr>
          <w:rFonts w:asciiTheme="majorBidi" w:hAnsiTheme="majorBidi" w:cstheme="majorBidi"/>
          <w:lang w:val="en-GB"/>
        </w:rPr>
      </w:pPr>
      <w:bookmarkStart w:id="311" w:name="_Toc122452727"/>
      <w:bookmarkStart w:id="312" w:name="_Toc122452904"/>
      <w:bookmarkStart w:id="313" w:name="_Toc138845696"/>
      <w:bookmarkStart w:id="314" w:name="_Toc138845751"/>
      <w:bookmarkStart w:id="315" w:name="_Toc138847840"/>
    </w:p>
    <w:p w14:paraId="3A778F6E" w14:textId="77777777" w:rsidR="00401A72" w:rsidRPr="00361139" w:rsidRDefault="00401A72" w:rsidP="00674438">
      <w:pPr>
        <w:pStyle w:val="Normal-pool"/>
        <w:rPr>
          <w:lang w:val="en-GB"/>
        </w:rPr>
      </w:pPr>
      <w:r w:rsidRPr="00361139">
        <w:rPr>
          <w:lang w:val="en-GB"/>
        </w:rPr>
        <w:br w:type="page"/>
      </w:r>
    </w:p>
    <w:p w14:paraId="0CB72BB4" w14:textId="6F8E0E64" w:rsidR="00CC73DD" w:rsidRPr="00361139" w:rsidRDefault="00401A72" w:rsidP="00401A72">
      <w:pPr>
        <w:pStyle w:val="CH1"/>
        <w:rPr>
          <w:lang w:val="en-GB"/>
        </w:rPr>
      </w:pPr>
      <w:r w:rsidRPr="00361139">
        <w:rPr>
          <w:lang w:val="en-GB"/>
        </w:rPr>
        <w:lastRenderedPageBreak/>
        <w:tab/>
      </w:r>
      <w:r w:rsidRPr="00361139">
        <w:rPr>
          <w:lang w:val="en-GB"/>
        </w:rPr>
        <w:tab/>
      </w:r>
      <w:bookmarkStart w:id="316" w:name="_Toc139975475"/>
      <w:bookmarkStart w:id="317" w:name="_Toc139976236"/>
      <w:bookmarkStart w:id="318" w:name="_Toc139982251"/>
      <w:bookmarkStart w:id="319" w:name="_Toc139983963"/>
      <w:bookmarkStart w:id="320" w:name="_Toc139984204"/>
      <w:r w:rsidR="00CC73DD" w:rsidRPr="00361139">
        <w:rPr>
          <w:lang w:val="en-GB"/>
        </w:rPr>
        <w:t xml:space="preserve">Annex 1 </w:t>
      </w:r>
      <w:r w:rsidRPr="00361139">
        <w:rPr>
          <w:lang w:val="en-GB"/>
        </w:rPr>
        <w:t xml:space="preserve">- </w:t>
      </w:r>
      <w:r w:rsidR="00CC73DD" w:rsidRPr="00361139">
        <w:rPr>
          <w:lang w:val="en-GB"/>
        </w:rPr>
        <w:t>Terms of reference for the Second review of the financial mechanism (Annex to decision MC-4/7)</w:t>
      </w:r>
      <w:bookmarkEnd w:id="311"/>
      <w:bookmarkEnd w:id="312"/>
      <w:bookmarkEnd w:id="313"/>
      <w:bookmarkEnd w:id="314"/>
      <w:bookmarkEnd w:id="315"/>
      <w:bookmarkEnd w:id="316"/>
      <w:bookmarkEnd w:id="317"/>
      <w:bookmarkEnd w:id="318"/>
      <w:bookmarkEnd w:id="319"/>
      <w:bookmarkEnd w:id="320"/>
    </w:p>
    <w:p w14:paraId="6A145BF9" w14:textId="713D4BFA" w:rsidR="00CC73DD" w:rsidRPr="00361139" w:rsidRDefault="00A838E1" w:rsidP="00A838E1">
      <w:pPr>
        <w:pStyle w:val="NormalNonumber"/>
        <w:spacing w:before="240"/>
        <w:ind w:left="0"/>
        <w:rPr>
          <w:b/>
          <w:bCs/>
          <w:sz w:val="24"/>
          <w:szCs w:val="24"/>
          <w:lang w:val="en-GB"/>
        </w:rPr>
      </w:pPr>
      <w:bookmarkStart w:id="321" w:name="_Toc139975476"/>
      <w:r w:rsidRPr="00361139">
        <w:rPr>
          <w:b/>
          <w:bCs/>
          <w:sz w:val="24"/>
          <w:szCs w:val="24"/>
          <w:lang w:val="en-GB"/>
        </w:rPr>
        <w:tab/>
      </w:r>
      <w:r w:rsidR="006534F8" w:rsidRPr="00361139">
        <w:rPr>
          <w:b/>
          <w:bCs/>
          <w:sz w:val="24"/>
          <w:szCs w:val="24"/>
          <w:lang w:val="en-GB"/>
        </w:rPr>
        <w:t>A.</w:t>
      </w:r>
      <w:r w:rsidR="006534F8" w:rsidRPr="00361139">
        <w:rPr>
          <w:b/>
          <w:bCs/>
          <w:sz w:val="24"/>
          <w:szCs w:val="24"/>
          <w:lang w:val="en-GB"/>
        </w:rPr>
        <w:tab/>
      </w:r>
      <w:r w:rsidR="00CC73DD" w:rsidRPr="00361139">
        <w:rPr>
          <w:b/>
          <w:bCs/>
          <w:sz w:val="24"/>
          <w:szCs w:val="24"/>
          <w:lang w:val="en-GB"/>
        </w:rPr>
        <w:t>Objective</w:t>
      </w:r>
      <w:bookmarkEnd w:id="321"/>
    </w:p>
    <w:p w14:paraId="2A195984" w14:textId="77777777" w:rsidR="00CC73DD" w:rsidRPr="00361139" w:rsidRDefault="00CC73DD" w:rsidP="000C76AC">
      <w:pPr>
        <w:pStyle w:val="Normalnumber"/>
        <w:numPr>
          <w:ilvl w:val="0"/>
          <w:numId w:val="10"/>
        </w:numPr>
        <w:rPr>
          <w:rFonts w:asciiTheme="majorBidi" w:hAnsiTheme="majorBidi" w:cstheme="majorBidi"/>
        </w:rPr>
      </w:pPr>
      <w:r w:rsidRPr="00361139">
        <w:t>Pursuant</w:t>
      </w:r>
      <w:r w:rsidRPr="00361139">
        <w:rPr>
          <w:rFonts w:asciiTheme="majorBidi" w:hAnsiTheme="majorBidi" w:cstheme="majorBidi"/>
        </w:rPr>
        <w:t xml:space="preserve"> to paragraph 11 of article 13 of the Minamata Convention on Mercury, the Conference of the Parties will review the </w:t>
      </w:r>
      <w:r w:rsidRPr="00361139">
        <w:rPr>
          <w:rFonts w:asciiTheme="majorBidi" w:hAnsiTheme="majorBidi" w:cstheme="majorBidi"/>
          <w:i/>
        </w:rPr>
        <w:t>financial mechanism</w:t>
      </w:r>
      <w:r w:rsidRPr="00361139">
        <w:rPr>
          <w:rFonts w:asciiTheme="majorBidi" w:hAnsiTheme="majorBidi" w:cstheme="majorBidi"/>
        </w:rPr>
        <w:t xml:space="preserve"> established under article 13 to support Parties in the implementation of the Convention, with a view to taking appropriate action, if necessary, to improve the effectiveness of the </w:t>
      </w:r>
      <w:r w:rsidRPr="00361139">
        <w:rPr>
          <w:rFonts w:asciiTheme="majorBidi" w:hAnsiTheme="majorBidi" w:cstheme="majorBidi"/>
          <w:i/>
        </w:rPr>
        <w:t>financial mechanism</w:t>
      </w:r>
      <w:r w:rsidRPr="00361139">
        <w:rPr>
          <w:rFonts w:asciiTheme="majorBidi" w:hAnsiTheme="majorBidi" w:cstheme="majorBidi"/>
        </w:rPr>
        <w:t xml:space="preserve">. Pursuant to paragraph 11 of article 13, the review will include an analysis of: </w:t>
      </w:r>
    </w:p>
    <w:p w14:paraId="298BF2AC" w14:textId="77777777" w:rsidR="00CC73DD" w:rsidRPr="00361139" w:rsidRDefault="00CC73DD" w:rsidP="006534F8">
      <w:pPr>
        <w:pStyle w:val="Normalnumber"/>
        <w:numPr>
          <w:ilvl w:val="1"/>
          <w:numId w:val="1"/>
        </w:numPr>
        <w:tabs>
          <w:tab w:val="clear" w:pos="2495"/>
          <w:tab w:val="left" w:pos="624"/>
        </w:tabs>
        <w:ind w:left="1247" w:firstLine="624"/>
      </w:pPr>
      <w:r w:rsidRPr="00361139">
        <w:t>The level of funding;</w:t>
      </w:r>
    </w:p>
    <w:p w14:paraId="78E98287" w14:textId="77777777" w:rsidR="00CC73DD" w:rsidRPr="00361139" w:rsidRDefault="00CC73DD" w:rsidP="006534F8">
      <w:pPr>
        <w:pStyle w:val="Normalnumber"/>
        <w:numPr>
          <w:ilvl w:val="1"/>
          <w:numId w:val="1"/>
        </w:numPr>
        <w:tabs>
          <w:tab w:val="clear" w:pos="2495"/>
          <w:tab w:val="left" w:pos="624"/>
        </w:tabs>
        <w:ind w:left="1247" w:firstLine="624"/>
      </w:pPr>
      <w:r w:rsidRPr="00361139">
        <w:t>The ability of the financial mechanism to mobilize resources from all sources, the level and type of funding, including differentiation between earmarked and non-earmarked voluntary contributions;</w:t>
      </w:r>
    </w:p>
    <w:p w14:paraId="31417146" w14:textId="77777777" w:rsidR="00CC73DD" w:rsidRPr="00361139" w:rsidRDefault="00CC73DD" w:rsidP="006534F8">
      <w:pPr>
        <w:pStyle w:val="Normalnumber"/>
        <w:numPr>
          <w:ilvl w:val="1"/>
          <w:numId w:val="1"/>
        </w:numPr>
        <w:tabs>
          <w:tab w:val="clear" w:pos="2495"/>
          <w:tab w:val="left" w:pos="624"/>
        </w:tabs>
        <w:ind w:left="1247" w:firstLine="624"/>
      </w:pPr>
      <w:r w:rsidRPr="00361139">
        <w:t>The guidance provided by the Conference of the Parties to the Global Environment Facility and to the Specific International Programme to Support Capacity-Building and Technical Assistance in their capacity as the entities entrusted with the operation of the financial mechanism;</w:t>
      </w:r>
    </w:p>
    <w:p w14:paraId="36A36A90" w14:textId="77777777" w:rsidR="00CC73DD" w:rsidRPr="00361139" w:rsidRDefault="00CC73DD" w:rsidP="006534F8">
      <w:pPr>
        <w:pStyle w:val="Normalnumber"/>
        <w:numPr>
          <w:ilvl w:val="1"/>
          <w:numId w:val="1"/>
        </w:numPr>
        <w:tabs>
          <w:tab w:val="clear" w:pos="2495"/>
          <w:tab w:val="left" w:pos="624"/>
        </w:tabs>
        <w:ind w:left="1247" w:firstLine="624"/>
      </w:pPr>
      <w:r w:rsidRPr="00361139">
        <w:t>The efficiency and effectiveness of the Global Environment Facility and the Specific International Programme in their capacity as the entities entrusted with the operation of the financial mechanism;</w:t>
      </w:r>
    </w:p>
    <w:p w14:paraId="363BF1E0" w14:textId="77777777" w:rsidR="00CC73DD" w:rsidRPr="00361139" w:rsidRDefault="00CC73DD" w:rsidP="006534F8">
      <w:pPr>
        <w:pStyle w:val="Normalnumber"/>
        <w:numPr>
          <w:ilvl w:val="1"/>
          <w:numId w:val="1"/>
        </w:numPr>
        <w:tabs>
          <w:tab w:val="clear" w:pos="2495"/>
          <w:tab w:val="left" w:pos="624"/>
        </w:tabs>
        <w:ind w:left="1247" w:firstLine="624"/>
      </w:pPr>
      <w:r w:rsidRPr="00361139">
        <w:t xml:space="preserve">The ability of the two entities of the </w:t>
      </w:r>
      <w:r w:rsidRPr="00361139">
        <w:rPr>
          <w:i/>
        </w:rPr>
        <w:t>financial mechanism</w:t>
      </w:r>
      <w:r w:rsidRPr="00361139">
        <w:t xml:space="preserve"> to address the changing needs of developing country Parties and Parties with economies in transition. </w:t>
      </w:r>
    </w:p>
    <w:p w14:paraId="34BAF6DE" w14:textId="102D408D" w:rsidR="00CC73DD" w:rsidRPr="00361139" w:rsidRDefault="006534F8" w:rsidP="00A838E1">
      <w:pPr>
        <w:pStyle w:val="NormalNonumber"/>
        <w:spacing w:before="240"/>
        <w:ind w:left="0"/>
        <w:rPr>
          <w:b/>
          <w:bCs/>
          <w:sz w:val="24"/>
          <w:szCs w:val="24"/>
          <w:lang w:val="en-GB"/>
        </w:rPr>
      </w:pPr>
      <w:r w:rsidRPr="00361139">
        <w:rPr>
          <w:b/>
          <w:bCs/>
          <w:sz w:val="24"/>
          <w:szCs w:val="24"/>
          <w:lang w:val="en-GB"/>
        </w:rPr>
        <w:tab/>
      </w:r>
      <w:bookmarkStart w:id="322" w:name="_Toc139975477"/>
      <w:r w:rsidRPr="00361139">
        <w:rPr>
          <w:b/>
          <w:bCs/>
          <w:sz w:val="24"/>
          <w:szCs w:val="24"/>
          <w:lang w:val="en-GB"/>
        </w:rPr>
        <w:t>B.</w:t>
      </w:r>
      <w:r w:rsidRPr="00361139">
        <w:rPr>
          <w:b/>
          <w:bCs/>
          <w:sz w:val="24"/>
          <w:szCs w:val="24"/>
          <w:lang w:val="en-GB"/>
        </w:rPr>
        <w:tab/>
      </w:r>
      <w:r w:rsidR="00CC73DD" w:rsidRPr="00361139">
        <w:rPr>
          <w:b/>
          <w:bCs/>
          <w:sz w:val="24"/>
          <w:szCs w:val="24"/>
          <w:lang w:val="en-GB"/>
        </w:rPr>
        <w:t>Methodology</w:t>
      </w:r>
      <w:bookmarkEnd w:id="322"/>
    </w:p>
    <w:p w14:paraId="039D69FC" w14:textId="333E1EA2"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review will cover the activities of the </w:t>
      </w:r>
      <w:r w:rsidRPr="00361139">
        <w:rPr>
          <w:rFonts w:asciiTheme="majorBidi" w:hAnsiTheme="majorBidi" w:cstheme="majorBidi"/>
          <w:i/>
        </w:rPr>
        <w:t>financial mechanism</w:t>
      </w:r>
      <w:r w:rsidRPr="00361139">
        <w:rPr>
          <w:rFonts w:asciiTheme="majorBidi" w:hAnsiTheme="majorBidi" w:cstheme="majorBidi"/>
        </w:rPr>
        <w:t xml:space="preserve"> for the period from August</w:t>
      </w:r>
      <w:r w:rsidR="00334B82" w:rsidRPr="00361139">
        <w:rPr>
          <w:rFonts w:asciiTheme="majorBidi" w:hAnsiTheme="majorBidi" w:cstheme="majorBidi"/>
        </w:rPr>
        <w:t xml:space="preserve"> </w:t>
      </w:r>
      <w:r w:rsidRPr="00361139">
        <w:rPr>
          <w:rFonts w:asciiTheme="majorBidi" w:hAnsiTheme="majorBidi" w:cstheme="majorBidi"/>
        </w:rPr>
        <w:t xml:space="preserve">2019 to July 2022, </w:t>
      </w:r>
      <w:r w:rsidRPr="00361139">
        <w:t>which</w:t>
      </w:r>
      <w:r w:rsidRPr="00361139">
        <w:rPr>
          <w:rFonts w:asciiTheme="majorBidi" w:hAnsiTheme="majorBidi" w:cstheme="majorBidi"/>
        </w:rPr>
        <w:t xml:space="preserve"> represents the period from the conclusion of the first review of the </w:t>
      </w:r>
      <w:r w:rsidRPr="00361139">
        <w:rPr>
          <w:rFonts w:asciiTheme="majorBidi" w:hAnsiTheme="majorBidi" w:cstheme="majorBidi"/>
          <w:i/>
        </w:rPr>
        <w:t>financial mechanism</w:t>
      </w:r>
      <w:r w:rsidRPr="00361139">
        <w:rPr>
          <w:rFonts w:asciiTheme="majorBidi" w:hAnsiTheme="majorBidi" w:cstheme="majorBidi"/>
        </w:rPr>
        <w:t xml:space="preserve"> to the end of the period of the seventh replenishment of the trust fund of the Global Environment Facility and inclusive of the first three rounds of applications to the Specific International Programme, with particular emphasis on the activities concluded during that period. </w:t>
      </w:r>
    </w:p>
    <w:p w14:paraId="48F79906"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w:t>
      </w:r>
      <w:r w:rsidRPr="00361139">
        <w:t>review</w:t>
      </w:r>
      <w:r w:rsidRPr="00361139">
        <w:rPr>
          <w:rFonts w:asciiTheme="majorBidi" w:hAnsiTheme="majorBidi" w:cstheme="majorBidi"/>
        </w:rPr>
        <w:t xml:space="preserve"> will draw on the following sources of information, among others: </w:t>
      </w:r>
    </w:p>
    <w:p w14:paraId="5DB66906"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Information submitted by Parties on their experiences gained through their interactions with the </w:t>
      </w:r>
      <w:r w:rsidRPr="00361139">
        <w:rPr>
          <w:rFonts w:asciiTheme="majorBidi" w:hAnsiTheme="majorBidi" w:cstheme="majorBidi"/>
          <w:i/>
        </w:rPr>
        <w:t>financial mechanism</w:t>
      </w:r>
      <w:r w:rsidRPr="00361139">
        <w:rPr>
          <w:rFonts w:asciiTheme="majorBidi" w:hAnsiTheme="majorBidi" w:cstheme="majorBidi"/>
        </w:rPr>
        <w:t>, organized according to the performance criteria set forth in section D of the present terms of reference;</w:t>
      </w:r>
    </w:p>
    <w:p w14:paraId="39E7EFF5"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Reports submitted to the Conference of the Parties by the entities entrusted with the operation of the </w:t>
      </w:r>
      <w:r w:rsidRPr="00361139">
        <w:rPr>
          <w:rFonts w:asciiTheme="majorBidi" w:hAnsiTheme="majorBidi" w:cstheme="majorBidi"/>
          <w:i/>
        </w:rPr>
        <w:t>financial mechanism</w:t>
      </w:r>
      <w:r w:rsidRPr="00361139">
        <w:rPr>
          <w:rFonts w:asciiTheme="majorBidi" w:hAnsiTheme="majorBidi" w:cstheme="majorBidi"/>
        </w:rPr>
        <w:t>;</w:t>
      </w:r>
    </w:p>
    <w:p w14:paraId="11ED6F9C"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Other reports provided by the entities entrusted with the operation of the </w:t>
      </w:r>
      <w:r w:rsidRPr="00361139">
        <w:rPr>
          <w:rFonts w:asciiTheme="majorBidi" w:hAnsiTheme="majorBidi" w:cstheme="majorBidi"/>
          <w:i/>
        </w:rPr>
        <w:t>financial mechanism</w:t>
      </w:r>
      <w:r w:rsidRPr="00361139">
        <w:rPr>
          <w:rFonts w:asciiTheme="majorBidi" w:hAnsiTheme="majorBidi" w:cstheme="majorBidi"/>
        </w:rPr>
        <w:t>, including, among other things, reports of the Independent Evaluation Office of the Global Environment Facility, terminal evaluations of completed projects of the Specific International Programme and reporting from ongoing projects of the Specific International Programme;</w:t>
      </w:r>
    </w:p>
    <w:p w14:paraId="5CDF72D6" w14:textId="3696EADC"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Relevant reports and information submitted by intergovernmental and non</w:t>
      </w:r>
      <w:r w:rsidR="008F3D8D" w:rsidRPr="00361139">
        <w:noBreakHyphen/>
      </w:r>
      <w:r w:rsidRPr="00361139">
        <w:rPr>
          <w:rFonts w:asciiTheme="majorBidi" w:hAnsiTheme="majorBidi" w:cstheme="majorBidi"/>
        </w:rPr>
        <w:t xml:space="preserve">governmental organizations; stakeholders; other entities providing multilateral, regional and bilateral financial and technical assistance pursuant to paragraphs 1 and 3 of article 13 of the Convention; the Special Programme to support institutional strengthening at the national level for implementation of the Basel, Rotterdam and Stockholm conventions, the Minamata Convention and the Strategic Approach to International Chemicals Management (with respect to complementarity and avoiding duplication); and the Global Mercury Partnership (relative to its interaction with the </w:t>
      </w:r>
      <w:r w:rsidRPr="00361139">
        <w:rPr>
          <w:rFonts w:asciiTheme="majorBidi" w:hAnsiTheme="majorBidi" w:cstheme="majorBidi"/>
          <w:i/>
        </w:rPr>
        <w:t>financial mechanism</w:t>
      </w:r>
      <w:r w:rsidRPr="00361139">
        <w:rPr>
          <w:rFonts w:asciiTheme="majorBidi" w:hAnsiTheme="majorBidi" w:cstheme="majorBidi"/>
        </w:rPr>
        <w:t xml:space="preserve"> in advancing the implementation of the Convention); </w:t>
      </w:r>
    </w:p>
    <w:p w14:paraId="03455A4E"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Reports submitted by Parties pursuant to article 21 of the Convention. </w:t>
      </w:r>
    </w:p>
    <w:p w14:paraId="16A61EA8"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Report of the Executive Director of the United Nations Environment Programme entitled “Strengthening the Specific International Programme to Support Capacity-Building and Technical Assistance of the Minamata Convention on Mercury: enhancing the effective functioning of the Programme (UNEP/MC/COP.4/13);</w:t>
      </w:r>
    </w:p>
    <w:p w14:paraId="7DF2CEF9" w14:textId="77777777" w:rsidR="00CC73DD" w:rsidRPr="00361139" w:rsidRDefault="00CC73DD" w:rsidP="000C76AC">
      <w:pPr>
        <w:pStyle w:val="Normalnumber"/>
        <w:keepNext/>
        <w:keepLines/>
        <w:numPr>
          <w:ilvl w:val="0"/>
          <w:numId w:val="9"/>
        </w:numPr>
        <w:ind w:left="1247"/>
        <w:rPr>
          <w:rFonts w:asciiTheme="majorBidi" w:hAnsiTheme="majorBidi" w:cstheme="majorBidi"/>
        </w:rPr>
      </w:pPr>
      <w:r w:rsidRPr="00361139">
        <w:rPr>
          <w:rFonts w:asciiTheme="majorBidi" w:hAnsiTheme="majorBidi" w:cstheme="majorBidi"/>
        </w:rPr>
        <w:lastRenderedPageBreak/>
        <w:t xml:space="preserve">In </w:t>
      </w:r>
      <w:r w:rsidRPr="00361139">
        <w:t>keeping</w:t>
      </w:r>
      <w:r w:rsidRPr="00361139">
        <w:rPr>
          <w:rFonts w:asciiTheme="majorBidi" w:hAnsiTheme="majorBidi" w:cstheme="majorBidi"/>
        </w:rPr>
        <w:t xml:space="preserve"> with these terms of reference, the Secretariat will, subject to the availability of resources: </w:t>
      </w:r>
    </w:p>
    <w:p w14:paraId="66FB2349"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Make adequate arrangements to ensure that the second review of the </w:t>
      </w:r>
      <w:r w:rsidRPr="00361139">
        <w:rPr>
          <w:rFonts w:asciiTheme="majorBidi" w:hAnsiTheme="majorBidi" w:cstheme="majorBidi"/>
          <w:i/>
        </w:rPr>
        <w:t>financial mechanism</w:t>
      </w:r>
      <w:r w:rsidRPr="00361139">
        <w:rPr>
          <w:rFonts w:asciiTheme="majorBidi" w:hAnsiTheme="majorBidi" w:cstheme="majorBidi"/>
        </w:rPr>
        <w:t xml:space="preserve"> is undertaken in an independent and transparent, effective and efficient manner;</w:t>
      </w:r>
    </w:p>
    <w:p w14:paraId="4B859909"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Hire a consultant to prepare a draft report on the information provided;</w:t>
      </w:r>
    </w:p>
    <w:p w14:paraId="5F4CCF3A"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Submit the draft report on the review to the Conference of the Parties for consideration at its fifth meeting. </w:t>
      </w:r>
    </w:p>
    <w:p w14:paraId="20B6BF8F"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The entities entrusted with the operation of the </w:t>
      </w:r>
      <w:r w:rsidRPr="00361139">
        <w:rPr>
          <w:rFonts w:asciiTheme="majorBidi" w:hAnsiTheme="majorBidi" w:cstheme="majorBidi"/>
          <w:i/>
        </w:rPr>
        <w:t>financial mechanism</w:t>
      </w:r>
      <w:r w:rsidRPr="00361139">
        <w:rPr>
          <w:rFonts w:asciiTheme="majorBidi" w:hAnsiTheme="majorBidi" w:cstheme="majorBidi"/>
        </w:rPr>
        <w:t xml:space="preserve"> are requested to provide information relevant to the review in a timely manner. </w:t>
      </w:r>
    </w:p>
    <w:p w14:paraId="1DDFA279" w14:textId="77777777" w:rsidR="00CC73DD" w:rsidRPr="00361139" w:rsidRDefault="00CC73DD" w:rsidP="000C76AC">
      <w:pPr>
        <w:pStyle w:val="Normalnumber"/>
        <w:numPr>
          <w:ilvl w:val="0"/>
          <w:numId w:val="9"/>
        </w:numPr>
        <w:rPr>
          <w:rFonts w:asciiTheme="majorBidi" w:hAnsiTheme="majorBidi" w:cstheme="majorBidi"/>
        </w:rPr>
      </w:pPr>
      <w:r w:rsidRPr="00361139">
        <w:rPr>
          <w:rFonts w:asciiTheme="majorBidi" w:hAnsiTheme="majorBidi" w:cstheme="majorBidi"/>
        </w:rPr>
        <w:t xml:space="preserve">Parties are requested to provide information pursuant to paragraph 3 (a) above as soon as possible and not </w:t>
      </w:r>
      <w:r w:rsidRPr="00361139">
        <w:t>later</w:t>
      </w:r>
      <w:r w:rsidRPr="00361139">
        <w:rPr>
          <w:rFonts w:asciiTheme="majorBidi" w:hAnsiTheme="majorBidi" w:cstheme="majorBidi"/>
        </w:rPr>
        <w:t xml:space="preserve"> than 30 September 2022. </w:t>
      </w:r>
    </w:p>
    <w:p w14:paraId="2768C769" w14:textId="77777777" w:rsidR="00CC73DD" w:rsidRPr="00361139" w:rsidRDefault="00CC73DD" w:rsidP="005B7459">
      <w:pPr>
        <w:pStyle w:val="Normalnumber"/>
      </w:pPr>
      <w:r w:rsidRPr="00361139">
        <w:t xml:space="preserve">Intergovernmental and non-governmental organizations, stakeholders, the Special Programme, the Global Mercury Partnership and relevant entities providing multilateral, regional and bilateral financial and technical assistance are requested to provide relevant information pursuant to the objectives of the present review as soon as possible and not later than 30 September 2022. </w:t>
      </w:r>
    </w:p>
    <w:p w14:paraId="79B6DD9C" w14:textId="468D0E45" w:rsidR="00CC73DD" w:rsidRPr="00361139" w:rsidRDefault="00CB5756" w:rsidP="00A838E1">
      <w:pPr>
        <w:pStyle w:val="NormalNonumber"/>
        <w:spacing w:before="240"/>
        <w:ind w:left="0"/>
        <w:rPr>
          <w:b/>
          <w:bCs/>
          <w:sz w:val="24"/>
          <w:szCs w:val="24"/>
          <w:lang w:val="en-GB"/>
        </w:rPr>
      </w:pPr>
      <w:r w:rsidRPr="00361139">
        <w:rPr>
          <w:b/>
          <w:bCs/>
          <w:sz w:val="24"/>
          <w:szCs w:val="24"/>
          <w:lang w:val="en-GB"/>
        </w:rPr>
        <w:tab/>
      </w:r>
      <w:bookmarkStart w:id="323" w:name="_Toc139975478"/>
      <w:r w:rsidRPr="00361139">
        <w:rPr>
          <w:b/>
          <w:bCs/>
          <w:sz w:val="24"/>
          <w:szCs w:val="24"/>
          <w:lang w:val="en-GB"/>
        </w:rPr>
        <w:t>C.</w:t>
      </w:r>
      <w:r w:rsidRPr="00361139">
        <w:rPr>
          <w:b/>
          <w:bCs/>
          <w:sz w:val="24"/>
          <w:szCs w:val="24"/>
          <w:lang w:val="en-GB"/>
        </w:rPr>
        <w:tab/>
      </w:r>
      <w:r w:rsidR="00CC73DD" w:rsidRPr="00361139">
        <w:rPr>
          <w:b/>
          <w:bCs/>
          <w:sz w:val="24"/>
          <w:szCs w:val="24"/>
          <w:lang w:val="en-GB"/>
        </w:rPr>
        <w:t>Report</w:t>
      </w:r>
      <w:bookmarkEnd w:id="323"/>
    </w:p>
    <w:p w14:paraId="77609B09" w14:textId="77777777" w:rsidR="00CC73DD" w:rsidRPr="00361139" w:rsidRDefault="00CC73DD" w:rsidP="005B7459">
      <w:pPr>
        <w:pStyle w:val="Normalnumber"/>
        <w:rPr>
          <w:rFonts w:asciiTheme="majorBidi" w:hAnsiTheme="majorBidi" w:cstheme="majorBidi"/>
        </w:rPr>
      </w:pPr>
      <w:r w:rsidRPr="00361139">
        <w:rPr>
          <w:rFonts w:asciiTheme="majorBidi" w:hAnsiTheme="majorBidi" w:cstheme="majorBidi"/>
        </w:rPr>
        <w:t xml:space="preserve">The </w:t>
      </w:r>
      <w:r w:rsidRPr="00361139">
        <w:t>report</w:t>
      </w:r>
      <w:r w:rsidRPr="00361139">
        <w:rPr>
          <w:rFonts w:asciiTheme="majorBidi" w:hAnsiTheme="majorBidi" w:cstheme="majorBidi"/>
        </w:rPr>
        <w:t xml:space="preserve"> on the second review will include the following elements: </w:t>
      </w:r>
    </w:p>
    <w:p w14:paraId="5028A1BA"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An overview of elements (a)–(e) of paragraph 1 above;</w:t>
      </w:r>
    </w:p>
    <w:p w14:paraId="41D14758"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Analysis of lessons learned from the activities funded by the </w:t>
      </w:r>
      <w:r w:rsidRPr="00361139">
        <w:rPr>
          <w:rFonts w:asciiTheme="majorBidi" w:hAnsiTheme="majorBidi" w:cstheme="majorBidi"/>
          <w:i/>
        </w:rPr>
        <w:t>financial mechanism</w:t>
      </w:r>
      <w:r w:rsidRPr="00361139">
        <w:rPr>
          <w:rFonts w:asciiTheme="majorBidi" w:hAnsiTheme="majorBidi" w:cstheme="majorBidi"/>
        </w:rPr>
        <w:t xml:space="preserve"> during the period covered by the review;</w:t>
      </w:r>
    </w:p>
    <w:p w14:paraId="14AACE97"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Assessment of the Global Environment Facility’s principles of incremental cost and global environmental benefits as they pertain to activities to implement obligations under the Convention, along with lessons learned from the evaluation reports on activities of the Global Environment Facility and the final reports and evaluation reports of completed projects under the Specific International Programme;</w:t>
      </w:r>
    </w:p>
    <w:p w14:paraId="77C4459A"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Assessment of the sustainability, transparency and accessibility of the funding provided by the </w:t>
      </w:r>
      <w:r w:rsidRPr="00361139">
        <w:rPr>
          <w:rFonts w:asciiTheme="majorBidi" w:hAnsiTheme="majorBidi" w:cstheme="majorBidi"/>
          <w:i/>
        </w:rPr>
        <w:t>financial mechanism</w:t>
      </w:r>
      <w:r w:rsidRPr="00361139">
        <w:rPr>
          <w:rFonts w:asciiTheme="majorBidi" w:hAnsiTheme="majorBidi" w:cstheme="majorBidi"/>
        </w:rPr>
        <w:t xml:space="preserve"> for the achievement of the objective of the Convention;</w:t>
      </w:r>
    </w:p>
    <w:p w14:paraId="3FAF217A"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Identification of the resources mobilized directly by the </w:t>
      </w:r>
      <w:r w:rsidRPr="00361139">
        <w:rPr>
          <w:rFonts w:asciiTheme="majorBidi" w:hAnsiTheme="majorBidi" w:cstheme="majorBidi"/>
          <w:i/>
        </w:rPr>
        <w:t>financial mechanism</w:t>
      </w:r>
      <w:r w:rsidRPr="00361139">
        <w:rPr>
          <w:rFonts w:asciiTheme="majorBidi" w:hAnsiTheme="majorBidi" w:cstheme="majorBidi"/>
        </w:rPr>
        <w:t>, including in-kind contributions and co-financing, and, to the extent possible, quantitative and/or qualitative assessment of the resources mobilized indirectly by actions of the private sector and other stakeholders;</w:t>
      </w:r>
    </w:p>
    <w:p w14:paraId="3CA41AF7"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Recommendations to improve the effectiveness and efficiency of the </w:t>
      </w:r>
      <w:r w:rsidRPr="00361139">
        <w:rPr>
          <w:rFonts w:asciiTheme="majorBidi" w:hAnsiTheme="majorBidi" w:cstheme="majorBidi"/>
          <w:i/>
        </w:rPr>
        <w:t>financial mechanism</w:t>
      </w:r>
      <w:r w:rsidRPr="00361139">
        <w:rPr>
          <w:rFonts w:asciiTheme="majorBidi" w:hAnsiTheme="majorBidi" w:cstheme="majorBidi"/>
        </w:rPr>
        <w:t xml:space="preserve"> in meeting the objective of the Convention;</w:t>
      </w:r>
    </w:p>
    <w:p w14:paraId="7EAB40CE"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Assessment against the performance criteria set out in paragraph 10 below. </w:t>
      </w:r>
    </w:p>
    <w:p w14:paraId="0AE21F31" w14:textId="77777777" w:rsidR="00CC73DD" w:rsidRPr="00361139" w:rsidRDefault="00CC73DD" w:rsidP="005B7459">
      <w:pPr>
        <w:pStyle w:val="Normalnumber"/>
        <w:rPr>
          <w:rFonts w:asciiTheme="majorBidi" w:hAnsiTheme="majorBidi" w:cstheme="majorBidi"/>
        </w:rPr>
      </w:pPr>
      <w:r w:rsidRPr="00361139">
        <w:rPr>
          <w:rFonts w:asciiTheme="majorBidi" w:hAnsiTheme="majorBidi" w:cstheme="majorBidi"/>
        </w:rPr>
        <w:t xml:space="preserve">The Secretariat will submit the above-mentioned report to the Conference of the Parties for consideration at its fifth meeting. </w:t>
      </w:r>
    </w:p>
    <w:p w14:paraId="1FD35420" w14:textId="43856AD3" w:rsidR="00CC73DD" w:rsidRPr="00361139" w:rsidRDefault="00CB5756" w:rsidP="00A838E1">
      <w:pPr>
        <w:pStyle w:val="NormalNonumber"/>
        <w:spacing w:before="240"/>
        <w:ind w:left="0"/>
        <w:rPr>
          <w:b/>
          <w:bCs/>
          <w:sz w:val="24"/>
          <w:szCs w:val="24"/>
          <w:lang w:val="en-GB"/>
        </w:rPr>
      </w:pPr>
      <w:r w:rsidRPr="00361139">
        <w:rPr>
          <w:b/>
          <w:bCs/>
          <w:sz w:val="24"/>
          <w:szCs w:val="24"/>
          <w:lang w:val="en-GB"/>
        </w:rPr>
        <w:tab/>
      </w:r>
      <w:bookmarkStart w:id="324" w:name="_Toc139975479"/>
      <w:r w:rsidRPr="00361139">
        <w:rPr>
          <w:b/>
          <w:bCs/>
          <w:sz w:val="24"/>
          <w:szCs w:val="24"/>
          <w:lang w:val="en-GB"/>
        </w:rPr>
        <w:t>D.</w:t>
      </w:r>
      <w:r w:rsidRPr="00361139">
        <w:rPr>
          <w:b/>
          <w:bCs/>
          <w:sz w:val="24"/>
          <w:szCs w:val="24"/>
          <w:lang w:val="en-GB"/>
        </w:rPr>
        <w:tab/>
      </w:r>
      <w:r w:rsidR="00CC73DD" w:rsidRPr="00361139">
        <w:rPr>
          <w:b/>
          <w:bCs/>
          <w:sz w:val="24"/>
          <w:szCs w:val="24"/>
          <w:lang w:val="en-GB"/>
        </w:rPr>
        <w:t>Performance criteria</w:t>
      </w:r>
      <w:bookmarkEnd w:id="324"/>
    </w:p>
    <w:p w14:paraId="094F0162" w14:textId="77777777" w:rsidR="00CC73DD" w:rsidRPr="00361139" w:rsidRDefault="00CC73DD" w:rsidP="005B7459">
      <w:pPr>
        <w:pStyle w:val="Normalnumber"/>
        <w:rPr>
          <w:rFonts w:asciiTheme="majorBidi" w:hAnsiTheme="majorBidi" w:cstheme="majorBidi"/>
        </w:rPr>
      </w:pPr>
      <w:r w:rsidRPr="00361139">
        <w:t>The</w:t>
      </w:r>
      <w:r w:rsidRPr="00361139">
        <w:rPr>
          <w:rFonts w:asciiTheme="majorBidi" w:hAnsiTheme="majorBidi" w:cstheme="majorBidi"/>
        </w:rPr>
        <w:t xml:space="preserve"> effectiveness and efficiency of the </w:t>
      </w:r>
      <w:r w:rsidRPr="00361139">
        <w:rPr>
          <w:rFonts w:asciiTheme="majorBidi" w:hAnsiTheme="majorBidi" w:cstheme="majorBidi"/>
          <w:i/>
        </w:rPr>
        <w:t>financial mechanism</w:t>
      </w:r>
      <w:r w:rsidRPr="00361139">
        <w:rPr>
          <w:rFonts w:asciiTheme="majorBidi" w:hAnsiTheme="majorBidi" w:cstheme="majorBidi"/>
        </w:rPr>
        <w:t xml:space="preserve"> will be assessed, </w:t>
      </w:r>
      <w:proofErr w:type="gramStart"/>
      <w:r w:rsidRPr="00361139">
        <w:rPr>
          <w:rFonts w:asciiTheme="majorBidi" w:hAnsiTheme="majorBidi" w:cstheme="majorBidi"/>
        </w:rPr>
        <w:t>taking into account</w:t>
      </w:r>
      <w:proofErr w:type="gramEnd"/>
      <w:r w:rsidRPr="00361139">
        <w:rPr>
          <w:rFonts w:asciiTheme="majorBidi" w:hAnsiTheme="majorBidi" w:cstheme="majorBidi"/>
        </w:rPr>
        <w:t xml:space="preserve">, among other things: </w:t>
      </w:r>
    </w:p>
    <w:p w14:paraId="36F4B118"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Responsiveness of the Global Environment Facility and the Specific International Programme to the guidance adopted by or provided by the Conference of the Parties;</w:t>
      </w:r>
    </w:p>
    <w:p w14:paraId="643AAACD"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 xml:space="preserve">Extent to which the projects funded by the </w:t>
      </w:r>
      <w:r w:rsidRPr="00361139">
        <w:rPr>
          <w:rFonts w:asciiTheme="majorBidi" w:hAnsiTheme="majorBidi" w:cstheme="majorBidi"/>
          <w:i/>
        </w:rPr>
        <w:t>financial mechanism</w:t>
      </w:r>
      <w:r w:rsidRPr="00361139">
        <w:rPr>
          <w:rFonts w:asciiTheme="majorBidi" w:hAnsiTheme="majorBidi" w:cstheme="majorBidi"/>
        </w:rPr>
        <w:t xml:space="preserve"> have reduced, or are expected to reduce, the supply, use, emissions and releases of mercury, and deliver other benefits in terms of Convention implementation;</w:t>
      </w:r>
    </w:p>
    <w:p w14:paraId="39B76672"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t>Transparency</w:t>
      </w:r>
      <w:r w:rsidRPr="00361139">
        <w:rPr>
          <w:rFonts w:asciiTheme="majorBidi" w:hAnsiTheme="majorBidi" w:cstheme="majorBidi"/>
        </w:rPr>
        <w:t xml:space="preserve"> and timeliness of the project approval processes;</w:t>
      </w:r>
    </w:p>
    <w:p w14:paraId="4BE1F370"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rPr>
          <w:rFonts w:asciiTheme="majorBidi" w:hAnsiTheme="majorBidi" w:cstheme="majorBidi"/>
        </w:rPr>
        <w:t>Simplicity, flexibility and expeditiousness of the procedures for accessing funds and for implementing and reporting on projects;</w:t>
      </w:r>
    </w:p>
    <w:p w14:paraId="3644E93A"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t>Adequacy</w:t>
      </w:r>
      <w:r w:rsidRPr="00361139">
        <w:rPr>
          <w:rFonts w:asciiTheme="majorBidi" w:hAnsiTheme="majorBidi" w:cstheme="majorBidi"/>
        </w:rPr>
        <w:t xml:space="preserve"> and sustainability of the available resources;</w:t>
      </w:r>
    </w:p>
    <w:p w14:paraId="0CB4323C"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t>Country</w:t>
      </w:r>
      <w:r w:rsidRPr="00361139">
        <w:rPr>
          <w:rFonts w:asciiTheme="majorBidi" w:hAnsiTheme="majorBidi" w:cstheme="majorBidi"/>
        </w:rPr>
        <w:t xml:space="preserve"> ownership of activities funded by the </w:t>
      </w:r>
      <w:r w:rsidRPr="00361139">
        <w:rPr>
          <w:rFonts w:asciiTheme="majorBidi" w:hAnsiTheme="majorBidi" w:cstheme="majorBidi"/>
          <w:i/>
        </w:rPr>
        <w:t>financial mechanism</w:t>
      </w:r>
      <w:r w:rsidRPr="00361139">
        <w:rPr>
          <w:rFonts w:asciiTheme="majorBidi" w:hAnsiTheme="majorBidi" w:cstheme="majorBidi"/>
        </w:rPr>
        <w:t>;</w:t>
      </w:r>
    </w:p>
    <w:p w14:paraId="77F7EB4E"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lastRenderedPageBreak/>
        <w:t>Level</w:t>
      </w:r>
      <w:r w:rsidRPr="00361139">
        <w:rPr>
          <w:rFonts w:asciiTheme="majorBidi" w:hAnsiTheme="majorBidi" w:cstheme="majorBidi"/>
        </w:rPr>
        <w:t xml:space="preserve"> of stakeholder involvement;</w:t>
      </w:r>
    </w:p>
    <w:p w14:paraId="7D0B026C" w14:textId="77777777" w:rsidR="00CC73DD" w:rsidRPr="00361139" w:rsidRDefault="00CC73DD" w:rsidP="006534F8">
      <w:pPr>
        <w:pStyle w:val="Normalnumber"/>
        <w:numPr>
          <w:ilvl w:val="1"/>
          <w:numId w:val="1"/>
        </w:numPr>
        <w:tabs>
          <w:tab w:val="clear" w:pos="2495"/>
          <w:tab w:val="left" w:pos="624"/>
        </w:tabs>
        <w:ind w:left="1247" w:firstLine="624"/>
        <w:rPr>
          <w:rFonts w:asciiTheme="majorBidi" w:hAnsiTheme="majorBidi" w:cstheme="majorBidi"/>
        </w:rPr>
      </w:pPr>
      <w:r w:rsidRPr="00361139">
        <w:t>Any</w:t>
      </w:r>
      <w:r w:rsidRPr="00361139">
        <w:rPr>
          <w:rFonts w:asciiTheme="majorBidi" w:hAnsiTheme="majorBidi" w:cstheme="majorBidi"/>
        </w:rPr>
        <w:t xml:space="preserve"> other significant issues raised by the Parties. </w:t>
      </w:r>
    </w:p>
    <w:p w14:paraId="67064DA6" w14:textId="0137D921" w:rsidR="00401A72" w:rsidRPr="00361139" w:rsidRDefault="00401A72" w:rsidP="00D83203">
      <w:pPr>
        <w:pStyle w:val="Normal-pool"/>
        <w:rPr>
          <w:lang w:val="en-GB"/>
        </w:rPr>
      </w:pPr>
      <w:bookmarkStart w:id="325" w:name="_Toc131686722"/>
      <w:bookmarkStart w:id="326" w:name="_Toc138845697"/>
      <w:bookmarkStart w:id="327" w:name="_Toc138845752"/>
      <w:bookmarkStart w:id="328" w:name="_Toc138847841"/>
      <w:r w:rsidRPr="00361139">
        <w:rPr>
          <w:lang w:val="en-GB"/>
        </w:rPr>
        <w:br w:type="page"/>
      </w:r>
    </w:p>
    <w:p w14:paraId="15D03F70" w14:textId="472B6674" w:rsidR="00CC73DD" w:rsidRPr="00361139" w:rsidRDefault="00D469AC" w:rsidP="00D469AC">
      <w:pPr>
        <w:pStyle w:val="CH1"/>
        <w:rPr>
          <w:lang w:val="en-GB"/>
        </w:rPr>
      </w:pPr>
      <w:r w:rsidRPr="00361139">
        <w:rPr>
          <w:lang w:val="en-GB"/>
        </w:rPr>
        <w:lastRenderedPageBreak/>
        <w:tab/>
      </w:r>
      <w:r w:rsidRPr="00361139">
        <w:rPr>
          <w:lang w:val="en-GB"/>
        </w:rPr>
        <w:tab/>
      </w:r>
      <w:bookmarkStart w:id="329" w:name="_Toc139975480"/>
      <w:bookmarkStart w:id="330" w:name="_Toc139976237"/>
      <w:bookmarkStart w:id="331" w:name="_Toc139982252"/>
      <w:bookmarkStart w:id="332" w:name="_Toc139983964"/>
      <w:bookmarkStart w:id="333" w:name="_Toc139984205"/>
      <w:r w:rsidR="00CC73DD" w:rsidRPr="00361139">
        <w:rPr>
          <w:lang w:val="en-GB"/>
        </w:rPr>
        <w:t>Annex 2</w:t>
      </w:r>
      <w:r w:rsidRPr="00361139">
        <w:rPr>
          <w:lang w:val="en-GB"/>
        </w:rPr>
        <w:t xml:space="preserve"> - </w:t>
      </w:r>
      <w:r w:rsidR="00CC73DD" w:rsidRPr="00361139">
        <w:rPr>
          <w:lang w:val="en-GB"/>
        </w:rPr>
        <w:t>Response to stakeholder comments</w:t>
      </w:r>
      <w:bookmarkEnd w:id="325"/>
      <w:bookmarkEnd w:id="326"/>
      <w:bookmarkEnd w:id="327"/>
      <w:bookmarkEnd w:id="328"/>
      <w:bookmarkEnd w:id="329"/>
      <w:bookmarkEnd w:id="330"/>
      <w:bookmarkEnd w:id="331"/>
      <w:bookmarkEnd w:id="332"/>
      <w:bookmarkEnd w:id="333"/>
    </w:p>
    <w:p w14:paraId="711E65AE" w14:textId="17C0F3A5" w:rsidR="00CC73DD" w:rsidRPr="00361139" w:rsidRDefault="00CC73DD" w:rsidP="00A84577">
      <w:pPr>
        <w:pStyle w:val="NormalNonumber"/>
        <w:spacing w:before="240"/>
        <w:rPr>
          <w:b/>
          <w:bCs/>
          <w:sz w:val="24"/>
          <w:szCs w:val="24"/>
          <w:lang w:val="en-GB"/>
        </w:rPr>
      </w:pPr>
      <w:bookmarkStart w:id="334" w:name="_Toc139975481"/>
      <w:r w:rsidRPr="00361139">
        <w:rPr>
          <w:b/>
          <w:bCs/>
          <w:sz w:val="24"/>
          <w:szCs w:val="24"/>
          <w:lang w:val="en-GB"/>
        </w:rPr>
        <w:t>Response to stakeholder comments received but not (fully) accepted by the reviewer, where appropriate.</w:t>
      </w:r>
      <w:bookmarkEnd w:id="334"/>
    </w:p>
    <w:tbl>
      <w:tblPr>
        <w:tblStyle w:val="TableGrid"/>
        <w:tblW w:w="8307" w:type="dxa"/>
        <w:jc w:val="right"/>
        <w:tblLayout w:type="fixed"/>
        <w:tblLook w:val="04A0" w:firstRow="1" w:lastRow="0" w:firstColumn="1" w:lastColumn="0" w:noHBand="0" w:noVBand="1"/>
      </w:tblPr>
      <w:tblGrid>
        <w:gridCol w:w="1838"/>
        <w:gridCol w:w="3226"/>
        <w:gridCol w:w="3243"/>
      </w:tblGrid>
      <w:tr w:rsidR="00CC73DD" w:rsidRPr="00361139" w14:paraId="4B9980FB" w14:textId="77777777" w:rsidTr="008F3D8D">
        <w:trPr>
          <w:trHeight w:val="57"/>
          <w:tblHeader/>
          <w:jc w:val="right"/>
        </w:trPr>
        <w:tc>
          <w:tcPr>
            <w:tcW w:w="1838" w:type="dxa"/>
            <w:shd w:val="clear" w:color="auto" w:fill="B8CCE4" w:themeFill="accent1" w:themeFillTint="66"/>
            <w:vAlign w:val="center"/>
          </w:tcPr>
          <w:p w14:paraId="362FB4AE" w14:textId="77777777" w:rsidR="00CC73DD" w:rsidRPr="00361139" w:rsidRDefault="00CC73DD" w:rsidP="00CB5756">
            <w:pPr>
              <w:pStyle w:val="Normal-pool-Table"/>
              <w:rPr>
                <w:i/>
                <w:iCs/>
                <w:lang w:val="en-GB"/>
              </w:rPr>
            </w:pPr>
            <w:r w:rsidRPr="00361139">
              <w:rPr>
                <w:i/>
                <w:iCs/>
                <w:lang w:val="en-GB"/>
              </w:rPr>
              <w:t>Text Reference</w:t>
            </w:r>
          </w:p>
        </w:tc>
        <w:tc>
          <w:tcPr>
            <w:tcW w:w="3226" w:type="dxa"/>
            <w:shd w:val="clear" w:color="auto" w:fill="B8CCE4" w:themeFill="accent1" w:themeFillTint="66"/>
            <w:vAlign w:val="center"/>
          </w:tcPr>
          <w:p w14:paraId="5F334369" w14:textId="77777777" w:rsidR="00CC73DD" w:rsidRPr="00361139" w:rsidRDefault="00CC73DD" w:rsidP="00CB5756">
            <w:pPr>
              <w:pStyle w:val="Normal-pool-Table"/>
              <w:rPr>
                <w:i/>
                <w:iCs/>
                <w:lang w:val="en-GB"/>
              </w:rPr>
            </w:pPr>
            <w:r w:rsidRPr="00361139">
              <w:rPr>
                <w:i/>
                <w:iCs/>
                <w:lang w:val="en-GB"/>
              </w:rPr>
              <w:t>Stakeholders’ comments and suggestions</w:t>
            </w:r>
          </w:p>
        </w:tc>
        <w:tc>
          <w:tcPr>
            <w:tcW w:w="3243" w:type="dxa"/>
            <w:shd w:val="clear" w:color="auto" w:fill="B8CCE4" w:themeFill="accent1" w:themeFillTint="66"/>
            <w:vAlign w:val="center"/>
          </w:tcPr>
          <w:p w14:paraId="4CAE08EE" w14:textId="77777777" w:rsidR="00CC73DD" w:rsidRPr="00361139" w:rsidRDefault="00CC73DD" w:rsidP="00CB5756">
            <w:pPr>
              <w:pStyle w:val="Normal-pool-Table"/>
              <w:rPr>
                <w:i/>
                <w:iCs/>
                <w:lang w:val="en-GB"/>
              </w:rPr>
            </w:pPr>
            <w:r w:rsidRPr="00361139">
              <w:rPr>
                <w:i/>
                <w:iCs/>
                <w:lang w:val="en-GB"/>
              </w:rPr>
              <w:t>Reviewer’s response</w:t>
            </w:r>
          </w:p>
        </w:tc>
      </w:tr>
      <w:tr w:rsidR="00CC73DD" w:rsidRPr="00361139" w14:paraId="3D83E678" w14:textId="77777777" w:rsidTr="008F3D8D">
        <w:trPr>
          <w:trHeight w:val="57"/>
          <w:jc w:val="right"/>
        </w:trPr>
        <w:tc>
          <w:tcPr>
            <w:tcW w:w="1838" w:type="dxa"/>
          </w:tcPr>
          <w:p w14:paraId="5AF5F3F3" w14:textId="77777777" w:rsidR="00CC73DD" w:rsidRPr="00361139" w:rsidRDefault="00CC73DD" w:rsidP="00CB5756">
            <w:pPr>
              <w:pStyle w:val="Normal-pool-Table"/>
              <w:rPr>
                <w:lang w:val="en-GB"/>
              </w:rPr>
            </w:pPr>
            <w:r w:rsidRPr="00361139">
              <w:rPr>
                <w:lang w:val="en-GB"/>
              </w:rPr>
              <w:t>Para 12</w:t>
            </w:r>
          </w:p>
        </w:tc>
        <w:tc>
          <w:tcPr>
            <w:tcW w:w="3226" w:type="dxa"/>
          </w:tcPr>
          <w:p w14:paraId="289C9828" w14:textId="7B33B1C1" w:rsidR="00CC73DD" w:rsidRPr="00361139" w:rsidRDefault="00CC73DD" w:rsidP="00CB5756">
            <w:pPr>
              <w:pStyle w:val="Normal-pool-Table"/>
              <w:rPr>
                <w:lang w:val="en-GB"/>
              </w:rPr>
            </w:pPr>
            <w:r w:rsidRPr="00361139">
              <w:rPr>
                <w:b/>
                <w:bCs/>
                <w:i/>
                <w:lang w:val="en-GB"/>
              </w:rPr>
              <w:t>GEF Sec:</w:t>
            </w:r>
            <w:r w:rsidRPr="00361139">
              <w:rPr>
                <w:lang w:val="en-GB"/>
              </w:rPr>
              <w:t xml:space="preserve"> All multi-country projects and programs, either global or regional have a clearly defined budget per country and during project implementation there is an annual project steering committee which consists of Government focal points that decide and agree on an annual budget against which funds are programmed in that year.</w:t>
            </w:r>
            <w:r w:rsidR="00334B82" w:rsidRPr="00361139">
              <w:rPr>
                <w:lang w:val="en-GB"/>
              </w:rPr>
              <w:t xml:space="preserve"> </w:t>
            </w:r>
            <w:r w:rsidRPr="00361139">
              <w:rPr>
                <w:lang w:val="en-GB"/>
              </w:rPr>
              <w:t>Further countries and agencies report annually through a Project Implementation Report that reports on progress.</w:t>
            </w:r>
            <w:r w:rsidR="00334B82" w:rsidRPr="00361139">
              <w:rPr>
                <w:lang w:val="en-GB"/>
              </w:rPr>
              <w:t xml:space="preserve"> </w:t>
            </w:r>
            <w:r w:rsidRPr="00361139">
              <w:rPr>
                <w:lang w:val="en-GB"/>
              </w:rPr>
              <w:t xml:space="preserve">In </w:t>
            </w:r>
            <w:proofErr w:type="gramStart"/>
            <w:r w:rsidRPr="00361139">
              <w:rPr>
                <w:lang w:val="en-GB"/>
              </w:rPr>
              <w:t>these report</w:t>
            </w:r>
            <w:proofErr w:type="gramEnd"/>
            <w:r w:rsidRPr="00361139">
              <w:rPr>
                <w:lang w:val="en-GB"/>
              </w:rPr>
              <w:t xml:space="preserve"> the issues mentioned in this statement have not been raised.</w:t>
            </w:r>
            <w:r w:rsidR="00334B82" w:rsidRPr="00361139">
              <w:rPr>
                <w:lang w:val="en-GB"/>
              </w:rPr>
              <w:t xml:space="preserve"> </w:t>
            </w:r>
            <w:r w:rsidRPr="00361139">
              <w:rPr>
                <w:lang w:val="en-GB"/>
              </w:rPr>
              <w:t xml:space="preserve">There may be a disconnect between the focal points implementing projects and the convention focal points. </w:t>
            </w:r>
          </w:p>
          <w:p w14:paraId="1A85F912"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discussing a way forward on this text as the statements are not representative of the reality of access of resources during project implementation.</w:t>
            </w:r>
          </w:p>
        </w:tc>
        <w:tc>
          <w:tcPr>
            <w:tcW w:w="3243" w:type="dxa"/>
          </w:tcPr>
          <w:p w14:paraId="20B0E668" w14:textId="77777777" w:rsidR="00CC73DD" w:rsidRPr="00361139" w:rsidRDefault="00CC73DD" w:rsidP="00CB5756">
            <w:pPr>
              <w:pStyle w:val="Normal-pool-Table"/>
              <w:rPr>
                <w:lang w:val="en-GB"/>
              </w:rPr>
            </w:pPr>
            <w:r w:rsidRPr="00361139">
              <w:rPr>
                <w:lang w:val="en-GB"/>
              </w:rPr>
              <w:t>Para. 12 is a summary of the findings listed in Para. 107; in its second part it reports about “The main problems in accessing the funds, as reported by focal points and stakeholders” and, according to the reviewer’s point of view, it is representative of the opinions gathered by this review.</w:t>
            </w:r>
          </w:p>
        </w:tc>
      </w:tr>
      <w:tr w:rsidR="00CC73DD" w:rsidRPr="00361139" w14:paraId="1C71C31E" w14:textId="77777777" w:rsidTr="008F3D8D">
        <w:trPr>
          <w:trHeight w:val="57"/>
          <w:jc w:val="right"/>
        </w:trPr>
        <w:tc>
          <w:tcPr>
            <w:tcW w:w="1838" w:type="dxa"/>
          </w:tcPr>
          <w:p w14:paraId="082D5666" w14:textId="77777777" w:rsidR="00CC73DD" w:rsidRPr="00361139" w:rsidRDefault="00CC73DD" w:rsidP="00CB5756">
            <w:pPr>
              <w:pStyle w:val="Normal-pool-Table"/>
              <w:rPr>
                <w:lang w:val="en-GB"/>
              </w:rPr>
            </w:pPr>
            <w:r w:rsidRPr="00361139">
              <w:rPr>
                <w:lang w:val="en-GB"/>
              </w:rPr>
              <w:t>Para 13</w:t>
            </w:r>
          </w:p>
        </w:tc>
        <w:tc>
          <w:tcPr>
            <w:tcW w:w="3226" w:type="dxa"/>
          </w:tcPr>
          <w:p w14:paraId="4E584180" w14:textId="23BE245F" w:rsidR="00CC73DD" w:rsidRPr="00361139" w:rsidRDefault="00CC73DD" w:rsidP="00CB5756">
            <w:pPr>
              <w:pStyle w:val="Normal-pool-Table"/>
              <w:rPr>
                <w:lang w:val="en-GB"/>
              </w:rPr>
            </w:pPr>
            <w:r w:rsidRPr="00361139">
              <w:rPr>
                <w:b/>
                <w:bCs/>
                <w:i/>
                <w:lang w:val="en-GB"/>
              </w:rPr>
              <w:t>GEF Sec:</w:t>
            </w:r>
            <w:r w:rsidRPr="00361139">
              <w:rPr>
                <w:lang w:val="en-GB"/>
              </w:rPr>
              <w:t xml:space="preserve"> This statement is unclear.</w:t>
            </w:r>
            <w:r w:rsidR="00334B82" w:rsidRPr="00361139">
              <w:rPr>
                <w:lang w:val="en-GB"/>
              </w:rPr>
              <w:t xml:space="preserve"> </w:t>
            </w:r>
            <w:r w:rsidRPr="00361139">
              <w:rPr>
                <w:lang w:val="en-GB"/>
              </w:rPr>
              <w:t>The Enabling activities for Minamata was 7% of the Minamata allocation in GEF-7 and is 7% in GEF 8 while the monetary allocation increased by 30.58% from GEF-7 to 8 therefore there has been an increase in the resources for implementation activities.</w:t>
            </w:r>
            <w:r w:rsidR="00334B82" w:rsidRPr="00361139">
              <w:rPr>
                <w:lang w:val="en-GB"/>
              </w:rPr>
              <w:t xml:space="preserve"> </w:t>
            </w:r>
            <w:r w:rsidRPr="00361139">
              <w:rPr>
                <w:lang w:val="en-GB"/>
              </w:rPr>
              <w:t xml:space="preserve">It is also important to note that to date close to 50% of countries that have ASGM, the biggest source of emissions, have already received funding, which among other things unlocks resources from the private and commercial sectors to amplify the work done by the GEF project. It is also important to note that many countries are not yet Party and as such would not currently be eligible to receive GEF funded as guided by the COP so like in the early phase of Stockholm resources are available for current Parties. </w:t>
            </w:r>
          </w:p>
          <w:p w14:paraId="2AD5990D" w14:textId="411469EB" w:rsidR="00CC73DD" w:rsidRPr="00361139" w:rsidRDefault="00CC73DD" w:rsidP="00CB5756">
            <w:pPr>
              <w:pStyle w:val="Normal-pool-Table"/>
              <w:rPr>
                <w:lang w:val="en-GB"/>
              </w:rPr>
            </w:pPr>
            <w:r w:rsidRPr="00361139">
              <w:rPr>
                <w:i/>
                <w:lang w:val="en-GB"/>
              </w:rPr>
              <w:t>Suggestion:</w:t>
            </w:r>
            <w:r w:rsidRPr="00361139">
              <w:rPr>
                <w:lang w:val="en-GB"/>
              </w:rPr>
              <w:t xml:space="preserve"> While aware that the review covers primarily the GEF-7 period, information on GEF 8 and the existing portfolio has been provided. The statement should be clarified as it can lead to guidance that may impact the GEF 8 period.</w:t>
            </w:r>
            <w:r w:rsidR="00334B82" w:rsidRPr="00361139">
              <w:rPr>
                <w:lang w:val="en-GB"/>
              </w:rPr>
              <w:t xml:space="preserve"> </w:t>
            </w:r>
            <w:r w:rsidRPr="00361139">
              <w:rPr>
                <w:lang w:val="en-GB"/>
              </w:rPr>
              <w:t>It can be reframed such that the GEF receives guidance to increase resources (based on a cost estimate or on the data from MIAs and NAPs) for consideration during the 9</w:t>
            </w:r>
            <w:r w:rsidRPr="00361139">
              <w:rPr>
                <w:vertAlign w:val="superscript"/>
                <w:lang w:val="en-GB"/>
              </w:rPr>
              <w:t>th</w:t>
            </w:r>
            <w:r w:rsidRPr="00361139">
              <w:rPr>
                <w:lang w:val="en-GB"/>
              </w:rPr>
              <w:t xml:space="preserve"> replenishment.</w:t>
            </w:r>
          </w:p>
        </w:tc>
        <w:tc>
          <w:tcPr>
            <w:tcW w:w="3243" w:type="dxa"/>
          </w:tcPr>
          <w:p w14:paraId="5F5D617C" w14:textId="77777777" w:rsidR="00CC73DD" w:rsidRPr="00361139" w:rsidRDefault="00CC73DD" w:rsidP="00CB5756">
            <w:pPr>
              <w:pStyle w:val="Normal-pool-Table"/>
              <w:rPr>
                <w:lang w:val="en-GB"/>
              </w:rPr>
            </w:pPr>
            <w:r w:rsidRPr="00361139">
              <w:rPr>
                <w:lang w:val="en-GB"/>
              </w:rPr>
              <w:t>This review is looking at the data from 111 GEF projects funded under GEF-6 and GEF-7; Paras 13 and 129-130 note that the number of EAs under review, as well as the additional deadlines of the Convention fixed by the COP for the present and coming years, might suggest the need for additional funding with respect to the increase already approved and mentioned in Para 128.</w:t>
            </w:r>
          </w:p>
        </w:tc>
      </w:tr>
      <w:tr w:rsidR="00CC73DD" w:rsidRPr="00361139" w14:paraId="0AA4FCC3" w14:textId="77777777" w:rsidTr="008F3D8D">
        <w:trPr>
          <w:trHeight w:val="57"/>
          <w:jc w:val="right"/>
        </w:trPr>
        <w:tc>
          <w:tcPr>
            <w:tcW w:w="1838" w:type="dxa"/>
          </w:tcPr>
          <w:p w14:paraId="53570D0B" w14:textId="77777777" w:rsidR="00CC73DD" w:rsidRPr="00361139" w:rsidRDefault="00CC73DD" w:rsidP="00CB5756">
            <w:pPr>
              <w:pStyle w:val="Normal-pool-Table"/>
              <w:rPr>
                <w:lang w:val="en-GB"/>
              </w:rPr>
            </w:pPr>
            <w:r w:rsidRPr="00361139">
              <w:rPr>
                <w:lang w:val="en-GB"/>
              </w:rPr>
              <w:t>Para 16</w:t>
            </w:r>
          </w:p>
        </w:tc>
        <w:tc>
          <w:tcPr>
            <w:tcW w:w="3226" w:type="dxa"/>
          </w:tcPr>
          <w:p w14:paraId="4D9C5336" w14:textId="77777777" w:rsidR="00CC73DD" w:rsidRPr="00361139" w:rsidRDefault="00CC73DD" w:rsidP="00CB5756">
            <w:pPr>
              <w:pStyle w:val="Normal-pool-Table"/>
              <w:rPr>
                <w:lang w:val="en-GB"/>
              </w:rPr>
            </w:pPr>
            <w:r w:rsidRPr="00361139">
              <w:rPr>
                <w:b/>
                <w:bCs/>
                <w:i/>
                <w:lang w:val="en-GB"/>
              </w:rPr>
              <w:t>GEF Sec</w:t>
            </w:r>
            <w:r w:rsidRPr="00361139">
              <w:rPr>
                <w:i/>
                <w:lang w:val="en-GB"/>
              </w:rPr>
              <w:t>:</w:t>
            </w:r>
            <w:r w:rsidRPr="00361139">
              <w:rPr>
                <w:lang w:val="en-GB"/>
              </w:rPr>
              <w:t xml:space="preserve"> It would be useful to specify that this would be for GEF-9 as there is no mechanism whereby resources can be increased in GEF-8 as replenishments are pledged amounts that are fixed by the negotiations. </w:t>
            </w:r>
          </w:p>
          <w:p w14:paraId="01310DE5" w14:textId="77777777" w:rsidR="00CC73DD" w:rsidRPr="00361139" w:rsidRDefault="00CC73DD" w:rsidP="00CB5756">
            <w:pPr>
              <w:pStyle w:val="Normal-pool-Table"/>
              <w:rPr>
                <w:lang w:val="en-GB"/>
              </w:rPr>
            </w:pPr>
            <w:r w:rsidRPr="00361139">
              <w:rPr>
                <w:i/>
                <w:lang w:val="en-GB"/>
              </w:rPr>
              <w:lastRenderedPageBreak/>
              <w:t>Suggestion:</w:t>
            </w:r>
            <w:r w:rsidRPr="00361139">
              <w:rPr>
                <w:lang w:val="en-GB"/>
              </w:rPr>
              <w:t xml:space="preserve"> Add text to indicate that this would apply to GEF-9.</w:t>
            </w:r>
          </w:p>
        </w:tc>
        <w:tc>
          <w:tcPr>
            <w:tcW w:w="3243" w:type="dxa"/>
          </w:tcPr>
          <w:p w14:paraId="51EEC469" w14:textId="77777777" w:rsidR="00CC73DD" w:rsidRPr="00361139" w:rsidRDefault="00CC73DD" w:rsidP="00CB5756">
            <w:pPr>
              <w:pStyle w:val="Normal-pool-Table"/>
              <w:rPr>
                <w:lang w:val="en-GB"/>
              </w:rPr>
            </w:pPr>
            <w:r w:rsidRPr="00361139">
              <w:rPr>
                <w:lang w:val="en-GB"/>
              </w:rPr>
              <w:lastRenderedPageBreak/>
              <w:t xml:space="preserve">Para. 16 is part of the summary of the conclusions in the Executive summary and cannot introduce different concepts. </w:t>
            </w:r>
          </w:p>
          <w:p w14:paraId="4FF1CF27" w14:textId="77777777" w:rsidR="00CC73DD" w:rsidRPr="00361139" w:rsidRDefault="00CC73DD" w:rsidP="00CB5756">
            <w:pPr>
              <w:pStyle w:val="Normal-pool-Table"/>
              <w:rPr>
                <w:lang w:val="en-GB"/>
              </w:rPr>
            </w:pPr>
            <w:r w:rsidRPr="00361139">
              <w:rPr>
                <w:lang w:val="en-GB"/>
              </w:rPr>
              <w:t xml:space="preserve">The whole issues of the GEF replenishment(s) </w:t>
            </w:r>
            <w:proofErr w:type="gramStart"/>
            <w:r w:rsidRPr="00361139">
              <w:rPr>
                <w:lang w:val="en-GB"/>
              </w:rPr>
              <w:t>is</w:t>
            </w:r>
            <w:proofErr w:type="gramEnd"/>
            <w:r w:rsidRPr="00361139">
              <w:rPr>
                <w:lang w:val="en-GB"/>
              </w:rPr>
              <w:t xml:space="preserve"> out of the scope of the review: Para 16 states that “the MC </w:t>
            </w:r>
            <w:r w:rsidRPr="00361139">
              <w:rPr>
                <w:lang w:val="en-GB"/>
              </w:rPr>
              <w:lastRenderedPageBreak/>
              <w:t xml:space="preserve">financial mechanism is in need of both a substantial increase of financial resources and a more specific guidance </w:t>
            </w:r>
            <w:r w:rsidRPr="00361139">
              <w:rPr>
                <w:i/>
                <w:lang w:val="en-GB"/>
              </w:rPr>
              <w:t>[to GEF and SIP]</w:t>
            </w:r>
            <w:r w:rsidRPr="00361139">
              <w:rPr>
                <w:lang w:val="en-GB"/>
              </w:rPr>
              <w:t>” without entering into details about how and when this could be done.</w:t>
            </w:r>
          </w:p>
        </w:tc>
      </w:tr>
      <w:tr w:rsidR="00CC73DD" w:rsidRPr="00361139" w14:paraId="2F87830C" w14:textId="77777777" w:rsidTr="008F3D8D">
        <w:trPr>
          <w:trHeight w:val="57"/>
          <w:jc w:val="right"/>
        </w:trPr>
        <w:tc>
          <w:tcPr>
            <w:tcW w:w="1838" w:type="dxa"/>
          </w:tcPr>
          <w:p w14:paraId="76818666" w14:textId="77777777" w:rsidR="00CC73DD" w:rsidRPr="00361139" w:rsidRDefault="00CC73DD" w:rsidP="00CB5756">
            <w:pPr>
              <w:pStyle w:val="Normal-pool-Table"/>
              <w:rPr>
                <w:lang w:val="en-GB"/>
              </w:rPr>
            </w:pPr>
            <w:r w:rsidRPr="00361139">
              <w:rPr>
                <w:lang w:val="en-GB"/>
              </w:rPr>
              <w:lastRenderedPageBreak/>
              <w:t>Recommendation #1</w:t>
            </w:r>
          </w:p>
        </w:tc>
        <w:tc>
          <w:tcPr>
            <w:tcW w:w="3226" w:type="dxa"/>
          </w:tcPr>
          <w:p w14:paraId="620DF4C8"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It is unclear how the analysis presented in the report reaches this recommendation for more defined guidance. </w:t>
            </w:r>
          </w:p>
        </w:tc>
        <w:tc>
          <w:tcPr>
            <w:tcW w:w="3243" w:type="dxa"/>
          </w:tcPr>
          <w:p w14:paraId="4C749511" w14:textId="5B317D58" w:rsidR="00CC73DD" w:rsidRPr="00361139" w:rsidRDefault="00CC73DD" w:rsidP="00CB5756">
            <w:pPr>
              <w:pStyle w:val="Normal-pool-Table"/>
              <w:rPr>
                <w:lang w:val="en-GB"/>
              </w:rPr>
            </w:pPr>
            <w:r w:rsidRPr="00361139">
              <w:rPr>
                <w:lang w:val="en-GB"/>
              </w:rPr>
              <w:t>All recommendations listed in this review are based on the “Conclusions” sub</w:t>
            </w:r>
            <w:r w:rsidR="008F3D8D" w:rsidRPr="00361139">
              <w:rPr>
                <w:lang w:val="en-GB"/>
              </w:rPr>
              <w:noBreakHyphen/>
            </w:r>
            <w:r w:rsidRPr="00361139">
              <w:rPr>
                <w:lang w:val="en-GB"/>
              </w:rPr>
              <w:t>section (Para. 137-155); see response to comments to Para. 147 and 150.</w:t>
            </w:r>
          </w:p>
        </w:tc>
      </w:tr>
      <w:tr w:rsidR="00CC73DD" w:rsidRPr="00361139" w14:paraId="308709D1" w14:textId="77777777" w:rsidTr="008F3D8D">
        <w:trPr>
          <w:trHeight w:val="57"/>
          <w:jc w:val="right"/>
        </w:trPr>
        <w:tc>
          <w:tcPr>
            <w:tcW w:w="1838" w:type="dxa"/>
          </w:tcPr>
          <w:p w14:paraId="7CBB1CFA" w14:textId="77777777" w:rsidR="00CC73DD" w:rsidRPr="00361139" w:rsidRDefault="00CC73DD" w:rsidP="00CB5756">
            <w:pPr>
              <w:pStyle w:val="Normal-pool-Table"/>
              <w:rPr>
                <w:lang w:val="en-GB"/>
              </w:rPr>
            </w:pPr>
            <w:r w:rsidRPr="00361139">
              <w:rPr>
                <w:lang w:val="en-GB"/>
              </w:rPr>
              <w:t>Recommendations #1, #2, #7</w:t>
            </w:r>
          </w:p>
        </w:tc>
        <w:tc>
          <w:tcPr>
            <w:tcW w:w="3226" w:type="dxa"/>
          </w:tcPr>
          <w:p w14:paraId="315396CF" w14:textId="1E68F521" w:rsidR="00CC73DD" w:rsidRPr="00361139" w:rsidRDefault="00CC73DD" w:rsidP="00CB5756">
            <w:pPr>
              <w:pStyle w:val="Normal-pool-Table"/>
              <w:rPr>
                <w:lang w:val="en-GB"/>
              </w:rPr>
            </w:pPr>
            <w:r w:rsidRPr="00361139">
              <w:rPr>
                <w:b/>
                <w:bCs/>
                <w:i/>
                <w:lang w:val="en-GB"/>
              </w:rPr>
              <w:t>GEF Sec:</w:t>
            </w:r>
            <w:r w:rsidRPr="00361139">
              <w:rPr>
                <w:lang w:val="en-GB"/>
              </w:rPr>
              <w:t xml:space="preserve"> These recommendations can only be actioned in the context of the negotiations of the 9</w:t>
            </w:r>
            <w:r w:rsidRPr="00361139">
              <w:rPr>
                <w:vertAlign w:val="superscript"/>
                <w:lang w:val="en-GB"/>
              </w:rPr>
              <w:t>th</w:t>
            </w:r>
            <w:r w:rsidRPr="00361139">
              <w:rPr>
                <w:lang w:val="en-GB"/>
              </w:rPr>
              <w:t xml:space="preserve"> Replenishment as these changes cannot be made in GEF-8 as resources, indicators etc have been fixed by the negotiations. Any additional sub-indicators can only be introduced at the beginning of a new GEF Phase.</w:t>
            </w:r>
            <w:r w:rsidR="00334B82" w:rsidRPr="00361139">
              <w:rPr>
                <w:lang w:val="en-GB"/>
              </w:rPr>
              <w:t xml:space="preserve"> </w:t>
            </w:r>
            <w:r w:rsidRPr="00361139">
              <w:rPr>
                <w:lang w:val="en-GB"/>
              </w:rPr>
              <w:t>So, this can be considered for GEF-9 (July 2026-).</w:t>
            </w:r>
          </w:p>
          <w:p w14:paraId="6ECD63EE"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Separate recommendations that can be actioned in GEF-8 from those that can be actioned in GEF-9.</w:t>
            </w:r>
          </w:p>
        </w:tc>
        <w:tc>
          <w:tcPr>
            <w:tcW w:w="3243" w:type="dxa"/>
          </w:tcPr>
          <w:p w14:paraId="587F8E68" w14:textId="77777777" w:rsidR="00CC73DD" w:rsidRPr="00361139" w:rsidRDefault="00CC73DD" w:rsidP="00CB5756">
            <w:pPr>
              <w:pStyle w:val="Normal-pool-Table"/>
              <w:rPr>
                <w:lang w:val="en-GB"/>
              </w:rPr>
            </w:pPr>
            <w:r w:rsidRPr="00361139">
              <w:rPr>
                <w:lang w:val="en-GB"/>
              </w:rPr>
              <w:t>As also mentioned in other responses, it is the opinion of the reviewer that the way to implement these recommendations is up to the COP in its deliberations.</w:t>
            </w:r>
          </w:p>
        </w:tc>
      </w:tr>
      <w:tr w:rsidR="00CC73DD" w:rsidRPr="00361139" w14:paraId="79ED8FF6" w14:textId="77777777" w:rsidTr="008F3D8D">
        <w:trPr>
          <w:trHeight w:val="57"/>
          <w:jc w:val="right"/>
        </w:trPr>
        <w:tc>
          <w:tcPr>
            <w:tcW w:w="1838" w:type="dxa"/>
          </w:tcPr>
          <w:p w14:paraId="47906F31" w14:textId="77777777" w:rsidR="00CC73DD" w:rsidRPr="00361139" w:rsidRDefault="00CC73DD" w:rsidP="00CB5756">
            <w:pPr>
              <w:pStyle w:val="Normal-pool-Table"/>
              <w:rPr>
                <w:lang w:val="en-GB"/>
              </w:rPr>
            </w:pPr>
            <w:r w:rsidRPr="00361139">
              <w:rPr>
                <w:lang w:val="en-GB"/>
              </w:rPr>
              <w:t>Recommendation #5</w:t>
            </w:r>
          </w:p>
        </w:tc>
        <w:tc>
          <w:tcPr>
            <w:tcW w:w="3226" w:type="dxa"/>
          </w:tcPr>
          <w:p w14:paraId="0B068398" w14:textId="77777777" w:rsidR="00CC73DD" w:rsidRPr="00361139" w:rsidRDefault="00CC73DD" w:rsidP="00CB5756">
            <w:pPr>
              <w:pStyle w:val="Normal-pool-Table"/>
              <w:rPr>
                <w:lang w:val="en-GB"/>
              </w:rPr>
            </w:pPr>
            <w:r w:rsidRPr="00361139">
              <w:rPr>
                <w:i/>
                <w:lang w:val="en-GB"/>
              </w:rPr>
              <w:t>GEF Sec:</w:t>
            </w:r>
            <w:r w:rsidRPr="00361139">
              <w:rPr>
                <w:lang w:val="en-GB"/>
              </w:rPr>
              <w:t xml:space="preserve"> This recommendation seems to point to the utility of using programmatic approaches as a preferred modality for programming particularly in relation to knowledge </w:t>
            </w:r>
            <w:proofErr w:type="gramStart"/>
            <w:r w:rsidRPr="00361139">
              <w:rPr>
                <w:lang w:val="en-GB"/>
              </w:rPr>
              <w:t>hubs</w:t>
            </w:r>
            <w:proofErr w:type="gramEnd"/>
          </w:p>
          <w:p w14:paraId="13F31B10"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Overall, suggest these types of recommendations to be more strategic (“what”), rather than operational in nature (“how” certain support may be provided).</w:t>
            </w:r>
          </w:p>
        </w:tc>
        <w:tc>
          <w:tcPr>
            <w:tcW w:w="3243" w:type="dxa"/>
          </w:tcPr>
          <w:p w14:paraId="7061FB2B" w14:textId="77777777" w:rsidR="00CC73DD" w:rsidRPr="00361139" w:rsidRDefault="00CC73DD" w:rsidP="00CB5756">
            <w:pPr>
              <w:pStyle w:val="Normal-pool-Table"/>
              <w:rPr>
                <w:lang w:val="en-GB"/>
              </w:rPr>
            </w:pPr>
            <w:r w:rsidRPr="00361139">
              <w:rPr>
                <w:lang w:val="en-GB"/>
              </w:rPr>
              <w:t>The suggestion expresses an opinion on the substance of the recommendations that differs from the intention of the reviewer.</w:t>
            </w:r>
          </w:p>
        </w:tc>
      </w:tr>
      <w:tr w:rsidR="00CC73DD" w:rsidRPr="00361139" w14:paraId="488EE541" w14:textId="77777777" w:rsidTr="008F3D8D">
        <w:trPr>
          <w:trHeight w:val="57"/>
          <w:jc w:val="right"/>
        </w:trPr>
        <w:tc>
          <w:tcPr>
            <w:tcW w:w="1838" w:type="dxa"/>
          </w:tcPr>
          <w:p w14:paraId="29B8CD93" w14:textId="77777777" w:rsidR="00CC73DD" w:rsidRPr="00361139" w:rsidRDefault="00CC73DD" w:rsidP="00CB5756">
            <w:pPr>
              <w:pStyle w:val="Normal-pool-Table"/>
              <w:rPr>
                <w:lang w:val="en-GB"/>
              </w:rPr>
            </w:pPr>
            <w:r w:rsidRPr="00361139">
              <w:rPr>
                <w:lang w:val="en-GB"/>
              </w:rPr>
              <w:t>Recommendation #10</w:t>
            </w:r>
          </w:p>
        </w:tc>
        <w:tc>
          <w:tcPr>
            <w:tcW w:w="3226" w:type="dxa"/>
          </w:tcPr>
          <w:p w14:paraId="31B347F6"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Given that the GEF supports multiple conventions, project templates, guidelines, etc. will continue to follow a harmonized approach across the conventions.</w:t>
            </w:r>
          </w:p>
          <w:p w14:paraId="45DC6DC0" w14:textId="78C3D601" w:rsidR="00CC73DD" w:rsidRPr="00361139" w:rsidRDefault="00CC73DD" w:rsidP="00CB5756">
            <w:pPr>
              <w:pStyle w:val="Normal-pool-Table"/>
              <w:rPr>
                <w:lang w:val="en-GB"/>
              </w:rPr>
            </w:pPr>
            <w:r w:rsidRPr="00361139">
              <w:rPr>
                <w:lang w:val="en-GB"/>
              </w:rPr>
              <w:t>Countries have access to 18 GEF agencies which all have the six UN languages available to them to support countries in all languages.</w:t>
            </w:r>
            <w:r w:rsidR="00334B82" w:rsidRPr="00361139">
              <w:rPr>
                <w:lang w:val="en-GB"/>
              </w:rPr>
              <w:t xml:space="preserve"> </w:t>
            </w:r>
            <w:r w:rsidRPr="00361139">
              <w:rPr>
                <w:lang w:val="en-GB"/>
              </w:rPr>
              <w:t>The GEF works via its agencies which writes and uploads projects therefore the recommendation would be unactionable from the GEF side.</w:t>
            </w:r>
            <w:r w:rsidR="00334B82" w:rsidRPr="00361139">
              <w:rPr>
                <w:lang w:val="en-GB"/>
              </w:rPr>
              <w:t xml:space="preserve"> </w:t>
            </w:r>
            <w:r w:rsidRPr="00361139">
              <w:rPr>
                <w:lang w:val="en-GB"/>
              </w:rPr>
              <w:t>Additionally, the GEF conducts regional workshops in the relevant languages that provides information to GEF OFPs and convention focal points on the project application.</w:t>
            </w:r>
          </w:p>
          <w:p w14:paraId="346B403C" w14:textId="77777777" w:rsidR="00CC73DD" w:rsidRPr="00361139" w:rsidRDefault="00CC73DD" w:rsidP="00CB5756">
            <w:pPr>
              <w:pStyle w:val="Normal-pool-Table"/>
              <w:rPr>
                <w:szCs w:val="18"/>
                <w:lang w:val="en-GB"/>
              </w:rPr>
            </w:pPr>
            <w:r w:rsidRPr="00361139">
              <w:rPr>
                <w:lang w:val="en-GB"/>
              </w:rPr>
              <w:t>Additionally, since the time of the review at the 63</w:t>
            </w:r>
            <w:r w:rsidRPr="00361139">
              <w:rPr>
                <w:vertAlign w:val="superscript"/>
                <w:lang w:val="en-GB"/>
              </w:rPr>
              <w:t>rd</w:t>
            </w:r>
            <w:r w:rsidRPr="00361139">
              <w:rPr>
                <w:lang w:val="en-GB"/>
              </w:rPr>
              <w:t xml:space="preserve"> GEF council in November 2022, the GEF Council approved a new COUNTRY ENGAGEMENT </w:t>
            </w:r>
            <w:r w:rsidRPr="00361139">
              <w:rPr>
                <w:szCs w:val="18"/>
                <w:lang w:val="en-GB"/>
              </w:rPr>
              <w:t>STRATEGY IMPLEMENTATION ARRANGEMENTS FOR GEF-8, which will address these issues as it relates to the GEF.</w:t>
            </w:r>
          </w:p>
          <w:p w14:paraId="118BFD57" w14:textId="77777777" w:rsidR="00CC73DD" w:rsidRPr="00361139" w:rsidRDefault="00551D55" w:rsidP="00CB5756">
            <w:pPr>
              <w:pStyle w:val="Normal-pool-Table"/>
              <w:rPr>
                <w:szCs w:val="18"/>
                <w:lang w:val="en-GB"/>
              </w:rPr>
            </w:pPr>
            <w:hyperlink r:id="rId24" w:history="1">
              <w:r w:rsidR="00CC73DD" w:rsidRPr="00361139">
                <w:rPr>
                  <w:rStyle w:val="Hyperlink"/>
                  <w:rFonts w:asciiTheme="majorBidi" w:hAnsiTheme="majorBidi" w:cstheme="majorBidi"/>
                  <w:sz w:val="18"/>
                  <w:szCs w:val="18"/>
                  <w:lang w:val="en-GB"/>
                </w:rPr>
                <w:t>http://www.thegef.org/sites/default/files/documents/2022-11/EN_GEF.C.63.05_Country%20Engagement%20Strategy%20Implementation%20Arrangements-CG_0.pdf</w:t>
              </w:r>
            </w:hyperlink>
          </w:p>
          <w:p w14:paraId="4282A748" w14:textId="77777777" w:rsidR="00CC73DD" w:rsidRPr="00361139" w:rsidRDefault="00CC73DD" w:rsidP="00CB5756">
            <w:pPr>
              <w:pStyle w:val="Normal-pool-Table"/>
              <w:rPr>
                <w:lang w:val="en-GB"/>
              </w:rPr>
            </w:pPr>
            <w:r w:rsidRPr="00361139">
              <w:rPr>
                <w:i/>
                <w:szCs w:val="18"/>
                <w:lang w:val="en-GB"/>
              </w:rPr>
              <w:lastRenderedPageBreak/>
              <w:t>Suggestion:</w:t>
            </w:r>
            <w:r w:rsidRPr="00361139">
              <w:rPr>
                <w:szCs w:val="18"/>
                <w:lang w:val="en-GB"/>
              </w:rPr>
              <w:t xml:space="preserve"> Suggest limiting this recommendation to the </w:t>
            </w:r>
            <w:proofErr w:type="spellStart"/>
            <w:r w:rsidRPr="00361139">
              <w:rPr>
                <w:szCs w:val="18"/>
                <w:lang w:val="en-GB"/>
              </w:rPr>
              <w:t>SiP</w:t>
            </w:r>
            <w:proofErr w:type="spellEnd"/>
            <w:r w:rsidRPr="00361139">
              <w:rPr>
                <w:lang w:val="en-GB"/>
              </w:rPr>
              <w:t xml:space="preserve"> as applicable as it cannot be actioned more than already exists for the GEF.</w:t>
            </w:r>
          </w:p>
        </w:tc>
        <w:tc>
          <w:tcPr>
            <w:tcW w:w="3243" w:type="dxa"/>
          </w:tcPr>
          <w:p w14:paraId="2958433C" w14:textId="77777777" w:rsidR="00CC73DD" w:rsidRPr="00361139" w:rsidRDefault="00CC73DD" w:rsidP="00CB5756">
            <w:pPr>
              <w:pStyle w:val="Normal-pool-Table"/>
              <w:rPr>
                <w:lang w:val="en-GB"/>
              </w:rPr>
            </w:pPr>
            <w:r w:rsidRPr="00361139">
              <w:rPr>
                <w:lang w:val="en-GB"/>
              </w:rPr>
              <w:lastRenderedPageBreak/>
              <w:t xml:space="preserve">The review suggests that “providing guidelines to </w:t>
            </w:r>
            <w:r w:rsidRPr="00361139">
              <w:rPr>
                <w:i/>
                <w:lang w:val="en-GB"/>
              </w:rPr>
              <w:t>[GEF and SIP]</w:t>
            </w:r>
            <w:r w:rsidRPr="00361139">
              <w:rPr>
                <w:lang w:val="en-GB"/>
              </w:rPr>
              <w:t xml:space="preserve"> funding application in different languages and to integrate these guidelines with </w:t>
            </w:r>
            <w:r w:rsidRPr="00361139">
              <w:rPr>
                <w:i/>
                <w:lang w:val="en-GB"/>
              </w:rPr>
              <w:t>ad hoc,</w:t>
            </w:r>
            <w:r w:rsidRPr="00361139">
              <w:rPr>
                <w:lang w:val="en-GB"/>
              </w:rPr>
              <w:t xml:space="preserve"> online, multi-language tools” could improve the efficiency of the FM. </w:t>
            </w:r>
          </w:p>
          <w:p w14:paraId="3A18129D" w14:textId="77777777" w:rsidR="00CC73DD" w:rsidRPr="00361139" w:rsidRDefault="00CC73DD" w:rsidP="00CB5756">
            <w:pPr>
              <w:pStyle w:val="Normal-pool-Table"/>
              <w:rPr>
                <w:lang w:val="en-GB"/>
              </w:rPr>
            </w:pPr>
            <w:r w:rsidRPr="00361139">
              <w:rPr>
                <w:lang w:val="en-GB"/>
              </w:rPr>
              <w:t>As also mentioned in other responses, it is the opinion of the reviewer that the way to implement these recommendations is up to the COP in its deliberations.</w:t>
            </w:r>
          </w:p>
        </w:tc>
      </w:tr>
      <w:tr w:rsidR="00CC73DD" w:rsidRPr="00361139" w14:paraId="57E9AC89" w14:textId="77777777" w:rsidTr="008F3D8D">
        <w:trPr>
          <w:trHeight w:val="57"/>
          <w:jc w:val="right"/>
        </w:trPr>
        <w:tc>
          <w:tcPr>
            <w:tcW w:w="1838" w:type="dxa"/>
          </w:tcPr>
          <w:p w14:paraId="2CFDCEBF" w14:textId="77777777" w:rsidR="00CC73DD" w:rsidRPr="00361139" w:rsidRDefault="00CC73DD" w:rsidP="00CB5756">
            <w:pPr>
              <w:pStyle w:val="Normal-pool-Table"/>
              <w:rPr>
                <w:lang w:val="en-GB"/>
              </w:rPr>
            </w:pPr>
            <w:r w:rsidRPr="00361139">
              <w:rPr>
                <w:lang w:val="en-GB"/>
              </w:rPr>
              <w:t>Table 1</w:t>
            </w:r>
          </w:p>
        </w:tc>
        <w:tc>
          <w:tcPr>
            <w:tcW w:w="3226" w:type="dxa"/>
          </w:tcPr>
          <w:p w14:paraId="1FF150F4"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the caption refers to support level during the period under review (August 2019-July 2022), but the GEF-6 is outside the review period…</w:t>
            </w:r>
          </w:p>
        </w:tc>
        <w:tc>
          <w:tcPr>
            <w:tcW w:w="3243" w:type="dxa"/>
          </w:tcPr>
          <w:p w14:paraId="07BB52C5" w14:textId="77777777" w:rsidR="00CC73DD" w:rsidRPr="00361139" w:rsidRDefault="00CC73DD" w:rsidP="00CB5756">
            <w:pPr>
              <w:pStyle w:val="Normal-pool-Table"/>
              <w:rPr>
                <w:lang w:val="en-GB" w:bidi="en-US"/>
              </w:rPr>
            </w:pPr>
            <w:r w:rsidRPr="00361139">
              <w:rPr>
                <w:lang w:val="en-GB" w:bidi="en-US"/>
              </w:rPr>
              <w:t xml:space="preserve">As for </w:t>
            </w:r>
            <w:proofErr w:type="spellStart"/>
            <w:r w:rsidRPr="00361139">
              <w:rPr>
                <w:lang w:val="en-GB" w:bidi="en-US"/>
              </w:rPr>
              <w:t>ToR</w:t>
            </w:r>
            <w:proofErr w:type="spellEnd"/>
            <w:r w:rsidRPr="00361139">
              <w:rPr>
                <w:lang w:val="en-GB" w:bidi="en-US"/>
              </w:rPr>
              <w:t xml:space="preserve">: “The review will cover the activities of the financial mechanism for the period from August 2019 to July 2022 [...] with particular emphasis on the activities concluded during that period.”, </w:t>
            </w:r>
          </w:p>
          <w:p w14:paraId="386316E6" w14:textId="77777777" w:rsidR="00CC73DD" w:rsidRPr="00361139" w:rsidRDefault="00CC73DD" w:rsidP="00CB5756">
            <w:pPr>
              <w:pStyle w:val="Normal-pool-Table"/>
              <w:rPr>
                <w:lang w:val="en-GB"/>
              </w:rPr>
            </w:pPr>
            <w:r w:rsidRPr="00361139">
              <w:rPr>
                <w:lang w:val="en-GB"/>
              </w:rPr>
              <w:t xml:space="preserve">Para 42 specifies that this review covers “135 active projects” that received “funding in the period under review (August 2019 - July 2022)”. </w:t>
            </w:r>
          </w:p>
          <w:p w14:paraId="4C724C65" w14:textId="77777777" w:rsidR="00CC73DD" w:rsidRPr="00361139" w:rsidRDefault="00CC73DD" w:rsidP="00CB5756">
            <w:pPr>
              <w:pStyle w:val="Normal-pool-Table"/>
              <w:rPr>
                <w:lang w:val="en-GB"/>
              </w:rPr>
            </w:pPr>
            <w:r w:rsidRPr="00361139">
              <w:rPr>
                <w:lang w:val="en-GB"/>
              </w:rPr>
              <w:t>Table 1 “reports the breakdown of these funding by the disbursing entities and their related cycles or rounds”.</w:t>
            </w:r>
          </w:p>
        </w:tc>
      </w:tr>
      <w:tr w:rsidR="00CC73DD" w:rsidRPr="00361139" w14:paraId="03B9D2EF" w14:textId="77777777" w:rsidTr="008F3D8D">
        <w:trPr>
          <w:trHeight w:val="57"/>
          <w:jc w:val="right"/>
        </w:trPr>
        <w:tc>
          <w:tcPr>
            <w:tcW w:w="1838" w:type="dxa"/>
          </w:tcPr>
          <w:p w14:paraId="3A8CE88C" w14:textId="77777777" w:rsidR="00CC73DD" w:rsidRPr="00361139" w:rsidRDefault="00CC73DD" w:rsidP="00CB5756">
            <w:pPr>
              <w:pStyle w:val="Normal-pool-Table"/>
              <w:rPr>
                <w:lang w:val="en-GB"/>
              </w:rPr>
            </w:pPr>
            <w:r w:rsidRPr="00361139">
              <w:rPr>
                <w:lang w:val="en-GB"/>
              </w:rPr>
              <w:t>Para 75</w:t>
            </w:r>
          </w:p>
        </w:tc>
        <w:tc>
          <w:tcPr>
            <w:tcW w:w="3226" w:type="dxa"/>
          </w:tcPr>
          <w:p w14:paraId="4AC22876" w14:textId="73593A1A" w:rsidR="00CC73DD" w:rsidRPr="00361139" w:rsidRDefault="00CC73DD" w:rsidP="00CB5756">
            <w:pPr>
              <w:pStyle w:val="Normal-pool-Table"/>
              <w:rPr>
                <w:lang w:val="en-GB"/>
              </w:rPr>
            </w:pPr>
            <w:r w:rsidRPr="00361139">
              <w:rPr>
                <w:b/>
                <w:bCs/>
                <w:i/>
                <w:lang w:val="en-GB"/>
              </w:rPr>
              <w:t>GEF Sec:</w:t>
            </w:r>
            <w:r w:rsidRPr="00361139">
              <w:rPr>
                <w:lang w:val="en-GB"/>
              </w:rPr>
              <w:t xml:space="preserve"> the appreciation rate of guidance provided by the COP to the GEF and the SIP:</w:t>
            </w:r>
            <w:r w:rsidR="00334B82" w:rsidRPr="00361139">
              <w:rPr>
                <w:lang w:val="en-GB"/>
              </w:rPr>
              <w:t xml:space="preserve"> </w:t>
            </w:r>
            <w:r w:rsidRPr="00361139">
              <w:rPr>
                <w:lang w:val="en-GB"/>
              </w:rPr>
              <w:t>Not quite sure what this means (given that Parties themselves provided guidance) – please clarify.</w:t>
            </w:r>
            <w:r w:rsidR="00334B82" w:rsidRPr="00361139">
              <w:rPr>
                <w:lang w:val="en-GB"/>
              </w:rPr>
              <w:t xml:space="preserve"> </w:t>
            </w:r>
            <w:proofErr w:type="gramStart"/>
            <w:r w:rsidRPr="00361139">
              <w:rPr>
                <w:lang w:val="en-GB"/>
              </w:rPr>
              <w:t>Also</w:t>
            </w:r>
            <w:proofErr w:type="gramEnd"/>
            <w:r w:rsidRPr="00361139">
              <w:rPr>
                <w:lang w:val="en-GB"/>
              </w:rPr>
              <w:t xml:space="preserve"> any way to separate out the response to the GEF and the SIP? </w:t>
            </w:r>
          </w:p>
        </w:tc>
        <w:tc>
          <w:tcPr>
            <w:tcW w:w="3243" w:type="dxa"/>
          </w:tcPr>
          <w:p w14:paraId="15971C66" w14:textId="77777777" w:rsidR="00CC73DD" w:rsidRPr="00361139" w:rsidRDefault="00CC73DD" w:rsidP="00CB5756">
            <w:pPr>
              <w:pStyle w:val="Normal-pool-Table"/>
              <w:rPr>
                <w:lang w:val="en-GB"/>
              </w:rPr>
            </w:pPr>
            <w:r w:rsidRPr="00361139">
              <w:rPr>
                <w:lang w:val="en-GB"/>
              </w:rPr>
              <w:t xml:space="preserve">The </w:t>
            </w:r>
            <w:proofErr w:type="spellStart"/>
            <w:r w:rsidRPr="00361139">
              <w:rPr>
                <w:lang w:val="en-GB"/>
              </w:rPr>
              <w:t>ToR</w:t>
            </w:r>
            <w:proofErr w:type="spellEnd"/>
            <w:r w:rsidRPr="00361139">
              <w:rPr>
                <w:lang w:val="en-GB"/>
              </w:rPr>
              <w:t xml:space="preserve"> for the review </w:t>
            </w:r>
            <w:proofErr w:type="gramStart"/>
            <w:r w:rsidRPr="00361139">
              <w:rPr>
                <w:lang w:val="en-GB"/>
              </w:rPr>
              <w:t>require</w:t>
            </w:r>
            <w:proofErr w:type="gramEnd"/>
            <w:r w:rsidRPr="00361139">
              <w:rPr>
                <w:lang w:val="en-GB"/>
              </w:rPr>
              <w:t xml:space="preserve"> to include an analysis of </w:t>
            </w:r>
            <w:r w:rsidRPr="00361139">
              <w:rPr>
                <w:i/>
                <w:lang w:val="en-GB"/>
              </w:rPr>
              <w:t xml:space="preserve">The guidance provided by the Conference of the Parties to the Global Environment Facility and to the Specific International Programme to Support Capacity-Building and Technical Assistance in their capacity as the entities entrusted with the operation of the financial mechanism”. </w:t>
            </w:r>
            <w:r w:rsidRPr="00361139">
              <w:rPr>
                <w:lang w:val="en-GB"/>
              </w:rPr>
              <w:t>This element, among many others, was also presented in the survey for the assessment of the National Focal Points who indicated an overall appreciation rate of 68% (see question 40 of the survey).</w:t>
            </w:r>
          </w:p>
          <w:p w14:paraId="61292D40" w14:textId="77777777" w:rsidR="00CC73DD" w:rsidRPr="00361139" w:rsidRDefault="00CC73DD" w:rsidP="00CB5756">
            <w:pPr>
              <w:pStyle w:val="Normal-pool-Table"/>
              <w:rPr>
                <w:lang w:val="en-GB"/>
              </w:rPr>
            </w:pPr>
            <w:r w:rsidRPr="00361139">
              <w:rPr>
                <w:lang w:val="en-GB"/>
              </w:rPr>
              <w:t>The survey also required specific appreciations of the separate activities of GEF and SIP to respondents from recipient countries; these rates are reported in Table 7.</w:t>
            </w:r>
          </w:p>
        </w:tc>
      </w:tr>
      <w:tr w:rsidR="00CC73DD" w:rsidRPr="00361139" w14:paraId="673ADAA6" w14:textId="77777777" w:rsidTr="008F3D8D">
        <w:trPr>
          <w:trHeight w:val="57"/>
          <w:jc w:val="right"/>
        </w:trPr>
        <w:tc>
          <w:tcPr>
            <w:tcW w:w="1838" w:type="dxa"/>
          </w:tcPr>
          <w:p w14:paraId="0ADDD6C5" w14:textId="77777777" w:rsidR="00CC73DD" w:rsidRPr="00361139" w:rsidRDefault="00CC73DD" w:rsidP="00CB5756">
            <w:pPr>
              <w:pStyle w:val="Normal-pool-Table"/>
              <w:rPr>
                <w:lang w:val="en-GB"/>
              </w:rPr>
            </w:pPr>
            <w:r w:rsidRPr="00361139">
              <w:rPr>
                <w:lang w:val="en-GB"/>
              </w:rPr>
              <w:t>Para 111</w:t>
            </w:r>
          </w:p>
        </w:tc>
        <w:tc>
          <w:tcPr>
            <w:tcW w:w="3226" w:type="dxa"/>
          </w:tcPr>
          <w:p w14:paraId="7B850307" w14:textId="28D410E1" w:rsidR="00CC73DD" w:rsidRPr="00361139" w:rsidRDefault="00CC73DD" w:rsidP="00CB5756">
            <w:pPr>
              <w:pStyle w:val="Normal-pool-Table"/>
              <w:rPr>
                <w:lang w:val="en-GB"/>
              </w:rPr>
            </w:pPr>
            <w:r w:rsidRPr="00361139">
              <w:rPr>
                <w:b/>
                <w:bCs/>
                <w:i/>
                <w:lang w:val="en-GB"/>
              </w:rPr>
              <w:t>GEF Sec:</w:t>
            </w:r>
            <w:r w:rsidRPr="00361139">
              <w:rPr>
                <w:i/>
                <w:lang w:val="en-GB"/>
              </w:rPr>
              <w:t xml:space="preserve"> </w:t>
            </w:r>
            <w:r w:rsidRPr="00361139">
              <w:rPr>
                <w:lang w:val="en-GB"/>
              </w:rPr>
              <w:t>Can you let us know if this applies to the GEF or the SIP.</w:t>
            </w:r>
            <w:r w:rsidR="00334B82" w:rsidRPr="00361139">
              <w:rPr>
                <w:lang w:val="en-GB"/>
              </w:rPr>
              <w:t xml:space="preserve"> </w:t>
            </w:r>
            <w:r w:rsidRPr="00361139">
              <w:rPr>
                <w:lang w:val="en-GB"/>
              </w:rPr>
              <w:t>Given the difference in the project cycle and likely stakeholder consultation requirements between the GEF and the SIP, it is unclear how such statement could be made without further clarity.</w:t>
            </w:r>
          </w:p>
          <w:p w14:paraId="38D21DFA" w14:textId="6FD37FBE" w:rsidR="00CC73DD" w:rsidRPr="00361139" w:rsidRDefault="00CC73DD" w:rsidP="00CB5756">
            <w:pPr>
              <w:pStyle w:val="Normal-pool-Table"/>
              <w:rPr>
                <w:lang w:val="en-GB"/>
              </w:rPr>
            </w:pPr>
            <w:r w:rsidRPr="00361139">
              <w:rPr>
                <w:lang w:val="en-GB"/>
              </w:rPr>
              <w:t>This point also contradicts the point made by respondents in paragraph 103 on the preparation time for projects.</w:t>
            </w:r>
            <w:r w:rsidR="00334B82" w:rsidRPr="00361139">
              <w:rPr>
                <w:lang w:val="en-GB"/>
              </w:rPr>
              <w:t xml:space="preserve"> </w:t>
            </w:r>
            <w:r w:rsidRPr="00361139">
              <w:rPr>
                <w:lang w:val="en-GB"/>
              </w:rPr>
              <w:t xml:space="preserve">This time built into preparation of GEF projects is to facilitate the widest possible stakeholder engagement. </w:t>
            </w:r>
          </w:p>
          <w:p w14:paraId="6FD4D22A"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nuancing the text to indicate the contradictions. </w:t>
            </w:r>
          </w:p>
        </w:tc>
        <w:tc>
          <w:tcPr>
            <w:tcW w:w="3243" w:type="dxa"/>
          </w:tcPr>
          <w:p w14:paraId="528F8700" w14:textId="77777777" w:rsidR="00CC73DD" w:rsidRPr="00361139" w:rsidRDefault="00CC73DD" w:rsidP="00CB5756">
            <w:pPr>
              <w:pStyle w:val="Normal-pool-Table"/>
              <w:rPr>
                <w:lang w:val="en-GB"/>
              </w:rPr>
            </w:pPr>
            <w:r w:rsidRPr="00361139">
              <w:rPr>
                <w:lang w:val="en-GB"/>
              </w:rPr>
              <w:t xml:space="preserve">Para 111 reports comments from “some focal points” which, as implied in the text, referred to both GEF and SIP projects. </w:t>
            </w:r>
          </w:p>
        </w:tc>
      </w:tr>
      <w:tr w:rsidR="00CC73DD" w:rsidRPr="00361139" w14:paraId="59BE28C5" w14:textId="77777777" w:rsidTr="008F3D8D">
        <w:trPr>
          <w:trHeight w:val="57"/>
          <w:jc w:val="right"/>
        </w:trPr>
        <w:tc>
          <w:tcPr>
            <w:tcW w:w="1838" w:type="dxa"/>
          </w:tcPr>
          <w:p w14:paraId="57E2EF5D" w14:textId="77777777" w:rsidR="00CC73DD" w:rsidRPr="00361139" w:rsidRDefault="00CC73DD" w:rsidP="00CB5756">
            <w:pPr>
              <w:pStyle w:val="Normal-pool-Table"/>
              <w:rPr>
                <w:lang w:val="en-GB"/>
              </w:rPr>
            </w:pPr>
            <w:r w:rsidRPr="00361139">
              <w:rPr>
                <w:lang w:val="en-GB"/>
              </w:rPr>
              <w:t>Figure 1</w:t>
            </w:r>
          </w:p>
        </w:tc>
        <w:tc>
          <w:tcPr>
            <w:tcW w:w="3226" w:type="dxa"/>
          </w:tcPr>
          <w:p w14:paraId="3805B38E"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From the data provided by the GEF a similar graphic can be developed, with the proviso that the </w:t>
            </w:r>
            <w:proofErr w:type="spellStart"/>
            <w:r w:rsidRPr="00361139">
              <w:rPr>
                <w:lang w:val="en-GB"/>
              </w:rPr>
              <w:t>SiP</w:t>
            </w:r>
            <w:proofErr w:type="spellEnd"/>
            <w:r w:rsidRPr="00361139">
              <w:rPr>
                <w:lang w:val="en-GB"/>
              </w:rPr>
              <w:t xml:space="preserve"> and the GEF fundamentally fund different activities and have different guidance from the COP in this </w:t>
            </w:r>
            <w:proofErr w:type="gramStart"/>
            <w:r w:rsidRPr="00361139">
              <w:rPr>
                <w:lang w:val="en-GB"/>
              </w:rPr>
              <w:t>regard</w:t>
            </w:r>
            <w:proofErr w:type="gramEnd"/>
          </w:p>
          <w:p w14:paraId="4DC61039"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adding a similar figure on the GEF funded projects that includes not only number of projects but </w:t>
            </w:r>
            <w:proofErr w:type="gramStart"/>
            <w:r w:rsidRPr="00361139">
              <w:rPr>
                <w:lang w:val="en-GB"/>
              </w:rPr>
              <w:t>amount</w:t>
            </w:r>
            <w:proofErr w:type="gramEnd"/>
            <w:r w:rsidRPr="00361139">
              <w:rPr>
                <w:lang w:val="en-GB"/>
              </w:rPr>
              <w:t xml:space="preserve"> of resources.</w:t>
            </w:r>
          </w:p>
        </w:tc>
        <w:tc>
          <w:tcPr>
            <w:tcW w:w="3243" w:type="dxa"/>
          </w:tcPr>
          <w:p w14:paraId="4269390B" w14:textId="77777777" w:rsidR="00CC73DD" w:rsidRPr="00361139" w:rsidRDefault="00CC73DD" w:rsidP="00CB5756">
            <w:pPr>
              <w:pStyle w:val="Normal-pool-Table"/>
              <w:rPr>
                <w:lang w:val="en-GB"/>
              </w:rPr>
            </w:pPr>
            <w:r w:rsidRPr="00361139">
              <w:rPr>
                <w:lang w:val="en-GB"/>
              </w:rPr>
              <w:t xml:space="preserve">As mentioned in the title, Fig.1 was provided as courtesy of the Secretariat. Time limitations did not allow the preparation of additional figures. </w:t>
            </w:r>
          </w:p>
        </w:tc>
      </w:tr>
      <w:tr w:rsidR="00CC73DD" w:rsidRPr="00361139" w14:paraId="5866D30E" w14:textId="77777777" w:rsidTr="008F3D8D">
        <w:trPr>
          <w:trHeight w:val="57"/>
          <w:jc w:val="right"/>
        </w:trPr>
        <w:tc>
          <w:tcPr>
            <w:tcW w:w="1838" w:type="dxa"/>
          </w:tcPr>
          <w:p w14:paraId="6F2EFC3C" w14:textId="77777777" w:rsidR="00CC73DD" w:rsidRPr="00361139" w:rsidRDefault="00CC73DD" w:rsidP="00CB5756">
            <w:pPr>
              <w:pStyle w:val="Normal-pool-Table"/>
              <w:rPr>
                <w:lang w:val="en-GB"/>
              </w:rPr>
            </w:pPr>
            <w:r w:rsidRPr="00361139">
              <w:rPr>
                <w:lang w:val="en-GB"/>
              </w:rPr>
              <w:t>Para 125</w:t>
            </w:r>
          </w:p>
        </w:tc>
        <w:tc>
          <w:tcPr>
            <w:tcW w:w="3226" w:type="dxa"/>
          </w:tcPr>
          <w:p w14:paraId="788F6E7F"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This paragraph is contradicting earlier statements particularly captured in comment 6 </w:t>
            </w:r>
            <w:r w:rsidRPr="00361139">
              <w:rPr>
                <w:i/>
                <w:lang w:val="en-GB"/>
              </w:rPr>
              <w:t>[Para 12]</w:t>
            </w:r>
            <w:r w:rsidRPr="00361139">
              <w:rPr>
                <w:lang w:val="en-GB"/>
              </w:rPr>
              <w:t xml:space="preserve"> as the para 125 seems to suggest that no significant problems were experienced </w:t>
            </w:r>
            <w:r w:rsidRPr="00361139">
              <w:rPr>
                <w:lang w:val="en-GB"/>
              </w:rPr>
              <w:lastRenderedPageBreak/>
              <w:t xml:space="preserve">with the funding entities, </w:t>
            </w:r>
            <w:proofErr w:type="gramStart"/>
            <w:r w:rsidRPr="00361139">
              <w:rPr>
                <w:lang w:val="en-GB"/>
              </w:rPr>
              <w:t>i.e.</w:t>
            </w:r>
            <w:proofErr w:type="gramEnd"/>
            <w:r w:rsidRPr="00361139">
              <w:rPr>
                <w:lang w:val="en-GB"/>
              </w:rPr>
              <w:t xml:space="preserve"> the GEF and the </w:t>
            </w:r>
            <w:proofErr w:type="spellStart"/>
            <w:r w:rsidRPr="00361139">
              <w:rPr>
                <w:lang w:val="en-GB"/>
              </w:rPr>
              <w:t>SiP</w:t>
            </w:r>
            <w:proofErr w:type="spellEnd"/>
            <w:r w:rsidRPr="00361139">
              <w:rPr>
                <w:lang w:val="en-GB"/>
              </w:rPr>
              <w:t xml:space="preserve">. </w:t>
            </w:r>
          </w:p>
          <w:p w14:paraId="318F0323"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removing the contradictions throughout the document.</w:t>
            </w:r>
          </w:p>
        </w:tc>
        <w:tc>
          <w:tcPr>
            <w:tcW w:w="3243" w:type="dxa"/>
          </w:tcPr>
          <w:p w14:paraId="56781913" w14:textId="77777777" w:rsidR="00CC73DD" w:rsidRPr="00361139" w:rsidRDefault="00CC73DD" w:rsidP="00CB5756">
            <w:pPr>
              <w:pStyle w:val="Normal-pool-Table"/>
              <w:rPr>
                <w:lang w:val="en-GB"/>
              </w:rPr>
            </w:pPr>
            <w:r w:rsidRPr="00361139">
              <w:rPr>
                <w:lang w:val="en-GB"/>
              </w:rPr>
              <w:lastRenderedPageBreak/>
              <w:t>Para 125 refer to an overall assessment by NFPs (no “significant” problems), other paragraphs, throughout the documents, report specific comments shared during survey and interviews (</w:t>
            </w:r>
            <w:proofErr w:type="gramStart"/>
            <w:r w:rsidRPr="00361139">
              <w:rPr>
                <w:lang w:val="en-GB"/>
              </w:rPr>
              <w:t>i.e.</w:t>
            </w:r>
            <w:proofErr w:type="gramEnd"/>
            <w:r w:rsidRPr="00361139">
              <w:rPr>
                <w:lang w:val="en-GB"/>
              </w:rPr>
              <w:t xml:space="preserve"> </w:t>
            </w:r>
            <w:r w:rsidRPr="00361139">
              <w:rPr>
                <w:lang w:val="en-GB"/>
              </w:rPr>
              <w:lastRenderedPageBreak/>
              <w:t>“some focal points commented that…” in Para 111).</w:t>
            </w:r>
          </w:p>
        </w:tc>
      </w:tr>
      <w:tr w:rsidR="00CC73DD" w:rsidRPr="00361139" w14:paraId="64A7DEC6" w14:textId="77777777" w:rsidTr="008F3D8D">
        <w:trPr>
          <w:trHeight w:val="57"/>
          <w:jc w:val="right"/>
        </w:trPr>
        <w:tc>
          <w:tcPr>
            <w:tcW w:w="1838" w:type="dxa"/>
          </w:tcPr>
          <w:p w14:paraId="7BBBA22A" w14:textId="77777777" w:rsidR="00CC73DD" w:rsidRPr="00361139" w:rsidRDefault="00CC73DD" w:rsidP="00CB5756">
            <w:pPr>
              <w:pStyle w:val="Normal-pool-Table"/>
              <w:rPr>
                <w:lang w:val="en-GB"/>
              </w:rPr>
            </w:pPr>
            <w:r w:rsidRPr="00361139">
              <w:rPr>
                <w:lang w:val="en-GB"/>
              </w:rPr>
              <w:lastRenderedPageBreak/>
              <w:t>Para 129</w:t>
            </w:r>
          </w:p>
        </w:tc>
        <w:tc>
          <w:tcPr>
            <w:tcW w:w="3226" w:type="dxa"/>
          </w:tcPr>
          <w:p w14:paraId="68491C8B"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Same comment as 7 </w:t>
            </w:r>
            <w:r w:rsidRPr="00361139">
              <w:rPr>
                <w:i/>
                <w:lang w:val="en-GB"/>
              </w:rPr>
              <w:t>[Para 13]</w:t>
            </w:r>
            <w:r w:rsidRPr="00361139">
              <w:rPr>
                <w:lang w:val="en-GB"/>
              </w:rPr>
              <w:t xml:space="preserve"> above. </w:t>
            </w:r>
          </w:p>
          <w:p w14:paraId="57D8E0ED"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w:t>
            </w:r>
            <w:proofErr w:type="gramStart"/>
            <w:r w:rsidRPr="00361139">
              <w:rPr>
                <w:lang w:val="en-GB"/>
              </w:rPr>
              <w:t>clarify</w:t>
            </w:r>
            <w:proofErr w:type="gramEnd"/>
            <w:r w:rsidRPr="00361139">
              <w:rPr>
                <w:lang w:val="en-GB"/>
              </w:rPr>
              <w:t xml:space="preserve"> the ask using data on actual needs and recognizing that all countries are not yet parties and that the majority of funds in GEF 7 and GEF (93%) are allocated to non-EA projects for Minamata with the proviso that GEF-8 allocation for Minamata is 30.58% higher than GEF-7.</w:t>
            </w:r>
          </w:p>
        </w:tc>
        <w:tc>
          <w:tcPr>
            <w:tcW w:w="3243" w:type="dxa"/>
          </w:tcPr>
          <w:p w14:paraId="3639DB89" w14:textId="77777777" w:rsidR="00CC73DD" w:rsidRPr="00361139" w:rsidRDefault="00CC73DD" w:rsidP="00CB5756">
            <w:pPr>
              <w:pStyle w:val="Normal-pool-Table"/>
              <w:rPr>
                <w:lang w:val="en-GB"/>
              </w:rPr>
            </w:pPr>
            <w:r w:rsidRPr="00361139">
              <w:rPr>
                <w:lang w:val="en-GB"/>
              </w:rPr>
              <w:t>See response to Para 13.</w:t>
            </w:r>
          </w:p>
        </w:tc>
      </w:tr>
      <w:tr w:rsidR="00CC73DD" w:rsidRPr="00361139" w14:paraId="3736483D" w14:textId="77777777" w:rsidTr="008F3D8D">
        <w:trPr>
          <w:trHeight w:val="57"/>
          <w:jc w:val="right"/>
        </w:trPr>
        <w:tc>
          <w:tcPr>
            <w:tcW w:w="1838" w:type="dxa"/>
          </w:tcPr>
          <w:p w14:paraId="171A4120" w14:textId="77777777" w:rsidR="00CC73DD" w:rsidRPr="00361139" w:rsidRDefault="00CC73DD" w:rsidP="00CB5756">
            <w:pPr>
              <w:pStyle w:val="Normal-pool-Table"/>
              <w:rPr>
                <w:lang w:val="en-GB"/>
              </w:rPr>
            </w:pPr>
            <w:r w:rsidRPr="00361139">
              <w:rPr>
                <w:lang w:val="en-GB"/>
              </w:rPr>
              <w:t>Para 131</w:t>
            </w:r>
          </w:p>
        </w:tc>
        <w:tc>
          <w:tcPr>
            <w:tcW w:w="3226" w:type="dxa"/>
          </w:tcPr>
          <w:p w14:paraId="65413161"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Please see comment 8 </w:t>
            </w:r>
            <w:r w:rsidRPr="00361139">
              <w:rPr>
                <w:i/>
                <w:lang w:val="en-GB"/>
              </w:rPr>
              <w:t>[Para 13]</w:t>
            </w:r>
          </w:p>
        </w:tc>
        <w:tc>
          <w:tcPr>
            <w:tcW w:w="3243" w:type="dxa"/>
          </w:tcPr>
          <w:p w14:paraId="11103E64" w14:textId="77777777" w:rsidR="00CC73DD" w:rsidRPr="00361139" w:rsidRDefault="00CC73DD" w:rsidP="00CB5756">
            <w:pPr>
              <w:pStyle w:val="Normal-pool-Table"/>
              <w:rPr>
                <w:lang w:val="en-GB"/>
              </w:rPr>
            </w:pPr>
            <w:r w:rsidRPr="00361139">
              <w:rPr>
                <w:lang w:val="en-GB"/>
              </w:rPr>
              <w:t>See response to Para 13.</w:t>
            </w:r>
          </w:p>
        </w:tc>
      </w:tr>
      <w:tr w:rsidR="00CC73DD" w:rsidRPr="00361139" w14:paraId="3C5757C7" w14:textId="77777777" w:rsidTr="008F3D8D">
        <w:trPr>
          <w:trHeight w:val="57"/>
          <w:jc w:val="right"/>
        </w:trPr>
        <w:tc>
          <w:tcPr>
            <w:tcW w:w="1838" w:type="dxa"/>
          </w:tcPr>
          <w:p w14:paraId="387E11B2" w14:textId="77777777" w:rsidR="00CC73DD" w:rsidRPr="00361139" w:rsidRDefault="00CC73DD" w:rsidP="00CB5756">
            <w:pPr>
              <w:pStyle w:val="Normal-pool-Table"/>
              <w:rPr>
                <w:lang w:val="en-GB"/>
              </w:rPr>
            </w:pPr>
            <w:r w:rsidRPr="00361139">
              <w:rPr>
                <w:lang w:val="en-GB"/>
              </w:rPr>
              <w:t>Para 136</w:t>
            </w:r>
          </w:p>
        </w:tc>
        <w:tc>
          <w:tcPr>
            <w:tcW w:w="3226" w:type="dxa"/>
          </w:tcPr>
          <w:p w14:paraId="5779A2B8"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The conclusion made is not based on a needs assessment and does not accurately account (at face value) on the work already ongoing covering </w:t>
            </w:r>
            <w:proofErr w:type="gramStart"/>
            <w:r w:rsidRPr="00361139">
              <w:rPr>
                <w:lang w:val="en-GB"/>
              </w:rPr>
              <w:t>the majority of</w:t>
            </w:r>
            <w:proofErr w:type="gramEnd"/>
            <w:r w:rsidRPr="00361139">
              <w:rPr>
                <w:lang w:val="en-GB"/>
              </w:rPr>
              <w:t xml:space="preserve"> activities to be funded by the FM. As presented this statement can be misleading as earlier information indicates that parties are satisfied with the funding and that to date (at least for the GEF) all needs have been funded. </w:t>
            </w:r>
          </w:p>
          <w:p w14:paraId="70644A80"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re-wording to reflect that as more countries join the convention, additional resources will be required in GEF-9.</w:t>
            </w:r>
          </w:p>
        </w:tc>
        <w:tc>
          <w:tcPr>
            <w:tcW w:w="3243" w:type="dxa"/>
          </w:tcPr>
          <w:p w14:paraId="528B12A6" w14:textId="77777777" w:rsidR="00CC73DD" w:rsidRPr="00361139" w:rsidRDefault="00CC73DD" w:rsidP="00CB5756">
            <w:pPr>
              <w:pStyle w:val="Normal-pool-Table"/>
              <w:rPr>
                <w:lang w:val="en-GB"/>
              </w:rPr>
            </w:pPr>
            <w:r w:rsidRPr="00361139">
              <w:rPr>
                <w:lang w:val="en-GB"/>
              </w:rPr>
              <w:t xml:space="preserve">Text in Para 136 does not refer to new countries joining the Convention but to the entering of the Convention in “a more mature phase of its implementation” and that in the immediate future there will be “undeniable needs for medium and </w:t>
            </w:r>
            <w:proofErr w:type="gramStart"/>
            <w:r w:rsidRPr="00361139">
              <w:rPr>
                <w:lang w:val="en-GB"/>
              </w:rPr>
              <w:t>full size</w:t>
            </w:r>
            <w:proofErr w:type="gramEnd"/>
            <w:r w:rsidRPr="00361139">
              <w:rPr>
                <w:lang w:val="en-GB"/>
              </w:rPr>
              <w:t xml:space="preserve"> projects that will have an important impact on the level of funds needed by the recipient countries for the implementation of the objectives of the Convention” (Para 129).</w:t>
            </w:r>
          </w:p>
        </w:tc>
      </w:tr>
      <w:tr w:rsidR="00CC73DD" w:rsidRPr="00361139" w14:paraId="6FD8D471" w14:textId="77777777" w:rsidTr="008F3D8D">
        <w:trPr>
          <w:trHeight w:val="57"/>
          <w:jc w:val="right"/>
        </w:trPr>
        <w:tc>
          <w:tcPr>
            <w:tcW w:w="1838" w:type="dxa"/>
          </w:tcPr>
          <w:p w14:paraId="7DCF2F3A" w14:textId="77777777" w:rsidR="00CC73DD" w:rsidRPr="00361139" w:rsidRDefault="00CC73DD" w:rsidP="00CB5756">
            <w:pPr>
              <w:pStyle w:val="Normal-pool-Table"/>
              <w:rPr>
                <w:lang w:val="en-GB"/>
              </w:rPr>
            </w:pPr>
            <w:r w:rsidRPr="00361139">
              <w:rPr>
                <w:lang w:val="en-GB"/>
              </w:rPr>
              <w:t>Paras 139, 140</w:t>
            </w:r>
          </w:p>
        </w:tc>
        <w:tc>
          <w:tcPr>
            <w:tcW w:w="3226" w:type="dxa"/>
          </w:tcPr>
          <w:p w14:paraId="1053BE48" w14:textId="77777777" w:rsidR="00CC73DD" w:rsidRPr="00361139" w:rsidRDefault="00CC73DD" w:rsidP="00CB5756">
            <w:pPr>
              <w:pStyle w:val="Normal-pool-Table"/>
              <w:rPr>
                <w:lang w:val="en-GB"/>
              </w:rPr>
            </w:pPr>
            <w:r w:rsidRPr="00361139">
              <w:rPr>
                <w:b/>
                <w:bCs/>
                <w:i/>
                <w:lang w:val="en-GB"/>
              </w:rPr>
              <w:t>GEF Sec:</w:t>
            </w:r>
            <w:r w:rsidRPr="00361139">
              <w:rPr>
                <w:lang w:val="en-GB"/>
              </w:rPr>
              <w:t xml:space="preserve"> These are valid conclusions, but for clarity particularly in the context of new guidance in the case of the GEF that is it is explicitly stated that this would be for the consideration of the negotiations of the 9</w:t>
            </w:r>
            <w:r w:rsidRPr="00361139">
              <w:rPr>
                <w:vertAlign w:val="superscript"/>
                <w:lang w:val="en-GB"/>
              </w:rPr>
              <w:t>th</w:t>
            </w:r>
            <w:r w:rsidRPr="00361139">
              <w:rPr>
                <w:lang w:val="en-GB"/>
              </w:rPr>
              <w:t xml:space="preserve"> replenishment.</w:t>
            </w:r>
          </w:p>
          <w:p w14:paraId="77B78D85" w14:textId="77777777" w:rsidR="00CC73DD" w:rsidRPr="00361139" w:rsidRDefault="00CC73DD" w:rsidP="00CB5756">
            <w:pPr>
              <w:pStyle w:val="Normal-pool-Table"/>
              <w:rPr>
                <w:lang w:val="en-GB"/>
              </w:rPr>
            </w:pPr>
            <w:r w:rsidRPr="00361139">
              <w:rPr>
                <w:lang w:val="en-GB"/>
              </w:rPr>
              <w:t xml:space="preserve">Additionally, on Para 139: Please clarify what is meant by in need of a more specific guidance and Para 140: There is little information presented in the report regarding the need for domestic resource mobilization, or how to leverage additional resources. </w:t>
            </w:r>
          </w:p>
          <w:p w14:paraId="57BD1E74" w14:textId="77777777" w:rsidR="00CC73DD" w:rsidRPr="00361139" w:rsidRDefault="00CC73DD" w:rsidP="00CB5756">
            <w:pPr>
              <w:pStyle w:val="Normal-pool-Table"/>
              <w:rPr>
                <w:lang w:val="en-GB"/>
              </w:rPr>
            </w:pPr>
            <w:r w:rsidRPr="00361139">
              <w:rPr>
                <w:i/>
                <w:lang w:val="en-GB"/>
              </w:rPr>
              <w:t>Suggestion:</w:t>
            </w:r>
            <w:r w:rsidRPr="00361139">
              <w:rPr>
                <w:lang w:val="en-GB"/>
              </w:rPr>
              <w:t xml:space="preserve"> Suggest rewording to be explicit to the two parts of the FM and clearly indicate that for the GEF this would be guidance to be considered in the negotiations of the 9</w:t>
            </w:r>
            <w:r w:rsidRPr="00361139">
              <w:rPr>
                <w:vertAlign w:val="superscript"/>
                <w:lang w:val="en-GB"/>
              </w:rPr>
              <w:t>th</w:t>
            </w:r>
            <w:r w:rsidRPr="00361139">
              <w:rPr>
                <w:lang w:val="en-GB"/>
              </w:rPr>
              <w:t xml:space="preserve"> replenishment as new funding cannot be allocated in GEF-8 as previously explained.</w:t>
            </w:r>
          </w:p>
        </w:tc>
        <w:tc>
          <w:tcPr>
            <w:tcW w:w="3243" w:type="dxa"/>
          </w:tcPr>
          <w:p w14:paraId="0D461ACA" w14:textId="77777777" w:rsidR="00CC73DD" w:rsidRPr="00361139" w:rsidRDefault="00CC73DD" w:rsidP="00CB5756">
            <w:pPr>
              <w:pStyle w:val="Normal-pool-Table"/>
              <w:rPr>
                <w:lang w:val="en-GB"/>
              </w:rPr>
            </w:pPr>
            <w:r w:rsidRPr="00361139">
              <w:rPr>
                <w:lang w:val="en-GB"/>
              </w:rPr>
              <w:t xml:space="preserve">This review suggests there is a need for more specific guidance to both entities; </w:t>
            </w:r>
            <w:proofErr w:type="gramStart"/>
            <w:r w:rsidRPr="00361139">
              <w:rPr>
                <w:lang w:val="en-GB"/>
              </w:rPr>
              <w:t>in particular Paras</w:t>
            </w:r>
            <w:proofErr w:type="gramEnd"/>
            <w:r w:rsidRPr="00361139">
              <w:rPr>
                <w:lang w:val="en-GB"/>
              </w:rPr>
              <w:t xml:space="preserve">. 140-150 (and recommendations </w:t>
            </w:r>
            <w:r w:rsidRPr="00361139">
              <w:rPr>
                <w:bCs/>
                <w:lang w:val="en-GB"/>
              </w:rPr>
              <w:t>#</w:t>
            </w:r>
            <w:r w:rsidRPr="00361139">
              <w:rPr>
                <w:lang w:val="en-GB"/>
              </w:rPr>
              <w:t xml:space="preserve">4 to </w:t>
            </w:r>
            <w:r w:rsidRPr="00361139">
              <w:rPr>
                <w:bCs/>
                <w:lang w:val="en-GB"/>
              </w:rPr>
              <w:t>#</w:t>
            </w:r>
            <w:r w:rsidRPr="00361139">
              <w:rPr>
                <w:lang w:val="en-GB"/>
              </w:rPr>
              <w:t xml:space="preserve">11) indicates in which direction this guidance might go. </w:t>
            </w:r>
          </w:p>
          <w:p w14:paraId="557E7845" w14:textId="77777777" w:rsidR="00CC73DD" w:rsidRPr="00361139" w:rsidRDefault="00CC73DD" w:rsidP="00CB5756">
            <w:pPr>
              <w:pStyle w:val="Normal-pool-Table"/>
              <w:rPr>
                <w:lang w:val="en-GB"/>
              </w:rPr>
            </w:pPr>
            <w:r w:rsidRPr="00361139">
              <w:rPr>
                <w:lang w:val="en-GB"/>
              </w:rPr>
              <w:t xml:space="preserve">Other than that, and as also mentioned in other responses, it is the opinion of the reviewer that the way to implement these recommendations is up to the COP in its </w:t>
            </w:r>
            <w:proofErr w:type="gramStart"/>
            <w:r w:rsidRPr="00361139">
              <w:rPr>
                <w:lang w:val="en-GB"/>
              </w:rPr>
              <w:t>deliberations..</w:t>
            </w:r>
            <w:proofErr w:type="gramEnd"/>
          </w:p>
        </w:tc>
      </w:tr>
      <w:tr w:rsidR="00CC73DD" w:rsidRPr="00361139" w14:paraId="77D178EE" w14:textId="77777777" w:rsidTr="008F3D8D">
        <w:trPr>
          <w:trHeight w:val="57"/>
          <w:jc w:val="right"/>
        </w:trPr>
        <w:tc>
          <w:tcPr>
            <w:tcW w:w="1838" w:type="dxa"/>
          </w:tcPr>
          <w:p w14:paraId="6C5AEA09" w14:textId="77777777" w:rsidR="00CC73DD" w:rsidRPr="00361139" w:rsidRDefault="00CC73DD" w:rsidP="00CB5756">
            <w:pPr>
              <w:pStyle w:val="Normal-pool-Table"/>
              <w:rPr>
                <w:lang w:val="en-GB"/>
              </w:rPr>
            </w:pPr>
            <w:r w:rsidRPr="00361139">
              <w:rPr>
                <w:lang w:val="en-GB"/>
              </w:rPr>
              <w:t>Paras 147 and 150</w:t>
            </w:r>
          </w:p>
        </w:tc>
        <w:tc>
          <w:tcPr>
            <w:tcW w:w="3226" w:type="dxa"/>
          </w:tcPr>
          <w:p w14:paraId="76D14630" w14:textId="4FFD3C23" w:rsidR="00CC73DD" w:rsidRPr="00361139" w:rsidRDefault="00CC73DD" w:rsidP="00CB5756">
            <w:pPr>
              <w:pStyle w:val="Normal-pool-Table"/>
              <w:rPr>
                <w:lang w:val="en-GB"/>
              </w:rPr>
            </w:pPr>
            <w:r w:rsidRPr="00361139">
              <w:rPr>
                <w:b/>
                <w:bCs/>
                <w:i/>
                <w:lang w:val="en-GB"/>
              </w:rPr>
              <w:t>GEF Sec:</w:t>
            </w:r>
            <w:r w:rsidRPr="00361139">
              <w:rPr>
                <w:lang w:val="en-GB"/>
              </w:rPr>
              <w:t xml:space="preserve"> Please clarify how these specific conclusions are supported by the analysis in earlier sections.</w:t>
            </w:r>
            <w:r w:rsidR="00334B82" w:rsidRPr="00361139">
              <w:rPr>
                <w:lang w:val="en-GB"/>
              </w:rPr>
              <w:t xml:space="preserve"> </w:t>
            </w:r>
            <w:r w:rsidRPr="00361139">
              <w:rPr>
                <w:lang w:val="en-GB"/>
              </w:rPr>
              <w:t xml:space="preserve">It is unclear how the analysis supports the need for specific guidance to the GEF on specific opportunities. Also, it is unclear how the higher-level definition in monitoring and the reporting of projects supported would increase efficiency, based on the analysis presented. </w:t>
            </w:r>
          </w:p>
        </w:tc>
        <w:tc>
          <w:tcPr>
            <w:tcW w:w="3243" w:type="dxa"/>
          </w:tcPr>
          <w:p w14:paraId="557EA76E" w14:textId="77777777" w:rsidR="00CC73DD" w:rsidRPr="00361139" w:rsidRDefault="00CC73DD" w:rsidP="00CB5756">
            <w:pPr>
              <w:pStyle w:val="Normal-pool-Table"/>
              <w:rPr>
                <w:lang w:val="en-GB"/>
              </w:rPr>
            </w:pPr>
            <w:r w:rsidRPr="00361139">
              <w:rPr>
                <w:lang w:val="en-GB"/>
              </w:rPr>
              <w:t>The first two conclusions of the review are that 1) the FM has been effective and 2) that it could be made more efficient.</w:t>
            </w:r>
          </w:p>
          <w:p w14:paraId="76EA1ADF" w14:textId="77777777" w:rsidR="00CC73DD" w:rsidRPr="00361139" w:rsidRDefault="00CC73DD" w:rsidP="00CB5756">
            <w:pPr>
              <w:pStyle w:val="Normal-pool-Table"/>
              <w:rPr>
                <w:lang w:val="en-GB"/>
              </w:rPr>
            </w:pPr>
            <w:r w:rsidRPr="00361139">
              <w:rPr>
                <w:lang w:val="en-GB"/>
              </w:rPr>
              <w:t xml:space="preserve"> The whole Conclusions sections suggests possible ways forward to increase this efficiency based on the results of the analysis presented in the main body of the review. </w:t>
            </w:r>
          </w:p>
          <w:p w14:paraId="0E15DD24" w14:textId="77777777" w:rsidR="00CC73DD" w:rsidRPr="00361139" w:rsidRDefault="00CC73DD" w:rsidP="00CB5756">
            <w:pPr>
              <w:pStyle w:val="Normal-pool-Table"/>
              <w:rPr>
                <w:lang w:val="en-GB"/>
              </w:rPr>
            </w:pPr>
            <w:r w:rsidRPr="00361139">
              <w:rPr>
                <w:lang w:val="en-GB"/>
              </w:rPr>
              <w:t>The third conclusion is that “</w:t>
            </w:r>
            <w:r w:rsidRPr="00361139">
              <w:rPr>
                <w:i/>
                <w:lang w:val="en-GB"/>
              </w:rPr>
              <w:t>a higher level of definition in the monitoring and reporting of the activities funded through the MC financial mechanism could greatly increase its efficiency</w:t>
            </w:r>
            <w:r w:rsidRPr="00361139">
              <w:rPr>
                <w:lang w:val="en-GB"/>
              </w:rPr>
              <w:t xml:space="preserve">.” and Paras 151-154 address possible measures, </w:t>
            </w:r>
            <w:r w:rsidRPr="00361139">
              <w:rPr>
                <w:lang w:val="en-GB"/>
              </w:rPr>
              <w:lastRenderedPageBreak/>
              <w:t>suggested by the review, in following up the third conclusion.</w:t>
            </w:r>
          </w:p>
        </w:tc>
      </w:tr>
      <w:tr w:rsidR="00CC73DD" w:rsidRPr="00361139" w14:paraId="4067A1D3" w14:textId="77777777" w:rsidTr="008F3D8D">
        <w:trPr>
          <w:trHeight w:val="57"/>
          <w:jc w:val="right"/>
        </w:trPr>
        <w:tc>
          <w:tcPr>
            <w:tcW w:w="1838" w:type="dxa"/>
          </w:tcPr>
          <w:p w14:paraId="3A192DE9" w14:textId="77777777" w:rsidR="00CC73DD" w:rsidRPr="00361139" w:rsidRDefault="00CC73DD" w:rsidP="00CB5756">
            <w:pPr>
              <w:pStyle w:val="Normal-pool-Table"/>
              <w:rPr>
                <w:lang w:val="en-GB"/>
              </w:rPr>
            </w:pPr>
            <w:r w:rsidRPr="00361139">
              <w:rPr>
                <w:lang w:val="en-GB"/>
              </w:rPr>
              <w:lastRenderedPageBreak/>
              <w:t>Lessons Learned</w:t>
            </w:r>
          </w:p>
        </w:tc>
        <w:tc>
          <w:tcPr>
            <w:tcW w:w="3226" w:type="dxa"/>
          </w:tcPr>
          <w:p w14:paraId="73030966" w14:textId="77777777" w:rsidR="00CC73DD" w:rsidRPr="00361139" w:rsidRDefault="00CC73DD" w:rsidP="00CB5756">
            <w:pPr>
              <w:pStyle w:val="Normal-pool-Table"/>
              <w:rPr>
                <w:lang w:val="en-GB"/>
              </w:rPr>
            </w:pPr>
            <w:r w:rsidRPr="00361139">
              <w:rPr>
                <w:b/>
                <w:bCs/>
                <w:i/>
                <w:lang w:val="en-GB"/>
              </w:rPr>
              <w:t>GEF Sec</w:t>
            </w:r>
            <w:r w:rsidRPr="00361139">
              <w:rPr>
                <w:i/>
                <w:lang w:val="en-GB"/>
              </w:rPr>
              <w:t>:</w:t>
            </w:r>
            <w:r w:rsidRPr="00361139">
              <w:rPr>
                <w:lang w:val="en-GB"/>
              </w:rPr>
              <w:t xml:space="preserve"> Overall, please clarify how these lessons learned were generated – are they based on data provided by focal points, or are they from the consultant with interviews?</w:t>
            </w:r>
          </w:p>
          <w:p w14:paraId="568C9261" w14:textId="77777777" w:rsidR="00CC73DD" w:rsidRPr="00361139" w:rsidRDefault="00CC73DD" w:rsidP="00CB5756">
            <w:pPr>
              <w:pStyle w:val="Normal-pool-Table"/>
              <w:rPr>
                <w:lang w:val="en-GB"/>
              </w:rPr>
            </w:pPr>
            <w:r w:rsidRPr="00361139">
              <w:rPr>
                <w:lang w:val="en-GB"/>
              </w:rPr>
              <w:t xml:space="preserve">Lesson learned #3: We do not disagree, but what evidence has led to make this statement that co-financing is an </w:t>
            </w:r>
            <w:r w:rsidRPr="00361139">
              <w:rPr>
                <w:u w:val="single"/>
                <w:lang w:val="en-GB"/>
              </w:rPr>
              <w:t>EFFECTIVE</w:t>
            </w:r>
            <w:r w:rsidRPr="00361139">
              <w:rPr>
                <w:lang w:val="en-GB"/>
              </w:rPr>
              <w:t xml:space="preserve"> component of the interventions? </w:t>
            </w:r>
          </w:p>
        </w:tc>
        <w:tc>
          <w:tcPr>
            <w:tcW w:w="3243" w:type="dxa"/>
          </w:tcPr>
          <w:p w14:paraId="69D864AF" w14:textId="77777777" w:rsidR="00CC73DD" w:rsidRPr="00361139" w:rsidRDefault="00CC73DD" w:rsidP="00CB5756">
            <w:pPr>
              <w:pStyle w:val="Normal-pool-Table"/>
              <w:rPr>
                <w:lang w:val="en-GB"/>
              </w:rPr>
            </w:pPr>
            <w:r w:rsidRPr="00361139">
              <w:rPr>
                <w:lang w:val="en-GB"/>
              </w:rPr>
              <w:t xml:space="preserve">As for </w:t>
            </w:r>
            <w:proofErr w:type="spellStart"/>
            <w:r w:rsidRPr="00361139">
              <w:rPr>
                <w:lang w:val="en-GB"/>
              </w:rPr>
              <w:t>ToR</w:t>
            </w:r>
            <w:proofErr w:type="spellEnd"/>
            <w:r w:rsidRPr="00361139">
              <w:rPr>
                <w:lang w:val="en-GB"/>
              </w:rPr>
              <w:t xml:space="preserve">: “The report on the second review will include [...] (an) analysis of lessons learned from the activities funded by the </w:t>
            </w:r>
            <w:r w:rsidRPr="00361139">
              <w:rPr>
                <w:i/>
                <w:lang w:val="en-GB"/>
              </w:rPr>
              <w:t>financial mechanism</w:t>
            </w:r>
            <w:r w:rsidRPr="00361139">
              <w:rPr>
                <w:lang w:val="en-GB"/>
              </w:rPr>
              <w:t xml:space="preserve"> during the period covered by the review;” and “lessons learned from the evaluation reports on activities of the Global Environment Facility and the final reports and evaluation reports of completed projects under the Specific International Programme;”.</w:t>
            </w:r>
          </w:p>
          <w:p w14:paraId="2D9B786C" w14:textId="77777777" w:rsidR="00CC73DD" w:rsidRPr="00361139" w:rsidRDefault="00CC73DD" w:rsidP="00CB5756">
            <w:pPr>
              <w:pStyle w:val="Normal-pool-Table"/>
              <w:rPr>
                <w:lang w:val="en-GB"/>
              </w:rPr>
            </w:pPr>
            <w:r w:rsidRPr="00361139">
              <w:rPr>
                <w:lang w:val="en-GB"/>
              </w:rPr>
              <w:t xml:space="preserve">As for all the text contained in the conclusions section (and as specified in Para 40), the lessons learned reflect the point of view of the reviewer </w:t>
            </w:r>
            <w:proofErr w:type="gramStart"/>
            <w:r w:rsidRPr="00361139">
              <w:rPr>
                <w:lang w:val="en-GB"/>
              </w:rPr>
              <w:t>on the basis of</w:t>
            </w:r>
            <w:proofErr w:type="gramEnd"/>
            <w:r w:rsidRPr="00361139">
              <w:rPr>
                <w:lang w:val="en-GB"/>
              </w:rPr>
              <w:t xml:space="preserve"> “the analysis of the results of the activities funded by the MC financial mechanism, during the period covered by the review”.</w:t>
            </w:r>
          </w:p>
        </w:tc>
      </w:tr>
    </w:tbl>
    <w:p w14:paraId="62D415BB" w14:textId="31E2AC43" w:rsidR="00D469AC" w:rsidRPr="00361139" w:rsidRDefault="00D469AC" w:rsidP="00FA2DF3">
      <w:pPr>
        <w:pStyle w:val="Normal-pool"/>
        <w:rPr>
          <w:lang w:val="en-GB"/>
        </w:rPr>
      </w:pPr>
      <w:bookmarkStart w:id="335" w:name="_Toc138845698"/>
      <w:bookmarkStart w:id="336" w:name="_Toc138845753"/>
      <w:bookmarkStart w:id="337" w:name="_Toc138847842"/>
    </w:p>
    <w:p w14:paraId="5FF7650C" w14:textId="77777777" w:rsidR="00D469AC" w:rsidRPr="00361139" w:rsidRDefault="00D469AC" w:rsidP="00FA2DF3">
      <w:pPr>
        <w:pStyle w:val="Normal-pool"/>
        <w:rPr>
          <w:lang w:val="en-GB"/>
        </w:rPr>
      </w:pPr>
      <w:r w:rsidRPr="00361139">
        <w:rPr>
          <w:lang w:val="en-GB"/>
        </w:rPr>
        <w:br w:type="page"/>
      </w:r>
    </w:p>
    <w:p w14:paraId="440A2EB3" w14:textId="399D4E5D" w:rsidR="00CC73DD" w:rsidRPr="00361139" w:rsidRDefault="00EF3C6F" w:rsidP="00EF3C6F">
      <w:pPr>
        <w:pStyle w:val="CH1"/>
        <w:rPr>
          <w:lang w:val="en-GB"/>
        </w:rPr>
      </w:pPr>
      <w:r w:rsidRPr="00361139">
        <w:rPr>
          <w:lang w:val="en-GB"/>
        </w:rPr>
        <w:lastRenderedPageBreak/>
        <w:tab/>
      </w:r>
      <w:r w:rsidRPr="00361139">
        <w:rPr>
          <w:lang w:val="en-GB"/>
        </w:rPr>
        <w:tab/>
      </w:r>
      <w:bookmarkStart w:id="338" w:name="_Toc139975482"/>
      <w:bookmarkStart w:id="339" w:name="_Toc139976238"/>
      <w:bookmarkStart w:id="340" w:name="_Toc139982253"/>
      <w:bookmarkStart w:id="341" w:name="_Toc139983965"/>
      <w:bookmarkStart w:id="342" w:name="_Toc139984206"/>
      <w:r w:rsidR="00CC73DD" w:rsidRPr="00361139">
        <w:rPr>
          <w:lang w:val="en-GB"/>
        </w:rPr>
        <w:t xml:space="preserve">Annex 3 </w:t>
      </w:r>
      <w:r w:rsidRPr="00361139">
        <w:rPr>
          <w:lang w:val="en-GB"/>
        </w:rPr>
        <w:t xml:space="preserve">- </w:t>
      </w:r>
      <w:r w:rsidR="00CC73DD" w:rsidRPr="00361139">
        <w:rPr>
          <w:lang w:val="en-GB"/>
        </w:rPr>
        <w:t>List of projects under review</w:t>
      </w:r>
      <w:bookmarkEnd w:id="335"/>
      <w:bookmarkEnd w:id="336"/>
      <w:bookmarkEnd w:id="337"/>
      <w:bookmarkEnd w:id="338"/>
      <w:bookmarkEnd w:id="339"/>
      <w:bookmarkEnd w:id="340"/>
      <w:bookmarkEnd w:id="341"/>
      <w:bookmarkEnd w:id="342"/>
    </w:p>
    <w:p w14:paraId="55AE5AFF" w14:textId="4C830E60" w:rsidR="00CC73DD" w:rsidRPr="00361139" w:rsidRDefault="00CC73DD" w:rsidP="00A84577">
      <w:pPr>
        <w:pStyle w:val="NormalNonumber"/>
        <w:spacing w:before="240"/>
        <w:rPr>
          <w:i/>
          <w:iCs/>
          <w:lang w:val="en-GB"/>
        </w:rPr>
      </w:pPr>
      <w:bookmarkStart w:id="343" w:name="_Toc139975483"/>
      <w:r w:rsidRPr="00361139">
        <w:rPr>
          <w:i/>
          <w:iCs/>
          <w:lang w:val="en-GB"/>
        </w:rPr>
        <w:t>GEF projects under review (111 projects, source: GEF Secretariat)</w:t>
      </w:r>
      <w:bookmarkEnd w:id="343"/>
    </w:p>
    <w:tbl>
      <w:tblPr>
        <w:tblW w:w="500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77"/>
        <w:gridCol w:w="1335"/>
        <w:gridCol w:w="2126"/>
        <w:gridCol w:w="992"/>
        <w:gridCol w:w="851"/>
        <w:gridCol w:w="1038"/>
        <w:gridCol w:w="760"/>
        <w:gridCol w:w="1037"/>
      </w:tblGrid>
      <w:tr w:rsidR="005E10DB" w:rsidRPr="00361139" w14:paraId="2DDB8D28" w14:textId="77777777" w:rsidTr="00413E25">
        <w:trPr>
          <w:cantSplit/>
          <w:trHeight w:val="57"/>
          <w:tblHeader/>
          <w:jc w:val="right"/>
        </w:trPr>
        <w:tc>
          <w:tcPr>
            <w:tcW w:w="677" w:type="dxa"/>
            <w:vMerge w:val="restart"/>
            <w:shd w:val="clear" w:color="auto" w:fill="B6DDE8"/>
            <w:noWrap/>
            <w:vAlign w:val="bottom"/>
            <w:hideMark/>
          </w:tcPr>
          <w:p w14:paraId="1CE5DDE7" w14:textId="77777777" w:rsidR="00CC73DD" w:rsidRPr="00361139" w:rsidRDefault="00CC73DD" w:rsidP="00DB2573">
            <w:pPr>
              <w:pStyle w:val="Normal-pool-Table"/>
              <w:rPr>
                <w:i/>
                <w:iCs/>
                <w:lang w:val="en-GB"/>
              </w:rPr>
            </w:pPr>
            <w:r w:rsidRPr="00361139">
              <w:rPr>
                <w:i/>
                <w:iCs/>
                <w:lang w:val="en-GB"/>
              </w:rPr>
              <w:t>GEF ID</w:t>
            </w:r>
          </w:p>
        </w:tc>
        <w:tc>
          <w:tcPr>
            <w:tcW w:w="677" w:type="dxa"/>
            <w:vMerge w:val="restart"/>
            <w:shd w:val="clear" w:color="auto" w:fill="B6DDE8"/>
            <w:noWrap/>
            <w:vAlign w:val="bottom"/>
            <w:hideMark/>
          </w:tcPr>
          <w:p w14:paraId="397EA4A9" w14:textId="77777777" w:rsidR="00CC73DD" w:rsidRPr="00361139" w:rsidRDefault="00CC73DD" w:rsidP="00DB2573">
            <w:pPr>
              <w:pStyle w:val="Normal-pool-Table"/>
              <w:rPr>
                <w:i/>
                <w:iCs/>
                <w:lang w:val="en-GB"/>
              </w:rPr>
            </w:pPr>
            <w:r w:rsidRPr="00361139">
              <w:rPr>
                <w:i/>
                <w:iCs/>
                <w:lang w:val="en-GB"/>
              </w:rPr>
              <w:t>GEF cycle</w:t>
            </w:r>
          </w:p>
        </w:tc>
        <w:tc>
          <w:tcPr>
            <w:tcW w:w="1335" w:type="dxa"/>
            <w:vMerge w:val="restart"/>
            <w:shd w:val="clear" w:color="auto" w:fill="B6DDE8"/>
            <w:noWrap/>
            <w:vAlign w:val="bottom"/>
            <w:hideMark/>
          </w:tcPr>
          <w:p w14:paraId="4A7FB4A5" w14:textId="77777777" w:rsidR="00CC73DD" w:rsidRPr="00361139" w:rsidRDefault="00CC73DD" w:rsidP="00DB2573">
            <w:pPr>
              <w:pStyle w:val="Normal-pool-Table"/>
              <w:rPr>
                <w:i/>
                <w:iCs/>
                <w:lang w:val="en-GB"/>
              </w:rPr>
            </w:pPr>
            <w:r w:rsidRPr="00361139">
              <w:rPr>
                <w:i/>
                <w:iCs/>
                <w:lang w:val="en-GB"/>
              </w:rPr>
              <w:t>Countries</w:t>
            </w:r>
          </w:p>
        </w:tc>
        <w:tc>
          <w:tcPr>
            <w:tcW w:w="2126" w:type="dxa"/>
            <w:vMerge w:val="restart"/>
            <w:shd w:val="clear" w:color="auto" w:fill="B6DDE8"/>
            <w:noWrap/>
            <w:vAlign w:val="bottom"/>
            <w:hideMark/>
          </w:tcPr>
          <w:p w14:paraId="20420233" w14:textId="77777777" w:rsidR="00CC73DD" w:rsidRPr="00361139" w:rsidRDefault="00CC73DD" w:rsidP="00DB2573">
            <w:pPr>
              <w:pStyle w:val="Normal-pool-Table"/>
              <w:rPr>
                <w:i/>
                <w:iCs/>
                <w:lang w:val="en-GB"/>
              </w:rPr>
            </w:pPr>
            <w:r w:rsidRPr="00361139">
              <w:rPr>
                <w:i/>
                <w:iCs/>
                <w:lang w:val="en-GB"/>
              </w:rPr>
              <w:t>Project title</w:t>
            </w:r>
          </w:p>
        </w:tc>
        <w:tc>
          <w:tcPr>
            <w:tcW w:w="992" w:type="dxa"/>
            <w:vMerge w:val="restart"/>
            <w:shd w:val="clear" w:color="auto" w:fill="B6DDE8"/>
            <w:noWrap/>
            <w:vAlign w:val="bottom"/>
            <w:hideMark/>
          </w:tcPr>
          <w:p w14:paraId="1F5B135B" w14:textId="77777777" w:rsidR="00CC73DD" w:rsidRPr="00361139" w:rsidRDefault="00CC73DD" w:rsidP="00DB2573">
            <w:pPr>
              <w:pStyle w:val="Normal-pool-Table"/>
              <w:rPr>
                <w:i/>
                <w:iCs/>
                <w:lang w:val="en-GB"/>
              </w:rPr>
            </w:pPr>
            <w:r w:rsidRPr="00361139">
              <w:rPr>
                <w:i/>
                <w:iCs/>
                <w:lang w:val="en-GB"/>
              </w:rPr>
              <w:t>Agency</w:t>
            </w:r>
          </w:p>
        </w:tc>
        <w:tc>
          <w:tcPr>
            <w:tcW w:w="851" w:type="dxa"/>
            <w:vMerge w:val="restart"/>
            <w:shd w:val="clear" w:color="auto" w:fill="B6DDE8"/>
            <w:noWrap/>
            <w:vAlign w:val="bottom"/>
            <w:hideMark/>
          </w:tcPr>
          <w:p w14:paraId="04023FB6" w14:textId="77777777" w:rsidR="00CC73DD" w:rsidRPr="00361139" w:rsidRDefault="00CC73DD" w:rsidP="00DB2573">
            <w:pPr>
              <w:pStyle w:val="Normal-pool-Table"/>
              <w:rPr>
                <w:i/>
                <w:iCs/>
                <w:lang w:val="en-GB"/>
              </w:rPr>
            </w:pPr>
            <w:r w:rsidRPr="00361139">
              <w:rPr>
                <w:i/>
                <w:iCs/>
                <w:lang w:val="en-GB"/>
              </w:rPr>
              <w:t>Project type</w:t>
            </w:r>
          </w:p>
        </w:tc>
        <w:tc>
          <w:tcPr>
            <w:tcW w:w="1038" w:type="dxa"/>
            <w:vMerge w:val="restart"/>
            <w:shd w:val="clear" w:color="auto" w:fill="B6DDE8"/>
            <w:noWrap/>
            <w:vAlign w:val="bottom"/>
            <w:hideMark/>
          </w:tcPr>
          <w:p w14:paraId="6552DEB0" w14:textId="77777777" w:rsidR="00CC73DD" w:rsidRPr="00361139" w:rsidRDefault="00CC73DD" w:rsidP="00DB2573">
            <w:pPr>
              <w:pStyle w:val="Normal-pool-Table"/>
              <w:rPr>
                <w:i/>
                <w:iCs/>
                <w:lang w:val="en-GB"/>
              </w:rPr>
            </w:pPr>
            <w:r w:rsidRPr="00361139">
              <w:rPr>
                <w:i/>
                <w:iCs/>
                <w:lang w:val="en-GB"/>
              </w:rPr>
              <w:t>Project status</w:t>
            </w:r>
          </w:p>
        </w:tc>
        <w:tc>
          <w:tcPr>
            <w:tcW w:w="1797" w:type="dxa"/>
            <w:gridSpan w:val="2"/>
            <w:shd w:val="clear" w:color="auto" w:fill="B6DDE8"/>
            <w:noWrap/>
            <w:vAlign w:val="bottom"/>
            <w:hideMark/>
          </w:tcPr>
          <w:p w14:paraId="37360145" w14:textId="77777777" w:rsidR="00CC73DD" w:rsidRPr="00361139" w:rsidRDefault="00CC73DD" w:rsidP="00522D2B">
            <w:pPr>
              <w:pStyle w:val="Normal-pool-Table"/>
              <w:jc w:val="center"/>
              <w:rPr>
                <w:i/>
                <w:iCs/>
                <w:lang w:val="en-GB"/>
              </w:rPr>
            </w:pPr>
            <w:r w:rsidRPr="00361139">
              <w:rPr>
                <w:i/>
                <w:iCs/>
                <w:lang w:val="en-GB"/>
              </w:rPr>
              <w:t>Funding (mil. $)</w:t>
            </w:r>
          </w:p>
        </w:tc>
      </w:tr>
      <w:tr w:rsidR="005E10DB" w:rsidRPr="00361139" w14:paraId="6D8E3F94" w14:textId="77777777" w:rsidTr="00413E25">
        <w:trPr>
          <w:cantSplit/>
          <w:trHeight w:val="57"/>
          <w:tblHeader/>
          <w:jc w:val="right"/>
        </w:trPr>
        <w:tc>
          <w:tcPr>
            <w:tcW w:w="677" w:type="dxa"/>
            <w:vMerge/>
            <w:shd w:val="clear" w:color="auto" w:fill="auto"/>
            <w:noWrap/>
            <w:hideMark/>
          </w:tcPr>
          <w:p w14:paraId="5AC3103F" w14:textId="77777777" w:rsidR="00CC73DD" w:rsidRPr="00361139" w:rsidRDefault="00CC73DD" w:rsidP="00DB2573">
            <w:pPr>
              <w:pStyle w:val="Normal-pool-Table"/>
              <w:rPr>
                <w:lang w:val="en-GB"/>
              </w:rPr>
            </w:pPr>
          </w:p>
        </w:tc>
        <w:tc>
          <w:tcPr>
            <w:tcW w:w="677" w:type="dxa"/>
            <w:vMerge/>
            <w:shd w:val="clear" w:color="auto" w:fill="auto"/>
            <w:noWrap/>
            <w:hideMark/>
          </w:tcPr>
          <w:p w14:paraId="08531D21" w14:textId="77777777" w:rsidR="00CC73DD" w:rsidRPr="00361139" w:rsidRDefault="00CC73DD" w:rsidP="00DB2573">
            <w:pPr>
              <w:pStyle w:val="Normal-pool-Table"/>
              <w:rPr>
                <w:lang w:val="en-GB"/>
              </w:rPr>
            </w:pPr>
          </w:p>
        </w:tc>
        <w:tc>
          <w:tcPr>
            <w:tcW w:w="1335" w:type="dxa"/>
            <w:vMerge/>
            <w:shd w:val="clear" w:color="auto" w:fill="auto"/>
            <w:noWrap/>
            <w:hideMark/>
          </w:tcPr>
          <w:p w14:paraId="77911F1A" w14:textId="77777777" w:rsidR="00CC73DD" w:rsidRPr="00361139" w:rsidRDefault="00CC73DD" w:rsidP="00DB2573">
            <w:pPr>
              <w:pStyle w:val="Normal-pool-Table"/>
              <w:rPr>
                <w:lang w:val="en-GB"/>
              </w:rPr>
            </w:pPr>
          </w:p>
        </w:tc>
        <w:tc>
          <w:tcPr>
            <w:tcW w:w="2126" w:type="dxa"/>
            <w:vMerge/>
            <w:shd w:val="clear" w:color="auto" w:fill="auto"/>
            <w:noWrap/>
            <w:hideMark/>
          </w:tcPr>
          <w:p w14:paraId="1563176B" w14:textId="77777777" w:rsidR="00CC73DD" w:rsidRPr="00361139" w:rsidRDefault="00CC73DD" w:rsidP="00DB2573">
            <w:pPr>
              <w:pStyle w:val="Normal-pool-Table"/>
              <w:rPr>
                <w:lang w:val="en-GB"/>
              </w:rPr>
            </w:pPr>
          </w:p>
        </w:tc>
        <w:tc>
          <w:tcPr>
            <w:tcW w:w="992" w:type="dxa"/>
            <w:vMerge/>
            <w:shd w:val="clear" w:color="auto" w:fill="auto"/>
            <w:noWrap/>
            <w:hideMark/>
          </w:tcPr>
          <w:p w14:paraId="158617CD" w14:textId="77777777" w:rsidR="00CC73DD" w:rsidRPr="00361139" w:rsidRDefault="00CC73DD" w:rsidP="00DB2573">
            <w:pPr>
              <w:pStyle w:val="Normal-pool-Table"/>
              <w:rPr>
                <w:lang w:val="en-GB"/>
              </w:rPr>
            </w:pPr>
          </w:p>
        </w:tc>
        <w:tc>
          <w:tcPr>
            <w:tcW w:w="851" w:type="dxa"/>
            <w:vMerge/>
            <w:shd w:val="clear" w:color="auto" w:fill="auto"/>
            <w:noWrap/>
            <w:hideMark/>
          </w:tcPr>
          <w:p w14:paraId="544BC23A" w14:textId="77777777" w:rsidR="00CC73DD" w:rsidRPr="00361139" w:rsidRDefault="00CC73DD" w:rsidP="00DB2573">
            <w:pPr>
              <w:pStyle w:val="Normal-pool-Table"/>
              <w:rPr>
                <w:lang w:val="en-GB"/>
              </w:rPr>
            </w:pPr>
          </w:p>
        </w:tc>
        <w:tc>
          <w:tcPr>
            <w:tcW w:w="1038" w:type="dxa"/>
            <w:vMerge/>
            <w:shd w:val="clear" w:color="auto" w:fill="auto"/>
            <w:noWrap/>
            <w:hideMark/>
          </w:tcPr>
          <w:p w14:paraId="79671218" w14:textId="77777777" w:rsidR="00CC73DD" w:rsidRPr="00361139" w:rsidRDefault="00CC73DD" w:rsidP="00DB2573">
            <w:pPr>
              <w:pStyle w:val="Normal-pool-Table"/>
              <w:rPr>
                <w:lang w:val="en-GB"/>
              </w:rPr>
            </w:pPr>
          </w:p>
        </w:tc>
        <w:tc>
          <w:tcPr>
            <w:tcW w:w="760" w:type="dxa"/>
            <w:shd w:val="clear" w:color="auto" w:fill="B6DDE8"/>
            <w:noWrap/>
            <w:hideMark/>
          </w:tcPr>
          <w:p w14:paraId="022E198F" w14:textId="77777777" w:rsidR="00CC73DD" w:rsidRPr="00361139" w:rsidRDefault="00CC73DD" w:rsidP="002232EE">
            <w:pPr>
              <w:pStyle w:val="Normal-pool-Table"/>
              <w:jc w:val="right"/>
              <w:rPr>
                <w:i/>
                <w:iCs/>
                <w:lang w:val="en-GB"/>
              </w:rPr>
            </w:pPr>
            <w:r w:rsidRPr="00361139">
              <w:rPr>
                <w:i/>
                <w:iCs/>
                <w:lang w:val="en-GB"/>
              </w:rPr>
              <w:t>Project grant</w:t>
            </w:r>
          </w:p>
        </w:tc>
        <w:tc>
          <w:tcPr>
            <w:tcW w:w="1037" w:type="dxa"/>
            <w:shd w:val="clear" w:color="auto" w:fill="B6DDE8"/>
            <w:noWrap/>
            <w:hideMark/>
          </w:tcPr>
          <w:p w14:paraId="3D9739B9" w14:textId="77777777" w:rsidR="00CC73DD" w:rsidRPr="00361139" w:rsidRDefault="00CC73DD" w:rsidP="002232EE">
            <w:pPr>
              <w:pStyle w:val="Normal-pool-Table"/>
              <w:jc w:val="right"/>
              <w:rPr>
                <w:i/>
                <w:iCs/>
                <w:lang w:val="en-GB"/>
              </w:rPr>
            </w:pPr>
            <w:r w:rsidRPr="00361139">
              <w:rPr>
                <w:i/>
                <w:iCs/>
                <w:lang w:val="en-GB"/>
              </w:rPr>
              <w:t>Co-financing</w:t>
            </w:r>
          </w:p>
        </w:tc>
      </w:tr>
      <w:tr w:rsidR="00FA47A8" w:rsidRPr="00361139" w14:paraId="44FAFBCC" w14:textId="77777777" w:rsidTr="00413E25">
        <w:trPr>
          <w:cantSplit/>
          <w:trHeight w:val="57"/>
          <w:jc w:val="right"/>
        </w:trPr>
        <w:tc>
          <w:tcPr>
            <w:tcW w:w="677" w:type="dxa"/>
            <w:shd w:val="clear" w:color="auto" w:fill="auto"/>
            <w:noWrap/>
            <w:hideMark/>
          </w:tcPr>
          <w:p w14:paraId="052A0BA7" w14:textId="77777777" w:rsidR="00CC73DD" w:rsidRPr="00361139" w:rsidRDefault="00CC73DD" w:rsidP="00DB2573">
            <w:pPr>
              <w:pStyle w:val="Normal-pool-Table"/>
              <w:rPr>
                <w:lang w:val="en-GB"/>
              </w:rPr>
            </w:pPr>
            <w:r w:rsidRPr="00361139">
              <w:rPr>
                <w:lang w:val="en-GB"/>
              </w:rPr>
              <w:t>10983</w:t>
            </w:r>
          </w:p>
        </w:tc>
        <w:tc>
          <w:tcPr>
            <w:tcW w:w="677" w:type="dxa"/>
            <w:shd w:val="clear" w:color="auto" w:fill="auto"/>
            <w:noWrap/>
            <w:hideMark/>
          </w:tcPr>
          <w:p w14:paraId="390DB4F3"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DE3995B" w14:textId="77777777" w:rsidR="00CC73DD" w:rsidRPr="00361139" w:rsidRDefault="00CC73DD" w:rsidP="00DB2573">
            <w:pPr>
              <w:pStyle w:val="Normal-pool-Table"/>
              <w:rPr>
                <w:lang w:val="en-GB"/>
              </w:rPr>
            </w:pPr>
            <w:r w:rsidRPr="00361139">
              <w:rPr>
                <w:lang w:val="en-GB"/>
              </w:rPr>
              <w:t>Thailand</w:t>
            </w:r>
          </w:p>
        </w:tc>
        <w:tc>
          <w:tcPr>
            <w:tcW w:w="2126" w:type="dxa"/>
            <w:shd w:val="clear" w:color="auto" w:fill="auto"/>
            <w:noWrap/>
            <w:hideMark/>
          </w:tcPr>
          <w:p w14:paraId="7F7F120B" w14:textId="77777777" w:rsidR="00CC73DD" w:rsidRPr="00361139" w:rsidRDefault="00CC73DD" w:rsidP="00DB2573">
            <w:pPr>
              <w:pStyle w:val="Normal-pool-Table"/>
              <w:rPr>
                <w:lang w:val="en-GB"/>
              </w:rPr>
            </w:pPr>
            <w:r w:rsidRPr="00361139">
              <w:rPr>
                <w:lang w:val="en-GB"/>
              </w:rPr>
              <w:t>Advanced Minamata Assessment in Thailand</w:t>
            </w:r>
          </w:p>
        </w:tc>
        <w:tc>
          <w:tcPr>
            <w:tcW w:w="992" w:type="dxa"/>
            <w:shd w:val="clear" w:color="auto" w:fill="auto"/>
            <w:noWrap/>
            <w:hideMark/>
          </w:tcPr>
          <w:p w14:paraId="48E435F8"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75F73C3D"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8CEE580"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2447245C"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584AB47D" w14:textId="77777777" w:rsidR="00CC73DD" w:rsidRPr="00361139" w:rsidRDefault="00CC73DD" w:rsidP="002232EE">
            <w:pPr>
              <w:pStyle w:val="Normal-pool-Table"/>
              <w:jc w:val="right"/>
              <w:rPr>
                <w:lang w:val="en-GB"/>
              </w:rPr>
            </w:pPr>
            <w:r w:rsidRPr="00361139">
              <w:rPr>
                <w:lang w:val="en-GB"/>
              </w:rPr>
              <w:t>0,04</w:t>
            </w:r>
          </w:p>
        </w:tc>
      </w:tr>
      <w:tr w:rsidR="00FA47A8" w:rsidRPr="00361139" w14:paraId="200CC54C" w14:textId="77777777" w:rsidTr="00413E25">
        <w:trPr>
          <w:cantSplit/>
          <w:trHeight w:val="57"/>
          <w:jc w:val="right"/>
        </w:trPr>
        <w:tc>
          <w:tcPr>
            <w:tcW w:w="677" w:type="dxa"/>
            <w:shd w:val="clear" w:color="auto" w:fill="auto"/>
            <w:noWrap/>
            <w:hideMark/>
          </w:tcPr>
          <w:p w14:paraId="6B9A9986" w14:textId="77777777" w:rsidR="00CC73DD" w:rsidRPr="00361139" w:rsidRDefault="00CC73DD" w:rsidP="00DB2573">
            <w:pPr>
              <w:pStyle w:val="Normal-pool-Table"/>
              <w:rPr>
                <w:lang w:val="en-GB"/>
              </w:rPr>
            </w:pPr>
            <w:r w:rsidRPr="00361139">
              <w:rPr>
                <w:lang w:val="en-GB"/>
              </w:rPr>
              <w:t>10940</w:t>
            </w:r>
          </w:p>
        </w:tc>
        <w:tc>
          <w:tcPr>
            <w:tcW w:w="677" w:type="dxa"/>
            <w:shd w:val="clear" w:color="auto" w:fill="auto"/>
            <w:noWrap/>
            <w:hideMark/>
          </w:tcPr>
          <w:p w14:paraId="25009069"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1B0C0D2" w14:textId="77777777" w:rsidR="00CC73DD" w:rsidRPr="00361139" w:rsidRDefault="00CC73DD" w:rsidP="00DB2573">
            <w:pPr>
              <w:pStyle w:val="Normal-pool-Table"/>
              <w:rPr>
                <w:lang w:val="en-GB"/>
              </w:rPr>
            </w:pPr>
            <w:r w:rsidRPr="00361139">
              <w:rPr>
                <w:lang w:val="en-GB"/>
              </w:rPr>
              <w:t>Pakistan</w:t>
            </w:r>
          </w:p>
        </w:tc>
        <w:tc>
          <w:tcPr>
            <w:tcW w:w="2126" w:type="dxa"/>
            <w:shd w:val="clear" w:color="auto" w:fill="auto"/>
            <w:noWrap/>
            <w:hideMark/>
          </w:tcPr>
          <w:p w14:paraId="14E2065E" w14:textId="77777777" w:rsidR="00CC73DD" w:rsidRPr="00361139" w:rsidRDefault="00CC73DD" w:rsidP="00DB2573">
            <w:pPr>
              <w:pStyle w:val="Normal-pool-Table"/>
              <w:rPr>
                <w:lang w:val="en-GB"/>
              </w:rPr>
            </w:pPr>
            <w:r w:rsidRPr="00361139">
              <w:rPr>
                <w:lang w:val="en-GB"/>
              </w:rPr>
              <w:t>Development of National Action Plan for Artisanal and Small-Scale Gold Mining in the Islamic Republic of Pakistan</w:t>
            </w:r>
          </w:p>
        </w:tc>
        <w:tc>
          <w:tcPr>
            <w:tcW w:w="992" w:type="dxa"/>
            <w:shd w:val="clear" w:color="auto" w:fill="auto"/>
            <w:noWrap/>
            <w:hideMark/>
          </w:tcPr>
          <w:p w14:paraId="3E1B01F7"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D2734F4"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4272E69"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7E2C4DB4"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04ADF140" w14:textId="77777777" w:rsidR="00CC73DD" w:rsidRPr="00361139" w:rsidRDefault="00CC73DD" w:rsidP="002232EE">
            <w:pPr>
              <w:pStyle w:val="Normal-pool-Table"/>
              <w:jc w:val="right"/>
              <w:rPr>
                <w:lang w:val="en-GB"/>
              </w:rPr>
            </w:pPr>
            <w:r w:rsidRPr="00361139">
              <w:rPr>
                <w:lang w:val="en-GB"/>
              </w:rPr>
              <w:t>0,00</w:t>
            </w:r>
          </w:p>
        </w:tc>
      </w:tr>
      <w:tr w:rsidR="00FA47A8" w:rsidRPr="00361139" w14:paraId="13C8AC7D" w14:textId="77777777" w:rsidTr="00413E25">
        <w:trPr>
          <w:cantSplit/>
          <w:trHeight w:val="57"/>
          <w:jc w:val="right"/>
        </w:trPr>
        <w:tc>
          <w:tcPr>
            <w:tcW w:w="677" w:type="dxa"/>
            <w:shd w:val="clear" w:color="auto" w:fill="auto"/>
            <w:noWrap/>
            <w:hideMark/>
          </w:tcPr>
          <w:p w14:paraId="24F9AC0F" w14:textId="77777777" w:rsidR="00CC73DD" w:rsidRPr="00361139" w:rsidRDefault="00CC73DD" w:rsidP="00DB2573">
            <w:pPr>
              <w:pStyle w:val="Normal-pool-Table"/>
              <w:rPr>
                <w:lang w:val="en-GB"/>
              </w:rPr>
            </w:pPr>
            <w:r w:rsidRPr="00361139">
              <w:rPr>
                <w:lang w:val="en-GB"/>
              </w:rPr>
              <w:t>10936</w:t>
            </w:r>
          </w:p>
        </w:tc>
        <w:tc>
          <w:tcPr>
            <w:tcW w:w="677" w:type="dxa"/>
            <w:shd w:val="clear" w:color="auto" w:fill="auto"/>
            <w:noWrap/>
            <w:hideMark/>
          </w:tcPr>
          <w:p w14:paraId="194A7ED0"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9EFB05A" w14:textId="77777777" w:rsidR="00CC73DD" w:rsidRPr="00361139" w:rsidRDefault="00CC73DD" w:rsidP="00DB2573">
            <w:pPr>
              <w:pStyle w:val="Normal-pool-Table"/>
              <w:rPr>
                <w:lang w:val="en-GB"/>
              </w:rPr>
            </w:pPr>
            <w:r w:rsidRPr="00361139">
              <w:rPr>
                <w:lang w:val="en-GB"/>
              </w:rPr>
              <w:t>Senegal, Thailand, Uruguay</w:t>
            </w:r>
          </w:p>
        </w:tc>
        <w:tc>
          <w:tcPr>
            <w:tcW w:w="2126" w:type="dxa"/>
            <w:shd w:val="clear" w:color="auto" w:fill="auto"/>
            <w:noWrap/>
            <w:hideMark/>
          </w:tcPr>
          <w:p w14:paraId="5B4D4EC6" w14:textId="77777777" w:rsidR="00CC73DD" w:rsidRPr="00361139" w:rsidRDefault="00CC73DD" w:rsidP="00DB2573">
            <w:pPr>
              <w:pStyle w:val="Normal-pool-Table"/>
              <w:rPr>
                <w:lang w:val="en-GB"/>
              </w:rPr>
            </w:pPr>
            <w:r w:rsidRPr="00361139">
              <w:rPr>
                <w:lang w:val="en-GB"/>
              </w:rPr>
              <w:t>Accelerate implementation of dental amalgam provisions and strengthen country capacities in the environmental sound management of associated wastes under the Minamata Convention</w:t>
            </w:r>
          </w:p>
        </w:tc>
        <w:tc>
          <w:tcPr>
            <w:tcW w:w="992" w:type="dxa"/>
            <w:shd w:val="clear" w:color="auto" w:fill="auto"/>
            <w:noWrap/>
            <w:hideMark/>
          </w:tcPr>
          <w:p w14:paraId="3FD3F937"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20C936A"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77801A94"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08888E24"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79C19D9E" w14:textId="77777777" w:rsidR="00CC73DD" w:rsidRPr="00361139" w:rsidRDefault="00CC73DD" w:rsidP="002232EE">
            <w:pPr>
              <w:pStyle w:val="Normal-pool-Table"/>
              <w:jc w:val="right"/>
              <w:rPr>
                <w:lang w:val="en-GB"/>
              </w:rPr>
            </w:pPr>
            <w:r w:rsidRPr="00361139">
              <w:rPr>
                <w:lang w:val="en-GB"/>
              </w:rPr>
              <w:t>11,33</w:t>
            </w:r>
          </w:p>
        </w:tc>
      </w:tr>
      <w:tr w:rsidR="00FA47A8" w:rsidRPr="00361139" w14:paraId="54A66E2C" w14:textId="77777777" w:rsidTr="00413E25">
        <w:trPr>
          <w:cantSplit/>
          <w:trHeight w:val="57"/>
          <w:jc w:val="right"/>
        </w:trPr>
        <w:tc>
          <w:tcPr>
            <w:tcW w:w="677" w:type="dxa"/>
            <w:shd w:val="clear" w:color="auto" w:fill="auto"/>
            <w:noWrap/>
            <w:hideMark/>
          </w:tcPr>
          <w:p w14:paraId="148DF514" w14:textId="77777777" w:rsidR="00CC73DD" w:rsidRPr="00361139" w:rsidRDefault="00CC73DD" w:rsidP="00DB2573">
            <w:pPr>
              <w:pStyle w:val="Normal-pool-Table"/>
              <w:rPr>
                <w:lang w:val="en-GB"/>
              </w:rPr>
            </w:pPr>
            <w:r w:rsidRPr="00361139">
              <w:rPr>
                <w:lang w:val="en-GB"/>
              </w:rPr>
              <w:t>10922</w:t>
            </w:r>
          </w:p>
        </w:tc>
        <w:tc>
          <w:tcPr>
            <w:tcW w:w="677" w:type="dxa"/>
            <w:shd w:val="clear" w:color="auto" w:fill="auto"/>
            <w:noWrap/>
            <w:hideMark/>
          </w:tcPr>
          <w:p w14:paraId="24FFC68D"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0370D13D" w14:textId="77777777" w:rsidR="00CC73DD" w:rsidRPr="00361139" w:rsidRDefault="00CC73DD" w:rsidP="00DB2573">
            <w:pPr>
              <w:pStyle w:val="Normal-pool-Table"/>
              <w:rPr>
                <w:lang w:val="en-GB"/>
              </w:rPr>
            </w:pPr>
            <w:r w:rsidRPr="00361139">
              <w:rPr>
                <w:lang w:val="en-GB"/>
              </w:rPr>
              <w:t>Cambodia</w:t>
            </w:r>
          </w:p>
        </w:tc>
        <w:tc>
          <w:tcPr>
            <w:tcW w:w="2126" w:type="dxa"/>
            <w:shd w:val="clear" w:color="auto" w:fill="auto"/>
            <w:noWrap/>
            <w:hideMark/>
          </w:tcPr>
          <w:p w14:paraId="1A17C59D" w14:textId="77777777" w:rsidR="00CC73DD" w:rsidRPr="00361139" w:rsidRDefault="00CC73DD" w:rsidP="00DB2573">
            <w:pPr>
              <w:pStyle w:val="Normal-pool-Table"/>
              <w:rPr>
                <w:lang w:val="en-GB"/>
              </w:rPr>
            </w:pPr>
            <w:r w:rsidRPr="00361139">
              <w:rPr>
                <w:lang w:val="en-GB"/>
              </w:rPr>
              <w:t>Development of National Action Plan for the Artisanal and Small-Scale Gold Mining Sector in Cambodia</w:t>
            </w:r>
          </w:p>
        </w:tc>
        <w:tc>
          <w:tcPr>
            <w:tcW w:w="992" w:type="dxa"/>
            <w:shd w:val="clear" w:color="auto" w:fill="auto"/>
            <w:noWrap/>
            <w:hideMark/>
          </w:tcPr>
          <w:p w14:paraId="1D04D135"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CDAA86E"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B7C7D6B"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01E45C93"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0C019B1" w14:textId="77777777" w:rsidR="00CC73DD" w:rsidRPr="00361139" w:rsidRDefault="00CC73DD" w:rsidP="002232EE">
            <w:pPr>
              <w:pStyle w:val="Normal-pool-Table"/>
              <w:jc w:val="right"/>
              <w:rPr>
                <w:lang w:val="en-GB"/>
              </w:rPr>
            </w:pPr>
            <w:r w:rsidRPr="00361139">
              <w:rPr>
                <w:lang w:val="en-GB"/>
              </w:rPr>
              <w:t>0,00</w:t>
            </w:r>
          </w:p>
        </w:tc>
      </w:tr>
      <w:tr w:rsidR="00FA47A8" w:rsidRPr="00361139" w14:paraId="226962FC" w14:textId="77777777" w:rsidTr="00413E25">
        <w:trPr>
          <w:cantSplit/>
          <w:trHeight w:val="57"/>
          <w:jc w:val="right"/>
        </w:trPr>
        <w:tc>
          <w:tcPr>
            <w:tcW w:w="677" w:type="dxa"/>
            <w:shd w:val="clear" w:color="auto" w:fill="auto"/>
            <w:noWrap/>
            <w:hideMark/>
          </w:tcPr>
          <w:p w14:paraId="0FDD7AC9" w14:textId="77777777" w:rsidR="00CC73DD" w:rsidRPr="00361139" w:rsidRDefault="00CC73DD" w:rsidP="00DB2573">
            <w:pPr>
              <w:pStyle w:val="Normal-pool-Table"/>
              <w:rPr>
                <w:lang w:val="en-GB"/>
              </w:rPr>
            </w:pPr>
            <w:r w:rsidRPr="00361139">
              <w:rPr>
                <w:lang w:val="en-GB"/>
              </w:rPr>
              <w:t>10891</w:t>
            </w:r>
          </w:p>
        </w:tc>
        <w:tc>
          <w:tcPr>
            <w:tcW w:w="677" w:type="dxa"/>
            <w:shd w:val="clear" w:color="auto" w:fill="auto"/>
            <w:noWrap/>
            <w:hideMark/>
          </w:tcPr>
          <w:p w14:paraId="3EBC1A9B"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1557EE1" w14:textId="77777777" w:rsidR="00CC73DD" w:rsidRPr="00361139" w:rsidRDefault="00CC73DD" w:rsidP="00DB2573">
            <w:pPr>
              <w:pStyle w:val="Normal-pool-Table"/>
              <w:rPr>
                <w:lang w:val="en-GB"/>
              </w:rPr>
            </w:pPr>
            <w:r w:rsidRPr="00361139">
              <w:rPr>
                <w:lang w:val="en-GB"/>
              </w:rPr>
              <w:t>Qatar</w:t>
            </w:r>
          </w:p>
        </w:tc>
        <w:tc>
          <w:tcPr>
            <w:tcW w:w="2126" w:type="dxa"/>
            <w:shd w:val="clear" w:color="auto" w:fill="auto"/>
            <w:noWrap/>
            <w:hideMark/>
          </w:tcPr>
          <w:p w14:paraId="57F15E05" w14:textId="25A1A190" w:rsidR="00CC73DD" w:rsidRPr="00361139" w:rsidRDefault="00CC73DD" w:rsidP="00DB2573">
            <w:pPr>
              <w:pStyle w:val="Normal-pool-Table"/>
              <w:rPr>
                <w:lang w:val="en-GB"/>
              </w:rPr>
            </w:pPr>
            <w:r w:rsidRPr="00361139">
              <w:rPr>
                <w:lang w:val="en-GB"/>
              </w:rPr>
              <w:t>Development of Minamata Convention Initial Assessment (MIA)</w:t>
            </w:r>
            <w:r w:rsidR="00334B82" w:rsidRPr="00361139">
              <w:rPr>
                <w:lang w:val="en-GB"/>
              </w:rPr>
              <w:t xml:space="preserve"> </w:t>
            </w:r>
            <w:r w:rsidRPr="00361139">
              <w:rPr>
                <w:lang w:val="en-GB"/>
              </w:rPr>
              <w:t>For the State of Qatar</w:t>
            </w:r>
          </w:p>
        </w:tc>
        <w:tc>
          <w:tcPr>
            <w:tcW w:w="992" w:type="dxa"/>
            <w:shd w:val="clear" w:color="auto" w:fill="auto"/>
            <w:noWrap/>
            <w:hideMark/>
          </w:tcPr>
          <w:p w14:paraId="61B0CF50"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70E26AC"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4EE82ED"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D21B442"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710D32F9" w14:textId="77777777" w:rsidR="00CC73DD" w:rsidRPr="00361139" w:rsidRDefault="00CC73DD" w:rsidP="002232EE">
            <w:pPr>
              <w:pStyle w:val="Normal-pool-Table"/>
              <w:jc w:val="right"/>
              <w:rPr>
                <w:lang w:val="en-GB"/>
              </w:rPr>
            </w:pPr>
            <w:r w:rsidRPr="00361139">
              <w:rPr>
                <w:lang w:val="en-GB"/>
              </w:rPr>
              <w:t>0,00</w:t>
            </w:r>
          </w:p>
        </w:tc>
      </w:tr>
      <w:tr w:rsidR="00FA47A8" w:rsidRPr="00361139" w14:paraId="783E93C9" w14:textId="77777777" w:rsidTr="00413E25">
        <w:trPr>
          <w:cantSplit/>
          <w:trHeight w:val="57"/>
          <w:jc w:val="right"/>
        </w:trPr>
        <w:tc>
          <w:tcPr>
            <w:tcW w:w="677" w:type="dxa"/>
            <w:shd w:val="clear" w:color="auto" w:fill="auto"/>
            <w:noWrap/>
            <w:hideMark/>
          </w:tcPr>
          <w:p w14:paraId="40072002" w14:textId="77777777" w:rsidR="00CC73DD" w:rsidRPr="00361139" w:rsidRDefault="00CC73DD" w:rsidP="00DB2573">
            <w:pPr>
              <w:pStyle w:val="Normal-pool-Table"/>
              <w:rPr>
                <w:lang w:val="en-GB"/>
              </w:rPr>
            </w:pPr>
            <w:r w:rsidRPr="00361139">
              <w:rPr>
                <w:lang w:val="en-GB"/>
              </w:rPr>
              <w:t>10868</w:t>
            </w:r>
          </w:p>
        </w:tc>
        <w:tc>
          <w:tcPr>
            <w:tcW w:w="677" w:type="dxa"/>
            <w:shd w:val="clear" w:color="auto" w:fill="auto"/>
            <w:noWrap/>
            <w:hideMark/>
          </w:tcPr>
          <w:p w14:paraId="6C63CAFC"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4B6F12B8" w14:textId="77777777" w:rsidR="00CC73DD" w:rsidRPr="00361139" w:rsidRDefault="00CC73DD" w:rsidP="00DB2573">
            <w:pPr>
              <w:pStyle w:val="Normal-pool-Table"/>
              <w:rPr>
                <w:lang w:val="en-GB"/>
              </w:rPr>
            </w:pPr>
            <w:r w:rsidRPr="00361139">
              <w:rPr>
                <w:lang w:val="en-GB"/>
              </w:rPr>
              <w:t>Sri Lanka</w:t>
            </w:r>
          </w:p>
        </w:tc>
        <w:tc>
          <w:tcPr>
            <w:tcW w:w="2126" w:type="dxa"/>
            <w:shd w:val="clear" w:color="auto" w:fill="auto"/>
            <w:noWrap/>
            <w:hideMark/>
          </w:tcPr>
          <w:p w14:paraId="7F2DE958" w14:textId="77777777" w:rsidR="00CC73DD" w:rsidRPr="00361139" w:rsidRDefault="00CC73DD" w:rsidP="00DB2573">
            <w:pPr>
              <w:pStyle w:val="Normal-pool-Table"/>
              <w:rPr>
                <w:lang w:val="en-GB"/>
              </w:rPr>
            </w:pPr>
            <w:r w:rsidRPr="00361139">
              <w:rPr>
                <w:lang w:val="en-GB"/>
              </w:rPr>
              <w:t>Integrated Management and Environmentally Sound Disposal of POPs Pesticides and Mercury in Healthcare and Agricultural Sectors in Sri Lanka</w:t>
            </w:r>
          </w:p>
        </w:tc>
        <w:tc>
          <w:tcPr>
            <w:tcW w:w="992" w:type="dxa"/>
            <w:shd w:val="clear" w:color="auto" w:fill="auto"/>
            <w:noWrap/>
            <w:hideMark/>
          </w:tcPr>
          <w:p w14:paraId="1F5DC045"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6AA5CEBC"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5F900EC"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6CA55CE3" w14:textId="77777777" w:rsidR="00CC73DD" w:rsidRPr="00361139" w:rsidRDefault="00CC73DD" w:rsidP="002232EE">
            <w:pPr>
              <w:pStyle w:val="Normal-pool-Table"/>
              <w:jc w:val="right"/>
              <w:rPr>
                <w:lang w:val="en-GB"/>
              </w:rPr>
            </w:pPr>
            <w:r w:rsidRPr="00361139">
              <w:rPr>
                <w:lang w:val="en-GB"/>
              </w:rPr>
              <w:t>5,04</w:t>
            </w:r>
          </w:p>
        </w:tc>
        <w:tc>
          <w:tcPr>
            <w:tcW w:w="1037" w:type="dxa"/>
            <w:shd w:val="clear" w:color="auto" w:fill="auto"/>
            <w:noWrap/>
            <w:hideMark/>
          </w:tcPr>
          <w:p w14:paraId="1EE953BF" w14:textId="77777777" w:rsidR="00CC73DD" w:rsidRPr="00361139" w:rsidRDefault="00CC73DD" w:rsidP="002232EE">
            <w:pPr>
              <w:pStyle w:val="Normal-pool-Table"/>
              <w:jc w:val="right"/>
              <w:rPr>
                <w:lang w:val="en-GB"/>
              </w:rPr>
            </w:pPr>
            <w:r w:rsidRPr="00361139">
              <w:rPr>
                <w:lang w:val="en-GB"/>
              </w:rPr>
              <w:t>40,86</w:t>
            </w:r>
          </w:p>
        </w:tc>
      </w:tr>
      <w:tr w:rsidR="00FA47A8" w:rsidRPr="00361139" w14:paraId="2A1B2D64" w14:textId="77777777" w:rsidTr="00413E25">
        <w:trPr>
          <w:cantSplit/>
          <w:trHeight w:val="57"/>
          <w:jc w:val="right"/>
        </w:trPr>
        <w:tc>
          <w:tcPr>
            <w:tcW w:w="677" w:type="dxa"/>
            <w:shd w:val="clear" w:color="auto" w:fill="auto"/>
            <w:noWrap/>
            <w:hideMark/>
          </w:tcPr>
          <w:p w14:paraId="13B87837" w14:textId="77777777" w:rsidR="00CC73DD" w:rsidRPr="00361139" w:rsidRDefault="00CC73DD" w:rsidP="00DB2573">
            <w:pPr>
              <w:pStyle w:val="Normal-pool-Table"/>
              <w:rPr>
                <w:lang w:val="en-GB"/>
              </w:rPr>
            </w:pPr>
            <w:r w:rsidRPr="00361139">
              <w:rPr>
                <w:lang w:val="en-GB"/>
              </w:rPr>
              <w:t>10864</w:t>
            </w:r>
          </w:p>
        </w:tc>
        <w:tc>
          <w:tcPr>
            <w:tcW w:w="677" w:type="dxa"/>
            <w:shd w:val="clear" w:color="auto" w:fill="auto"/>
            <w:noWrap/>
            <w:hideMark/>
          </w:tcPr>
          <w:p w14:paraId="26E88291"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40E5AB13" w14:textId="77777777" w:rsidR="00CC73DD" w:rsidRPr="00361139" w:rsidRDefault="00CC73DD" w:rsidP="00DB2573">
            <w:pPr>
              <w:pStyle w:val="Normal-pool-Table"/>
              <w:rPr>
                <w:lang w:val="en-GB"/>
              </w:rPr>
            </w:pPr>
            <w:r w:rsidRPr="00361139">
              <w:rPr>
                <w:lang w:val="en-GB"/>
              </w:rPr>
              <w:t>China</w:t>
            </w:r>
          </w:p>
        </w:tc>
        <w:tc>
          <w:tcPr>
            <w:tcW w:w="2126" w:type="dxa"/>
            <w:shd w:val="clear" w:color="auto" w:fill="auto"/>
            <w:noWrap/>
            <w:hideMark/>
          </w:tcPr>
          <w:p w14:paraId="45E0CCCC" w14:textId="77777777" w:rsidR="00CC73DD" w:rsidRPr="00361139" w:rsidRDefault="00CC73DD" w:rsidP="00DB2573">
            <w:pPr>
              <w:pStyle w:val="Normal-pool-Table"/>
              <w:rPr>
                <w:lang w:val="en-GB"/>
              </w:rPr>
            </w:pPr>
            <w:r w:rsidRPr="00361139">
              <w:rPr>
                <w:lang w:val="en-GB"/>
              </w:rPr>
              <w:t>Sustainable Mercury Management in Non-ferrous Metal Industry</w:t>
            </w:r>
          </w:p>
        </w:tc>
        <w:tc>
          <w:tcPr>
            <w:tcW w:w="992" w:type="dxa"/>
            <w:shd w:val="clear" w:color="auto" w:fill="auto"/>
            <w:noWrap/>
            <w:hideMark/>
          </w:tcPr>
          <w:p w14:paraId="5C1D803B"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72CD3444"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455B16EE"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28B769C" w14:textId="77777777" w:rsidR="00CC73DD" w:rsidRPr="00361139" w:rsidRDefault="00CC73DD" w:rsidP="002232EE">
            <w:pPr>
              <w:pStyle w:val="Normal-pool-Table"/>
              <w:jc w:val="right"/>
              <w:rPr>
                <w:lang w:val="en-GB"/>
              </w:rPr>
            </w:pPr>
            <w:r w:rsidRPr="00361139">
              <w:rPr>
                <w:lang w:val="en-GB"/>
              </w:rPr>
              <w:t>20,30</w:t>
            </w:r>
          </w:p>
        </w:tc>
        <w:tc>
          <w:tcPr>
            <w:tcW w:w="1037" w:type="dxa"/>
            <w:shd w:val="clear" w:color="auto" w:fill="auto"/>
            <w:noWrap/>
            <w:hideMark/>
          </w:tcPr>
          <w:p w14:paraId="4B5229D2" w14:textId="77777777" w:rsidR="00CC73DD" w:rsidRPr="00361139" w:rsidRDefault="00CC73DD" w:rsidP="002232EE">
            <w:pPr>
              <w:pStyle w:val="Normal-pool-Table"/>
              <w:jc w:val="right"/>
              <w:rPr>
                <w:lang w:val="en-GB"/>
              </w:rPr>
            </w:pPr>
            <w:r w:rsidRPr="00361139">
              <w:rPr>
                <w:lang w:val="en-GB"/>
              </w:rPr>
              <w:t>140,00</w:t>
            </w:r>
          </w:p>
        </w:tc>
      </w:tr>
      <w:tr w:rsidR="00FA47A8" w:rsidRPr="00361139" w14:paraId="2CBB7450" w14:textId="77777777" w:rsidTr="00413E25">
        <w:trPr>
          <w:cantSplit/>
          <w:trHeight w:val="57"/>
          <w:jc w:val="right"/>
        </w:trPr>
        <w:tc>
          <w:tcPr>
            <w:tcW w:w="677" w:type="dxa"/>
            <w:shd w:val="clear" w:color="auto" w:fill="auto"/>
            <w:noWrap/>
            <w:hideMark/>
          </w:tcPr>
          <w:p w14:paraId="6FA90F78" w14:textId="77777777" w:rsidR="00CC73DD" w:rsidRPr="00361139" w:rsidRDefault="00CC73DD" w:rsidP="00DB2573">
            <w:pPr>
              <w:pStyle w:val="Normal-pool-Table"/>
              <w:rPr>
                <w:lang w:val="en-GB"/>
              </w:rPr>
            </w:pPr>
            <w:r w:rsidRPr="00361139">
              <w:rPr>
                <w:lang w:val="en-GB"/>
              </w:rPr>
              <w:t>10860</w:t>
            </w:r>
          </w:p>
        </w:tc>
        <w:tc>
          <w:tcPr>
            <w:tcW w:w="677" w:type="dxa"/>
            <w:shd w:val="clear" w:color="auto" w:fill="auto"/>
            <w:noWrap/>
            <w:hideMark/>
          </w:tcPr>
          <w:p w14:paraId="43C36CFF"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3B395CF6" w14:textId="77777777" w:rsidR="00CC73DD" w:rsidRPr="00361139" w:rsidRDefault="00CC73DD" w:rsidP="00DB2573">
            <w:pPr>
              <w:pStyle w:val="Normal-pool-Table"/>
              <w:rPr>
                <w:lang w:val="en-GB"/>
              </w:rPr>
            </w:pPr>
            <w:r w:rsidRPr="00361139">
              <w:rPr>
                <w:lang w:val="en-GB"/>
              </w:rPr>
              <w:t>Brazil</w:t>
            </w:r>
          </w:p>
        </w:tc>
        <w:tc>
          <w:tcPr>
            <w:tcW w:w="2126" w:type="dxa"/>
            <w:shd w:val="clear" w:color="auto" w:fill="auto"/>
            <w:noWrap/>
            <w:hideMark/>
          </w:tcPr>
          <w:p w14:paraId="22B0198B" w14:textId="77777777" w:rsidR="00CC73DD" w:rsidRPr="00361139" w:rsidRDefault="00CC73DD" w:rsidP="00DB2573">
            <w:pPr>
              <w:pStyle w:val="Normal-pool-Table"/>
              <w:rPr>
                <w:lang w:val="en-GB"/>
              </w:rPr>
            </w:pPr>
            <w:r w:rsidRPr="00361139">
              <w:rPr>
                <w:lang w:val="en-GB"/>
              </w:rPr>
              <w:t>Development of National Action Plan for Artisanal and Small-Scale Gold Mining in Brazil</w:t>
            </w:r>
          </w:p>
        </w:tc>
        <w:tc>
          <w:tcPr>
            <w:tcW w:w="992" w:type="dxa"/>
            <w:shd w:val="clear" w:color="auto" w:fill="auto"/>
            <w:noWrap/>
            <w:hideMark/>
          </w:tcPr>
          <w:p w14:paraId="58D0AA9C"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82DF69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659E97A"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725ED95D"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3BC5C24A" w14:textId="77777777" w:rsidR="00CC73DD" w:rsidRPr="00361139" w:rsidRDefault="00CC73DD" w:rsidP="002232EE">
            <w:pPr>
              <w:pStyle w:val="Normal-pool-Table"/>
              <w:jc w:val="right"/>
              <w:rPr>
                <w:lang w:val="en-GB"/>
              </w:rPr>
            </w:pPr>
            <w:r w:rsidRPr="00361139">
              <w:rPr>
                <w:lang w:val="en-GB"/>
              </w:rPr>
              <w:t>0,00</w:t>
            </w:r>
          </w:p>
        </w:tc>
      </w:tr>
      <w:tr w:rsidR="00FA47A8" w:rsidRPr="00361139" w14:paraId="52542C80" w14:textId="77777777" w:rsidTr="00413E25">
        <w:trPr>
          <w:cantSplit/>
          <w:trHeight w:val="57"/>
          <w:jc w:val="right"/>
        </w:trPr>
        <w:tc>
          <w:tcPr>
            <w:tcW w:w="677" w:type="dxa"/>
            <w:shd w:val="clear" w:color="auto" w:fill="auto"/>
            <w:noWrap/>
            <w:hideMark/>
          </w:tcPr>
          <w:p w14:paraId="2E69FC54" w14:textId="77777777" w:rsidR="00CC73DD" w:rsidRPr="00361139" w:rsidRDefault="00CC73DD" w:rsidP="00DB2573">
            <w:pPr>
              <w:pStyle w:val="Normal-pool-Table"/>
              <w:rPr>
                <w:lang w:val="en-GB"/>
              </w:rPr>
            </w:pPr>
            <w:r w:rsidRPr="00361139">
              <w:rPr>
                <w:lang w:val="en-GB"/>
              </w:rPr>
              <w:t>10811</w:t>
            </w:r>
          </w:p>
        </w:tc>
        <w:tc>
          <w:tcPr>
            <w:tcW w:w="677" w:type="dxa"/>
            <w:shd w:val="clear" w:color="auto" w:fill="auto"/>
            <w:noWrap/>
            <w:hideMark/>
          </w:tcPr>
          <w:p w14:paraId="3301DF22"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69D9F32A" w14:textId="77777777" w:rsidR="00CC73DD" w:rsidRPr="00361139" w:rsidRDefault="00CC73DD" w:rsidP="00DB2573">
            <w:pPr>
              <w:pStyle w:val="Normal-pool-Table"/>
              <w:rPr>
                <w:lang w:val="en-GB"/>
              </w:rPr>
            </w:pPr>
            <w:r w:rsidRPr="00361139">
              <w:rPr>
                <w:lang w:val="en-GB"/>
              </w:rPr>
              <w:t>Oman</w:t>
            </w:r>
          </w:p>
        </w:tc>
        <w:tc>
          <w:tcPr>
            <w:tcW w:w="2126" w:type="dxa"/>
            <w:shd w:val="clear" w:color="auto" w:fill="auto"/>
            <w:noWrap/>
            <w:hideMark/>
          </w:tcPr>
          <w:p w14:paraId="69528DF6" w14:textId="77777777" w:rsidR="00CC73DD" w:rsidRPr="00361139" w:rsidRDefault="00CC73DD" w:rsidP="00DB2573">
            <w:pPr>
              <w:pStyle w:val="Normal-pool-Table"/>
              <w:rPr>
                <w:lang w:val="en-GB"/>
              </w:rPr>
            </w:pPr>
            <w:r w:rsidRPr="00361139">
              <w:rPr>
                <w:lang w:val="en-GB"/>
              </w:rPr>
              <w:t>Development of Minamata Convention Initial Assessment (MIA) for Sultanate of Oman</w:t>
            </w:r>
          </w:p>
        </w:tc>
        <w:tc>
          <w:tcPr>
            <w:tcW w:w="992" w:type="dxa"/>
            <w:shd w:val="clear" w:color="auto" w:fill="auto"/>
            <w:noWrap/>
            <w:hideMark/>
          </w:tcPr>
          <w:p w14:paraId="1F1D124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3953D815"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0957BBD"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61B8E0E4"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0C9885DD" w14:textId="77777777" w:rsidR="00CC73DD" w:rsidRPr="00361139" w:rsidRDefault="00CC73DD" w:rsidP="002232EE">
            <w:pPr>
              <w:pStyle w:val="Normal-pool-Table"/>
              <w:jc w:val="right"/>
              <w:rPr>
                <w:lang w:val="en-GB"/>
              </w:rPr>
            </w:pPr>
            <w:r w:rsidRPr="00361139">
              <w:rPr>
                <w:lang w:val="en-GB"/>
              </w:rPr>
              <w:t>0,00</w:t>
            </w:r>
          </w:p>
        </w:tc>
      </w:tr>
      <w:tr w:rsidR="00FA47A8" w:rsidRPr="00361139" w14:paraId="08E2480A" w14:textId="77777777" w:rsidTr="00413E25">
        <w:trPr>
          <w:cantSplit/>
          <w:trHeight w:val="57"/>
          <w:jc w:val="right"/>
        </w:trPr>
        <w:tc>
          <w:tcPr>
            <w:tcW w:w="677" w:type="dxa"/>
            <w:shd w:val="clear" w:color="auto" w:fill="auto"/>
            <w:noWrap/>
            <w:hideMark/>
          </w:tcPr>
          <w:p w14:paraId="023C13B4" w14:textId="77777777" w:rsidR="00CC73DD" w:rsidRPr="00361139" w:rsidRDefault="00CC73DD" w:rsidP="00DB2573">
            <w:pPr>
              <w:pStyle w:val="Normal-pool-Table"/>
              <w:rPr>
                <w:lang w:val="en-GB"/>
              </w:rPr>
            </w:pPr>
            <w:r w:rsidRPr="00361139">
              <w:rPr>
                <w:lang w:val="en-GB"/>
              </w:rPr>
              <w:t>10810</w:t>
            </w:r>
          </w:p>
        </w:tc>
        <w:tc>
          <w:tcPr>
            <w:tcW w:w="677" w:type="dxa"/>
            <w:shd w:val="clear" w:color="auto" w:fill="auto"/>
            <w:noWrap/>
            <w:hideMark/>
          </w:tcPr>
          <w:p w14:paraId="55CC94C4"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473FBC6" w14:textId="718AAD02" w:rsidR="00CC73DD" w:rsidRPr="00361139" w:rsidRDefault="00CC73DD" w:rsidP="00DB2573">
            <w:pPr>
              <w:pStyle w:val="Normal-pool-Table"/>
              <w:rPr>
                <w:lang w:val="en-GB"/>
              </w:rPr>
            </w:pPr>
            <w:r w:rsidRPr="00361139">
              <w:rPr>
                <w:lang w:val="en-GB"/>
              </w:rPr>
              <w:t>Gabon, Jamaica, Sri</w:t>
            </w:r>
            <w:r w:rsidR="00522D2B" w:rsidRPr="00361139">
              <w:rPr>
                <w:lang w:val="en-GB"/>
              </w:rPr>
              <w:t> </w:t>
            </w:r>
            <w:r w:rsidRPr="00361139">
              <w:rPr>
                <w:lang w:val="en-GB"/>
              </w:rPr>
              <w:t>Lanka</w:t>
            </w:r>
          </w:p>
        </w:tc>
        <w:tc>
          <w:tcPr>
            <w:tcW w:w="2126" w:type="dxa"/>
            <w:shd w:val="clear" w:color="auto" w:fill="auto"/>
            <w:noWrap/>
            <w:hideMark/>
          </w:tcPr>
          <w:p w14:paraId="108E99DF" w14:textId="77777777" w:rsidR="00CC73DD" w:rsidRPr="00361139" w:rsidRDefault="00CC73DD" w:rsidP="00DB2573">
            <w:pPr>
              <w:pStyle w:val="Normal-pool-Table"/>
              <w:rPr>
                <w:lang w:val="en-GB"/>
              </w:rPr>
            </w:pPr>
            <w:r w:rsidRPr="00361139">
              <w:rPr>
                <w:lang w:val="en-GB"/>
              </w:rPr>
              <w:t>Eliminating mercury skin lightening products</w:t>
            </w:r>
          </w:p>
        </w:tc>
        <w:tc>
          <w:tcPr>
            <w:tcW w:w="992" w:type="dxa"/>
            <w:shd w:val="clear" w:color="auto" w:fill="auto"/>
            <w:noWrap/>
            <w:hideMark/>
          </w:tcPr>
          <w:p w14:paraId="49B1C9AA"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4926DCD"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408B32A8"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37232110"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59B827F8" w14:textId="77777777" w:rsidR="00CC73DD" w:rsidRPr="00361139" w:rsidRDefault="00CC73DD" w:rsidP="002232EE">
            <w:pPr>
              <w:pStyle w:val="Normal-pool-Table"/>
              <w:jc w:val="right"/>
              <w:rPr>
                <w:lang w:val="en-GB"/>
              </w:rPr>
            </w:pPr>
            <w:r w:rsidRPr="00361139">
              <w:rPr>
                <w:lang w:val="en-GB"/>
              </w:rPr>
              <w:t>14,95</w:t>
            </w:r>
          </w:p>
        </w:tc>
      </w:tr>
      <w:tr w:rsidR="00FA47A8" w:rsidRPr="00361139" w14:paraId="47DB66BC" w14:textId="77777777" w:rsidTr="00413E25">
        <w:trPr>
          <w:cantSplit/>
          <w:trHeight w:val="57"/>
          <w:jc w:val="right"/>
        </w:trPr>
        <w:tc>
          <w:tcPr>
            <w:tcW w:w="677" w:type="dxa"/>
            <w:shd w:val="clear" w:color="auto" w:fill="auto"/>
            <w:noWrap/>
            <w:hideMark/>
          </w:tcPr>
          <w:p w14:paraId="6BF24D2B" w14:textId="77777777" w:rsidR="00CC73DD" w:rsidRPr="00361139" w:rsidRDefault="00CC73DD" w:rsidP="00DB2573">
            <w:pPr>
              <w:pStyle w:val="Normal-pool-Table"/>
              <w:rPr>
                <w:lang w:val="en-GB"/>
              </w:rPr>
            </w:pPr>
            <w:r w:rsidRPr="00361139">
              <w:rPr>
                <w:lang w:val="en-GB"/>
              </w:rPr>
              <w:t>10748</w:t>
            </w:r>
          </w:p>
        </w:tc>
        <w:tc>
          <w:tcPr>
            <w:tcW w:w="677" w:type="dxa"/>
            <w:shd w:val="clear" w:color="auto" w:fill="auto"/>
            <w:noWrap/>
            <w:hideMark/>
          </w:tcPr>
          <w:p w14:paraId="49876AE6"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6B1CD231" w14:textId="77777777" w:rsidR="00CC73DD" w:rsidRPr="00361139" w:rsidRDefault="00CC73DD" w:rsidP="00DB2573">
            <w:pPr>
              <w:pStyle w:val="Normal-pool-Table"/>
              <w:rPr>
                <w:lang w:val="en-GB"/>
              </w:rPr>
            </w:pPr>
            <w:r w:rsidRPr="00361139">
              <w:rPr>
                <w:lang w:val="en-GB"/>
              </w:rPr>
              <w:t>Global</w:t>
            </w:r>
          </w:p>
        </w:tc>
        <w:tc>
          <w:tcPr>
            <w:tcW w:w="2126" w:type="dxa"/>
            <w:shd w:val="clear" w:color="auto" w:fill="auto"/>
            <w:noWrap/>
            <w:hideMark/>
          </w:tcPr>
          <w:p w14:paraId="4BB89D6F" w14:textId="77777777" w:rsidR="00CC73DD" w:rsidRPr="00361139" w:rsidRDefault="00CC73DD" w:rsidP="00DB2573">
            <w:pPr>
              <w:pStyle w:val="Normal-pool-Table"/>
              <w:rPr>
                <w:lang w:val="en-GB"/>
              </w:rPr>
            </w:pPr>
            <w:r w:rsidRPr="00361139">
              <w:rPr>
                <w:lang w:val="en-GB"/>
              </w:rPr>
              <w:t>Assessment of existing and future emissions reduction from the coal sector toward the implementation of the Minamata and Stockholm Conventions</w:t>
            </w:r>
          </w:p>
        </w:tc>
        <w:tc>
          <w:tcPr>
            <w:tcW w:w="992" w:type="dxa"/>
            <w:shd w:val="clear" w:color="auto" w:fill="auto"/>
            <w:noWrap/>
            <w:hideMark/>
          </w:tcPr>
          <w:p w14:paraId="047C7A14"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36640112"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3589E509"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624476A" w14:textId="77777777" w:rsidR="00CC73DD" w:rsidRPr="00361139" w:rsidRDefault="00CC73DD" w:rsidP="002232EE">
            <w:pPr>
              <w:pStyle w:val="Normal-pool-Table"/>
              <w:jc w:val="right"/>
              <w:rPr>
                <w:lang w:val="en-GB"/>
              </w:rPr>
            </w:pPr>
            <w:r w:rsidRPr="00361139">
              <w:rPr>
                <w:lang w:val="en-GB"/>
              </w:rPr>
              <w:t>0,59</w:t>
            </w:r>
          </w:p>
        </w:tc>
        <w:tc>
          <w:tcPr>
            <w:tcW w:w="1037" w:type="dxa"/>
            <w:shd w:val="clear" w:color="auto" w:fill="auto"/>
            <w:noWrap/>
            <w:hideMark/>
          </w:tcPr>
          <w:p w14:paraId="38D46960" w14:textId="77777777" w:rsidR="00CC73DD" w:rsidRPr="00361139" w:rsidRDefault="00CC73DD" w:rsidP="002232EE">
            <w:pPr>
              <w:pStyle w:val="Normal-pool-Table"/>
              <w:jc w:val="right"/>
              <w:rPr>
                <w:lang w:val="en-GB"/>
              </w:rPr>
            </w:pPr>
            <w:r w:rsidRPr="00361139">
              <w:rPr>
                <w:lang w:val="en-GB"/>
              </w:rPr>
              <w:t>0,65</w:t>
            </w:r>
          </w:p>
        </w:tc>
      </w:tr>
      <w:tr w:rsidR="00FA47A8" w:rsidRPr="00361139" w14:paraId="2B775F4F" w14:textId="77777777" w:rsidTr="00413E25">
        <w:trPr>
          <w:cantSplit/>
          <w:trHeight w:val="57"/>
          <w:jc w:val="right"/>
        </w:trPr>
        <w:tc>
          <w:tcPr>
            <w:tcW w:w="677" w:type="dxa"/>
            <w:shd w:val="clear" w:color="auto" w:fill="auto"/>
            <w:noWrap/>
            <w:hideMark/>
          </w:tcPr>
          <w:p w14:paraId="4701127D" w14:textId="77777777" w:rsidR="00CC73DD" w:rsidRPr="00361139" w:rsidRDefault="00CC73DD" w:rsidP="00DB2573">
            <w:pPr>
              <w:pStyle w:val="Normal-pool-Table"/>
              <w:rPr>
                <w:lang w:val="en-GB"/>
              </w:rPr>
            </w:pPr>
            <w:r w:rsidRPr="00361139">
              <w:rPr>
                <w:lang w:val="en-GB"/>
              </w:rPr>
              <w:lastRenderedPageBreak/>
              <w:t>10721</w:t>
            </w:r>
          </w:p>
        </w:tc>
        <w:tc>
          <w:tcPr>
            <w:tcW w:w="677" w:type="dxa"/>
            <w:shd w:val="clear" w:color="auto" w:fill="auto"/>
            <w:noWrap/>
            <w:hideMark/>
          </w:tcPr>
          <w:p w14:paraId="0F2F173C"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C9B19C3" w14:textId="77777777" w:rsidR="00CC73DD" w:rsidRPr="00361139" w:rsidRDefault="00CC73DD" w:rsidP="00DB2573">
            <w:pPr>
              <w:pStyle w:val="Normal-pool-Table"/>
              <w:rPr>
                <w:lang w:val="en-GB"/>
              </w:rPr>
            </w:pPr>
            <w:r w:rsidRPr="00361139">
              <w:rPr>
                <w:lang w:val="en-GB"/>
              </w:rPr>
              <w:t>Panama</w:t>
            </w:r>
          </w:p>
        </w:tc>
        <w:tc>
          <w:tcPr>
            <w:tcW w:w="2126" w:type="dxa"/>
            <w:shd w:val="clear" w:color="auto" w:fill="auto"/>
            <w:noWrap/>
            <w:hideMark/>
          </w:tcPr>
          <w:p w14:paraId="053813D4" w14:textId="77777777" w:rsidR="00CC73DD" w:rsidRPr="00361139" w:rsidRDefault="00CC73DD" w:rsidP="00DB2573">
            <w:pPr>
              <w:pStyle w:val="Normal-pool-Table"/>
              <w:rPr>
                <w:lang w:val="en-GB"/>
              </w:rPr>
            </w:pPr>
            <w:r w:rsidRPr="00361139">
              <w:rPr>
                <w:lang w:val="en-GB"/>
              </w:rPr>
              <w:t>Environmentally sound management of hazardous wastes containing POPs and Mercury</w:t>
            </w:r>
          </w:p>
        </w:tc>
        <w:tc>
          <w:tcPr>
            <w:tcW w:w="992" w:type="dxa"/>
            <w:shd w:val="clear" w:color="auto" w:fill="auto"/>
            <w:noWrap/>
            <w:hideMark/>
          </w:tcPr>
          <w:p w14:paraId="535D5227"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3E258D77"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41B0EC44"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3B64C4F8" w14:textId="77777777" w:rsidR="00CC73DD" w:rsidRPr="00361139" w:rsidRDefault="00CC73DD" w:rsidP="002232EE">
            <w:pPr>
              <w:pStyle w:val="Normal-pool-Table"/>
              <w:jc w:val="right"/>
              <w:rPr>
                <w:lang w:val="en-GB"/>
              </w:rPr>
            </w:pPr>
            <w:r w:rsidRPr="00361139">
              <w:rPr>
                <w:lang w:val="en-GB"/>
              </w:rPr>
              <w:t>2,73</w:t>
            </w:r>
          </w:p>
        </w:tc>
        <w:tc>
          <w:tcPr>
            <w:tcW w:w="1037" w:type="dxa"/>
            <w:shd w:val="clear" w:color="auto" w:fill="auto"/>
            <w:noWrap/>
            <w:hideMark/>
          </w:tcPr>
          <w:p w14:paraId="23E536E3" w14:textId="77777777" w:rsidR="00CC73DD" w:rsidRPr="00361139" w:rsidRDefault="00CC73DD" w:rsidP="002232EE">
            <w:pPr>
              <w:pStyle w:val="Normal-pool-Table"/>
              <w:jc w:val="right"/>
              <w:rPr>
                <w:lang w:val="en-GB"/>
              </w:rPr>
            </w:pPr>
            <w:r w:rsidRPr="00361139">
              <w:rPr>
                <w:lang w:val="en-GB"/>
              </w:rPr>
              <w:t>26,05</w:t>
            </w:r>
          </w:p>
        </w:tc>
      </w:tr>
      <w:tr w:rsidR="00FA47A8" w:rsidRPr="00361139" w14:paraId="6953C373" w14:textId="77777777" w:rsidTr="00413E25">
        <w:trPr>
          <w:cantSplit/>
          <w:trHeight w:val="57"/>
          <w:jc w:val="right"/>
        </w:trPr>
        <w:tc>
          <w:tcPr>
            <w:tcW w:w="677" w:type="dxa"/>
            <w:shd w:val="clear" w:color="auto" w:fill="auto"/>
            <w:noWrap/>
            <w:hideMark/>
          </w:tcPr>
          <w:p w14:paraId="1D90200F" w14:textId="77777777" w:rsidR="00CC73DD" w:rsidRPr="00361139" w:rsidRDefault="00CC73DD" w:rsidP="00DB2573">
            <w:pPr>
              <w:pStyle w:val="Normal-pool-Table"/>
              <w:rPr>
                <w:lang w:val="en-GB"/>
              </w:rPr>
            </w:pPr>
            <w:r w:rsidRPr="00361139">
              <w:rPr>
                <w:lang w:val="en-GB"/>
              </w:rPr>
              <w:t>10716</w:t>
            </w:r>
          </w:p>
        </w:tc>
        <w:tc>
          <w:tcPr>
            <w:tcW w:w="677" w:type="dxa"/>
            <w:shd w:val="clear" w:color="auto" w:fill="auto"/>
            <w:noWrap/>
            <w:hideMark/>
          </w:tcPr>
          <w:p w14:paraId="3D2AA86E"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88C5AA8" w14:textId="77777777" w:rsidR="00CC73DD" w:rsidRPr="00C2090E" w:rsidRDefault="00CC73DD" w:rsidP="00DB2573">
            <w:pPr>
              <w:pStyle w:val="Normal-pool-Table"/>
              <w:rPr>
                <w:lang w:val="es-ES"/>
              </w:rPr>
            </w:pPr>
            <w:r w:rsidRPr="00C2090E">
              <w:rPr>
                <w:lang w:val="es-ES"/>
              </w:rPr>
              <w:t>Albania, Burkina Faso, India, Montenegro, Uganda</w:t>
            </w:r>
          </w:p>
        </w:tc>
        <w:tc>
          <w:tcPr>
            <w:tcW w:w="2126" w:type="dxa"/>
            <w:shd w:val="clear" w:color="auto" w:fill="auto"/>
            <w:noWrap/>
            <w:hideMark/>
          </w:tcPr>
          <w:p w14:paraId="2B7E9894" w14:textId="77777777" w:rsidR="00CC73DD" w:rsidRPr="00361139" w:rsidRDefault="00CC73DD" w:rsidP="00DB2573">
            <w:pPr>
              <w:pStyle w:val="Normal-pool-Table"/>
              <w:rPr>
                <w:lang w:val="en-GB"/>
              </w:rPr>
            </w:pPr>
            <w:r w:rsidRPr="00361139">
              <w:rPr>
                <w:lang w:val="en-GB"/>
              </w:rPr>
              <w:t>Phasing out mercury measuring devices in healthcare</w:t>
            </w:r>
          </w:p>
        </w:tc>
        <w:tc>
          <w:tcPr>
            <w:tcW w:w="992" w:type="dxa"/>
            <w:shd w:val="clear" w:color="auto" w:fill="auto"/>
            <w:noWrap/>
            <w:hideMark/>
          </w:tcPr>
          <w:p w14:paraId="32B02C6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BA51017"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667088F"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69C05DB8" w14:textId="77777777" w:rsidR="00CC73DD" w:rsidRPr="00361139" w:rsidRDefault="00CC73DD" w:rsidP="002232EE">
            <w:pPr>
              <w:pStyle w:val="Normal-pool-Table"/>
              <w:jc w:val="right"/>
              <w:rPr>
                <w:lang w:val="en-GB"/>
              </w:rPr>
            </w:pPr>
            <w:r w:rsidRPr="00361139">
              <w:rPr>
                <w:lang w:val="en-GB"/>
              </w:rPr>
              <w:t>7,98</w:t>
            </w:r>
          </w:p>
        </w:tc>
        <w:tc>
          <w:tcPr>
            <w:tcW w:w="1037" w:type="dxa"/>
            <w:shd w:val="clear" w:color="auto" w:fill="auto"/>
            <w:noWrap/>
            <w:hideMark/>
          </w:tcPr>
          <w:p w14:paraId="13D83AC8" w14:textId="77777777" w:rsidR="00CC73DD" w:rsidRPr="00361139" w:rsidRDefault="00CC73DD" w:rsidP="002232EE">
            <w:pPr>
              <w:pStyle w:val="Normal-pool-Table"/>
              <w:jc w:val="right"/>
              <w:rPr>
                <w:lang w:val="en-GB"/>
              </w:rPr>
            </w:pPr>
            <w:r w:rsidRPr="00361139">
              <w:rPr>
                <w:lang w:val="en-GB"/>
              </w:rPr>
              <w:t>126,34</w:t>
            </w:r>
          </w:p>
        </w:tc>
      </w:tr>
      <w:tr w:rsidR="00FA47A8" w:rsidRPr="00361139" w14:paraId="19F8FC60" w14:textId="77777777" w:rsidTr="00413E25">
        <w:trPr>
          <w:cantSplit/>
          <w:trHeight w:val="57"/>
          <w:jc w:val="right"/>
        </w:trPr>
        <w:tc>
          <w:tcPr>
            <w:tcW w:w="677" w:type="dxa"/>
            <w:shd w:val="clear" w:color="auto" w:fill="auto"/>
            <w:noWrap/>
            <w:hideMark/>
          </w:tcPr>
          <w:p w14:paraId="4D7E06D7" w14:textId="77777777" w:rsidR="00CC73DD" w:rsidRPr="00361139" w:rsidRDefault="00CC73DD" w:rsidP="00DB2573">
            <w:pPr>
              <w:pStyle w:val="Normal-pool-Table"/>
              <w:rPr>
                <w:lang w:val="en-GB"/>
              </w:rPr>
            </w:pPr>
            <w:r w:rsidRPr="00361139">
              <w:rPr>
                <w:lang w:val="en-GB"/>
              </w:rPr>
              <w:t>10658</w:t>
            </w:r>
          </w:p>
        </w:tc>
        <w:tc>
          <w:tcPr>
            <w:tcW w:w="677" w:type="dxa"/>
            <w:shd w:val="clear" w:color="auto" w:fill="auto"/>
            <w:noWrap/>
            <w:hideMark/>
          </w:tcPr>
          <w:p w14:paraId="76D94DCE"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098AC0AA" w14:textId="77777777" w:rsidR="00CC73DD" w:rsidRPr="00361139" w:rsidRDefault="00CC73DD" w:rsidP="00DB2573">
            <w:pPr>
              <w:pStyle w:val="Normal-pool-Table"/>
              <w:rPr>
                <w:lang w:val="en-GB"/>
              </w:rPr>
            </w:pPr>
            <w:r w:rsidRPr="00361139">
              <w:rPr>
                <w:lang w:val="en-GB"/>
              </w:rPr>
              <w:t>Global</w:t>
            </w:r>
          </w:p>
        </w:tc>
        <w:tc>
          <w:tcPr>
            <w:tcW w:w="2126" w:type="dxa"/>
            <w:shd w:val="clear" w:color="auto" w:fill="auto"/>
            <w:noWrap/>
            <w:hideMark/>
          </w:tcPr>
          <w:p w14:paraId="2B0DF1BB" w14:textId="77777777" w:rsidR="00CC73DD" w:rsidRPr="00361139" w:rsidRDefault="00CC73DD" w:rsidP="00DB2573">
            <w:pPr>
              <w:pStyle w:val="Normal-pool-Table"/>
              <w:rPr>
                <w:lang w:val="en-GB"/>
              </w:rPr>
            </w:pPr>
            <w:r w:rsidRPr="00361139">
              <w:rPr>
                <w:lang w:val="en-GB"/>
              </w:rPr>
              <w:t>Transforming the Fashion Sector to Drive Positive Outcomes for Biodiversity, Climate, and Oceans</w:t>
            </w:r>
          </w:p>
        </w:tc>
        <w:tc>
          <w:tcPr>
            <w:tcW w:w="992" w:type="dxa"/>
            <w:shd w:val="clear" w:color="auto" w:fill="auto"/>
            <w:noWrap/>
            <w:hideMark/>
          </w:tcPr>
          <w:p w14:paraId="50FF60B5" w14:textId="77777777" w:rsidR="00CC73DD" w:rsidRPr="00361139" w:rsidRDefault="00CC73DD" w:rsidP="00DB2573">
            <w:pPr>
              <w:pStyle w:val="Normal-pool-Table"/>
              <w:rPr>
                <w:lang w:val="en-GB"/>
              </w:rPr>
            </w:pPr>
            <w:r w:rsidRPr="00361139">
              <w:rPr>
                <w:lang w:val="en-GB"/>
              </w:rPr>
              <w:t>CI</w:t>
            </w:r>
          </w:p>
        </w:tc>
        <w:tc>
          <w:tcPr>
            <w:tcW w:w="851" w:type="dxa"/>
            <w:shd w:val="clear" w:color="auto" w:fill="auto"/>
            <w:noWrap/>
            <w:hideMark/>
          </w:tcPr>
          <w:p w14:paraId="702DEE6C"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2D2089F1"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4589AD2"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663853F0" w14:textId="77777777" w:rsidR="00CC73DD" w:rsidRPr="00361139" w:rsidRDefault="00CC73DD" w:rsidP="002232EE">
            <w:pPr>
              <w:pStyle w:val="Normal-pool-Table"/>
              <w:jc w:val="right"/>
              <w:rPr>
                <w:lang w:val="en-GB"/>
              </w:rPr>
            </w:pPr>
            <w:r w:rsidRPr="00361139">
              <w:rPr>
                <w:lang w:val="en-GB"/>
              </w:rPr>
              <w:t>4,79</w:t>
            </w:r>
          </w:p>
        </w:tc>
      </w:tr>
      <w:tr w:rsidR="00FA47A8" w:rsidRPr="00361139" w14:paraId="490F41BA" w14:textId="77777777" w:rsidTr="00413E25">
        <w:trPr>
          <w:cantSplit/>
          <w:trHeight w:val="57"/>
          <w:jc w:val="right"/>
        </w:trPr>
        <w:tc>
          <w:tcPr>
            <w:tcW w:w="677" w:type="dxa"/>
            <w:shd w:val="clear" w:color="auto" w:fill="auto"/>
            <w:noWrap/>
            <w:hideMark/>
          </w:tcPr>
          <w:p w14:paraId="7FF6AEB6" w14:textId="77777777" w:rsidR="00CC73DD" w:rsidRPr="00361139" w:rsidRDefault="00CC73DD" w:rsidP="00DB2573">
            <w:pPr>
              <w:pStyle w:val="Normal-pool-Table"/>
              <w:rPr>
                <w:lang w:val="en-GB"/>
              </w:rPr>
            </w:pPr>
            <w:r w:rsidRPr="00361139">
              <w:rPr>
                <w:lang w:val="en-GB"/>
              </w:rPr>
              <w:t>10652</w:t>
            </w:r>
          </w:p>
        </w:tc>
        <w:tc>
          <w:tcPr>
            <w:tcW w:w="677" w:type="dxa"/>
            <w:shd w:val="clear" w:color="auto" w:fill="auto"/>
            <w:noWrap/>
            <w:hideMark/>
          </w:tcPr>
          <w:p w14:paraId="35997308"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ADEB792" w14:textId="77777777" w:rsidR="00CC73DD" w:rsidRPr="00361139" w:rsidRDefault="00CC73DD" w:rsidP="00DB2573">
            <w:pPr>
              <w:pStyle w:val="Normal-pool-Table"/>
              <w:rPr>
                <w:lang w:val="en-GB"/>
              </w:rPr>
            </w:pPr>
            <w:r w:rsidRPr="00361139">
              <w:rPr>
                <w:lang w:val="en-GB"/>
              </w:rPr>
              <w:t>Cuba</w:t>
            </w:r>
          </w:p>
        </w:tc>
        <w:tc>
          <w:tcPr>
            <w:tcW w:w="2126" w:type="dxa"/>
            <w:shd w:val="clear" w:color="auto" w:fill="auto"/>
            <w:noWrap/>
            <w:hideMark/>
          </w:tcPr>
          <w:p w14:paraId="2D3548B0" w14:textId="77777777" w:rsidR="00CC73DD" w:rsidRPr="00361139" w:rsidRDefault="00CC73DD" w:rsidP="00DB2573">
            <w:pPr>
              <w:pStyle w:val="Normal-pool-Table"/>
              <w:rPr>
                <w:lang w:val="en-GB"/>
              </w:rPr>
            </w:pPr>
            <w:r w:rsidRPr="00361139">
              <w:rPr>
                <w:lang w:val="en-GB"/>
              </w:rPr>
              <w:t>Development of Minamata Initial Assessment in Cuba</w:t>
            </w:r>
          </w:p>
        </w:tc>
        <w:tc>
          <w:tcPr>
            <w:tcW w:w="992" w:type="dxa"/>
            <w:shd w:val="clear" w:color="auto" w:fill="auto"/>
            <w:noWrap/>
            <w:hideMark/>
          </w:tcPr>
          <w:p w14:paraId="703249F2"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44BCA1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A94B3E3"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35C5FC02" w14:textId="77777777" w:rsidR="00CC73DD" w:rsidRPr="00361139" w:rsidRDefault="00CC73DD" w:rsidP="002232EE">
            <w:pPr>
              <w:pStyle w:val="Normal-pool-Table"/>
              <w:jc w:val="right"/>
              <w:rPr>
                <w:lang w:val="en-GB"/>
              </w:rPr>
            </w:pPr>
            <w:r w:rsidRPr="00361139">
              <w:rPr>
                <w:lang w:val="en-GB"/>
              </w:rPr>
              <w:t>0,21</w:t>
            </w:r>
          </w:p>
        </w:tc>
        <w:tc>
          <w:tcPr>
            <w:tcW w:w="1037" w:type="dxa"/>
            <w:shd w:val="clear" w:color="auto" w:fill="auto"/>
            <w:noWrap/>
            <w:hideMark/>
          </w:tcPr>
          <w:p w14:paraId="0761ABFA" w14:textId="77777777" w:rsidR="00CC73DD" w:rsidRPr="00361139" w:rsidRDefault="00CC73DD" w:rsidP="002232EE">
            <w:pPr>
              <w:pStyle w:val="Normal-pool-Table"/>
              <w:jc w:val="right"/>
              <w:rPr>
                <w:lang w:val="en-GB"/>
              </w:rPr>
            </w:pPr>
            <w:r w:rsidRPr="00361139">
              <w:rPr>
                <w:lang w:val="en-GB"/>
              </w:rPr>
              <w:t>0,00</w:t>
            </w:r>
          </w:p>
        </w:tc>
      </w:tr>
      <w:tr w:rsidR="00FA47A8" w:rsidRPr="00361139" w14:paraId="38596164" w14:textId="77777777" w:rsidTr="00413E25">
        <w:trPr>
          <w:cantSplit/>
          <w:trHeight w:val="57"/>
          <w:jc w:val="right"/>
        </w:trPr>
        <w:tc>
          <w:tcPr>
            <w:tcW w:w="677" w:type="dxa"/>
            <w:shd w:val="clear" w:color="auto" w:fill="auto"/>
            <w:noWrap/>
            <w:hideMark/>
          </w:tcPr>
          <w:p w14:paraId="69596757" w14:textId="77777777" w:rsidR="00CC73DD" w:rsidRPr="00361139" w:rsidRDefault="00CC73DD" w:rsidP="00DB2573">
            <w:pPr>
              <w:pStyle w:val="Normal-pool-Table"/>
              <w:rPr>
                <w:lang w:val="en-GB"/>
              </w:rPr>
            </w:pPr>
            <w:r w:rsidRPr="00361139">
              <w:rPr>
                <w:lang w:val="en-GB"/>
              </w:rPr>
              <w:t>10631</w:t>
            </w:r>
          </w:p>
        </w:tc>
        <w:tc>
          <w:tcPr>
            <w:tcW w:w="677" w:type="dxa"/>
            <w:shd w:val="clear" w:color="auto" w:fill="auto"/>
            <w:noWrap/>
            <w:hideMark/>
          </w:tcPr>
          <w:p w14:paraId="25DE6E97"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6145659A" w14:textId="77777777" w:rsidR="00CC73DD" w:rsidRPr="00361139" w:rsidRDefault="00CC73DD" w:rsidP="00DB2573">
            <w:pPr>
              <w:pStyle w:val="Normal-pool-Table"/>
              <w:rPr>
                <w:lang w:val="en-GB"/>
              </w:rPr>
            </w:pPr>
            <w:r w:rsidRPr="00361139">
              <w:rPr>
                <w:lang w:val="en-GB"/>
              </w:rPr>
              <w:t>Afghanistan</w:t>
            </w:r>
          </w:p>
        </w:tc>
        <w:tc>
          <w:tcPr>
            <w:tcW w:w="2126" w:type="dxa"/>
            <w:shd w:val="clear" w:color="auto" w:fill="auto"/>
            <w:noWrap/>
            <w:hideMark/>
          </w:tcPr>
          <w:p w14:paraId="3E57C17A" w14:textId="77777777" w:rsidR="00CC73DD" w:rsidRPr="00361139" w:rsidRDefault="00CC73DD" w:rsidP="00DB2573">
            <w:pPr>
              <w:pStyle w:val="Normal-pool-Table"/>
              <w:rPr>
                <w:lang w:val="en-GB"/>
              </w:rPr>
            </w:pPr>
            <w:r w:rsidRPr="00361139">
              <w:rPr>
                <w:lang w:val="en-GB"/>
              </w:rPr>
              <w:t>Minamata initial assessment and national action plan for the artisanal and small-scale gold mining sector in Afghanistan</w:t>
            </w:r>
          </w:p>
        </w:tc>
        <w:tc>
          <w:tcPr>
            <w:tcW w:w="992" w:type="dxa"/>
            <w:shd w:val="clear" w:color="auto" w:fill="auto"/>
            <w:noWrap/>
            <w:hideMark/>
          </w:tcPr>
          <w:p w14:paraId="47A63AD0"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4F2B2111"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4A06B68"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94553A4"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53A692C5" w14:textId="77777777" w:rsidR="00CC73DD" w:rsidRPr="00361139" w:rsidRDefault="00CC73DD" w:rsidP="002232EE">
            <w:pPr>
              <w:pStyle w:val="Normal-pool-Table"/>
              <w:jc w:val="right"/>
              <w:rPr>
                <w:lang w:val="en-GB"/>
              </w:rPr>
            </w:pPr>
            <w:r w:rsidRPr="00361139">
              <w:rPr>
                <w:lang w:val="en-GB"/>
              </w:rPr>
              <w:t>0,03</w:t>
            </w:r>
          </w:p>
        </w:tc>
      </w:tr>
      <w:tr w:rsidR="00FA47A8" w:rsidRPr="00361139" w14:paraId="6D943268" w14:textId="77777777" w:rsidTr="00413E25">
        <w:trPr>
          <w:cantSplit/>
          <w:trHeight w:val="57"/>
          <w:jc w:val="right"/>
        </w:trPr>
        <w:tc>
          <w:tcPr>
            <w:tcW w:w="677" w:type="dxa"/>
            <w:shd w:val="clear" w:color="auto" w:fill="auto"/>
            <w:noWrap/>
            <w:hideMark/>
          </w:tcPr>
          <w:p w14:paraId="57F9FA4A" w14:textId="77777777" w:rsidR="00CC73DD" w:rsidRPr="00361139" w:rsidRDefault="00CC73DD" w:rsidP="00DB2573">
            <w:pPr>
              <w:pStyle w:val="Normal-pool-Table"/>
              <w:rPr>
                <w:lang w:val="en-GB"/>
              </w:rPr>
            </w:pPr>
            <w:r w:rsidRPr="00361139">
              <w:rPr>
                <w:lang w:val="en-GB"/>
              </w:rPr>
              <w:t>10585</w:t>
            </w:r>
          </w:p>
        </w:tc>
        <w:tc>
          <w:tcPr>
            <w:tcW w:w="677" w:type="dxa"/>
            <w:shd w:val="clear" w:color="auto" w:fill="auto"/>
            <w:noWrap/>
            <w:hideMark/>
          </w:tcPr>
          <w:p w14:paraId="2C03D53B"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A1804F0" w14:textId="77777777" w:rsidR="00CC73DD" w:rsidRPr="00361139" w:rsidRDefault="00CC73DD" w:rsidP="00DB2573">
            <w:pPr>
              <w:pStyle w:val="Normal-pool-Table"/>
              <w:rPr>
                <w:lang w:val="en-GB"/>
              </w:rPr>
            </w:pPr>
            <w:r w:rsidRPr="00361139">
              <w:rPr>
                <w:lang w:val="en-GB"/>
              </w:rPr>
              <w:t>Bahamas</w:t>
            </w:r>
          </w:p>
        </w:tc>
        <w:tc>
          <w:tcPr>
            <w:tcW w:w="2126" w:type="dxa"/>
            <w:shd w:val="clear" w:color="auto" w:fill="auto"/>
            <w:noWrap/>
            <w:hideMark/>
          </w:tcPr>
          <w:p w14:paraId="7682301E" w14:textId="77777777" w:rsidR="00CC73DD" w:rsidRPr="00361139" w:rsidRDefault="00CC73DD" w:rsidP="00DB2573">
            <w:pPr>
              <w:pStyle w:val="Normal-pool-Table"/>
              <w:rPr>
                <w:lang w:val="en-GB"/>
              </w:rPr>
            </w:pPr>
            <w:r w:rsidRPr="00361139">
              <w:rPr>
                <w:lang w:val="en-GB"/>
              </w:rPr>
              <w:t>Development of Minamata Initial Assessment in The Bahamas</w:t>
            </w:r>
          </w:p>
        </w:tc>
        <w:tc>
          <w:tcPr>
            <w:tcW w:w="992" w:type="dxa"/>
            <w:shd w:val="clear" w:color="auto" w:fill="auto"/>
            <w:noWrap/>
            <w:hideMark/>
          </w:tcPr>
          <w:p w14:paraId="7B7CF34B"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38E82F4"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D42841D"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4BD30C39" w14:textId="77777777" w:rsidR="00CC73DD" w:rsidRPr="00361139" w:rsidRDefault="00CC73DD" w:rsidP="002232EE">
            <w:pPr>
              <w:pStyle w:val="Normal-pool-Table"/>
              <w:jc w:val="right"/>
              <w:rPr>
                <w:lang w:val="en-GB"/>
              </w:rPr>
            </w:pPr>
            <w:r w:rsidRPr="00361139">
              <w:rPr>
                <w:lang w:val="en-GB"/>
              </w:rPr>
              <w:t>0,15</w:t>
            </w:r>
          </w:p>
        </w:tc>
        <w:tc>
          <w:tcPr>
            <w:tcW w:w="1037" w:type="dxa"/>
            <w:shd w:val="clear" w:color="auto" w:fill="auto"/>
            <w:noWrap/>
            <w:hideMark/>
          </w:tcPr>
          <w:p w14:paraId="7A88CFAE" w14:textId="77777777" w:rsidR="00CC73DD" w:rsidRPr="00361139" w:rsidRDefault="00CC73DD" w:rsidP="002232EE">
            <w:pPr>
              <w:pStyle w:val="Normal-pool-Table"/>
              <w:jc w:val="right"/>
              <w:rPr>
                <w:lang w:val="en-GB"/>
              </w:rPr>
            </w:pPr>
            <w:r w:rsidRPr="00361139">
              <w:rPr>
                <w:lang w:val="en-GB"/>
              </w:rPr>
              <w:t>0,00</w:t>
            </w:r>
          </w:p>
        </w:tc>
      </w:tr>
      <w:tr w:rsidR="00FA47A8" w:rsidRPr="00361139" w14:paraId="517FABFB" w14:textId="77777777" w:rsidTr="00413E25">
        <w:trPr>
          <w:cantSplit/>
          <w:trHeight w:val="57"/>
          <w:jc w:val="right"/>
        </w:trPr>
        <w:tc>
          <w:tcPr>
            <w:tcW w:w="677" w:type="dxa"/>
            <w:shd w:val="clear" w:color="auto" w:fill="auto"/>
            <w:noWrap/>
            <w:hideMark/>
          </w:tcPr>
          <w:p w14:paraId="695EA4B5" w14:textId="77777777" w:rsidR="00CC73DD" w:rsidRPr="00361139" w:rsidRDefault="00CC73DD" w:rsidP="00DB2573">
            <w:pPr>
              <w:pStyle w:val="Normal-pool-Table"/>
              <w:rPr>
                <w:lang w:val="en-GB"/>
              </w:rPr>
            </w:pPr>
            <w:r w:rsidRPr="00361139">
              <w:rPr>
                <w:lang w:val="en-GB"/>
              </w:rPr>
              <w:t>10582</w:t>
            </w:r>
          </w:p>
        </w:tc>
        <w:tc>
          <w:tcPr>
            <w:tcW w:w="677" w:type="dxa"/>
            <w:shd w:val="clear" w:color="auto" w:fill="auto"/>
            <w:noWrap/>
            <w:hideMark/>
          </w:tcPr>
          <w:p w14:paraId="6EE1A75E"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61DEA567" w14:textId="77777777" w:rsidR="00CC73DD" w:rsidRPr="00361139" w:rsidRDefault="00CC73DD" w:rsidP="00DB2573">
            <w:pPr>
              <w:pStyle w:val="Normal-pool-Table"/>
              <w:rPr>
                <w:lang w:val="en-GB"/>
              </w:rPr>
            </w:pPr>
            <w:r w:rsidRPr="00361139">
              <w:rPr>
                <w:lang w:val="en-GB"/>
              </w:rPr>
              <w:t>Tuvalu</w:t>
            </w:r>
          </w:p>
        </w:tc>
        <w:tc>
          <w:tcPr>
            <w:tcW w:w="2126" w:type="dxa"/>
            <w:shd w:val="clear" w:color="auto" w:fill="auto"/>
            <w:noWrap/>
            <w:hideMark/>
          </w:tcPr>
          <w:p w14:paraId="357C3BC2" w14:textId="77777777" w:rsidR="00CC73DD" w:rsidRPr="00361139" w:rsidRDefault="00CC73DD" w:rsidP="00DB2573">
            <w:pPr>
              <w:pStyle w:val="Normal-pool-Table"/>
              <w:rPr>
                <w:lang w:val="en-GB"/>
              </w:rPr>
            </w:pPr>
            <w:r w:rsidRPr="00361139">
              <w:rPr>
                <w:lang w:val="en-GB"/>
              </w:rPr>
              <w:t>Development of Minamata Initial Assessment in Tuvalu</w:t>
            </w:r>
          </w:p>
        </w:tc>
        <w:tc>
          <w:tcPr>
            <w:tcW w:w="992" w:type="dxa"/>
            <w:shd w:val="clear" w:color="auto" w:fill="auto"/>
            <w:noWrap/>
            <w:hideMark/>
          </w:tcPr>
          <w:p w14:paraId="7A0D450F"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A1F4A81"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D7A3305"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64041FD4" w14:textId="77777777" w:rsidR="00CC73DD" w:rsidRPr="00361139" w:rsidRDefault="00CC73DD" w:rsidP="002232EE">
            <w:pPr>
              <w:pStyle w:val="Normal-pool-Table"/>
              <w:jc w:val="right"/>
              <w:rPr>
                <w:lang w:val="en-GB"/>
              </w:rPr>
            </w:pPr>
            <w:r w:rsidRPr="00361139">
              <w:rPr>
                <w:lang w:val="en-GB"/>
              </w:rPr>
              <w:t>0,13</w:t>
            </w:r>
          </w:p>
        </w:tc>
        <w:tc>
          <w:tcPr>
            <w:tcW w:w="1037" w:type="dxa"/>
            <w:shd w:val="clear" w:color="auto" w:fill="auto"/>
            <w:noWrap/>
            <w:hideMark/>
          </w:tcPr>
          <w:p w14:paraId="0D460021" w14:textId="77777777" w:rsidR="00CC73DD" w:rsidRPr="00361139" w:rsidRDefault="00CC73DD" w:rsidP="002232EE">
            <w:pPr>
              <w:pStyle w:val="Normal-pool-Table"/>
              <w:jc w:val="right"/>
              <w:rPr>
                <w:lang w:val="en-GB"/>
              </w:rPr>
            </w:pPr>
            <w:r w:rsidRPr="00361139">
              <w:rPr>
                <w:lang w:val="en-GB"/>
              </w:rPr>
              <w:t>0,00</w:t>
            </w:r>
          </w:p>
        </w:tc>
      </w:tr>
      <w:tr w:rsidR="00FA47A8" w:rsidRPr="00361139" w14:paraId="046FC713" w14:textId="77777777" w:rsidTr="00413E25">
        <w:trPr>
          <w:cantSplit/>
          <w:trHeight w:val="57"/>
          <w:jc w:val="right"/>
        </w:trPr>
        <w:tc>
          <w:tcPr>
            <w:tcW w:w="677" w:type="dxa"/>
            <w:shd w:val="clear" w:color="auto" w:fill="auto"/>
            <w:noWrap/>
            <w:hideMark/>
          </w:tcPr>
          <w:p w14:paraId="29F5ACA7" w14:textId="77777777" w:rsidR="00CC73DD" w:rsidRPr="00361139" w:rsidRDefault="00CC73DD" w:rsidP="00DB2573">
            <w:pPr>
              <w:pStyle w:val="Normal-pool-Table"/>
              <w:rPr>
                <w:lang w:val="en-GB"/>
              </w:rPr>
            </w:pPr>
            <w:r w:rsidRPr="00361139">
              <w:rPr>
                <w:lang w:val="en-GB"/>
              </w:rPr>
              <w:t>10569</w:t>
            </w:r>
          </w:p>
        </w:tc>
        <w:tc>
          <w:tcPr>
            <w:tcW w:w="677" w:type="dxa"/>
            <w:shd w:val="clear" w:color="auto" w:fill="auto"/>
            <w:noWrap/>
            <w:hideMark/>
          </w:tcPr>
          <w:p w14:paraId="50ED4ECB"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3AF4B091" w14:textId="77777777" w:rsidR="00CC73DD" w:rsidRPr="00C2090E" w:rsidRDefault="00CC73DD" w:rsidP="00DB2573">
            <w:pPr>
              <w:pStyle w:val="Normal-pool-Table"/>
              <w:rPr>
                <w:lang w:val="es-ES"/>
              </w:rPr>
            </w:pPr>
            <w:r w:rsidRPr="00C2090E">
              <w:rPr>
                <w:lang w:val="es-ES"/>
              </w:rPr>
              <w:t>Bolivia, Congo, Ghana, Honduras, Madagascar, Nigeria, Suriname, Uganda</w:t>
            </w:r>
          </w:p>
        </w:tc>
        <w:tc>
          <w:tcPr>
            <w:tcW w:w="2126" w:type="dxa"/>
            <w:shd w:val="clear" w:color="auto" w:fill="auto"/>
            <w:noWrap/>
            <w:hideMark/>
          </w:tcPr>
          <w:p w14:paraId="582676F4" w14:textId="77777777" w:rsidR="00CC73DD" w:rsidRPr="00361139" w:rsidRDefault="00CC73DD" w:rsidP="00DB2573">
            <w:pPr>
              <w:pStyle w:val="Normal-pool-Table"/>
              <w:rPr>
                <w:lang w:val="en-GB"/>
              </w:rPr>
            </w:pPr>
            <w:r w:rsidRPr="00361139">
              <w:rPr>
                <w:lang w:val="en-GB"/>
              </w:rPr>
              <w:t xml:space="preserve">Global Opportunities for Long-term Development of artisanal and small-scale gold mining ASGM) Sector Plus - </w:t>
            </w:r>
            <w:r w:rsidRPr="00361139">
              <w:rPr>
                <w:lang w:val="en-GB"/>
              </w:rPr>
              <w:br/>
              <w:t>GEF GOLD +</w:t>
            </w:r>
          </w:p>
        </w:tc>
        <w:tc>
          <w:tcPr>
            <w:tcW w:w="992" w:type="dxa"/>
            <w:shd w:val="clear" w:color="auto" w:fill="auto"/>
            <w:noWrap/>
            <w:hideMark/>
          </w:tcPr>
          <w:p w14:paraId="56AE4508" w14:textId="77777777" w:rsidR="00CC73DD" w:rsidRPr="00361139" w:rsidRDefault="00CC73DD" w:rsidP="00DB2573">
            <w:pPr>
              <w:pStyle w:val="Normal-pool-Table"/>
              <w:rPr>
                <w:lang w:val="en-GB"/>
              </w:rPr>
            </w:pPr>
            <w:r w:rsidRPr="00361139">
              <w:rPr>
                <w:lang w:val="en-GB"/>
              </w:rPr>
              <w:t>CI</w:t>
            </w:r>
          </w:p>
        </w:tc>
        <w:tc>
          <w:tcPr>
            <w:tcW w:w="851" w:type="dxa"/>
            <w:shd w:val="clear" w:color="auto" w:fill="auto"/>
            <w:noWrap/>
            <w:hideMark/>
          </w:tcPr>
          <w:p w14:paraId="769B2E4D" w14:textId="77777777" w:rsidR="00CC73DD" w:rsidRPr="00361139" w:rsidRDefault="00CC73DD" w:rsidP="00DB2573">
            <w:pPr>
              <w:pStyle w:val="Normal-pool-Table"/>
              <w:rPr>
                <w:lang w:val="en-GB"/>
              </w:rPr>
            </w:pPr>
            <w:r w:rsidRPr="00361139">
              <w:rPr>
                <w:lang w:val="en-GB"/>
              </w:rPr>
              <w:t>PFD</w:t>
            </w:r>
          </w:p>
        </w:tc>
        <w:tc>
          <w:tcPr>
            <w:tcW w:w="1038" w:type="dxa"/>
            <w:shd w:val="clear" w:color="auto" w:fill="auto"/>
            <w:noWrap/>
            <w:hideMark/>
          </w:tcPr>
          <w:p w14:paraId="3A4C3D7A"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19DF54C1" w14:textId="77777777" w:rsidR="00CC73DD" w:rsidRPr="00361139" w:rsidRDefault="00CC73DD" w:rsidP="002232EE">
            <w:pPr>
              <w:pStyle w:val="Normal-pool-Table"/>
              <w:jc w:val="right"/>
              <w:rPr>
                <w:lang w:val="en-GB"/>
              </w:rPr>
            </w:pPr>
            <w:r w:rsidRPr="00361139">
              <w:rPr>
                <w:lang w:val="en-GB"/>
              </w:rPr>
              <w:t>74,32</w:t>
            </w:r>
          </w:p>
        </w:tc>
        <w:tc>
          <w:tcPr>
            <w:tcW w:w="1037" w:type="dxa"/>
            <w:shd w:val="clear" w:color="auto" w:fill="auto"/>
            <w:noWrap/>
            <w:hideMark/>
          </w:tcPr>
          <w:p w14:paraId="27C32504" w14:textId="77777777" w:rsidR="00CC73DD" w:rsidRPr="00361139" w:rsidRDefault="00CC73DD" w:rsidP="002232EE">
            <w:pPr>
              <w:pStyle w:val="Normal-pool-Table"/>
              <w:jc w:val="right"/>
              <w:rPr>
                <w:lang w:val="en-GB"/>
              </w:rPr>
            </w:pPr>
            <w:r w:rsidRPr="00361139">
              <w:rPr>
                <w:lang w:val="en-GB"/>
              </w:rPr>
              <w:t>342,32</w:t>
            </w:r>
          </w:p>
        </w:tc>
      </w:tr>
      <w:tr w:rsidR="00FA47A8" w:rsidRPr="00361139" w14:paraId="1DF588EE" w14:textId="77777777" w:rsidTr="00413E25">
        <w:trPr>
          <w:cantSplit/>
          <w:trHeight w:val="57"/>
          <w:jc w:val="right"/>
        </w:trPr>
        <w:tc>
          <w:tcPr>
            <w:tcW w:w="677" w:type="dxa"/>
            <w:shd w:val="clear" w:color="auto" w:fill="auto"/>
            <w:noWrap/>
            <w:hideMark/>
          </w:tcPr>
          <w:p w14:paraId="4F34D55B" w14:textId="77777777" w:rsidR="00CC73DD" w:rsidRPr="00361139" w:rsidRDefault="00CC73DD" w:rsidP="00DB2573">
            <w:pPr>
              <w:pStyle w:val="Normal-pool-Table"/>
              <w:rPr>
                <w:lang w:val="en-GB"/>
              </w:rPr>
            </w:pPr>
            <w:r w:rsidRPr="00361139">
              <w:rPr>
                <w:lang w:val="en-GB"/>
              </w:rPr>
              <w:t>10531</w:t>
            </w:r>
          </w:p>
        </w:tc>
        <w:tc>
          <w:tcPr>
            <w:tcW w:w="677" w:type="dxa"/>
            <w:shd w:val="clear" w:color="auto" w:fill="auto"/>
            <w:noWrap/>
            <w:hideMark/>
          </w:tcPr>
          <w:p w14:paraId="38E9D967"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7E4619FC" w14:textId="77777777" w:rsidR="00CC73DD" w:rsidRPr="00361139" w:rsidRDefault="00CC73DD" w:rsidP="00DB2573">
            <w:pPr>
              <w:pStyle w:val="Normal-pool-Table"/>
              <w:rPr>
                <w:lang w:val="en-GB"/>
              </w:rPr>
            </w:pPr>
            <w:r w:rsidRPr="00361139">
              <w:rPr>
                <w:lang w:val="en-GB"/>
              </w:rPr>
              <w:t>Brazil, Colombia, Ecuador, Peru</w:t>
            </w:r>
          </w:p>
        </w:tc>
        <w:tc>
          <w:tcPr>
            <w:tcW w:w="2126" w:type="dxa"/>
            <w:shd w:val="clear" w:color="auto" w:fill="auto"/>
            <w:noWrap/>
            <w:hideMark/>
          </w:tcPr>
          <w:p w14:paraId="625FC305" w14:textId="77777777" w:rsidR="00CC73DD" w:rsidRPr="00361139" w:rsidRDefault="00CC73DD" w:rsidP="00DB2573">
            <w:pPr>
              <w:pStyle w:val="Normal-pool-Table"/>
              <w:rPr>
                <w:lang w:val="en-GB"/>
              </w:rPr>
            </w:pPr>
            <w:r w:rsidRPr="00361139">
              <w:rPr>
                <w:lang w:val="en-GB"/>
              </w:rPr>
              <w:t xml:space="preserve">Integrated watershed management of the </w:t>
            </w:r>
            <w:proofErr w:type="gramStart"/>
            <w:r w:rsidRPr="00361139">
              <w:rPr>
                <w:lang w:val="en-GB"/>
              </w:rPr>
              <w:t>Putumayo-</w:t>
            </w:r>
            <w:proofErr w:type="spellStart"/>
            <w:r w:rsidRPr="00361139">
              <w:rPr>
                <w:lang w:val="en-GB"/>
              </w:rPr>
              <w:t>Içá</w:t>
            </w:r>
            <w:proofErr w:type="spellEnd"/>
            <w:r w:rsidRPr="00361139">
              <w:rPr>
                <w:lang w:val="en-GB"/>
              </w:rPr>
              <w:t xml:space="preserve"> river</w:t>
            </w:r>
            <w:proofErr w:type="gramEnd"/>
            <w:r w:rsidRPr="00361139">
              <w:rPr>
                <w:lang w:val="en-GB"/>
              </w:rPr>
              <w:t xml:space="preserve"> basin</w:t>
            </w:r>
          </w:p>
        </w:tc>
        <w:tc>
          <w:tcPr>
            <w:tcW w:w="992" w:type="dxa"/>
            <w:shd w:val="clear" w:color="auto" w:fill="auto"/>
            <w:noWrap/>
            <w:hideMark/>
          </w:tcPr>
          <w:p w14:paraId="0EC97501"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619A6733"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B76066F"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79E1DAA3" w14:textId="77777777" w:rsidR="00CC73DD" w:rsidRPr="00361139" w:rsidRDefault="00CC73DD" w:rsidP="002232EE">
            <w:pPr>
              <w:pStyle w:val="Normal-pool-Table"/>
              <w:jc w:val="right"/>
              <w:rPr>
                <w:lang w:val="en-GB"/>
              </w:rPr>
            </w:pPr>
            <w:r w:rsidRPr="00361139">
              <w:rPr>
                <w:lang w:val="en-GB"/>
              </w:rPr>
              <w:t>12,84</w:t>
            </w:r>
          </w:p>
        </w:tc>
        <w:tc>
          <w:tcPr>
            <w:tcW w:w="1037" w:type="dxa"/>
            <w:shd w:val="clear" w:color="auto" w:fill="auto"/>
            <w:noWrap/>
            <w:hideMark/>
          </w:tcPr>
          <w:p w14:paraId="688DAB67" w14:textId="77777777" w:rsidR="00CC73DD" w:rsidRPr="00361139" w:rsidRDefault="00CC73DD" w:rsidP="002232EE">
            <w:pPr>
              <w:pStyle w:val="Normal-pool-Table"/>
              <w:jc w:val="right"/>
              <w:rPr>
                <w:lang w:val="en-GB"/>
              </w:rPr>
            </w:pPr>
            <w:r w:rsidRPr="00361139">
              <w:rPr>
                <w:lang w:val="en-GB"/>
              </w:rPr>
              <w:t>89,72</w:t>
            </w:r>
          </w:p>
        </w:tc>
      </w:tr>
      <w:tr w:rsidR="00FA47A8" w:rsidRPr="00361139" w14:paraId="3709B7AA" w14:textId="77777777" w:rsidTr="00413E25">
        <w:trPr>
          <w:cantSplit/>
          <w:trHeight w:val="57"/>
          <w:jc w:val="right"/>
        </w:trPr>
        <w:tc>
          <w:tcPr>
            <w:tcW w:w="677" w:type="dxa"/>
            <w:shd w:val="clear" w:color="auto" w:fill="auto"/>
            <w:noWrap/>
            <w:hideMark/>
          </w:tcPr>
          <w:p w14:paraId="6F92C542" w14:textId="77777777" w:rsidR="00CC73DD" w:rsidRPr="00361139" w:rsidRDefault="00CC73DD" w:rsidP="00DB2573">
            <w:pPr>
              <w:pStyle w:val="Normal-pool-Table"/>
              <w:rPr>
                <w:lang w:val="en-GB"/>
              </w:rPr>
            </w:pPr>
            <w:r w:rsidRPr="00361139">
              <w:rPr>
                <w:lang w:val="en-GB"/>
              </w:rPr>
              <w:t>10527</w:t>
            </w:r>
          </w:p>
        </w:tc>
        <w:tc>
          <w:tcPr>
            <w:tcW w:w="677" w:type="dxa"/>
            <w:shd w:val="clear" w:color="auto" w:fill="auto"/>
            <w:noWrap/>
            <w:hideMark/>
          </w:tcPr>
          <w:p w14:paraId="6CA67B05"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49CA6D5F" w14:textId="77777777" w:rsidR="00CC73DD" w:rsidRPr="00361139" w:rsidRDefault="00CC73DD" w:rsidP="00DB2573">
            <w:pPr>
              <w:pStyle w:val="Normal-pool-Table"/>
              <w:rPr>
                <w:lang w:val="en-GB"/>
              </w:rPr>
            </w:pPr>
            <w:r w:rsidRPr="00361139">
              <w:rPr>
                <w:lang w:val="en-GB"/>
              </w:rPr>
              <w:t>Togo</w:t>
            </w:r>
          </w:p>
        </w:tc>
        <w:tc>
          <w:tcPr>
            <w:tcW w:w="2126" w:type="dxa"/>
            <w:shd w:val="clear" w:color="auto" w:fill="auto"/>
            <w:noWrap/>
            <w:hideMark/>
          </w:tcPr>
          <w:p w14:paraId="75D2A768" w14:textId="77777777" w:rsidR="00CC73DD" w:rsidRPr="00361139" w:rsidRDefault="00CC73DD" w:rsidP="00DB2573">
            <w:pPr>
              <w:pStyle w:val="Normal-pool-Table"/>
              <w:rPr>
                <w:lang w:val="en-GB"/>
              </w:rPr>
            </w:pPr>
            <w:r w:rsidRPr="00361139">
              <w:rPr>
                <w:lang w:val="en-GB"/>
              </w:rPr>
              <w:t>Development of National Action Plan for Artisanal and Small-Scale Gold Mining in Togo</w:t>
            </w:r>
          </w:p>
        </w:tc>
        <w:tc>
          <w:tcPr>
            <w:tcW w:w="992" w:type="dxa"/>
            <w:shd w:val="clear" w:color="auto" w:fill="auto"/>
            <w:noWrap/>
            <w:hideMark/>
          </w:tcPr>
          <w:p w14:paraId="2D6D2F14"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0B3D420"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1DDDC2DE"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F89800F"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902AF3E" w14:textId="77777777" w:rsidR="00CC73DD" w:rsidRPr="00361139" w:rsidRDefault="00CC73DD" w:rsidP="002232EE">
            <w:pPr>
              <w:pStyle w:val="Normal-pool-Table"/>
              <w:jc w:val="right"/>
              <w:rPr>
                <w:lang w:val="en-GB"/>
              </w:rPr>
            </w:pPr>
            <w:r w:rsidRPr="00361139">
              <w:rPr>
                <w:lang w:val="en-GB"/>
              </w:rPr>
              <w:t>0,00</w:t>
            </w:r>
          </w:p>
        </w:tc>
      </w:tr>
      <w:tr w:rsidR="00FA47A8" w:rsidRPr="00361139" w14:paraId="1FB22B02" w14:textId="77777777" w:rsidTr="00413E25">
        <w:trPr>
          <w:cantSplit/>
          <w:trHeight w:val="57"/>
          <w:jc w:val="right"/>
        </w:trPr>
        <w:tc>
          <w:tcPr>
            <w:tcW w:w="677" w:type="dxa"/>
            <w:shd w:val="clear" w:color="auto" w:fill="auto"/>
            <w:noWrap/>
            <w:hideMark/>
          </w:tcPr>
          <w:p w14:paraId="0AD7BBF1" w14:textId="77777777" w:rsidR="00CC73DD" w:rsidRPr="00361139" w:rsidRDefault="00CC73DD" w:rsidP="00DB2573">
            <w:pPr>
              <w:pStyle w:val="Normal-pool-Table"/>
              <w:rPr>
                <w:lang w:val="en-GB"/>
              </w:rPr>
            </w:pPr>
            <w:r w:rsidRPr="00361139">
              <w:rPr>
                <w:lang w:val="en-GB"/>
              </w:rPr>
              <w:t>10526</w:t>
            </w:r>
          </w:p>
        </w:tc>
        <w:tc>
          <w:tcPr>
            <w:tcW w:w="677" w:type="dxa"/>
            <w:shd w:val="clear" w:color="auto" w:fill="auto"/>
            <w:noWrap/>
            <w:hideMark/>
          </w:tcPr>
          <w:p w14:paraId="1151D576"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0B76B93B" w14:textId="77777777" w:rsidR="00CC73DD" w:rsidRPr="00361139" w:rsidRDefault="00CC73DD" w:rsidP="00DB2573">
            <w:pPr>
              <w:pStyle w:val="Normal-pool-Table"/>
              <w:rPr>
                <w:lang w:val="en-GB"/>
              </w:rPr>
            </w:pPr>
            <w:r w:rsidRPr="00361139">
              <w:rPr>
                <w:lang w:val="en-GB"/>
              </w:rPr>
              <w:t>Mexico</w:t>
            </w:r>
          </w:p>
        </w:tc>
        <w:tc>
          <w:tcPr>
            <w:tcW w:w="2126" w:type="dxa"/>
            <w:shd w:val="clear" w:color="auto" w:fill="auto"/>
            <w:noWrap/>
            <w:hideMark/>
          </w:tcPr>
          <w:p w14:paraId="64ACCA19" w14:textId="77777777" w:rsidR="00CC73DD" w:rsidRPr="00361139" w:rsidRDefault="00CC73DD" w:rsidP="00DB2573">
            <w:pPr>
              <w:pStyle w:val="Normal-pool-Table"/>
              <w:rPr>
                <w:lang w:val="en-GB"/>
              </w:rPr>
            </w:pPr>
            <w:r w:rsidRPr="00361139">
              <w:rPr>
                <w:lang w:val="en-GB"/>
              </w:rPr>
              <w:t xml:space="preserve">Eliminate mercury use and adequately manage mercury and mercury wastes in the </w:t>
            </w:r>
            <w:proofErr w:type="spellStart"/>
            <w:r w:rsidRPr="00361139">
              <w:rPr>
                <w:lang w:val="en-GB"/>
              </w:rPr>
              <w:t>chlor</w:t>
            </w:r>
            <w:proofErr w:type="spellEnd"/>
            <w:r w:rsidRPr="00361139">
              <w:rPr>
                <w:lang w:val="en-GB"/>
              </w:rPr>
              <w:t xml:space="preserve"> alkali sector in Mexico</w:t>
            </w:r>
          </w:p>
        </w:tc>
        <w:tc>
          <w:tcPr>
            <w:tcW w:w="992" w:type="dxa"/>
            <w:shd w:val="clear" w:color="auto" w:fill="auto"/>
            <w:noWrap/>
            <w:hideMark/>
          </w:tcPr>
          <w:p w14:paraId="53D20DBA"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3C6580F2"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1D109EBB"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21A6251B" w14:textId="77777777" w:rsidR="00CC73DD" w:rsidRPr="00361139" w:rsidRDefault="00CC73DD" w:rsidP="002232EE">
            <w:pPr>
              <w:pStyle w:val="Normal-pool-Table"/>
              <w:jc w:val="right"/>
              <w:rPr>
                <w:lang w:val="en-GB"/>
              </w:rPr>
            </w:pPr>
            <w:r w:rsidRPr="00361139">
              <w:rPr>
                <w:lang w:val="en-GB"/>
              </w:rPr>
              <w:t>12,00</w:t>
            </w:r>
          </w:p>
        </w:tc>
        <w:tc>
          <w:tcPr>
            <w:tcW w:w="1037" w:type="dxa"/>
            <w:shd w:val="clear" w:color="auto" w:fill="auto"/>
            <w:noWrap/>
            <w:hideMark/>
          </w:tcPr>
          <w:p w14:paraId="7DEA46FC" w14:textId="77777777" w:rsidR="00CC73DD" w:rsidRPr="00361139" w:rsidRDefault="00CC73DD" w:rsidP="002232EE">
            <w:pPr>
              <w:pStyle w:val="Normal-pool-Table"/>
              <w:jc w:val="right"/>
              <w:rPr>
                <w:lang w:val="en-GB"/>
              </w:rPr>
            </w:pPr>
            <w:r w:rsidRPr="00361139">
              <w:rPr>
                <w:lang w:val="en-GB"/>
              </w:rPr>
              <w:t>128,16</w:t>
            </w:r>
          </w:p>
        </w:tc>
      </w:tr>
      <w:tr w:rsidR="00FA47A8" w:rsidRPr="00361139" w14:paraId="3F2ED1B1" w14:textId="77777777" w:rsidTr="00413E25">
        <w:trPr>
          <w:cantSplit/>
          <w:trHeight w:val="57"/>
          <w:jc w:val="right"/>
        </w:trPr>
        <w:tc>
          <w:tcPr>
            <w:tcW w:w="677" w:type="dxa"/>
            <w:shd w:val="clear" w:color="auto" w:fill="auto"/>
            <w:noWrap/>
            <w:hideMark/>
          </w:tcPr>
          <w:p w14:paraId="1128B024" w14:textId="77777777" w:rsidR="00CC73DD" w:rsidRPr="00361139" w:rsidRDefault="00CC73DD" w:rsidP="00DB2573">
            <w:pPr>
              <w:pStyle w:val="Normal-pool-Table"/>
              <w:rPr>
                <w:lang w:val="en-GB"/>
              </w:rPr>
            </w:pPr>
            <w:r w:rsidRPr="00361139">
              <w:rPr>
                <w:lang w:val="en-GB"/>
              </w:rPr>
              <w:t>10519</w:t>
            </w:r>
          </w:p>
        </w:tc>
        <w:tc>
          <w:tcPr>
            <w:tcW w:w="677" w:type="dxa"/>
            <w:shd w:val="clear" w:color="auto" w:fill="auto"/>
            <w:noWrap/>
            <w:hideMark/>
          </w:tcPr>
          <w:p w14:paraId="60FA0255"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72386BFD" w14:textId="77777777" w:rsidR="00CC73DD" w:rsidRPr="00361139" w:rsidRDefault="00CC73DD" w:rsidP="00DB2573">
            <w:pPr>
              <w:pStyle w:val="Normal-pool-Table"/>
              <w:rPr>
                <w:lang w:val="en-GB"/>
              </w:rPr>
            </w:pPr>
            <w:r w:rsidRPr="00361139">
              <w:rPr>
                <w:lang w:val="en-GB"/>
              </w:rPr>
              <w:t>Viet Nam</w:t>
            </w:r>
          </w:p>
        </w:tc>
        <w:tc>
          <w:tcPr>
            <w:tcW w:w="2126" w:type="dxa"/>
            <w:shd w:val="clear" w:color="auto" w:fill="auto"/>
            <w:noWrap/>
            <w:hideMark/>
          </w:tcPr>
          <w:p w14:paraId="7993C570" w14:textId="77777777" w:rsidR="00CC73DD" w:rsidRPr="00361139" w:rsidRDefault="00CC73DD" w:rsidP="00DB2573">
            <w:pPr>
              <w:pStyle w:val="Normal-pool-Table"/>
              <w:rPr>
                <w:lang w:val="en-GB"/>
              </w:rPr>
            </w:pPr>
            <w:r w:rsidRPr="00361139">
              <w:rPr>
                <w:lang w:val="en-GB"/>
              </w:rPr>
              <w:t>Reduce the impact and release of mercury and POPs in Vietnam through lifecycle approach and Ecolabel</w:t>
            </w:r>
          </w:p>
        </w:tc>
        <w:tc>
          <w:tcPr>
            <w:tcW w:w="992" w:type="dxa"/>
            <w:shd w:val="clear" w:color="auto" w:fill="auto"/>
            <w:noWrap/>
            <w:hideMark/>
          </w:tcPr>
          <w:p w14:paraId="350A55B2"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688658D1"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50A2AE3"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721BFB96" w14:textId="77777777" w:rsidR="00CC73DD" w:rsidRPr="00361139" w:rsidRDefault="00CC73DD" w:rsidP="002232EE">
            <w:pPr>
              <w:pStyle w:val="Normal-pool-Table"/>
              <w:jc w:val="right"/>
              <w:rPr>
                <w:lang w:val="en-GB"/>
              </w:rPr>
            </w:pPr>
            <w:r w:rsidRPr="00361139">
              <w:rPr>
                <w:lang w:val="en-GB"/>
              </w:rPr>
              <w:t>4,60</w:t>
            </w:r>
          </w:p>
        </w:tc>
        <w:tc>
          <w:tcPr>
            <w:tcW w:w="1037" w:type="dxa"/>
            <w:shd w:val="clear" w:color="auto" w:fill="auto"/>
            <w:noWrap/>
            <w:hideMark/>
          </w:tcPr>
          <w:p w14:paraId="368FA161" w14:textId="77777777" w:rsidR="00CC73DD" w:rsidRPr="00361139" w:rsidRDefault="00CC73DD" w:rsidP="002232EE">
            <w:pPr>
              <w:pStyle w:val="Normal-pool-Table"/>
              <w:jc w:val="right"/>
              <w:rPr>
                <w:lang w:val="en-GB"/>
              </w:rPr>
            </w:pPr>
            <w:r w:rsidRPr="00361139">
              <w:rPr>
                <w:lang w:val="en-GB"/>
              </w:rPr>
              <w:t>28,55</w:t>
            </w:r>
          </w:p>
        </w:tc>
      </w:tr>
      <w:tr w:rsidR="00FA47A8" w:rsidRPr="00361139" w14:paraId="4BE49D6F" w14:textId="77777777" w:rsidTr="00413E25">
        <w:trPr>
          <w:cantSplit/>
          <w:trHeight w:val="57"/>
          <w:jc w:val="right"/>
        </w:trPr>
        <w:tc>
          <w:tcPr>
            <w:tcW w:w="677" w:type="dxa"/>
            <w:shd w:val="clear" w:color="auto" w:fill="auto"/>
            <w:noWrap/>
            <w:hideMark/>
          </w:tcPr>
          <w:p w14:paraId="022F49C6" w14:textId="77777777" w:rsidR="00CC73DD" w:rsidRPr="00361139" w:rsidRDefault="00CC73DD" w:rsidP="00DB2573">
            <w:pPr>
              <w:pStyle w:val="Normal-pool-Table"/>
              <w:rPr>
                <w:lang w:val="en-GB"/>
              </w:rPr>
            </w:pPr>
            <w:r w:rsidRPr="00361139">
              <w:rPr>
                <w:lang w:val="en-GB"/>
              </w:rPr>
              <w:t>10448</w:t>
            </w:r>
          </w:p>
        </w:tc>
        <w:tc>
          <w:tcPr>
            <w:tcW w:w="677" w:type="dxa"/>
            <w:shd w:val="clear" w:color="auto" w:fill="auto"/>
            <w:noWrap/>
            <w:hideMark/>
          </w:tcPr>
          <w:p w14:paraId="6B2DD591"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8671510" w14:textId="77777777" w:rsidR="00CC73DD" w:rsidRPr="00361139" w:rsidRDefault="00CC73DD" w:rsidP="00DB2573">
            <w:pPr>
              <w:pStyle w:val="Normal-pool-Table"/>
              <w:rPr>
                <w:lang w:val="en-GB"/>
              </w:rPr>
            </w:pPr>
            <w:r w:rsidRPr="00361139">
              <w:rPr>
                <w:lang w:val="en-GB"/>
              </w:rPr>
              <w:t>Chad</w:t>
            </w:r>
          </w:p>
        </w:tc>
        <w:tc>
          <w:tcPr>
            <w:tcW w:w="2126" w:type="dxa"/>
            <w:shd w:val="clear" w:color="auto" w:fill="auto"/>
            <w:noWrap/>
            <w:hideMark/>
          </w:tcPr>
          <w:p w14:paraId="059FDB43" w14:textId="77777777" w:rsidR="00CC73DD" w:rsidRPr="00361139" w:rsidRDefault="00CC73DD" w:rsidP="00DB2573">
            <w:pPr>
              <w:pStyle w:val="Normal-pool-Table"/>
              <w:rPr>
                <w:lang w:val="en-GB"/>
              </w:rPr>
            </w:pPr>
            <w:r w:rsidRPr="00361139">
              <w:rPr>
                <w:lang w:val="en-GB"/>
              </w:rPr>
              <w:t>Development of National Action Plan for Artisanal and Small-Scale Gold Mining in Chad</w:t>
            </w:r>
          </w:p>
        </w:tc>
        <w:tc>
          <w:tcPr>
            <w:tcW w:w="992" w:type="dxa"/>
            <w:shd w:val="clear" w:color="auto" w:fill="auto"/>
            <w:noWrap/>
            <w:hideMark/>
          </w:tcPr>
          <w:p w14:paraId="60AB41A6"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50272DF"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9FD8843"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3E615578"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718C259" w14:textId="77777777" w:rsidR="00CC73DD" w:rsidRPr="00361139" w:rsidRDefault="00CC73DD" w:rsidP="002232EE">
            <w:pPr>
              <w:pStyle w:val="Normal-pool-Table"/>
              <w:jc w:val="right"/>
              <w:rPr>
                <w:lang w:val="en-GB"/>
              </w:rPr>
            </w:pPr>
            <w:r w:rsidRPr="00361139">
              <w:rPr>
                <w:lang w:val="en-GB"/>
              </w:rPr>
              <w:t>0,01</w:t>
            </w:r>
          </w:p>
        </w:tc>
      </w:tr>
      <w:tr w:rsidR="00FA47A8" w:rsidRPr="00361139" w14:paraId="00FE9FB7" w14:textId="77777777" w:rsidTr="00413E25">
        <w:trPr>
          <w:cantSplit/>
          <w:trHeight w:val="57"/>
          <w:jc w:val="right"/>
        </w:trPr>
        <w:tc>
          <w:tcPr>
            <w:tcW w:w="677" w:type="dxa"/>
            <w:shd w:val="clear" w:color="auto" w:fill="auto"/>
            <w:noWrap/>
            <w:hideMark/>
          </w:tcPr>
          <w:p w14:paraId="1C7881A5" w14:textId="77777777" w:rsidR="00CC73DD" w:rsidRPr="00361139" w:rsidRDefault="00CC73DD" w:rsidP="00DB2573">
            <w:pPr>
              <w:pStyle w:val="Normal-pool-Table"/>
              <w:rPr>
                <w:lang w:val="en-GB"/>
              </w:rPr>
            </w:pPr>
            <w:r w:rsidRPr="00361139">
              <w:rPr>
                <w:lang w:val="en-GB"/>
              </w:rPr>
              <w:lastRenderedPageBreak/>
              <w:t>10440</w:t>
            </w:r>
          </w:p>
        </w:tc>
        <w:tc>
          <w:tcPr>
            <w:tcW w:w="677" w:type="dxa"/>
            <w:shd w:val="clear" w:color="auto" w:fill="auto"/>
            <w:noWrap/>
            <w:hideMark/>
          </w:tcPr>
          <w:p w14:paraId="56125402"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82DABFE" w14:textId="77777777" w:rsidR="00CC73DD" w:rsidRPr="00361139" w:rsidRDefault="00CC73DD" w:rsidP="00DB2573">
            <w:pPr>
              <w:pStyle w:val="Normal-pool-Table"/>
              <w:rPr>
                <w:lang w:val="en-GB"/>
              </w:rPr>
            </w:pPr>
            <w:r w:rsidRPr="00361139">
              <w:rPr>
                <w:lang w:val="en-GB"/>
              </w:rPr>
              <w:t>Cameroon</w:t>
            </w:r>
          </w:p>
        </w:tc>
        <w:tc>
          <w:tcPr>
            <w:tcW w:w="2126" w:type="dxa"/>
            <w:shd w:val="clear" w:color="auto" w:fill="auto"/>
            <w:noWrap/>
            <w:hideMark/>
          </w:tcPr>
          <w:p w14:paraId="2B2BEBE4"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Cameroon</w:t>
            </w:r>
          </w:p>
        </w:tc>
        <w:tc>
          <w:tcPr>
            <w:tcW w:w="992" w:type="dxa"/>
            <w:shd w:val="clear" w:color="auto" w:fill="auto"/>
            <w:noWrap/>
            <w:hideMark/>
          </w:tcPr>
          <w:p w14:paraId="4F0561A5"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1C7FCC4A"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DCCE216"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680A5077"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6EBDC36A" w14:textId="77777777" w:rsidR="00CC73DD" w:rsidRPr="00361139" w:rsidRDefault="00CC73DD" w:rsidP="002232EE">
            <w:pPr>
              <w:pStyle w:val="Normal-pool-Table"/>
              <w:jc w:val="right"/>
              <w:rPr>
                <w:lang w:val="en-GB"/>
              </w:rPr>
            </w:pPr>
            <w:r w:rsidRPr="00361139">
              <w:rPr>
                <w:lang w:val="en-GB"/>
              </w:rPr>
              <w:t>0,05</w:t>
            </w:r>
          </w:p>
        </w:tc>
      </w:tr>
      <w:tr w:rsidR="00FA47A8" w:rsidRPr="00361139" w14:paraId="6FA02F7E" w14:textId="77777777" w:rsidTr="00413E25">
        <w:trPr>
          <w:cantSplit/>
          <w:trHeight w:val="57"/>
          <w:jc w:val="right"/>
        </w:trPr>
        <w:tc>
          <w:tcPr>
            <w:tcW w:w="677" w:type="dxa"/>
            <w:shd w:val="clear" w:color="auto" w:fill="auto"/>
            <w:noWrap/>
            <w:hideMark/>
          </w:tcPr>
          <w:p w14:paraId="4341D9AA" w14:textId="77777777" w:rsidR="00CC73DD" w:rsidRPr="00361139" w:rsidRDefault="00CC73DD" w:rsidP="00DB2573">
            <w:pPr>
              <w:pStyle w:val="Normal-pool-Table"/>
              <w:rPr>
                <w:lang w:val="en-GB"/>
              </w:rPr>
            </w:pPr>
            <w:r w:rsidRPr="00361139">
              <w:rPr>
                <w:lang w:val="en-GB"/>
              </w:rPr>
              <w:t>10423</w:t>
            </w:r>
          </w:p>
        </w:tc>
        <w:tc>
          <w:tcPr>
            <w:tcW w:w="677" w:type="dxa"/>
            <w:shd w:val="clear" w:color="auto" w:fill="auto"/>
            <w:noWrap/>
            <w:hideMark/>
          </w:tcPr>
          <w:p w14:paraId="504832B6"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7CCE6141" w14:textId="77777777" w:rsidR="00CC73DD" w:rsidRPr="00361139" w:rsidRDefault="00CC73DD" w:rsidP="00DB2573">
            <w:pPr>
              <w:pStyle w:val="Normal-pool-Table"/>
              <w:rPr>
                <w:lang w:val="en-GB"/>
              </w:rPr>
            </w:pPr>
            <w:r w:rsidRPr="00361139">
              <w:rPr>
                <w:lang w:val="en-GB"/>
              </w:rPr>
              <w:t>Costa Rica</w:t>
            </w:r>
          </w:p>
        </w:tc>
        <w:tc>
          <w:tcPr>
            <w:tcW w:w="2126" w:type="dxa"/>
            <w:shd w:val="clear" w:color="auto" w:fill="auto"/>
            <w:noWrap/>
            <w:hideMark/>
          </w:tcPr>
          <w:p w14:paraId="14760575" w14:textId="77777777" w:rsidR="00CC73DD" w:rsidRPr="00361139" w:rsidRDefault="00CC73DD" w:rsidP="00DB2573">
            <w:pPr>
              <w:pStyle w:val="Normal-pool-Table"/>
              <w:rPr>
                <w:lang w:val="en-GB"/>
              </w:rPr>
            </w:pPr>
            <w:r w:rsidRPr="00361139">
              <w:rPr>
                <w:lang w:val="en-GB"/>
              </w:rPr>
              <w:t xml:space="preserve">Development of National Action Plan for the Artisanal and </w:t>
            </w:r>
            <w:proofErr w:type="gramStart"/>
            <w:r w:rsidRPr="00361139">
              <w:rPr>
                <w:lang w:val="en-GB"/>
              </w:rPr>
              <w:t>Small Scale</w:t>
            </w:r>
            <w:proofErr w:type="gramEnd"/>
            <w:r w:rsidRPr="00361139">
              <w:rPr>
                <w:lang w:val="en-GB"/>
              </w:rPr>
              <w:t xml:space="preserve"> Gold Mining in Costa Rica</w:t>
            </w:r>
          </w:p>
        </w:tc>
        <w:tc>
          <w:tcPr>
            <w:tcW w:w="992" w:type="dxa"/>
            <w:shd w:val="clear" w:color="auto" w:fill="auto"/>
            <w:noWrap/>
            <w:hideMark/>
          </w:tcPr>
          <w:p w14:paraId="0EBC2350"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2A36451"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14C505E"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7B3F0ED"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2D2E9894" w14:textId="77777777" w:rsidR="00CC73DD" w:rsidRPr="00361139" w:rsidRDefault="00CC73DD" w:rsidP="002232EE">
            <w:pPr>
              <w:pStyle w:val="Normal-pool-Table"/>
              <w:jc w:val="right"/>
              <w:rPr>
                <w:lang w:val="en-GB"/>
              </w:rPr>
            </w:pPr>
            <w:r w:rsidRPr="00361139">
              <w:rPr>
                <w:lang w:val="en-GB"/>
              </w:rPr>
              <w:t>0,00</w:t>
            </w:r>
          </w:p>
        </w:tc>
      </w:tr>
      <w:tr w:rsidR="00FA47A8" w:rsidRPr="00361139" w14:paraId="4BCA2106" w14:textId="77777777" w:rsidTr="00413E25">
        <w:trPr>
          <w:cantSplit/>
          <w:trHeight w:val="57"/>
          <w:jc w:val="right"/>
        </w:trPr>
        <w:tc>
          <w:tcPr>
            <w:tcW w:w="677" w:type="dxa"/>
            <w:shd w:val="clear" w:color="auto" w:fill="auto"/>
            <w:noWrap/>
            <w:hideMark/>
          </w:tcPr>
          <w:p w14:paraId="6F4AEAC8" w14:textId="77777777" w:rsidR="00CC73DD" w:rsidRPr="00361139" w:rsidRDefault="00CC73DD" w:rsidP="00DB2573">
            <w:pPr>
              <w:pStyle w:val="Normal-pool-Table"/>
              <w:rPr>
                <w:lang w:val="en-GB"/>
              </w:rPr>
            </w:pPr>
            <w:r w:rsidRPr="00361139">
              <w:rPr>
                <w:lang w:val="en-GB"/>
              </w:rPr>
              <w:t>10422</w:t>
            </w:r>
          </w:p>
        </w:tc>
        <w:tc>
          <w:tcPr>
            <w:tcW w:w="677" w:type="dxa"/>
            <w:shd w:val="clear" w:color="auto" w:fill="auto"/>
            <w:noWrap/>
            <w:hideMark/>
          </w:tcPr>
          <w:p w14:paraId="281DFE28"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1AC15FB" w14:textId="77777777" w:rsidR="00CC73DD" w:rsidRPr="00361139" w:rsidRDefault="00CC73DD" w:rsidP="00DB2573">
            <w:pPr>
              <w:pStyle w:val="Normal-pool-Table"/>
              <w:rPr>
                <w:lang w:val="en-GB"/>
              </w:rPr>
            </w:pPr>
            <w:r w:rsidRPr="00361139">
              <w:rPr>
                <w:lang w:val="en-GB"/>
              </w:rPr>
              <w:t>Mexico</w:t>
            </w:r>
          </w:p>
        </w:tc>
        <w:tc>
          <w:tcPr>
            <w:tcW w:w="2126" w:type="dxa"/>
            <w:shd w:val="clear" w:color="auto" w:fill="auto"/>
            <w:noWrap/>
            <w:hideMark/>
          </w:tcPr>
          <w:p w14:paraId="61D402AB" w14:textId="77777777" w:rsidR="00CC73DD" w:rsidRPr="00361139" w:rsidRDefault="00CC73DD" w:rsidP="00DB2573">
            <w:pPr>
              <w:pStyle w:val="Normal-pool-Table"/>
              <w:rPr>
                <w:lang w:val="en-GB"/>
              </w:rPr>
            </w:pPr>
            <w:r w:rsidRPr="00361139">
              <w:rPr>
                <w:lang w:val="en-GB"/>
              </w:rPr>
              <w:t xml:space="preserve">Development of National Action Plan for the Artisanal and </w:t>
            </w:r>
            <w:proofErr w:type="gramStart"/>
            <w:r w:rsidRPr="00361139">
              <w:rPr>
                <w:lang w:val="en-GB"/>
              </w:rPr>
              <w:t>Small Scale</w:t>
            </w:r>
            <w:proofErr w:type="gramEnd"/>
            <w:r w:rsidRPr="00361139">
              <w:rPr>
                <w:lang w:val="en-GB"/>
              </w:rPr>
              <w:t xml:space="preserve"> Gold Mining in Mexico</w:t>
            </w:r>
          </w:p>
        </w:tc>
        <w:tc>
          <w:tcPr>
            <w:tcW w:w="992" w:type="dxa"/>
            <w:shd w:val="clear" w:color="auto" w:fill="auto"/>
            <w:noWrap/>
            <w:hideMark/>
          </w:tcPr>
          <w:p w14:paraId="1D7734B6"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12DF4C0"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B1319ED"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06D69170"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709629AF" w14:textId="77777777" w:rsidR="00CC73DD" w:rsidRPr="00361139" w:rsidRDefault="00CC73DD" w:rsidP="002232EE">
            <w:pPr>
              <w:pStyle w:val="Normal-pool-Table"/>
              <w:jc w:val="right"/>
              <w:rPr>
                <w:lang w:val="en-GB"/>
              </w:rPr>
            </w:pPr>
            <w:r w:rsidRPr="00361139">
              <w:rPr>
                <w:lang w:val="en-GB"/>
              </w:rPr>
              <w:t>0,00</w:t>
            </w:r>
          </w:p>
        </w:tc>
      </w:tr>
      <w:tr w:rsidR="00FA47A8" w:rsidRPr="00361139" w14:paraId="0CB14959" w14:textId="77777777" w:rsidTr="00413E25">
        <w:trPr>
          <w:cantSplit/>
          <w:trHeight w:val="57"/>
          <w:jc w:val="right"/>
        </w:trPr>
        <w:tc>
          <w:tcPr>
            <w:tcW w:w="677" w:type="dxa"/>
            <w:shd w:val="clear" w:color="auto" w:fill="auto"/>
            <w:noWrap/>
            <w:hideMark/>
          </w:tcPr>
          <w:p w14:paraId="2461C629" w14:textId="77777777" w:rsidR="00CC73DD" w:rsidRPr="00361139" w:rsidRDefault="00CC73DD" w:rsidP="00DB2573">
            <w:pPr>
              <w:pStyle w:val="Normal-pool-Table"/>
              <w:rPr>
                <w:lang w:val="en-GB"/>
              </w:rPr>
            </w:pPr>
            <w:r w:rsidRPr="00361139">
              <w:rPr>
                <w:lang w:val="en-GB"/>
              </w:rPr>
              <w:t>10419</w:t>
            </w:r>
          </w:p>
        </w:tc>
        <w:tc>
          <w:tcPr>
            <w:tcW w:w="677" w:type="dxa"/>
            <w:shd w:val="clear" w:color="auto" w:fill="auto"/>
            <w:noWrap/>
            <w:hideMark/>
          </w:tcPr>
          <w:p w14:paraId="55FBEAB6"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3C681D76" w14:textId="77777777" w:rsidR="00CC73DD" w:rsidRPr="00361139" w:rsidRDefault="00CC73DD" w:rsidP="00DB2573">
            <w:pPr>
              <w:pStyle w:val="Normal-pool-Table"/>
              <w:rPr>
                <w:lang w:val="en-GB"/>
              </w:rPr>
            </w:pPr>
            <w:r w:rsidRPr="00361139">
              <w:rPr>
                <w:lang w:val="en-GB"/>
              </w:rPr>
              <w:t>Peru</w:t>
            </w:r>
          </w:p>
        </w:tc>
        <w:tc>
          <w:tcPr>
            <w:tcW w:w="2126" w:type="dxa"/>
            <w:shd w:val="clear" w:color="auto" w:fill="auto"/>
            <w:noWrap/>
            <w:hideMark/>
          </w:tcPr>
          <w:p w14:paraId="013F0D71" w14:textId="77777777" w:rsidR="00CC73DD" w:rsidRPr="00361139" w:rsidRDefault="00CC73DD" w:rsidP="00DB2573">
            <w:pPr>
              <w:pStyle w:val="Normal-pool-Table"/>
              <w:rPr>
                <w:lang w:val="en-GB"/>
              </w:rPr>
            </w:pPr>
            <w:r w:rsidRPr="00361139">
              <w:rPr>
                <w:lang w:val="en-GB"/>
              </w:rPr>
              <w:t>Environmentally sound management of PCBs, Mercury and other toxic chemicals in Peru</w:t>
            </w:r>
          </w:p>
        </w:tc>
        <w:tc>
          <w:tcPr>
            <w:tcW w:w="992" w:type="dxa"/>
            <w:shd w:val="clear" w:color="auto" w:fill="auto"/>
            <w:noWrap/>
            <w:hideMark/>
          </w:tcPr>
          <w:p w14:paraId="6AF345CC"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11C98139"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A6F2C1D"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15FC4E85" w14:textId="77777777" w:rsidR="00CC73DD" w:rsidRPr="00361139" w:rsidRDefault="00CC73DD" w:rsidP="002232EE">
            <w:pPr>
              <w:pStyle w:val="Normal-pool-Table"/>
              <w:jc w:val="right"/>
              <w:rPr>
                <w:lang w:val="en-GB"/>
              </w:rPr>
            </w:pPr>
            <w:r w:rsidRPr="00361139">
              <w:rPr>
                <w:lang w:val="en-GB"/>
              </w:rPr>
              <w:t>4,73</w:t>
            </w:r>
          </w:p>
        </w:tc>
        <w:tc>
          <w:tcPr>
            <w:tcW w:w="1037" w:type="dxa"/>
            <w:shd w:val="clear" w:color="auto" w:fill="auto"/>
            <w:noWrap/>
            <w:hideMark/>
          </w:tcPr>
          <w:p w14:paraId="0B5D1312" w14:textId="77777777" w:rsidR="00CC73DD" w:rsidRPr="00361139" w:rsidRDefault="00CC73DD" w:rsidP="002232EE">
            <w:pPr>
              <w:pStyle w:val="Normal-pool-Table"/>
              <w:jc w:val="right"/>
              <w:rPr>
                <w:lang w:val="en-GB"/>
              </w:rPr>
            </w:pPr>
            <w:r w:rsidRPr="00361139">
              <w:rPr>
                <w:lang w:val="en-GB"/>
              </w:rPr>
              <w:t>34,02</w:t>
            </w:r>
          </w:p>
        </w:tc>
      </w:tr>
      <w:tr w:rsidR="00FA47A8" w:rsidRPr="00361139" w14:paraId="7302A42C" w14:textId="77777777" w:rsidTr="00413E25">
        <w:trPr>
          <w:cantSplit/>
          <w:trHeight w:val="57"/>
          <w:jc w:val="right"/>
        </w:trPr>
        <w:tc>
          <w:tcPr>
            <w:tcW w:w="677" w:type="dxa"/>
            <w:shd w:val="clear" w:color="auto" w:fill="auto"/>
            <w:noWrap/>
            <w:hideMark/>
          </w:tcPr>
          <w:p w14:paraId="08578A77" w14:textId="77777777" w:rsidR="00CC73DD" w:rsidRPr="00361139" w:rsidRDefault="00CC73DD" w:rsidP="00DB2573">
            <w:pPr>
              <w:pStyle w:val="Normal-pool-Table"/>
              <w:rPr>
                <w:lang w:val="en-GB"/>
              </w:rPr>
            </w:pPr>
            <w:r w:rsidRPr="00361139">
              <w:rPr>
                <w:lang w:val="en-GB"/>
              </w:rPr>
              <w:t>10383</w:t>
            </w:r>
          </w:p>
        </w:tc>
        <w:tc>
          <w:tcPr>
            <w:tcW w:w="677" w:type="dxa"/>
            <w:shd w:val="clear" w:color="auto" w:fill="auto"/>
            <w:noWrap/>
            <w:hideMark/>
          </w:tcPr>
          <w:p w14:paraId="2167B460"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27F82BF" w14:textId="77777777" w:rsidR="00CC73DD" w:rsidRPr="00361139" w:rsidRDefault="00CC73DD" w:rsidP="00DB2573">
            <w:pPr>
              <w:pStyle w:val="Normal-pool-Table"/>
              <w:rPr>
                <w:lang w:val="en-GB"/>
              </w:rPr>
            </w:pPr>
            <w:r w:rsidRPr="00361139">
              <w:rPr>
                <w:lang w:val="en-GB"/>
              </w:rPr>
              <w:t>Cote d'Ivoire</w:t>
            </w:r>
          </w:p>
        </w:tc>
        <w:tc>
          <w:tcPr>
            <w:tcW w:w="2126" w:type="dxa"/>
            <w:shd w:val="clear" w:color="auto" w:fill="auto"/>
            <w:noWrap/>
            <w:hideMark/>
          </w:tcPr>
          <w:p w14:paraId="10C791E3" w14:textId="77777777" w:rsidR="00CC73DD" w:rsidRPr="00361139" w:rsidRDefault="00CC73DD" w:rsidP="00DB2573">
            <w:pPr>
              <w:pStyle w:val="Normal-pool-Table"/>
              <w:rPr>
                <w:lang w:val="en-GB"/>
              </w:rPr>
            </w:pPr>
            <w:r w:rsidRPr="00361139">
              <w:rPr>
                <w:lang w:val="en-GB"/>
              </w:rPr>
              <w:t xml:space="preserve">Development of National Action Plan for the Artisanal and </w:t>
            </w:r>
            <w:proofErr w:type="gramStart"/>
            <w:r w:rsidRPr="00361139">
              <w:rPr>
                <w:lang w:val="en-GB"/>
              </w:rPr>
              <w:t>Small Scale</w:t>
            </w:r>
            <w:proofErr w:type="gramEnd"/>
            <w:r w:rsidRPr="00361139">
              <w:rPr>
                <w:lang w:val="en-GB"/>
              </w:rPr>
              <w:t xml:space="preserve"> Gold Mining in Cote d’Ivoire</w:t>
            </w:r>
          </w:p>
        </w:tc>
        <w:tc>
          <w:tcPr>
            <w:tcW w:w="992" w:type="dxa"/>
            <w:shd w:val="clear" w:color="auto" w:fill="auto"/>
            <w:noWrap/>
            <w:hideMark/>
          </w:tcPr>
          <w:p w14:paraId="5334634B"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BD20612"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33FA180"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1B2397D9"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F852C56" w14:textId="77777777" w:rsidR="00CC73DD" w:rsidRPr="00361139" w:rsidRDefault="00CC73DD" w:rsidP="002232EE">
            <w:pPr>
              <w:pStyle w:val="Normal-pool-Table"/>
              <w:jc w:val="right"/>
              <w:rPr>
                <w:lang w:val="en-GB"/>
              </w:rPr>
            </w:pPr>
            <w:r w:rsidRPr="00361139">
              <w:rPr>
                <w:lang w:val="en-GB"/>
              </w:rPr>
              <w:t>0,00</w:t>
            </w:r>
          </w:p>
        </w:tc>
      </w:tr>
      <w:tr w:rsidR="00FA47A8" w:rsidRPr="00361139" w14:paraId="68BA3794" w14:textId="77777777" w:rsidTr="00413E25">
        <w:trPr>
          <w:cantSplit/>
          <w:trHeight w:val="57"/>
          <w:jc w:val="right"/>
        </w:trPr>
        <w:tc>
          <w:tcPr>
            <w:tcW w:w="677" w:type="dxa"/>
            <w:shd w:val="clear" w:color="auto" w:fill="auto"/>
            <w:noWrap/>
            <w:hideMark/>
          </w:tcPr>
          <w:p w14:paraId="47613062" w14:textId="77777777" w:rsidR="00CC73DD" w:rsidRPr="00361139" w:rsidRDefault="00CC73DD" w:rsidP="00DB2573">
            <w:pPr>
              <w:pStyle w:val="Normal-pool-Table"/>
              <w:rPr>
                <w:lang w:val="en-GB"/>
              </w:rPr>
            </w:pPr>
            <w:r w:rsidRPr="00361139">
              <w:rPr>
                <w:lang w:val="en-GB"/>
              </w:rPr>
              <w:t>10373</w:t>
            </w:r>
          </w:p>
        </w:tc>
        <w:tc>
          <w:tcPr>
            <w:tcW w:w="677" w:type="dxa"/>
            <w:shd w:val="clear" w:color="auto" w:fill="auto"/>
            <w:noWrap/>
            <w:hideMark/>
          </w:tcPr>
          <w:p w14:paraId="7689F7F0"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5F9B850" w14:textId="77777777" w:rsidR="00CC73DD" w:rsidRPr="00361139" w:rsidRDefault="00CC73DD" w:rsidP="00DB2573">
            <w:pPr>
              <w:pStyle w:val="Normal-pool-Table"/>
              <w:rPr>
                <w:lang w:val="en-GB"/>
              </w:rPr>
            </w:pPr>
            <w:r w:rsidRPr="00361139">
              <w:rPr>
                <w:lang w:val="en-GB"/>
              </w:rPr>
              <w:t>Rwanda</w:t>
            </w:r>
          </w:p>
        </w:tc>
        <w:tc>
          <w:tcPr>
            <w:tcW w:w="2126" w:type="dxa"/>
            <w:shd w:val="clear" w:color="auto" w:fill="auto"/>
            <w:noWrap/>
            <w:hideMark/>
          </w:tcPr>
          <w:p w14:paraId="78208DEE" w14:textId="77777777" w:rsidR="00CC73DD" w:rsidRPr="00361139" w:rsidRDefault="00CC73DD" w:rsidP="00DB2573">
            <w:pPr>
              <w:pStyle w:val="Normal-pool-Table"/>
              <w:rPr>
                <w:lang w:val="en-GB"/>
              </w:rPr>
            </w:pPr>
            <w:r w:rsidRPr="00361139">
              <w:rPr>
                <w:lang w:val="en-GB"/>
              </w:rPr>
              <w:t>Supporting a Green Economy - Decoupling Hazardous Waste Generation from Economic Growth in Rwanda</w:t>
            </w:r>
          </w:p>
        </w:tc>
        <w:tc>
          <w:tcPr>
            <w:tcW w:w="992" w:type="dxa"/>
            <w:shd w:val="clear" w:color="auto" w:fill="auto"/>
            <w:noWrap/>
            <w:hideMark/>
          </w:tcPr>
          <w:p w14:paraId="13F1DE7F"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40F16B81"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8B604A4"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49DCB3B6" w14:textId="77777777" w:rsidR="00CC73DD" w:rsidRPr="00361139" w:rsidRDefault="00CC73DD" w:rsidP="002232EE">
            <w:pPr>
              <w:pStyle w:val="Normal-pool-Table"/>
              <w:jc w:val="right"/>
              <w:rPr>
                <w:lang w:val="en-GB"/>
              </w:rPr>
            </w:pPr>
            <w:r w:rsidRPr="00361139">
              <w:rPr>
                <w:lang w:val="en-GB"/>
              </w:rPr>
              <w:t>6,30</w:t>
            </w:r>
          </w:p>
        </w:tc>
        <w:tc>
          <w:tcPr>
            <w:tcW w:w="1037" w:type="dxa"/>
            <w:shd w:val="clear" w:color="auto" w:fill="auto"/>
            <w:noWrap/>
            <w:hideMark/>
          </w:tcPr>
          <w:p w14:paraId="32E7266F" w14:textId="77777777" w:rsidR="00CC73DD" w:rsidRPr="00361139" w:rsidRDefault="00CC73DD" w:rsidP="002232EE">
            <w:pPr>
              <w:pStyle w:val="Normal-pool-Table"/>
              <w:jc w:val="right"/>
              <w:rPr>
                <w:lang w:val="en-GB"/>
              </w:rPr>
            </w:pPr>
            <w:r w:rsidRPr="00361139">
              <w:rPr>
                <w:lang w:val="en-GB"/>
              </w:rPr>
              <w:t>34,13</w:t>
            </w:r>
          </w:p>
        </w:tc>
      </w:tr>
      <w:tr w:rsidR="00FA47A8" w:rsidRPr="00361139" w14:paraId="47E50947" w14:textId="77777777" w:rsidTr="00413E25">
        <w:trPr>
          <w:cantSplit/>
          <w:trHeight w:val="57"/>
          <w:jc w:val="right"/>
        </w:trPr>
        <w:tc>
          <w:tcPr>
            <w:tcW w:w="677" w:type="dxa"/>
            <w:shd w:val="clear" w:color="auto" w:fill="auto"/>
            <w:noWrap/>
            <w:hideMark/>
          </w:tcPr>
          <w:p w14:paraId="4AF31F01" w14:textId="77777777" w:rsidR="00CC73DD" w:rsidRPr="00361139" w:rsidRDefault="00CC73DD" w:rsidP="00DB2573">
            <w:pPr>
              <w:pStyle w:val="Normal-pool-Table"/>
              <w:rPr>
                <w:lang w:val="en-GB"/>
              </w:rPr>
            </w:pPr>
            <w:r w:rsidRPr="00361139">
              <w:rPr>
                <w:lang w:val="en-GB"/>
              </w:rPr>
              <w:t>10353</w:t>
            </w:r>
          </w:p>
        </w:tc>
        <w:tc>
          <w:tcPr>
            <w:tcW w:w="677" w:type="dxa"/>
            <w:shd w:val="clear" w:color="auto" w:fill="auto"/>
            <w:noWrap/>
            <w:hideMark/>
          </w:tcPr>
          <w:p w14:paraId="6BF934F7"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271CC22" w14:textId="77777777" w:rsidR="00CC73DD" w:rsidRPr="00C2090E" w:rsidRDefault="00CC73DD" w:rsidP="00DB2573">
            <w:pPr>
              <w:pStyle w:val="Normal-pool-Table"/>
              <w:rPr>
                <w:lang w:val="es-ES"/>
              </w:rPr>
            </w:pPr>
            <w:r w:rsidRPr="00C2090E">
              <w:rPr>
                <w:lang w:val="es-ES"/>
              </w:rPr>
              <w:t xml:space="preserve">Indonesia, Jordan, </w:t>
            </w:r>
            <w:proofErr w:type="spellStart"/>
            <w:r w:rsidRPr="00C2090E">
              <w:rPr>
                <w:lang w:val="es-ES"/>
              </w:rPr>
              <w:t>Peru</w:t>
            </w:r>
            <w:proofErr w:type="spellEnd"/>
            <w:r w:rsidRPr="00C2090E">
              <w:rPr>
                <w:lang w:val="es-ES"/>
              </w:rPr>
              <w:t xml:space="preserve">, Serbia, Uganda, </w:t>
            </w:r>
            <w:proofErr w:type="spellStart"/>
            <w:r w:rsidRPr="00C2090E">
              <w:rPr>
                <w:lang w:val="es-ES"/>
              </w:rPr>
              <w:t>Ukraine</w:t>
            </w:r>
            <w:proofErr w:type="spellEnd"/>
          </w:p>
        </w:tc>
        <w:tc>
          <w:tcPr>
            <w:tcW w:w="2126" w:type="dxa"/>
            <w:shd w:val="clear" w:color="auto" w:fill="auto"/>
            <w:noWrap/>
            <w:hideMark/>
          </w:tcPr>
          <w:p w14:paraId="72B11D79" w14:textId="77777777" w:rsidR="00CC73DD" w:rsidRPr="00361139" w:rsidRDefault="00CC73DD" w:rsidP="00DB2573">
            <w:pPr>
              <w:pStyle w:val="Normal-pool-Table"/>
              <w:rPr>
                <w:lang w:val="en-GB"/>
              </w:rPr>
            </w:pPr>
            <w:r w:rsidRPr="00361139">
              <w:rPr>
                <w:lang w:val="en-GB"/>
              </w:rPr>
              <w:t xml:space="preserve">The Global </w:t>
            </w:r>
            <w:proofErr w:type="spellStart"/>
            <w:r w:rsidRPr="00361139">
              <w:rPr>
                <w:lang w:val="en-GB"/>
              </w:rPr>
              <w:t>Greenchem</w:t>
            </w:r>
            <w:proofErr w:type="spellEnd"/>
            <w:r w:rsidRPr="00361139">
              <w:rPr>
                <w:lang w:val="en-GB"/>
              </w:rPr>
              <w:t xml:space="preserve"> Innovation and Network Programme</w:t>
            </w:r>
          </w:p>
        </w:tc>
        <w:tc>
          <w:tcPr>
            <w:tcW w:w="992" w:type="dxa"/>
            <w:shd w:val="clear" w:color="auto" w:fill="auto"/>
            <w:noWrap/>
            <w:hideMark/>
          </w:tcPr>
          <w:p w14:paraId="0FC4A518"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05FE4032"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5F173AB"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1AEF0EC3" w14:textId="77777777" w:rsidR="00CC73DD" w:rsidRPr="00361139" w:rsidRDefault="00CC73DD" w:rsidP="002232EE">
            <w:pPr>
              <w:pStyle w:val="Normal-pool-Table"/>
              <w:jc w:val="right"/>
              <w:rPr>
                <w:lang w:val="en-GB"/>
              </w:rPr>
            </w:pPr>
            <w:r w:rsidRPr="00361139">
              <w:rPr>
                <w:lang w:val="en-GB"/>
              </w:rPr>
              <w:t>12,60</w:t>
            </w:r>
          </w:p>
        </w:tc>
        <w:tc>
          <w:tcPr>
            <w:tcW w:w="1037" w:type="dxa"/>
            <w:shd w:val="clear" w:color="auto" w:fill="auto"/>
            <w:noWrap/>
            <w:hideMark/>
          </w:tcPr>
          <w:p w14:paraId="601605B0" w14:textId="77777777" w:rsidR="00CC73DD" w:rsidRPr="00361139" w:rsidRDefault="00CC73DD" w:rsidP="002232EE">
            <w:pPr>
              <w:pStyle w:val="Normal-pool-Table"/>
              <w:jc w:val="right"/>
              <w:rPr>
                <w:lang w:val="en-GB"/>
              </w:rPr>
            </w:pPr>
            <w:r w:rsidRPr="00361139">
              <w:rPr>
                <w:lang w:val="en-GB"/>
              </w:rPr>
              <w:t>127,56</w:t>
            </w:r>
          </w:p>
        </w:tc>
      </w:tr>
      <w:tr w:rsidR="00FA47A8" w:rsidRPr="00361139" w14:paraId="59F4A755" w14:textId="77777777" w:rsidTr="00413E25">
        <w:trPr>
          <w:cantSplit/>
          <w:trHeight w:val="57"/>
          <w:jc w:val="right"/>
        </w:trPr>
        <w:tc>
          <w:tcPr>
            <w:tcW w:w="677" w:type="dxa"/>
            <w:shd w:val="clear" w:color="auto" w:fill="auto"/>
            <w:noWrap/>
            <w:hideMark/>
          </w:tcPr>
          <w:p w14:paraId="38A1C88D" w14:textId="77777777" w:rsidR="00CC73DD" w:rsidRPr="00361139" w:rsidRDefault="00CC73DD" w:rsidP="00DB2573">
            <w:pPr>
              <w:pStyle w:val="Normal-pool-Table"/>
              <w:rPr>
                <w:lang w:val="en-GB"/>
              </w:rPr>
            </w:pPr>
            <w:r w:rsidRPr="00361139">
              <w:rPr>
                <w:lang w:val="en-GB"/>
              </w:rPr>
              <w:t>10349</w:t>
            </w:r>
          </w:p>
        </w:tc>
        <w:tc>
          <w:tcPr>
            <w:tcW w:w="677" w:type="dxa"/>
            <w:shd w:val="clear" w:color="auto" w:fill="auto"/>
            <w:noWrap/>
            <w:hideMark/>
          </w:tcPr>
          <w:p w14:paraId="3197A84F"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220A56F" w14:textId="77777777" w:rsidR="00CC73DD" w:rsidRPr="00361139" w:rsidRDefault="00CC73DD" w:rsidP="00DB2573">
            <w:pPr>
              <w:pStyle w:val="Normal-pool-Table"/>
              <w:rPr>
                <w:lang w:val="en-GB"/>
              </w:rPr>
            </w:pPr>
            <w:r w:rsidRPr="00361139">
              <w:rPr>
                <w:lang w:val="en-GB"/>
              </w:rPr>
              <w:t>China</w:t>
            </w:r>
          </w:p>
        </w:tc>
        <w:tc>
          <w:tcPr>
            <w:tcW w:w="2126" w:type="dxa"/>
            <w:shd w:val="clear" w:color="auto" w:fill="auto"/>
            <w:noWrap/>
            <w:hideMark/>
          </w:tcPr>
          <w:p w14:paraId="597758C8" w14:textId="77777777" w:rsidR="00CC73DD" w:rsidRPr="00361139" w:rsidRDefault="00CC73DD" w:rsidP="00DB2573">
            <w:pPr>
              <w:pStyle w:val="Normal-pool-Table"/>
              <w:rPr>
                <w:lang w:val="en-GB"/>
              </w:rPr>
            </w:pPr>
            <w:r w:rsidRPr="00361139">
              <w:rPr>
                <w:lang w:val="en-GB"/>
              </w:rPr>
              <w:t>Demonstration of production phase-out of mercury-containing medical thermometers and sphygmomanometers and promoting the application of mercury-free alternatives in medical facilities in China</w:t>
            </w:r>
          </w:p>
        </w:tc>
        <w:tc>
          <w:tcPr>
            <w:tcW w:w="992" w:type="dxa"/>
            <w:shd w:val="clear" w:color="auto" w:fill="auto"/>
            <w:noWrap/>
            <w:hideMark/>
          </w:tcPr>
          <w:p w14:paraId="5295D91B"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59B6C297"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353F644"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71B7F9E" w14:textId="77777777" w:rsidR="00CC73DD" w:rsidRPr="00361139" w:rsidRDefault="00CC73DD" w:rsidP="002232EE">
            <w:pPr>
              <w:pStyle w:val="Normal-pool-Table"/>
              <w:jc w:val="right"/>
              <w:rPr>
                <w:lang w:val="en-GB"/>
              </w:rPr>
            </w:pPr>
            <w:r w:rsidRPr="00361139">
              <w:rPr>
                <w:lang w:val="en-GB"/>
              </w:rPr>
              <w:t>16,00</w:t>
            </w:r>
          </w:p>
        </w:tc>
        <w:tc>
          <w:tcPr>
            <w:tcW w:w="1037" w:type="dxa"/>
            <w:shd w:val="clear" w:color="auto" w:fill="auto"/>
            <w:noWrap/>
            <w:hideMark/>
          </w:tcPr>
          <w:p w14:paraId="54FBC656" w14:textId="77777777" w:rsidR="00CC73DD" w:rsidRPr="00361139" w:rsidRDefault="00CC73DD" w:rsidP="002232EE">
            <w:pPr>
              <w:pStyle w:val="Normal-pool-Table"/>
              <w:jc w:val="right"/>
              <w:rPr>
                <w:lang w:val="en-GB"/>
              </w:rPr>
            </w:pPr>
            <w:r w:rsidRPr="00361139">
              <w:rPr>
                <w:lang w:val="en-GB"/>
              </w:rPr>
              <w:t>112,00</w:t>
            </w:r>
          </w:p>
        </w:tc>
      </w:tr>
      <w:tr w:rsidR="00FA47A8" w:rsidRPr="00361139" w14:paraId="6FD5E303" w14:textId="77777777" w:rsidTr="00413E25">
        <w:trPr>
          <w:cantSplit/>
          <w:trHeight w:val="57"/>
          <w:jc w:val="right"/>
        </w:trPr>
        <w:tc>
          <w:tcPr>
            <w:tcW w:w="677" w:type="dxa"/>
            <w:shd w:val="clear" w:color="auto" w:fill="auto"/>
            <w:noWrap/>
            <w:hideMark/>
          </w:tcPr>
          <w:p w14:paraId="19C45CC5" w14:textId="77777777" w:rsidR="00CC73DD" w:rsidRPr="00361139" w:rsidRDefault="00CC73DD" w:rsidP="00DB2573">
            <w:pPr>
              <w:pStyle w:val="Normal-pool-Table"/>
              <w:rPr>
                <w:lang w:val="en-GB"/>
              </w:rPr>
            </w:pPr>
            <w:r w:rsidRPr="00361139">
              <w:rPr>
                <w:lang w:val="en-GB"/>
              </w:rPr>
              <w:t>10310</w:t>
            </w:r>
          </w:p>
        </w:tc>
        <w:tc>
          <w:tcPr>
            <w:tcW w:w="677" w:type="dxa"/>
            <w:shd w:val="clear" w:color="auto" w:fill="auto"/>
            <w:noWrap/>
            <w:hideMark/>
          </w:tcPr>
          <w:p w14:paraId="1D27B2D5"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70450E0" w14:textId="77777777" w:rsidR="00CC73DD" w:rsidRPr="00361139" w:rsidRDefault="00CC73DD" w:rsidP="00DB2573">
            <w:pPr>
              <w:pStyle w:val="Normal-pool-Table"/>
              <w:rPr>
                <w:lang w:val="en-GB"/>
              </w:rPr>
            </w:pPr>
            <w:r w:rsidRPr="00361139">
              <w:rPr>
                <w:lang w:val="en-GB"/>
              </w:rPr>
              <w:t>Bolivia</w:t>
            </w:r>
          </w:p>
        </w:tc>
        <w:tc>
          <w:tcPr>
            <w:tcW w:w="2126" w:type="dxa"/>
            <w:shd w:val="clear" w:color="auto" w:fill="auto"/>
            <w:noWrap/>
            <w:hideMark/>
          </w:tcPr>
          <w:p w14:paraId="1B9F5D65" w14:textId="77777777" w:rsidR="00CC73DD" w:rsidRPr="00361139" w:rsidRDefault="00CC73DD" w:rsidP="00DB2573">
            <w:pPr>
              <w:pStyle w:val="Normal-pool-Table"/>
              <w:rPr>
                <w:lang w:val="en-GB"/>
              </w:rPr>
            </w:pPr>
            <w:r w:rsidRPr="00361139">
              <w:rPr>
                <w:lang w:val="en-GB"/>
              </w:rPr>
              <w:t xml:space="preserve">National action plan in the artisanal and small-scale gold mining sector in the </w:t>
            </w:r>
            <w:proofErr w:type="spellStart"/>
            <w:r w:rsidRPr="00361139">
              <w:rPr>
                <w:lang w:val="en-GB"/>
              </w:rPr>
              <w:t>Plurinational</w:t>
            </w:r>
            <w:proofErr w:type="spellEnd"/>
            <w:r w:rsidRPr="00361139">
              <w:rPr>
                <w:lang w:val="en-GB"/>
              </w:rPr>
              <w:t xml:space="preserve"> State of Bolivia</w:t>
            </w:r>
          </w:p>
        </w:tc>
        <w:tc>
          <w:tcPr>
            <w:tcW w:w="992" w:type="dxa"/>
            <w:shd w:val="clear" w:color="auto" w:fill="auto"/>
            <w:noWrap/>
            <w:hideMark/>
          </w:tcPr>
          <w:p w14:paraId="4BCEB220"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5394459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A3DEAF8"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46C32BE"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5E3663C" w14:textId="77777777" w:rsidR="00CC73DD" w:rsidRPr="00361139" w:rsidRDefault="00CC73DD" w:rsidP="002232EE">
            <w:pPr>
              <w:pStyle w:val="Normal-pool-Table"/>
              <w:jc w:val="right"/>
              <w:rPr>
                <w:lang w:val="en-GB"/>
              </w:rPr>
            </w:pPr>
            <w:r w:rsidRPr="00361139">
              <w:rPr>
                <w:lang w:val="en-GB"/>
              </w:rPr>
              <w:t>0,03</w:t>
            </w:r>
          </w:p>
        </w:tc>
      </w:tr>
      <w:tr w:rsidR="00FA47A8" w:rsidRPr="00361139" w14:paraId="27E8AB8F" w14:textId="77777777" w:rsidTr="00413E25">
        <w:trPr>
          <w:cantSplit/>
          <w:trHeight w:val="57"/>
          <w:jc w:val="right"/>
        </w:trPr>
        <w:tc>
          <w:tcPr>
            <w:tcW w:w="677" w:type="dxa"/>
            <w:shd w:val="clear" w:color="auto" w:fill="auto"/>
            <w:noWrap/>
            <w:hideMark/>
          </w:tcPr>
          <w:p w14:paraId="7B72D469" w14:textId="77777777" w:rsidR="00CC73DD" w:rsidRPr="00361139" w:rsidRDefault="00CC73DD" w:rsidP="00DB2573">
            <w:pPr>
              <w:pStyle w:val="Normal-pool-Table"/>
              <w:rPr>
                <w:lang w:val="en-GB"/>
              </w:rPr>
            </w:pPr>
            <w:r w:rsidRPr="00361139">
              <w:rPr>
                <w:lang w:val="en-GB"/>
              </w:rPr>
              <w:t>10218</w:t>
            </w:r>
          </w:p>
        </w:tc>
        <w:tc>
          <w:tcPr>
            <w:tcW w:w="677" w:type="dxa"/>
            <w:shd w:val="clear" w:color="auto" w:fill="auto"/>
            <w:noWrap/>
            <w:hideMark/>
          </w:tcPr>
          <w:p w14:paraId="7F4BB6C1"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6AEF8A3" w14:textId="2BD14F05" w:rsidR="00CC73DD" w:rsidRPr="00C2090E" w:rsidRDefault="00CC73DD" w:rsidP="00DB2573">
            <w:pPr>
              <w:pStyle w:val="Normal-pool-Table"/>
              <w:rPr>
                <w:lang w:val="es-ES"/>
              </w:rPr>
            </w:pPr>
            <w:r w:rsidRPr="00C2090E">
              <w:rPr>
                <w:lang w:val="es-ES"/>
              </w:rPr>
              <w:t>Angola, Ethiopia, Gambia, Guinea, Liberia, Mauritania, Senegal, Sierra</w:t>
            </w:r>
            <w:r w:rsidR="00522D2B" w:rsidRPr="00C2090E">
              <w:rPr>
                <w:lang w:val="es-ES"/>
              </w:rPr>
              <w:t> </w:t>
            </w:r>
            <w:r w:rsidRPr="00C2090E">
              <w:rPr>
                <w:lang w:val="es-ES"/>
              </w:rPr>
              <w:t>Leone, Togo, Uganda, Zambia</w:t>
            </w:r>
          </w:p>
        </w:tc>
        <w:tc>
          <w:tcPr>
            <w:tcW w:w="2126" w:type="dxa"/>
            <w:shd w:val="clear" w:color="auto" w:fill="auto"/>
            <w:noWrap/>
            <w:hideMark/>
          </w:tcPr>
          <w:p w14:paraId="518535B1" w14:textId="77777777" w:rsidR="00CC73DD" w:rsidRPr="00361139" w:rsidRDefault="00CC73DD" w:rsidP="00DB2573">
            <w:pPr>
              <w:pStyle w:val="Normal-pool-Table"/>
              <w:rPr>
                <w:lang w:val="en-GB"/>
              </w:rPr>
            </w:pPr>
            <w:r w:rsidRPr="00361139">
              <w:rPr>
                <w:lang w:val="en-GB"/>
              </w:rPr>
              <w:t>AFLDC-2 Scaling-up Investment and Technology Transfer to Facilitate Capacity Strengthening and Technical Assistance for the Implementation of Stockholm and Minamata Conventions in African LDCs</w:t>
            </w:r>
          </w:p>
        </w:tc>
        <w:tc>
          <w:tcPr>
            <w:tcW w:w="992" w:type="dxa"/>
            <w:shd w:val="clear" w:color="auto" w:fill="auto"/>
            <w:noWrap/>
            <w:hideMark/>
          </w:tcPr>
          <w:p w14:paraId="7E69B524" w14:textId="77777777" w:rsidR="00CC73DD" w:rsidRPr="00361139" w:rsidRDefault="00CC73DD" w:rsidP="00DB2573">
            <w:pPr>
              <w:pStyle w:val="Normal-pool-Table"/>
              <w:rPr>
                <w:lang w:val="en-GB"/>
              </w:rPr>
            </w:pPr>
            <w:r w:rsidRPr="00361139">
              <w:rPr>
                <w:lang w:val="en-GB"/>
              </w:rPr>
              <w:t>AfDB</w:t>
            </w:r>
          </w:p>
        </w:tc>
        <w:tc>
          <w:tcPr>
            <w:tcW w:w="851" w:type="dxa"/>
            <w:shd w:val="clear" w:color="auto" w:fill="auto"/>
            <w:noWrap/>
            <w:hideMark/>
          </w:tcPr>
          <w:p w14:paraId="38573139"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4081707"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45680750" w14:textId="77777777" w:rsidR="00CC73DD" w:rsidRPr="00361139" w:rsidRDefault="00CC73DD" w:rsidP="002232EE">
            <w:pPr>
              <w:pStyle w:val="Normal-pool-Table"/>
              <w:jc w:val="right"/>
              <w:rPr>
                <w:lang w:val="en-GB"/>
              </w:rPr>
            </w:pPr>
            <w:r w:rsidRPr="00361139">
              <w:rPr>
                <w:lang w:val="en-GB"/>
              </w:rPr>
              <w:t>21,30</w:t>
            </w:r>
          </w:p>
        </w:tc>
        <w:tc>
          <w:tcPr>
            <w:tcW w:w="1037" w:type="dxa"/>
            <w:shd w:val="clear" w:color="auto" w:fill="auto"/>
            <w:noWrap/>
            <w:hideMark/>
          </w:tcPr>
          <w:p w14:paraId="42ED6280" w14:textId="77777777" w:rsidR="00CC73DD" w:rsidRPr="00361139" w:rsidRDefault="00CC73DD" w:rsidP="002232EE">
            <w:pPr>
              <w:pStyle w:val="Normal-pool-Table"/>
              <w:jc w:val="right"/>
              <w:rPr>
                <w:lang w:val="en-GB"/>
              </w:rPr>
            </w:pPr>
            <w:r w:rsidRPr="00361139">
              <w:rPr>
                <w:lang w:val="en-GB"/>
              </w:rPr>
              <w:t>237,14</w:t>
            </w:r>
          </w:p>
        </w:tc>
      </w:tr>
      <w:tr w:rsidR="00FA47A8" w:rsidRPr="00361139" w14:paraId="6CE74AEF" w14:textId="77777777" w:rsidTr="00413E25">
        <w:trPr>
          <w:cantSplit/>
          <w:trHeight w:val="57"/>
          <w:jc w:val="right"/>
        </w:trPr>
        <w:tc>
          <w:tcPr>
            <w:tcW w:w="677" w:type="dxa"/>
            <w:shd w:val="clear" w:color="auto" w:fill="auto"/>
            <w:noWrap/>
            <w:hideMark/>
          </w:tcPr>
          <w:p w14:paraId="240A455F" w14:textId="77777777" w:rsidR="00CC73DD" w:rsidRPr="00361139" w:rsidRDefault="00CC73DD" w:rsidP="00DB2573">
            <w:pPr>
              <w:pStyle w:val="Normal-pool-Table"/>
              <w:rPr>
                <w:lang w:val="en-GB"/>
              </w:rPr>
            </w:pPr>
            <w:r w:rsidRPr="00361139">
              <w:rPr>
                <w:lang w:val="en-GB"/>
              </w:rPr>
              <w:lastRenderedPageBreak/>
              <w:t>10185</w:t>
            </w:r>
          </w:p>
        </w:tc>
        <w:tc>
          <w:tcPr>
            <w:tcW w:w="677" w:type="dxa"/>
            <w:shd w:val="clear" w:color="auto" w:fill="auto"/>
            <w:noWrap/>
            <w:hideMark/>
          </w:tcPr>
          <w:p w14:paraId="39141EBC"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3EBE83D" w14:textId="77777777" w:rsidR="00CC73DD" w:rsidRPr="00361139" w:rsidRDefault="00CC73DD" w:rsidP="00DB2573">
            <w:pPr>
              <w:pStyle w:val="Normal-pool-Table"/>
              <w:rPr>
                <w:lang w:val="en-GB"/>
              </w:rPr>
            </w:pPr>
            <w:r w:rsidRPr="00361139">
              <w:rPr>
                <w:lang w:val="en-GB"/>
              </w:rPr>
              <w:t xml:space="preserve">Antigua and Barbuda, Barbados, Belize, Comoros, Cook Islands, Dominican Republic, Fiji, Micronesia, Guyana, Kiribati, </w:t>
            </w:r>
            <w:r w:rsidRPr="00361139">
              <w:rPr>
                <w:i/>
                <w:lang w:val="en-GB"/>
              </w:rPr>
              <w:t>(continue in the next column)</w:t>
            </w:r>
          </w:p>
        </w:tc>
        <w:tc>
          <w:tcPr>
            <w:tcW w:w="2126" w:type="dxa"/>
            <w:shd w:val="clear" w:color="auto" w:fill="auto"/>
            <w:noWrap/>
            <w:hideMark/>
          </w:tcPr>
          <w:p w14:paraId="1C39531D" w14:textId="77777777" w:rsidR="00CC73DD" w:rsidRPr="00361139" w:rsidRDefault="00CC73DD" w:rsidP="00DB2573">
            <w:pPr>
              <w:pStyle w:val="Normal-pool-Table"/>
              <w:rPr>
                <w:lang w:val="en-GB"/>
              </w:rPr>
            </w:pPr>
            <w:r w:rsidRPr="00361139">
              <w:rPr>
                <w:lang w:val="en-GB"/>
              </w:rPr>
              <w:t>Implementing Sustainable Low and Non-Chemical Development in SIDS (ISLANDS)</w:t>
            </w:r>
          </w:p>
          <w:p w14:paraId="5E36490A" w14:textId="77777777" w:rsidR="00CC73DD" w:rsidRPr="00361139" w:rsidRDefault="00CC73DD" w:rsidP="00DB2573">
            <w:pPr>
              <w:pStyle w:val="Normal-pool-Table"/>
              <w:rPr>
                <w:lang w:val="en-GB"/>
              </w:rPr>
            </w:pPr>
            <w:r w:rsidRPr="00361139">
              <w:rPr>
                <w:lang w:val="en-GB"/>
              </w:rPr>
              <w:t>---</w:t>
            </w:r>
          </w:p>
          <w:p w14:paraId="639CE5BD" w14:textId="77777777" w:rsidR="00CC73DD" w:rsidRPr="00361139" w:rsidRDefault="00CC73DD" w:rsidP="00DB2573">
            <w:pPr>
              <w:pStyle w:val="Normal-pool-Table"/>
              <w:rPr>
                <w:lang w:val="en-GB"/>
              </w:rPr>
            </w:pPr>
            <w:r w:rsidRPr="00361139">
              <w:rPr>
                <w:lang w:val="en-GB"/>
              </w:rPr>
              <w:t>Maldives, Marshall Islands, Mauritius, Nauru, Niue, Palau, Papua New Guinea, Saint Kitts and Nevis, Saint Lucia, Saint Vincent and the Grenadines, Samoa, Seychelles, Solomon Islands, Suriname, Tonga, Trinidad and Tobago, Tuvalu, Vanuatu</w:t>
            </w:r>
          </w:p>
        </w:tc>
        <w:tc>
          <w:tcPr>
            <w:tcW w:w="992" w:type="dxa"/>
            <w:shd w:val="clear" w:color="auto" w:fill="auto"/>
            <w:noWrap/>
            <w:hideMark/>
          </w:tcPr>
          <w:p w14:paraId="15266D16"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7E33AE45" w14:textId="77777777" w:rsidR="00CC73DD" w:rsidRPr="00361139" w:rsidRDefault="00CC73DD" w:rsidP="00DB2573">
            <w:pPr>
              <w:pStyle w:val="Normal-pool-Table"/>
              <w:rPr>
                <w:lang w:val="en-GB"/>
              </w:rPr>
            </w:pPr>
            <w:r w:rsidRPr="00361139">
              <w:rPr>
                <w:lang w:val="en-GB"/>
              </w:rPr>
              <w:t>PFD</w:t>
            </w:r>
          </w:p>
        </w:tc>
        <w:tc>
          <w:tcPr>
            <w:tcW w:w="1038" w:type="dxa"/>
            <w:shd w:val="clear" w:color="auto" w:fill="auto"/>
            <w:noWrap/>
            <w:hideMark/>
          </w:tcPr>
          <w:p w14:paraId="1FB17FA2"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777A3959" w14:textId="77777777" w:rsidR="00CC73DD" w:rsidRPr="00361139" w:rsidRDefault="00CC73DD" w:rsidP="002232EE">
            <w:pPr>
              <w:pStyle w:val="Normal-pool-Table"/>
              <w:jc w:val="right"/>
              <w:rPr>
                <w:lang w:val="en-GB"/>
              </w:rPr>
            </w:pPr>
            <w:r w:rsidRPr="00361139">
              <w:rPr>
                <w:lang w:val="en-GB"/>
              </w:rPr>
              <w:t>75,00</w:t>
            </w:r>
          </w:p>
        </w:tc>
        <w:tc>
          <w:tcPr>
            <w:tcW w:w="1037" w:type="dxa"/>
            <w:shd w:val="clear" w:color="auto" w:fill="auto"/>
            <w:noWrap/>
            <w:hideMark/>
          </w:tcPr>
          <w:p w14:paraId="26F700D2" w14:textId="77777777" w:rsidR="00CC73DD" w:rsidRPr="00361139" w:rsidRDefault="00CC73DD" w:rsidP="002232EE">
            <w:pPr>
              <w:pStyle w:val="Normal-pool-Table"/>
              <w:jc w:val="right"/>
              <w:rPr>
                <w:lang w:val="en-GB"/>
              </w:rPr>
            </w:pPr>
            <w:r w:rsidRPr="00361139">
              <w:rPr>
                <w:lang w:val="en-GB"/>
              </w:rPr>
              <w:t>440,21</w:t>
            </w:r>
          </w:p>
        </w:tc>
      </w:tr>
      <w:tr w:rsidR="00FA47A8" w:rsidRPr="00361139" w14:paraId="4219D609" w14:textId="77777777" w:rsidTr="00413E25">
        <w:trPr>
          <w:cantSplit/>
          <w:trHeight w:val="57"/>
          <w:jc w:val="right"/>
        </w:trPr>
        <w:tc>
          <w:tcPr>
            <w:tcW w:w="677" w:type="dxa"/>
            <w:shd w:val="clear" w:color="auto" w:fill="auto"/>
            <w:noWrap/>
            <w:hideMark/>
          </w:tcPr>
          <w:p w14:paraId="00329A14" w14:textId="77777777" w:rsidR="00CC73DD" w:rsidRPr="00361139" w:rsidRDefault="00CC73DD" w:rsidP="00DB2573">
            <w:pPr>
              <w:pStyle w:val="Normal-pool-Table"/>
              <w:rPr>
                <w:lang w:val="en-GB"/>
              </w:rPr>
            </w:pPr>
            <w:r w:rsidRPr="00361139">
              <w:rPr>
                <w:lang w:val="en-GB"/>
              </w:rPr>
              <w:t>10153</w:t>
            </w:r>
          </w:p>
        </w:tc>
        <w:tc>
          <w:tcPr>
            <w:tcW w:w="677" w:type="dxa"/>
            <w:shd w:val="clear" w:color="auto" w:fill="auto"/>
            <w:noWrap/>
            <w:hideMark/>
          </w:tcPr>
          <w:p w14:paraId="304DB06E"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F764A86" w14:textId="77777777" w:rsidR="00CC73DD" w:rsidRPr="00361139" w:rsidRDefault="00CC73DD" w:rsidP="00DB2573">
            <w:pPr>
              <w:pStyle w:val="Normal-pool-Table"/>
              <w:rPr>
                <w:lang w:val="en-GB"/>
              </w:rPr>
            </w:pPr>
            <w:r w:rsidRPr="00361139">
              <w:rPr>
                <w:lang w:val="en-GB"/>
              </w:rPr>
              <w:t>Guyana</w:t>
            </w:r>
          </w:p>
        </w:tc>
        <w:tc>
          <w:tcPr>
            <w:tcW w:w="2126" w:type="dxa"/>
            <w:shd w:val="clear" w:color="auto" w:fill="auto"/>
            <w:noWrap/>
            <w:hideMark/>
          </w:tcPr>
          <w:p w14:paraId="6815C162" w14:textId="77777777" w:rsidR="00CC73DD" w:rsidRPr="00361139" w:rsidRDefault="00CC73DD" w:rsidP="00DB2573">
            <w:pPr>
              <w:pStyle w:val="Normal-pool-Table"/>
              <w:rPr>
                <w:lang w:val="en-GB"/>
              </w:rPr>
            </w:pPr>
            <w:r w:rsidRPr="00361139">
              <w:rPr>
                <w:lang w:val="en-GB"/>
              </w:rPr>
              <w:t xml:space="preserve">Development of National Action Plan for Artisanal and </w:t>
            </w:r>
            <w:proofErr w:type="gramStart"/>
            <w:r w:rsidRPr="00361139">
              <w:rPr>
                <w:lang w:val="en-GB"/>
              </w:rPr>
              <w:t>Small Scale</w:t>
            </w:r>
            <w:proofErr w:type="gramEnd"/>
            <w:r w:rsidRPr="00361139">
              <w:rPr>
                <w:lang w:val="en-GB"/>
              </w:rPr>
              <w:t xml:space="preserve"> Gold Mining in the Co-operative Republic of Guyana</w:t>
            </w:r>
          </w:p>
        </w:tc>
        <w:tc>
          <w:tcPr>
            <w:tcW w:w="992" w:type="dxa"/>
            <w:shd w:val="clear" w:color="auto" w:fill="auto"/>
            <w:noWrap/>
            <w:hideMark/>
          </w:tcPr>
          <w:p w14:paraId="25A8AA1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292E86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8E9ED3D"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713F1DBD"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1D64E109" w14:textId="77777777" w:rsidR="00CC73DD" w:rsidRPr="00361139" w:rsidRDefault="00CC73DD" w:rsidP="002232EE">
            <w:pPr>
              <w:pStyle w:val="Normal-pool-Table"/>
              <w:jc w:val="right"/>
              <w:rPr>
                <w:lang w:val="en-GB"/>
              </w:rPr>
            </w:pPr>
            <w:r w:rsidRPr="00361139">
              <w:rPr>
                <w:lang w:val="en-GB"/>
              </w:rPr>
              <w:t>0,00</w:t>
            </w:r>
          </w:p>
        </w:tc>
      </w:tr>
      <w:tr w:rsidR="00FA47A8" w:rsidRPr="00361139" w14:paraId="22F3138E" w14:textId="77777777" w:rsidTr="00413E25">
        <w:trPr>
          <w:cantSplit/>
          <w:trHeight w:val="57"/>
          <w:jc w:val="right"/>
        </w:trPr>
        <w:tc>
          <w:tcPr>
            <w:tcW w:w="677" w:type="dxa"/>
            <w:shd w:val="clear" w:color="auto" w:fill="auto"/>
            <w:noWrap/>
            <w:hideMark/>
          </w:tcPr>
          <w:p w14:paraId="7434E0D9" w14:textId="77777777" w:rsidR="00CC73DD" w:rsidRPr="00361139" w:rsidRDefault="00CC73DD" w:rsidP="00DB2573">
            <w:pPr>
              <w:pStyle w:val="Normal-pool-Table"/>
              <w:rPr>
                <w:lang w:val="en-GB"/>
              </w:rPr>
            </w:pPr>
            <w:r w:rsidRPr="00361139">
              <w:rPr>
                <w:lang w:val="en-GB"/>
              </w:rPr>
              <w:t>10148</w:t>
            </w:r>
          </w:p>
        </w:tc>
        <w:tc>
          <w:tcPr>
            <w:tcW w:w="677" w:type="dxa"/>
            <w:shd w:val="clear" w:color="auto" w:fill="auto"/>
            <w:noWrap/>
            <w:hideMark/>
          </w:tcPr>
          <w:p w14:paraId="2BA2CCE9"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F9BC5A9" w14:textId="77777777" w:rsidR="00CC73DD" w:rsidRPr="00361139" w:rsidRDefault="00CC73DD" w:rsidP="00DB2573">
            <w:pPr>
              <w:pStyle w:val="Normal-pool-Table"/>
              <w:rPr>
                <w:lang w:val="en-GB"/>
              </w:rPr>
            </w:pPr>
            <w:r w:rsidRPr="00361139">
              <w:rPr>
                <w:lang w:val="en-GB"/>
              </w:rPr>
              <w:t>Nicaragua</w:t>
            </w:r>
          </w:p>
        </w:tc>
        <w:tc>
          <w:tcPr>
            <w:tcW w:w="2126" w:type="dxa"/>
            <w:shd w:val="clear" w:color="auto" w:fill="auto"/>
            <w:noWrap/>
            <w:hideMark/>
          </w:tcPr>
          <w:p w14:paraId="35FAB505" w14:textId="77777777" w:rsidR="00CC73DD" w:rsidRPr="00361139" w:rsidRDefault="00CC73DD" w:rsidP="00DB2573">
            <w:pPr>
              <w:pStyle w:val="Normal-pool-Table"/>
              <w:rPr>
                <w:lang w:val="en-GB"/>
              </w:rPr>
            </w:pPr>
            <w:r w:rsidRPr="00361139">
              <w:rPr>
                <w:lang w:val="en-GB"/>
              </w:rPr>
              <w:t>Minamata initial assessment and national action plan on the artisanal and small-scale gold mining sector in Nicaragua</w:t>
            </w:r>
          </w:p>
        </w:tc>
        <w:tc>
          <w:tcPr>
            <w:tcW w:w="992" w:type="dxa"/>
            <w:shd w:val="clear" w:color="auto" w:fill="auto"/>
            <w:noWrap/>
            <w:hideMark/>
          </w:tcPr>
          <w:p w14:paraId="6DFF4560"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7515556E"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E7B49FB"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6AD2071C"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1667B0B7" w14:textId="77777777" w:rsidR="00CC73DD" w:rsidRPr="00361139" w:rsidRDefault="00CC73DD" w:rsidP="002232EE">
            <w:pPr>
              <w:pStyle w:val="Normal-pool-Table"/>
              <w:jc w:val="right"/>
              <w:rPr>
                <w:lang w:val="en-GB"/>
              </w:rPr>
            </w:pPr>
            <w:r w:rsidRPr="00361139">
              <w:rPr>
                <w:lang w:val="en-GB"/>
              </w:rPr>
              <w:t>0,03</w:t>
            </w:r>
          </w:p>
        </w:tc>
      </w:tr>
      <w:tr w:rsidR="00FA47A8" w:rsidRPr="00361139" w14:paraId="6093159E" w14:textId="77777777" w:rsidTr="00413E25">
        <w:trPr>
          <w:cantSplit/>
          <w:trHeight w:val="57"/>
          <w:jc w:val="right"/>
        </w:trPr>
        <w:tc>
          <w:tcPr>
            <w:tcW w:w="677" w:type="dxa"/>
            <w:shd w:val="clear" w:color="auto" w:fill="auto"/>
            <w:noWrap/>
            <w:hideMark/>
          </w:tcPr>
          <w:p w14:paraId="6241F577" w14:textId="77777777" w:rsidR="00CC73DD" w:rsidRPr="00361139" w:rsidRDefault="00CC73DD" w:rsidP="00DB2573">
            <w:pPr>
              <w:pStyle w:val="Normal-pool-Table"/>
              <w:rPr>
                <w:lang w:val="en-GB"/>
              </w:rPr>
            </w:pPr>
            <w:r w:rsidRPr="00361139">
              <w:rPr>
                <w:lang w:val="en-GB"/>
              </w:rPr>
              <w:t>10141</w:t>
            </w:r>
          </w:p>
        </w:tc>
        <w:tc>
          <w:tcPr>
            <w:tcW w:w="677" w:type="dxa"/>
            <w:shd w:val="clear" w:color="auto" w:fill="auto"/>
            <w:noWrap/>
            <w:hideMark/>
          </w:tcPr>
          <w:p w14:paraId="1772CFFE"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AA1FD1F" w14:textId="77777777" w:rsidR="00CC73DD" w:rsidRPr="00361139" w:rsidRDefault="00CC73DD" w:rsidP="00DB2573">
            <w:pPr>
              <w:pStyle w:val="Normal-pool-Table"/>
              <w:rPr>
                <w:lang w:val="en-GB"/>
              </w:rPr>
            </w:pPr>
            <w:r w:rsidRPr="00361139">
              <w:rPr>
                <w:lang w:val="en-GB"/>
              </w:rPr>
              <w:t>Nigeria</w:t>
            </w:r>
          </w:p>
        </w:tc>
        <w:tc>
          <w:tcPr>
            <w:tcW w:w="2126" w:type="dxa"/>
            <w:shd w:val="clear" w:color="auto" w:fill="auto"/>
            <w:noWrap/>
            <w:hideMark/>
          </w:tcPr>
          <w:p w14:paraId="23784A6E" w14:textId="77777777" w:rsidR="00CC73DD" w:rsidRPr="00361139" w:rsidRDefault="00CC73DD" w:rsidP="00DB2573">
            <w:pPr>
              <w:pStyle w:val="Normal-pool-Table"/>
              <w:rPr>
                <w:lang w:val="en-GB"/>
              </w:rPr>
            </w:pPr>
            <w:r w:rsidRPr="00361139">
              <w:rPr>
                <w:lang w:val="en-GB"/>
              </w:rPr>
              <w:t>Circular Economy approaches for the electronics sector in Nigeria</w:t>
            </w:r>
          </w:p>
        </w:tc>
        <w:tc>
          <w:tcPr>
            <w:tcW w:w="992" w:type="dxa"/>
            <w:shd w:val="clear" w:color="auto" w:fill="auto"/>
            <w:noWrap/>
            <w:hideMark/>
          </w:tcPr>
          <w:p w14:paraId="58CC3254"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CB3AE96"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043D83D1"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46F69BCD"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7DC3EE1F" w14:textId="77777777" w:rsidR="00CC73DD" w:rsidRPr="00361139" w:rsidRDefault="00CC73DD" w:rsidP="002232EE">
            <w:pPr>
              <w:pStyle w:val="Normal-pool-Table"/>
              <w:jc w:val="right"/>
              <w:rPr>
                <w:lang w:val="en-GB"/>
              </w:rPr>
            </w:pPr>
            <w:r w:rsidRPr="00361139">
              <w:rPr>
                <w:lang w:val="en-GB"/>
              </w:rPr>
              <w:t>13,09</w:t>
            </w:r>
          </w:p>
        </w:tc>
      </w:tr>
      <w:tr w:rsidR="00FA47A8" w:rsidRPr="00361139" w14:paraId="12CD7452" w14:textId="77777777" w:rsidTr="00413E25">
        <w:trPr>
          <w:cantSplit/>
          <w:trHeight w:val="57"/>
          <w:jc w:val="right"/>
        </w:trPr>
        <w:tc>
          <w:tcPr>
            <w:tcW w:w="677" w:type="dxa"/>
            <w:shd w:val="clear" w:color="auto" w:fill="auto"/>
            <w:noWrap/>
            <w:hideMark/>
          </w:tcPr>
          <w:p w14:paraId="05B14012" w14:textId="77777777" w:rsidR="00CC73DD" w:rsidRPr="00361139" w:rsidRDefault="00CC73DD" w:rsidP="00DB2573">
            <w:pPr>
              <w:pStyle w:val="Normal-pool-Table"/>
              <w:rPr>
                <w:lang w:val="en-GB"/>
              </w:rPr>
            </w:pPr>
            <w:r w:rsidRPr="00361139">
              <w:rPr>
                <w:lang w:val="en-GB"/>
              </w:rPr>
              <w:t>10136</w:t>
            </w:r>
          </w:p>
        </w:tc>
        <w:tc>
          <w:tcPr>
            <w:tcW w:w="677" w:type="dxa"/>
            <w:shd w:val="clear" w:color="auto" w:fill="auto"/>
            <w:noWrap/>
            <w:hideMark/>
          </w:tcPr>
          <w:p w14:paraId="7BF394B4"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4A9CB700" w14:textId="77777777" w:rsidR="00CC73DD" w:rsidRPr="00361139" w:rsidRDefault="00CC73DD" w:rsidP="00DB2573">
            <w:pPr>
              <w:pStyle w:val="Normal-pool-Table"/>
              <w:rPr>
                <w:lang w:val="en-GB"/>
              </w:rPr>
            </w:pPr>
            <w:r w:rsidRPr="00361139">
              <w:rPr>
                <w:lang w:val="en-GB"/>
              </w:rPr>
              <w:t>Rwanda</w:t>
            </w:r>
          </w:p>
        </w:tc>
        <w:tc>
          <w:tcPr>
            <w:tcW w:w="2126" w:type="dxa"/>
            <w:shd w:val="clear" w:color="auto" w:fill="auto"/>
            <w:noWrap/>
            <w:hideMark/>
          </w:tcPr>
          <w:p w14:paraId="79254D58"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Rwanda</w:t>
            </w:r>
          </w:p>
        </w:tc>
        <w:tc>
          <w:tcPr>
            <w:tcW w:w="992" w:type="dxa"/>
            <w:shd w:val="clear" w:color="auto" w:fill="auto"/>
            <w:noWrap/>
            <w:hideMark/>
          </w:tcPr>
          <w:p w14:paraId="27151AB6"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6FAE87C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159B4744"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109C643"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6F07A18C" w14:textId="77777777" w:rsidR="00CC73DD" w:rsidRPr="00361139" w:rsidRDefault="00CC73DD" w:rsidP="002232EE">
            <w:pPr>
              <w:pStyle w:val="Normal-pool-Table"/>
              <w:jc w:val="right"/>
              <w:rPr>
                <w:lang w:val="en-GB"/>
              </w:rPr>
            </w:pPr>
            <w:r w:rsidRPr="00361139">
              <w:rPr>
                <w:lang w:val="en-GB"/>
              </w:rPr>
              <w:t>0,06</w:t>
            </w:r>
          </w:p>
        </w:tc>
      </w:tr>
      <w:tr w:rsidR="00FA47A8" w:rsidRPr="00361139" w14:paraId="798D7EA0" w14:textId="77777777" w:rsidTr="00413E25">
        <w:trPr>
          <w:cantSplit/>
          <w:trHeight w:val="57"/>
          <w:jc w:val="right"/>
        </w:trPr>
        <w:tc>
          <w:tcPr>
            <w:tcW w:w="677" w:type="dxa"/>
            <w:shd w:val="clear" w:color="auto" w:fill="auto"/>
            <w:noWrap/>
            <w:hideMark/>
          </w:tcPr>
          <w:p w14:paraId="6EF42190" w14:textId="77777777" w:rsidR="00CC73DD" w:rsidRPr="00361139" w:rsidRDefault="00CC73DD" w:rsidP="00DB2573">
            <w:pPr>
              <w:pStyle w:val="Normal-pool-Table"/>
              <w:rPr>
                <w:lang w:val="en-GB"/>
              </w:rPr>
            </w:pPr>
            <w:r w:rsidRPr="00361139">
              <w:rPr>
                <w:lang w:val="en-GB"/>
              </w:rPr>
              <w:t>10135</w:t>
            </w:r>
          </w:p>
        </w:tc>
        <w:tc>
          <w:tcPr>
            <w:tcW w:w="677" w:type="dxa"/>
            <w:shd w:val="clear" w:color="auto" w:fill="auto"/>
            <w:noWrap/>
            <w:hideMark/>
          </w:tcPr>
          <w:p w14:paraId="26B87EDC"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0EE786FB" w14:textId="77777777" w:rsidR="00CC73DD" w:rsidRPr="00361139" w:rsidRDefault="00CC73DD" w:rsidP="00DB2573">
            <w:pPr>
              <w:pStyle w:val="Normal-pool-Table"/>
              <w:rPr>
                <w:lang w:val="en-GB"/>
              </w:rPr>
            </w:pPr>
            <w:r w:rsidRPr="00361139">
              <w:rPr>
                <w:lang w:val="en-GB"/>
              </w:rPr>
              <w:t>Angola</w:t>
            </w:r>
          </w:p>
        </w:tc>
        <w:tc>
          <w:tcPr>
            <w:tcW w:w="2126" w:type="dxa"/>
            <w:shd w:val="clear" w:color="auto" w:fill="auto"/>
            <w:noWrap/>
            <w:hideMark/>
          </w:tcPr>
          <w:p w14:paraId="6332027B"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Angola</w:t>
            </w:r>
          </w:p>
        </w:tc>
        <w:tc>
          <w:tcPr>
            <w:tcW w:w="992" w:type="dxa"/>
            <w:shd w:val="clear" w:color="auto" w:fill="auto"/>
            <w:noWrap/>
            <w:hideMark/>
          </w:tcPr>
          <w:p w14:paraId="10960479"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66365CFD"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E9A373E"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D461D7E"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55E627B0" w14:textId="77777777" w:rsidR="00CC73DD" w:rsidRPr="00361139" w:rsidRDefault="00CC73DD" w:rsidP="002232EE">
            <w:pPr>
              <w:pStyle w:val="Normal-pool-Table"/>
              <w:jc w:val="right"/>
              <w:rPr>
                <w:lang w:val="en-GB"/>
              </w:rPr>
            </w:pPr>
            <w:r w:rsidRPr="00361139">
              <w:rPr>
                <w:lang w:val="en-GB"/>
              </w:rPr>
              <w:t>0,06</w:t>
            </w:r>
          </w:p>
        </w:tc>
      </w:tr>
      <w:tr w:rsidR="00FA47A8" w:rsidRPr="00361139" w14:paraId="64E4A4A7" w14:textId="77777777" w:rsidTr="00413E25">
        <w:trPr>
          <w:cantSplit/>
          <w:trHeight w:val="57"/>
          <w:jc w:val="right"/>
        </w:trPr>
        <w:tc>
          <w:tcPr>
            <w:tcW w:w="677" w:type="dxa"/>
            <w:shd w:val="clear" w:color="auto" w:fill="auto"/>
            <w:noWrap/>
            <w:hideMark/>
          </w:tcPr>
          <w:p w14:paraId="443FAB59" w14:textId="77777777" w:rsidR="00CC73DD" w:rsidRPr="00361139" w:rsidRDefault="00CC73DD" w:rsidP="00DB2573">
            <w:pPr>
              <w:pStyle w:val="Normal-pool-Table"/>
              <w:rPr>
                <w:lang w:val="en-GB"/>
              </w:rPr>
            </w:pPr>
            <w:r w:rsidRPr="00361139">
              <w:rPr>
                <w:lang w:val="en-GB"/>
              </w:rPr>
              <w:t>10134</w:t>
            </w:r>
          </w:p>
        </w:tc>
        <w:tc>
          <w:tcPr>
            <w:tcW w:w="677" w:type="dxa"/>
            <w:shd w:val="clear" w:color="auto" w:fill="auto"/>
            <w:noWrap/>
            <w:hideMark/>
          </w:tcPr>
          <w:p w14:paraId="599D4C79"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028BA151" w14:textId="77777777" w:rsidR="00CC73DD" w:rsidRPr="00361139" w:rsidRDefault="00CC73DD" w:rsidP="00DB2573">
            <w:pPr>
              <w:pStyle w:val="Normal-pool-Table"/>
              <w:rPr>
                <w:lang w:val="en-GB"/>
              </w:rPr>
            </w:pPr>
            <w:r w:rsidRPr="00361139">
              <w:rPr>
                <w:lang w:val="en-GB"/>
              </w:rPr>
              <w:t>Liberia</w:t>
            </w:r>
          </w:p>
        </w:tc>
        <w:tc>
          <w:tcPr>
            <w:tcW w:w="2126" w:type="dxa"/>
            <w:shd w:val="clear" w:color="auto" w:fill="auto"/>
            <w:noWrap/>
            <w:hideMark/>
          </w:tcPr>
          <w:p w14:paraId="41B84E5B"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Liberia</w:t>
            </w:r>
          </w:p>
        </w:tc>
        <w:tc>
          <w:tcPr>
            <w:tcW w:w="992" w:type="dxa"/>
            <w:shd w:val="clear" w:color="auto" w:fill="auto"/>
            <w:noWrap/>
            <w:hideMark/>
          </w:tcPr>
          <w:p w14:paraId="56A2E029"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417E735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B1BA068"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DE57A6A"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47961D08" w14:textId="77777777" w:rsidR="00CC73DD" w:rsidRPr="00361139" w:rsidRDefault="00CC73DD" w:rsidP="002232EE">
            <w:pPr>
              <w:pStyle w:val="Normal-pool-Table"/>
              <w:jc w:val="right"/>
              <w:rPr>
                <w:lang w:val="en-GB"/>
              </w:rPr>
            </w:pPr>
            <w:r w:rsidRPr="00361139">
              <w:rPr>
                <w:lang w:val="en-GB"/>
              </w:rPr>
              <w:t>0,00</w:t>
            </w:r>
          </w:p>
        </w:tc>
      </w:tr>
      <w:tr w:rsidR="00FA47A8" w:rsidRPr="00361139" w14:paraId="1EF2D36D" w14:textId="77777777" w:rsidTr="00413E25">
        <w:trPr>
          <w:cantSplit/>
          <w:trHeight w:val="57"/>
          <w:jc w:val="right"/>
        </w:trPr>
        <w:tc>
          <w:tcPr>
            <w:tcW w:w="677" w:type="dxa"/>
            <w:shd w:val="clear" w:color="auto" w:fill="auto"/>
            <w:noWrap/>
            <w:hideMark/>
          </w:tcPr>
          <w:p w14:paraId="328D9853" w14:textId="77777777" w:rsidR="00CC73DD" w:rsidRPr="00361139" w:rsidRDefault="00CC73DD" w:rsidP="00DB2573">
            <w:pPr>
              <w:pStyle w:val="Normal-pool-Table"/>
              <w:rPr>
                <w:lang w:val="en-GB"/>
              </w:rPr>
            </w:pPr>
            <w:r w:rsidRPr="00361139">
              <w:rPr>
                <w:lang w:val="en-GB"/>
              </w:rPr>
              <w:t>10133</w:t>
            </w:r>
          </w:p>
        </w:tc>
        <w:tc>
          <w:tcPr>
            <w:tcW w:w="677" w:type="dxa"/>
            <w:shd w:val="clear" w:color="auto" w:fill="auto"/>
            <w:noWrap/>
            <w:hideMark/>
          </w:tcPr>
          <w:p w14:paraId="7D197314"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5460B8AE" w14:textId="77777777" w:rsidR="00CC73DD" w:rsidRPr="00361139" w:rsidRDefault="00CC73DD" w:rsidP="00DB2573">
            <w:pPr>
              <w:pStyle w:val="Normal-pool-Table"/>
              <w:rPr>
                <w:lang w:val="en-GB"/>
              </w:rPr>
            </w:pPr>
            <w:r w:rsidRPr="00361139">
              <w:rPr>
                <w:lang w:val="en-GB"/>
              </w:rPr>
              <w:t>Liberia</w:t>
            </w:r>
          </w:p>
        </w:tc>
        <w:tc>
          <w:tcPr>
            <w:tcW w:w="2126" w:type="dxa"/>
            <w:shd w:val="clear" w:color="auto" w:fill="auto"/>
            <w:noWrap/>
            <w:hideMark/>
          </w:tcPr>
          <w:p w14:paraId="1D99D324" w14:textId="77777777" w:rsidR="00CC73DD" w:rsidRPr="00361139" w:rsidRDefault="00CC73DD" w:rsidP="00DB2573">
            <w:pPr>
              <w:pStyle w:val="Normal-pool-Table"/>
              <w:rPr>
                <w:lang w:val="en-GB"/>
              </w:rPr>
            </w:pPr>
            <w:r w:rsidRPr="00361139">
              <w:rPr>
                <w:lang w:val="en-GB"/>
              </w:rPr>
              <w:t>Minamata Initial Assessment in Liberia</w:t>
            </w:r>
          </w:p>
        </w:tc>
        <w:tc>
          <w:tcPr>
            <w:tcW w:w="992" w:type="dxa"/>
            <w:shd w:val="clear" w:color="auto" w:fill="auto"/>
            <w:noWrap/>
            <w:hideMark/>
          </w:tcPr>
          <w:p w14:paraId="3145BD15"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5B73A086"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DE222F8"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676492AE"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185C1087" w14:textId="77777777" w:rsidR="00CC73DD" w:rsidRPr="00361139" w:rsidRDefault="00CC73DD" w:rsidP="002232EE">
            <w:pPr>
              <w:pStyle w:val="Normal-pool-Table"/>
              <w:jc w:val="right"/>
              <w:rPr>
                <w:lang w:val="en-GB"/>
              </w:rPr>
            </w:pPr>
            <w:r w:rsidRPr="00361139">
              <w:rPr>
                <w:lang w:val="en-GB"/>
              </w:rPr>
              <w:t>0,02</w:t>
            </w:r>
          </w:p>
        </w:tc>
      </w:tr>
      <w:tr w:rsidR="00FA47A8" w:rsidRPr="00361139" w14:paraId="7B5ED551" w14:textId="77777777" w:rsidTr="00413E25">
        <w:trPr>
          <w:cantSplit/>
          <w:trHeight w:val="57"/>
          <w:jc w:val="right"/>
        </w:trPr>
        <w:tc>
          <w:tcPr>
            <w:tcW w:w="677" w:type="dxa"/>
            <w:shd w:val="clear" w:color="auto" w:fill="auto"/>
            <w:noWrap/>
            <w:hideMark/>
          </w:tcPr>
          <w:p w14:paraId="64A5C1E8" w14:textId="77777777" w:rsidR="00CC73DD" w:rsidRPr="00361139" w:rsidRDefault="00CC73DD" w:rsidP="00DB2573">
            <w:pPr>
              <w:pStyle w:val="Normal-pool-Table"/>
              <w:rPr>
                <w:lang w:val="en-GB"/>
              </w:rPr>
            </w:pPr>
            <w:r w:rsidRPr="00361139">
              <w:rPr>
                <w:lang w:val="en-GB"/>
              </w:rPr>
              <w:t>10132</w:t>
            </w:r>
          </w:p>
        </w:tc>
        <w:tc>
          <w:tcPr>
            <w:tcW w:w="677" w:type="dxa"/>
            <w:shd w:val="clear" w:color="auto" w:fill="auto"/>
            <w:noWrap/>
            <w:hideMark/>
          </w:tcPr>
          <w:p w14:paraId="460CBBCB"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718D44C4" w14:textId="77777777" w:rsidR="00CC73DD" w:rsidRPr="00361139" w:rsidRDefault="00CC73DD" w:rsidP="00DB2573">
            <w:pPr>
              <w:pStyle w:val="Normal-pool-Table"/>
              <w:rPr>
                <w:lang w:val="en-GB"/>
              </w:rPr>
            </w:pPr>
            <w:r w:rsidRPr="00361139">
              <w:rPr>
                <w:lang w:val="en-GB"/>
              </w:rPr>
              <w:t>Rwanda</w:t>
            </w:r>
          </w:p>
        </w:tc>
        <w:tc>
          <w:tcPr>
            <w:tcW w:w="2126" w:type="dxa"/>
            <w:shd w:val="clear" w:color="auto" w:fill="auto"/>
            <w:noWrap/>
            <w:hideMark/>
          </w:tcPr>
          <w:p w14:paraId="5394143B" w14:textId="77777777" w:rsidR="00CC73DD" w:rsidRPr="00361139" w:rsidRDefault="00CC73DD" w:rsidP="00DB2573">
            <w:pPr>
              <w:pStyle w:val="Normal-pool-Table"/>
              <w:rPr>
                <w:lang w:val="en-GB"/>
              </w:rPr>
            </w:pPr>
            <w:r w:rsidRPr="00361139">
              <w:rPr>
                <w:lang w:val="en-GB"/>
              </w:rPr>
              <w:t>Minamata Convention: Initial assessment for Rwanda</w:t>
            </w:r>
          </w:p>
        </w:tc>
        <w:tc>
          <w:tcPr>
            <w:tcW w:w="992" w:type="dxa"/>
            <w:shd w:val="clear" w:color="auto" w:fill="auto"/>
            <w:noWrap/>
            <w:hideMark/>
          </w:tcPr>
          <w:p w14:paraId="72D8ED2D"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070FDE1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6C722CC"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08E9FD0"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1A95AEC7" w14:textId="77777777" w:rsidR="00CC73DD" w:rsidRPr="00361139" w:rsidRDefault="00CC73DD" w:rsidP="002232EE">
            <w:pPr>
              <w:pStyle w:val="Normal-pool-Table"/>
              <w:jc w:val="right"/>
              <w:rPr>
                <w:lang w:val="en-GB"/>
              </w:rPr>
            </w:pPr>
            <w:r w:rsidRPr="00361139">
              <w:rPr>
                <w:lang w:val="en-GB"/>
              </w:rPr>
              <w:t>0,02</w:t>
            </w:r>
          </w:p>
        </w:tc>
      </w:tr>
      <w:tr w:rsidR="00FA47A8" w:rsidRPr="00361139" w14:paraId="5204E02F" w14:textId="77777777" w:rsidTr="00413E25">
        <w:trPr>
          <w:cantSplit/>
          <w:trHeight w:val="57"/>
          <w:jc w:val="right"/>
        </w:trPr>
        <w:tc>
          <w:tcPr>
            <w:tcW w:w="677" w:type="dxa"/>
            <w:shd w:val="clear" w:color="auto" w:fill="auto"/>
            <w:noWrap/>
            <w:hideMark/>
          </w:tcPr>
          <w:p w14:paraId="002A7A24" w14:textId="77777777" w:rsidR="00CC73DD" w:rsidRPr="00361139" w:rsidRDefault="00CC73DD" w:rsidP="00DB2573">
            <w:pPr>
              <w:pStyle w:val="Normal-pool-Table"/>
              <w:rPr>
                <w:lang w:val="en-GB"/>
              </w:rPr>
            </w:pPr>
            <w:r w:rsidRPr="00361139">
              <w:rPr>
                <w:lang w:val="en-GB"/>
              </w:rPr>
              <w:t>10126</w:t>
            </w:r>
          </w:p>
        </w:tc>
        <w:tc>
          <w:tcPr>
            <w:tcW w:w="677" w:type="dxa"/>
            <w:shd w:val="clear" w:color="auto" w:fill="auto"/>
            <w:noWrap/>
            <w:hideMark/>
          </w:tcPr>
          <w:p w14:paraId="789C7856"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25C18377" w14:textId="77777777" w:rsidR="00CC73DD" w:rsidRPr="00361139" w:rsidRDefault="00CC73DD" w:rsidP="00DB2573">
            <w:pPr>
              <w:pStyle w:val="Normal-pool-Table"/>
              <w:rPr>
                <w:lang w:val="en-GB"/>
              </w:rPr>
            </w:pPr>
            <w:r w:rsidRPr="00361139">
              <w:rPr>
                <w:lang w:val="en-GB"/>
              </w:rPr>
              <w:t>Lebanon</w:t>
            </w:r>
          </w:p>
        </w:tc>
        <w:tc>
          <w:tcPr>
            <w:tcW w:w="2126" w:type="dxa"/>
            <w:shd w:val="clear" w:color="auto" w:fill="auto"/>
            <w:noWrap/>
            <w:hideMark/>
          </w:tcPr>
          <w:p w14:paraId="0BDD36A3" w14:textId="77777777" w:rsidR="00CC73DD" w:rsidRPr="00361139" w:rsidRDefault="00CC73DD" w:rsidP="00DB2573">
            <w:pPr>
              <w:pStyle w:val="Normal-pool-Table"/>
              <w:rPr>
                <w:lang w:val="en-GB"/>
              </w:rPr>
            </w:pPr>
            <w:r w:rsidRPr="00361139">
              <w:rPr>
                <w:lang w:val="en-GB"/>
              </w:rPr>
              <w:t>Minamata Initial Assessment in Lebanon</w:t>
            </w:r>
          </w:p>
        </w:tc>
        <w:tc>
          <w:tcPr>
            <w:tcW w:w="992" w:type="dxa"/>
            <w:shd w:val="clear" w:color="auto" w:fill="auto"/>
            <w:noWrap/>
            <w:hideMark/>
          </w:tcPr>
          <w:p w14:paraId="4085CCDA"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6810A58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1AB202E"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7CFE7360"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489D34F1" w14:textId="77777777" w:rsidR="00CC73DD" w:rsidRPr="00361139" w:rsidRDefault="00CC73DD" w:rsidP="002232EE">
            <w:pPr>
              <w:pStyle w:val="Normal-pool-Table"/>
              <w:jc w:val="right"/>
              <w:rPr>
                <w:lang w:val="en-GB"/>
              </w:rPr>
            </w:pPr>
            <w:r w:rsidRPr="00361139">
              <w:rPr>
                <w:lang w:val="en-GB"/>
              </w:rPr>
              <w:t>0,02</w:t>
            </w:r>
          </w:p>
        </w:tc>
      </w:tr>
      <w:tr w:rsidR="00FA47A8" w:rsidRPr="00361139" w14:paraId="2C63C373" w14:textId="77777777" w:rsidTr="00413E25">
        <w:trPr>
          <w:cantSplit/>
          <w:trHeight w:val="57"/>
          <w:jc w:val="right"/>
        </w:trPr>
        <w:tc>
          <w:tcPr>
            <w:tcW w:w="677" w:type="dxa"/>
            <w:shd w:val="clear" w:color="auto" w:fill="auto"/>
            <w:noWrap/>
            <w:hideMark/>
          </w:tcPr>
          <w:p w14:paraId="201954BA" w14:textId="77777777" w:rsidR="00CC73DD" w:rsidRPr="00361139" w:rsidRDefault="00CC73DD" w:rsidP="00DB2573">
            <w:pPr>
              <w:pStyle w:val="Normal-pool-Table"/>
              <w:rPr>
                <w:lang w:val="en-GB"/>
              </w:rPr>
            </w:pPr>
            <w:r w:rsidRPr="00361139">
              <w:rPr>
                <w:lang w:val="en-GB"/>
              </w:rPr>
              <w:t>10094</w:t>
            </w:r>
          </w:p>
        </w:tc>
        <w:tc>
          <w:tcPr>
            <w:tcW w:w="677" w:type="dxa"/>
            <w:shd w:val="clear" w:color="auto" w:fill="auto"/>
            <w:noWrap/>
            <w:hideMark/>
          </w:tcPr>
          <w:p w14:paraId="06D41B65"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122BB189" w14:textId="77777777" w:rsidR="00CC73DD" w:rsidRPr="00361139" w:rsidRDefault="00CC73DD" w:rsidP="00DB2573">
            <w:pPr>
              <w:pStyle w:val="Normal-pool-Table"/>
              <w:rPr>
                <w:lang w:val="en-GB"/>
              </w:rPr>
            </w:pPr>
            <w:r w:rsidRPr="00361139">
              <w:rPr>
                <w:lang w:val="en-GB"/>
              </w:rPr>
              <w:t>Argentina</w:t>
            </w:r>
          </w:p>
        </w:tc>
        <w:tc>
          <w:tcPr>
            <w:tcW w:w="2126" w:type="dxa"/>
            <w:shd w:val="clear" w:color="auto" w:fill="auto"/>
            <w:noWrap/>
            <w:hideMark/>
          </w:tcPr>
          <w:p w14:paraId="31467EF5" w14:textId="77777777" w:rsidR="00CC73DD" w:rsidRPr="00361139" w:rsidRDefault="00CC73DD" w:rsidP="00DB2573">
            <w:pPr>
              <w:pStyle w:val="Normal-pool-Table"/>
              <w:rPr>
                <w:lang w:val="en-GB"/>
              </w:rPr>
            </w:pPr>
            <w:r w:rsidRPr="00361139">
              <w:rPr>
                <w:lang w:val="en-GB"/>
              </w:rPr>
              <w:t>Environmentally Sound Management of POPs, Mercury and other Hazardous Chemicals in Argentina</w:t>
            </w:r>
          </w:p>
        </w:tc>
        <w:tc>
          <w:tcPr>
            <w:tcW w:w="992" w:type="dxa"/>
            <w:shd w:val="clear" w:color="auto" w:fill="auto"/>
            <w:noWrap/>
            <w:hideMark/>
          </w:tcPr>
          <w:p w14:paraId="78813A98"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10B1BEE6"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DF543C4"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15357140" w14:textId="77777777" w:rsidR="00CC73DD" w:rsidRPr="00361139" w:rsidRDefault="00CC73DD" w:rsidP="002232EE">
            <w:pPr>
              <w:pStyle w:val="Normal-pool-Table"/>
              <w:jc w:val="right"/>
              <w:rPr>
                <w:lang w:val="en-GB"/>
              </w:rPr>
            </w:pPr>
            <w:r w:rsidRPr="00361139">
              <w:rPr>
                <w:lang w:val="en-GB"/>
              </w:rPr>
              <w:t>8,93</w:t>
            </w:r>
          </w:p>
        </w:tc>
        <w:tc>
          <w:tcPr>
            <w:tcW w:w="1037" w:type="dxa"/>
            <w:shd w:val="clear" w:color="auto" w:fill="auto"/>
            <w:noWrap/>
            <w:hideMark/>
          </w:tcPr>
          <w:p w14:paraId="3E465CD2" w14:textId="77777777" w:rsidR="00CC73DD" w:rsidRPr="00361139" w:rsidRDefault="00CC73DD" w:rsidP="002232EE">
            <w:pPr>
              <w:pStyle w:val="Normal-pool-Table"/>
              <w:jc w:val="right"/>
              <w:rPr>
                <w:lang w:val="en-GB"/>
              </w:rPr>
            </w:pPr>
            <w:r w:rsidRPr="00361139">
              <w:rPr>
                <w:lang w:val="en-GB"/>
              </w:rPr>
              <w:t>46,63</w:t>
            </w:r>
          </w:p>
        </w:tc>
      </w:tr>
      <w:tr w:rsidR="00FA47A8" w:rsidRPr="00361139" w14:paraId="18E1088D" w14:textId="77777777" w:rsidTr="00413E25">
        <w:trPr>
          <w:cantSplit/>
          <w:trHeight w:val="57"/>
          <w:jc w:val="right"/>
        </w:trPr>
        <w:tc>
          <w:tcPr>
            <w:tcW w:w="677" w:type="dxa"/>
            <w:shd w:val="clear" w:color="auto" w:fill="auto"/>
            <w:noWrap/>
            <w:hideMark/>
          </w:tcPr>
          <w:p w14:paraId="0A4DE07B" w14:textId="77777777" w:rsidR="00CC73DD" w:rsidRPr="00361139" w:rsidRDefault="00CC73DD" w:rsidP="00DB2573">
            <w:pPr>
              <w:pStyle w:val="Normal-pool-Table"/>
              <w:rPr>
                <w:lang w:val="en-GB"/>
              </w:rPr>
            </w:pPr>
            <w:r w:rsidRPr="00361139">
              <w:rPr>
                <w:lang w:val="en-GB"/>
              </w:rPr>
              <w:lastRenderedPageBreak/>
              <w:t>10086</w:t>
            </w:r>
          </w:p>
        </w:tc>
        <w:tc>
          <w:tcPr>
            <w:tcW w:w="677" w:type="dxa"/>
            <w:shd w:val="clear" w:color="auto" w:fill="auto"/>
            <w:noWrap/>
            <w:hideMark/>
          </w:tcPr>
          <w:p w14:paraId="68A99005" w14:textId="77777777" w:rsidR="00CC73DD" w:rsidRPr="00361139" w:rsidRDefault="00CC73DD" w:rsidP="00DB2573">
            <w:pPr>
              <w:pStyle w:val="Normal-pool-Table"/>
              <w:rPr>
                <w:lang w:val="en-GB"/>
              </w:rPr>
            </w:pPr>
            <w:r w:rsidRPr="00361139">
              <w:rPr>
                <w:lang w:val="en-GB"/>
              </w:rPr>
              <w:t>GEF7</w:t>
            </w:r>
          </w:p>
        </w:tc>
        <w:tc>
          <w:tcPr>
            <w:tcW w:w="1335" w:type="dxa"/>
            <w:shd w:val="clear" w:color="auto" w:fill="auto"/>
            <w:noWrap/>
            <w:hideMark/>
          </w:tcPr>
          <w:p w14:paraId="4C06F8A4" w14:textId="77777777" w:rsidR="00CC73DD" w:rsidRPr="00361139" w:rsidRDefault="00CC73DD" w:rsidP="00DB2573">
            <w:pPr>
              <w:pStyle w:val="Normal-pool-Table"/>
              <w:rPr>
                <w:lang w:val="en-GB"/>
              </w:rPr>
            </w:pPr>
            <w:r w:rsidRPr="00361139">
              <w:rPr>
                <w:lang w:val="en-GB"/>
              </w:rPr>
              <w:t>Mexico</w:t>
            </w:r>
          </w:p>
        </w:tc>
        <w:tc>
          <w:tcPr>
            <w:tcW w:w="2126" w:type="dxa"/>
            <w:shd w:val="clear" w:color="auto" w:fill="auto"/>
            <w:noWrap/>
            <w:hideMark/>
          </w:tcPr>
          <w:p w14:paraId="427D89D7" w14:textId="77777777" w:rsidR="00CC73DD" w:rsidRPr="00361139" w:rsidRDefault="00CC73DD" w:rsidP="00DB2573">
            <w:pPr>
              <w:pStyle w:val="Normal-pool-Table"/>
              <w:rPr>
                <w:lang w:val="en-GB"/>
              </w:rPr>
            </w:pPr>
            <w:r w:rsidRPr="00361139">
              <w:rPr>
                <w:lang w:val="en-GB"/>
              </w:rPr>
              <w:t>Reducing global environmental risks through the monitoring and development of alternative livelihood for the primary mercury mining sector in Mexico</w:t>
            </w:r>
          </w:p>
        </w:tc>
        <w:tc>
          <w:tcPr>
            <w:tcW w:w="992" w:type="dxa"/>
            <w:shd w:val="clear" w:color="auto" w:fill="auto"/>
            <w:noWrap/>
            <w:hideMark/>
          </w:tcPr>
          <w:p w14:paraId="651DC3E9"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1F1B46F"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0A3EAA7" w14:textId="77777777" w:rsidR="00CC73DD" w:rsidRPr="00361139" w:rsidRDefault="00CC73DD" w:rsidP="00DB2573">
            <w:pPr>
              <w:pStyle w:val="Normal-pool-Table"/>
              <w:rPr>
                <w:lang w:val="en-GB"/>
              </w:rPr>
            </w:pPr>
            <w:r w:rsidRPr="00361139">
              <w:rPr>
                <w:lang w:val="en-GB"/>
              </w:rPr>
              <w:t>Approved</w:t>
            </w:r>
          </w:p>
        </w:tc>
        <w:tc>
          <w:tcPr>
            <w:tcW w:w="760" w:type="dxa"/>
            <w:shd w:val="clear" w:color="auto" w:fill="auto"/>
            <w:noWrap/>
            <w:hideMark/>
          </w:tcPr>
          <w:p w14:paraId="5B6DEAD3" w14:textId="77777777" w:rsidR="00CC73DD" w:rsidRPr="00361139" w:rsidRDefault="00CC73DD" w:rsidP="002232EE">
            <w:pPr>
              <w:pStyle w:val="Normal-pool-Table"/>
              <w:jc w:val="right"/>
              <w:rPr>
                <w:lang w:val="en-GB"/>
              </w:rPr>
            </w:pPr>
            <w:r w:rsidRPr="00361139">
              <w:rPr>
                <w:lang w:val="en-GB"/>
              </w:rPr>
              <w:t>7,04</w:t>
            </w:r>
          </w:p>
        </w:tc>
        <w:tc>
          <w:tcPr>
            <w:tcW w:w="1037" w:type="dxa"/>
            <w:shd w:val="clear" w:color="auto" w:fill="auto"/>
            <w:noWrap/>
            <w:hideMark/>
          </w:tcPr>
          <w:p w14:paraId="22D678B2" w14:textId="77777777" w:rsidR="00CC73DD" w:rsidRPr="00361139" w:rsidRDefault="00CC73DD" w:rsidP="002232EE">
            <w:pPr>
              <w:pStyle w:val="Normal-pool-Table"/>
              <w:jc w:val="right"/>
              <w:rPr>
                <w:lang w:val="en-GB"/>
              </w:rPr>
            </w:pPr>
            <w:r w:rsidRPr="00361139">
              <w:rPr>
                <w:lang w:val="en-GB"/>
              </w:rPr>
              <w:t>51,07</w:t>
            </w:r>
          </w:p>
        </w:tc>
      </w:tr>
      <w:tr w:rsidR="00FA47A8" w:rsidRPr="00361139" w14:paraId="36C061F3" w14:textId="77777777" w:rsidTr="00413E25">
        <w:trPr>
          <w:cantSplit/>
          <w:trHeight w:val="57"/>
          <w:jc w:val="right"/>
        </w:trPr>
        <w:tc>
          <w:tcPr>
            <w:tcW w:w="677" w:type="dxa"/>
            <w:shd w:val="clear" w:color="auto" w:fill="auto"/>
            <w:noWrap/>
            <w:hideMark/>
          </w:tcPr>
          <w:p w14:paraId="0C11D26E" w14:textId="77777777" w:rsidR="00CC73DD" w:rsidRPr="00361139" w:rsidRDefault="00CC73DD" w:rsidP="00DB2573">
            <w:pPr>
              <w:pStyle w:val="Normal-pool-Table"/>
              <w:rPr>
                <w:lang w:val="en-GB"/>
              </w:rPr>
            </w:pPr>
            <w:r w:rsidRPr="00361139">
              <w:rPr>
                <w:lang w:val="en-GB"/>
              </w:rPr>
              <w:t>9992</w:t>
            </w:r>
          </w:p>
        </w:tc>
        <w:tc>
          <w:tcPr>
            <w:tcW w:w="677" w:type="dxa"/>
            <w:shd w:val="clear" w:color="auto" w:fill="auto"/>
            <w:noWrap/>
            <w:hideMark/>
          </w:tcPr>
          <w:p w14:paraId="22C28B32"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C62D0B6" w14:textId="77777777" w:rsidR="00CC73DD" w:rsidRPr="00361139" w:rsidRDefault="00CC73DD" w:rsidP="00DB2573">
            <w:pPr>
              <w:pStyle w:val="Normal-pool-Table"/>
              <w:rPr>
                <w:lang w:val="en-GB"/>
              </w:rPr>
            </w:pPr>
            <w:r w:rsidRPr="00361139">
              <w:rPr>
                <w:lang w:val="en-GB"/>
              </w:rPr>
              <w:t>Marshall Islands</w:t>
            </w:r>
          </w:p>
        </w:tc>
        <w:tc>
          <w:tcPr>
            <w:tcW w:w="2126" w:type="dxa"/>
            <w:shd w:val="clear" w:color="auto" w:fill="auto"/>
            <w:noWrap/>
            <w:hideMark/>
          </w:tcPr>
          <w:p w14:paraId="15ED9DE7" w14:textId="77777777" w:rsidR="00CC73DD" w:rsidRPr="00361139" w:rsidRDefault="00CC73DD" w:rsidP="00DB2573">
            <w:pPr>
              <w:pStyle w:val="Normal-pool-Table"/>
              <w:rPr>
                <w:lang w:val="en-GB"/>
              </w:rPr>
            </w:pPr>
            <w:r w:rsidRPr="00361139">
              <w:rPr>
                <w:lang w:val="en-GB"/>
              </w:rPr>
              <w:t>Development of A Minamata Initial Assessment in Marshall Islands</w:t>
            </w:r>
          </w:p>
        </w:tc>
        <w:tc>
          <w:tcPr>
            <w:tcW w:w="992" w:type="dxa"/>
            <w:shd w:val="clear" w:color="auto" w:fill="auto"/>
            <w:noWrap/>
            <w:hideMark/>
          </w:tcPr>
          <w:p w14:paraId="57CF5AD8"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8DCE596"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D609284"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CE1C8CA" w14:textId="77777777" w:rsidR="00CC73DD" w:rsidRPr="00361139" w:rsidRDefault="00CC73DD" w:rsidP="002232EE">
            <w:pPr>
              <w:pStyle w:val="Normal-pool-Table"/>
              <w:jc w:val="right"/>
              <w:rPr>
                <w:lang w:val="en-GB"/>
              </w:rPr>
            </w:pPr>
            <w:r w:rsidRPr="00361139">
              <w:rPr>
                <w:lang w:val="en-GB"/>
              </w:rPr>
              <w:t>0,13</w:t>
            </w:r>
          </w:p>
        </w:tc>
        <w:tc>
          <w:tcPr>
            <w:tcW w:w="1037" w:type="dxa"/>
            <w:shd w:val="clear" w:color="auto" w:fill="auto"/>
            <w:noWrap/>
            <w:hideMark/>
          </w:tcPr>
          <w:p w14:paraId="5CE0CA5E" w14:textId="77777777" w:rsidR="00CC73DD" w:rsidRPr="00361139" w:rsidRDefault="00CC73DD" w:rsidP="002232EE">
            <w:pPr>
              <w:pStyle w:val="Normal-pool-Table"/>
              <w:jc w:val="right"/>
              <w:rPr>
                <w:lang w:val="en-GB"/>
              </w:rPr>
            </w:pPr>
            <w:r w:rsidRPr="00361139">
              <w:rPr>
                <w:lang w:val="en-GB"/>
              </w:rPr>
              <w:t>0,00</w:t>
            </w:r>
          </w:p>
        </w:tc>
      </w:tr>
      <w:tr w:rsidR="00FA47A8" w:rsidRPr="00361139" w14:paraId="0CE1C153" w14:textId="77777777" w:rsidTr="00413E25">
        <w:trPr>
          <w:cantSplit/>
          <w:trHeight w:val="57"/>
          <w:jc w:val="right"/>
        </w:trPr>
        <w:tc>
          <w:tcPr>
            <w:tcW w:w="677" w:type="dxa"/>
            <w:shd w:val="clear" w:color="auto" w:fill="auto"/>
            <w:noWrap/>
            <w:hideMark/>
          </w:tcPr>
          <w:p w14:paraId="0D7A6D0A" w14:textId="77777777" w:rsidR="00CC73DD" w:rsidRPr="00361139" w:rsidRDefault="00CC73DD" w:rsidP="00DB2573">
            <w:pPr>
              <w:pStyle w:val="Normal-pool-Table"/>
              <w:rPr>
                <w:lang w:val="en-GB"/>
              </w:rPr>
            </w:pPr>
            <w:r w:rsidRPr="00361139">
              <w:rPr>
                <w:lang w:val="en-GB"/>
              </w:rPr>
              <w:t>9991</w:t>
            </w:r>
          </w:p>
        </w:tc>
        <w:tc>
          <w:tcPr>
            <w:tcW w:w="677" w:type="dxa"/>
            <w:shd w:val="clear" w:color="auto" w:fill="auto"/>
            <w:noWrap/>
            <w:hideMark/>
          </w:tcPr>
          <w:p w14:paraId="2CB5D03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60238BB" w14:textId="77777777" w:rsidR="00CC73DD" w:rsidRPr="00361139" w:rsidRDefault="00CC73DD" w:rsidP="00DB2573">
            <w:pPr>
              <w:pStyle w:val="Normal-pool-Table"/>
              <w:rPr>
                <w:lang w:val="en-GB"/>
              </w:rPr>
            </w:pPr>
            <w:r w:rsidRPr="00361139">
              <w:rPr>
                <w:lang w:val="en-GB"/>
              </w:rPr>
              <w:t>Belize</w:t>
            </w:r>
          </w:p>
        </w:tc>
        <w:tc>
          <w:tcPr>
            <w:tcW w:w="2126" w:type="dxa"/>
            <w:shd w:val="clear" w:color="auto" w:fill="auto"/>
            <w:noWrap/>
            <w:hideMark/>
          </w:tcPr>
          <w:p w14:paraId="2E473AD9" w14:textId="77777777" w:rsidR="00CC73DD" w:rsidRPr="00361139" w:rsidRDefault="00CC73DD" w:rsidP="00DB2573">
            <w:pPr>
              <w:pStyle w:val="Normal-pool-Table"/>
              <w:rPr>
                <w:lang w:val="en-GB"/>
              </w:rPr>
            </w:pPr>
            <w:r w:rsidRPr="00361139">
              <w:rPr>
                <w:lang w:val="en-GB"/>
              </w:rPr>
              <w:t>Development of Minamata Initial Assessments (MIA) in the Caribbean (Belize)</w:t>
            </w:r>
          </w:p>
        </w:tc>
        <w:tc>
          <w:tcPr>
            <w:tcW w:w="992" w:type="dxa"/>
            <w:shd w:val="clear" w:color="auto" w:fill="auto"/>
            <w:noWrap/>
            <w:hideMark/>
          </w:tcPr>
          <w:p w14:paraId="7DA9534C"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3ED7ADA"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88EDAEF"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B71BF38" w14:textId="77777777" w:rsidR="00CC73DD" w:rsidRPr="00361139" w:rsidRDefault="00CC73DD" w:rsidP="002232EE">
            <w:pPr>
              <w:pStyle w:val="Normal-pool-Table"/>
              <w:jc w:val="right"/>
              <w:rPr>
                <w:lang w:val="en-GB"/>
              </w:rPr>
            </w:pPr>
            <w:r w:rsidRPr="00361139">
              <w:rPr>
                <w:lang w:val="en-GB"/>
              </w:rPr>
              <w:t>0,15</w:t>
            </w:r>
          </w:p>
        </w:tc>
        <w:tc>
          <w:tcPr>
            <w:tcW w:w="1037" w:type="dxa"/>
            <w:shd w:val="clear" w:color="auto" w:fill="auto"/>
            <w:noWrap/>
            <w:hideMark/>
          </w:tcPr>
          <w:p w14:paraId="25C18A42" w14:textId="77777777" w:rsidR="00CC73DD" w:rsidRPr="00361139" w:rsidRDefault="00CC73DD" w:rsidP="002232EE">
            <w:pPr>
              <w:pStyle w:val="Normal-pool-Table"/>
              <w:jc w:val="right"/>
              <w:rPr>
                <w:lang w:val="en-GB"/>
              </w:rPr>
            </w:pPr>
            <w:r w:rsidRPr="00361139">
              <w:rPr>
                <w:lang w:val="en-GB"/>
              </w:rPr>
              <w:t>0,00</w:t>
            </w:r>
          </w:p>
        </w:tc>
      </w:tr>
      <w:tr w:rsidR="00FA47A8" w:rsidRPr="00361139" w14:paraId="0045B938" w14:textId="77777777" w:rsidTr="00413E25">
        <w:trPr>
          <w:cantSplit/>
          <w:trHeight w:val="57"/>
          <w:jc w:val="right"/>
        </w:trPr>
        <w:tc>
          <w:tcPr>
            <w:tcW w:w="677" w:type="dxa"/>
            <w:shd w:val="clear" w:color="auto" w:fill="auto"/>
            <w:noWrap/>
            <w:hideMark/>
          </w:tcPr>
          <w:p w14:paraId="4BC23B3C" w14:textId="77777777" w:rsidR="00CC73DD" w:rsidRPr="00361139" w:rsidRDefault="00CC73DD" w:rsidP="00DB2573">
            <w:pPr>
              <w:pStyle w:val="Normal-pool-Table"/>
              <w:rPr>
                <w:lang w:val="en-GB"/>
              </w:rPr>
            </w:pPr>
            <w:r w:rsidRPr="00361139">
              <w:rPr>
                <w:lang w:val="en-GB"/>
              </w:rPr>
              <w:t>9932</w:t>
            </w:r>
          </w:p>
        </w:tc>
        <w:tc>
          <w:tcPr>
            <w:tcW w:w="677" w:type="dxa"/>
            <w:shd w:val="clear" w:color="auto" w:fill="auto"/>
            <w:noWrap/>
            <w:hideMark/>
          </w:tcPr>
          <w:p w14:paraId="75673B78"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4616029" w14:textId="77777777" w:rsidR="00CC73DD" w:rsidRPr="00361139" w:rsidRDefault="00CC73DD" w:rsidP="00DB2573">
            <w:pPr>
              <w:pStyle w:val="Normal-pool-Table"/>
              <w:rPr>
                <w:lang w:val="en-GB"/>
              </w:rPr>
            </w:pPr>
            <w:r w:rsidRPr="00361139">
              <w:rPr>
                <w:lang w:val="en-GB"/>
              </w:rPr>
              <w:t>Micronesia</w:t>
            </w:r>
          </w:p>
        </w:tc>
        <w:tc>
          <w:tcPr>
            <w:tcW w:w="2126" w:type="dxa"/>
            <w:shd w:val="clear" w:color="auto" w:fill="auto"/>
            <w:noWrap/>
            <w:hideMark/>
          </w:tcPr>
          <w:p w14:paraId="76B2B838" w14:textId="77777777" w:rsidR="00CC73DD" w:rsidRPr="00361139" w:rsidRDefault="00CC73DD" w:rsidP="00DB2573">
            <w:pPr>
              <w:pStyle w:val="Normal-pool-Table"/>
              <w:rPr>
                <w:lang w:val="en-GB"/>
              </w:rPr>
            </w:pPr>
            <w:r w:rsidRPr="00361139">
              <w:rPr>
                <w:lang w:val="en-GB"/>
              </w:rPr>
              <w:t>Development of a Minamata Initial Assessment in the Federated States of Micronesia</w:t>
            </w:r>
          </w:p>
        </w:tc>
        <w:tc>
          <w:tcPr>
            <w:tcW w:w="992" w:type="dxa"/>
            <w:shd w:val="clear" w:color="auto" w:fill="auto"/>
            <w:noWrap/>
            <w:hideMark/>
          </w:tcPr>
          <w:p w14:paraId="41522671"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7999EB0"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B696D0D"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6895E86" w14:textId="77777777" w:rsidR="00CC73DD" w:rsidRPr="00361139" w:rsidRDefault="00CC73DD" w:rsidP="002232EE">
            <w:pPr>
              <w:pStyle w:val="Normal-pool-Table"/>
              <w:jc w:val="right"/>
              <w:rPr>
                <w:lang w:val="en-GB"/>
              </w:rPr>
            </w:pPr>
            <w:r w:rsidRPr="00361139">
              <w:rPr>
                <w:lang w:val="en-GB"/>
              </w:rPr>
              <w:t>0,13</w:t>
            </w:r>
          </w:p>
        </w:tc>
        <w:tc>
          <w:tcPr>
            <w:tcW w:w="1037" w:type="dxa"/>
            <w:shd w:val="clear" w:color="auto" w:fill="auto"/>
            <w:noWrap/>
            <w:hideMark/>
          </w:tcPr>
          <w:p w14:paraId="5EFBE324" w14:textId="77777777" w:rsidR="00CC73DD" w:rsidRPr="00361139" w:rsidRDefault="00CC73DD" w:rsidP="002232EE">
            <w:pPr>
              <w:pStyle w:val="Normal-pool-Table"/>
              <w:jc w:val="right"/>
              <w:rPr>
                <w:lang w:val="en-GB"/>
              </w:rPr>
            </w:pPr>
            <w:r w:rsidRPr="00361139">
              <w:rPr>
                <w:lang w:val="en-GB"/>
              </w:rPr>
              <w:t>0,00</w:t>
            </w:r>
          </w:p>
        </w:tc>
      </w:tr>
      <w:tr w:rsidR="00FA47A8" w:rsidRPr="00361139" w14:paraId="5A073B89" w14:textId="77777777" w:rsidTr="00413E25">
        <w:trPr>
          <w:cantSplit/>
          <w:trHeight w:val="57"/>
          <w:jc w:val="right"/>
        </w:trPr>
        <w:tc>
          <w:tcPr>
            <w:tcW w:w="677" w:type="dxa"/>
            <w:shd w:val="clear" w:color="auto" w:fill="auto"/>
            <w:noWrap/>
            <w:hideMark/>
          </w:tcPr>
          <w:p w14:paraId="0DDF445B" w14:textId="77777777" w:rsidR="00CC73DD" w:rsidRPr="00361139" w:rsidRDefault="00CC73DD" w:rsidP="00DB2573">
            <w:pPr>
              <w:pStyle w:val="Normal-pool-Table"/>
              <w:rPr>
                <w:lang w:val="en-GB"/>
              </w:rPr>
            </w:pPr>
            <w:r w:rsidRPr="00361139">
              <w:rPr>
                <w:lang w:val="en-GB"/>
              </w:rPr>
              <w:t>9930</w:t>
            </w:r>
          </w:p>
        </w:tc>
        <w:tc>
          <w:tcPr>
            <w:tcW w:w="677" w:type="dxa"/>
            <w:shd w:val="clear" w:color="auto" w:fill="auto"/>
            <w:noWrap/>
            <w:hideMark/>
          </w:tcPr>
          <w:p w14:paraId="494E1493"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378387A" w14:textId="77777777" w:rsidR="00CC73DD" w:rsidRPr="00361139" w:rsidRDefault="00CC73DD" w:rsidP="00DB2573">
            <w:pPr>
              <w:pStyle w:val="Normal-pool-Table"/>
              <w:rPr>
                <w:lang w:val="en-GB"/>
              </w:rPr>
            </w:pPr>
            <w:r w:rsidRPr="00361139">
              <w:rPr>
                <w:lang w:val="en-GB"/>
              </w:rPr>
              <w:t>Niue</w:t>
            </w:r>
          </w:p>
        </w:tc>
        <w:tc>
          <w:tcPr>
            <w:tcW w:w="2126" w:type="dxa"/>
            <w:shd w:val="clear" w:color="auto" w:fill="auto"/>
            <w:noWrap/>
            <w:hideMark/>
          </w:tcPr>
          <w:p w14:paraId="461B9402" w14:textId="77777777" w:rsidR="00CC73DD" w:rsidRPr="00361139" w:rsidRDefault="00CC73DD" w:rsidP="00DB2573">
            <w:pPr>
              <w:pStyle w:val="Normal-pool-Table"/>
              <w:rPr>
                <w:lang w:val="en-GB"/>
              </w:rPr>
            </w:pPr>
            <w:r w:rsidRPr="00361139">
              <w:rPr>
                <w:lang w:val="en-GB"/>
              </w:rPr>
              <w:t>Development of A Minamata Initial Assessment in Niue</w:t>
            </w:r>
          </w:p>
        </w:tc>
        <w:tc>
          <w:tcPr>
            <w:tcW w:w="992" w:type="dxa"/>
            <w:shd w:val="clear" w:color="auto" w:fill="auto"/>
            <w:noWrap/>
            <w:hideMark/>
          </w:tcPr>
          <w:p w14:paraId="2B09FBF3"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39137058"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9C9BC5B"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B4BC77A" w14:textId="77777777" w:rsidR="00CC73DD" w:rsidRPr="00361139" w:rsidRDefault="00CC73DD" w:rsidP="002232EE">
            <w:pPr>
              <w:pStyle w:val="Normal-pool-Table"/>
              <w:jc w:val="right"/>
              <w:rPr>
                <w:lang w:val="en-GB"/>
              </w:rPr>
            </w:pPr>
            <w:r w:rsidRPr="00361139">
              <w:rPr>
                <w:lang w:val="en-GB"/>
              </w:rPr>
              <w:t>0,13</w:t>
            </w:r>
          </w:p>
        </w:tc>
        <w:tc>
          <w:tcPr>
            <w:tcW w:w="1037" w:type="dxa"/>
            <w:shd w:val="clear" w:color="auto" w:fill="auto"/>
            <w:noWrap/>
            <w:hideMark/>
          </w:tcPr>
          <w:p w14:paraId="753053AE" w14:textId="77777777" w:rsidR="00CC73DD" w:rsidRPr="00361139" w:rsidRDefault="00CC73DD" w:rsidP="002232EE">
            <w:pPr>
              <w:pStyle w:val="Normal-pool-Table"/>
              <w:jc w:val="right"/>
              <w:rPr>
                <w:lang w:val="en-GB"/>
              </w:rPr>
            </w:pPr>
            <w:r w:rsidRPr="00361139">
              <w:rPr>
                <w:lang w:val="en-GB"/>
              </w:rPr>
              <w:t>0,00</w:t>
            </w:r>
          </w:p>
        </w:tc>
      </w:tr>
      <w:tr w:rsidR="00FA47A8" w:rsidRPr="00361139" w14:paraId="2D17BEB7" w14:textId="77777777" w:rsidTr="00413E25">
        <w:trPr>
          <w:cantSplit/>
          <w:trHeight w:val="57"/>
          <w:jc w:val="right"/>
        </w:trPr>
        <w:tc>
          <w:tcPr>
            <w:tcW w:w="677" w:type="dxa"/>
            <w:shd w:val="clear" w:color="auto" w:fill="auto"/>
            <w:noWrap/>
            <w:hideMark/>
          </w:tcPr>
          <w:p w14:paraId="6283E463" w14:textId="77777777" w:rsidR="00CC73DD" w:rsidRPr="00361139" w:rsidRDefault="00CC73DD" w:rsidP="00DB2573">
            <w:pPr>
              <w:pStyle w:val="Normal-pool-Table"/>
              <w:rPr>
                <w:lang w:val="en-GB"/>
              </w:rPr>
            </w:pPr>
            <w:r w:rsidRPr="00361139">
              <w:rPr>
                <w:lang w:val="en-GB"/>
              </w:rPr>
              <w:t>9885</w:t>
            </w:r>
          </w:p>
        </w:tc>
        <w:tc>
          <w:tcPr>
            <w:tcW w:w="677" w:type="dxa"/>
            <w:shd w:val="clear" w:color="auto" w:fill="auto"/>
            <w:noWrap/>
            <w:hideMark/>
          </w:tcPr>
          <w:p w14:paraId="78DDA033"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957B67E" w14:textId="77777777" w:rsidR="00CC73DD" w:rsidRPr="00361139" w:rsidRDefault="00CC73DD" w:rsidP="00DB2573">
            <w:pPr>
              <w:pStyle w:val="Normal-pool-Table"/>
              <w:rPr>
                <w:lang w:val="en-GB"/>
              </w:rPr>
            </w:pPr>
            <w:r w:rsidRPr="00361139">
              <w:rPr>
                <w:lang w:val="en-GB"/>
              </w:rPr>
              <w:t>Argentina</w:t>
            </w:r>
          </w:p>
        </w:tc>
        <w:tc>
          <w:tcPr>
            <w:tcW w:w="2126" w:type="dxa"/>
            <w:shd w:val="clear" w:color="auto" w:fill="auto"/>
            <w:noWrap/>
            <w:hideMark/>
          </w:tcPr>
          <w:p w14:paraId="6500E440" w14:textId="77777777" w:rsidR="00CC73DD" w:rsidRPr="00361139" w:rsidRDefault="00CC73DD" w:rsidP="00DB2573">
            <w:pPr>
              <w:pStyle w:val="Normal-pool-Table"/>
              <w:rPr>
                <w:lang w:val="en-GB"/>
              </w:rPr>
            </w:pPr>
            <w:r w:rsidRPr="00361139">
              <w:rPr>
                <w:lang w:val="en-GB"/>
              </w:rPr>
              <w:t>Minamata Initial Assessment for Argentina</w:t>
            </w:r>
          </w:p>
        </w:tc>
        <w:tc>
          <w:tcPr>
            <w:tcW w:w="992" w:type="dxa"/>
            <w:shd w:val="clear" w:color="auto" w:fill="auto"/>
            <w:noWrap/>
            <w:hideMark/>
          </w:tcPr>
          <w:p w14:paraId="6E415B57"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5C5A0E9E"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5EFA08A"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4EE7924"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5BAA3DF5" w14:textId="77777777" w:rsidR="00CC73DD" w:rsidRPr="00361139" w:rsidRDefault="00CC73DD" w:rsidP="002232EE">
            <w:pPr>
              <w:pStyle w:val="Normal-pool-Table"/>
              <w:jc w:val="right"/>
              <w:rPr>
                <w:lang w:val="en-GB"/>
              </w:rPr>
            </w:pPr>
            <w:r w:rsidRPr="00361139">
              <w:rPr>
                <w:lang w:val="en-GB"/>
              </w:rPr>
              <w:t>0,00</w:t>
            </w:r>
          </w:p>
        </w:tc>
      </w:tr>
      <w:tr w:rsidR="00FA47A8" w:rsidRPr="00361139" w14:paraId="2EF29540" w14:textId="77777777" w:rsidTr="00413E25">
        <w:trPr>
          <w:cantSplit/>
          <w:trHeight w:val="57"/>
          <w:jc w:val="right"/>
        </w:trPr>
        <w:tc>
          <w:tcPr>
            <w:tcW w:w="677" w:type="dxa"/>
            <w:shd w:val="clear" w:color="auto" w:fill="auto"/>
            <w:noWrap/>
            <w:hideMark/>
          </w:tcPr>
          <w:p w14:paraId="02FC3CBD" w14:textId="77777777" w:rsidR="00CC73DD" w:rsidRPr="00361139" w:rsidRDefault="00CC73DD" w:rsidP="00DB2573">
            <w:pPr>
              <w:pStyle w:val="Normal-pool-Table"/>
              <w:rPr>
                <w:lang w:val="en-GB"/>
              </w:rPr>
            </w:pPr>
            <w:r w:rsidRPr="00361139">
              <w:rPr>
                <w:lang w:val="en-GB"/>
              </w:rPr>
              <w:t>9865</w:t>
            </w:r>
          </w:p>
        </w:tc>
        <w:tc>
          <w:tcPr>
            <w:tcW w:w="677" w:type="dxa"/>
            <w:shd w:val="clear" w:color="auto" w:fill="auto"/>
            <w:noWrap/>
            <w:hideMark/>
          </w:tcPr>
          <w:p w14:paraId="21B2D25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43CFA00" w14:textId="14E7AEE0" w:rsidR="00CC73DD" w:rsidRPr="00361139" w:rsidRDefault="00CC73DD" w:rsidP="00DB2573">
            <w:pPr>
              <w:pStyle w:val="Normal-pool-Table"/>
              <w:rPr>
                <w:lang w:val="en-GB"/>
              </w:rPr>
            </w:pPr>
            <w:r w:rsidRPr="00361139">
              <w:rPr>
                <w:lang w:val="en-GB"/>
              </w:rPr>
              <w:t>Antigua and Barbuda, Dominica, Grenada, Saint</w:t>
            </w:r>
            <w:r w:rsidR="00413E25" w:rsidRPr="00361139">
              <w:rPr>
                <w:lang w:val="en-GB"/>
              </w:rPr>
              <w:t> </w:t>
            </w:r>
            <w:r w:rsidRPr="00361139">
              <w:rPr>
                <w:lang w:val="en-GB"/>
              </w:rPr>
              <w:t>Vincent and the Grenadines</w:t>
            </w:r>
          </w:p>
        </w:tc>
        <w:tc>
          <w:tcPr>
            <w:tcW w:w="2126" w:type="dxa"/>
            <w:shd w:val="clear" w:color="auto" w:fill="auto"/>
            <w:noWrap/>
            <w:hideMark/>
          </w:tcPr>
          <w:p w14:paraId="124FB608" w14:textId="77777777" w:rsidR="00CC73DD" w:rsidRPr="00361139" w:rsidRDefault="00CC73DD" w:rsidP="00DB2573">
            <w:pPr>
              <w:pStyle w:val="Normal-pool-Table"/>
              <w:rPr>
                <w:lang w:val="en-GB"/>
              </w:rPr>
            </w:pPr>
            <w:r w:rsidRPr="00361139">
              <w:rPr>
                <w:lang w:val="en-GB"/>
              </w:rPr>
              <w:t>Development of Minamata Initial Assessments (MIA) in the Caribbean</w:t>
            </w:r>
          </w:p>
        </w:tc>
        <w:tc>
          <w:tcPr>
            <w:tcW w:w="992" w:type="dxa"/>
            <w:shd w:val="clear" w:color="auto" w:fill="auto"/>
            <w:noWrap/>
            <w:hideMark/>
          </w:tcPr>
          <w:p w14:paraId="17071731"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61174D1"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6BB2A60"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5558469" w14:textId="77777777" w:rsidR="00CC73DD" w:rsidRPr="00361139" w:rsidRDefault="00CC73DD" w:rsidP="002232EE">
            <w:pPr>
              <w:pStyle w:val="Normal-pool-Table"/>
              <w:jc w:val="right"/>
              <w:rPr>
                <w:lang w:val="en-GB"/>
              </w:rPr>
            </w:pPr>
            <w:r w:rsidRPr="00361139">
              <w:rPr>
                <w:lang w:val="en-GB"/>
              </w:rPr>
              <w:t>0,60</w:t>
            </w:r>
          </w:p>
        </w:tc>
        <w:tc>
          <w:tcPr>
            <w:tcW w:w="1037" w:type="dxa"/>
            <w:shd w:val="clear" w:color="auto" w:fill="auto"/>
            <w:noWrap/>
            <w:hideMark/>
          </w:tcPr>
          <w:p w14:paraId="2CC57A53" w14:textId="77777777" w:rsidR="00CC73DD" w:rsidRPr="00361139" w:rsidRDefault="00CC73DD" w:rsidP="002232EE">
            <w:pPr>
              <w:pStyle w:val="Normal-pool-Table"/>
              <w:jc w:val="right"/>
              <w:rPr>
                <w:lang w:val="en-GB"/>
              </w:rPr>
            </w:pPr>
            <w:r w:rsidRPr="00361139">
              <w:rPr>
                <w:lang w:val="en-GB"/>
              </w:rPr>
              <w:t>0,00</w:t>
            </w:r>
          </w:p>
        </w:tc>
      </w:tr>
      <w:tr w:rsidR="00FA47A8" w:rsidRPr="00361139" w14:paraId="50FA1576" w14:textId="77777777" w:rsidTr="00413E25">
        <w:trPr>
          <w:cantSplit/>
          <w:trHeight w:val="57"/>
          <w:jc w:val="right"/>
        </w:trPr>
        <w:tc>
          <w:tcPr>
            <w:tcW w:w="677" w:type="dxa"/>
            <w:shd w:val="clear" w:color="auto" w:fill="auto"/>
            <w:noWrap/>
            <w:hideMark/>
          </w:tcPr>
          <w:p w14:paraId="2B547C96" w14:textId="77777777" w:rsidR="00CC73DD" w:rsidRPr="00361139" w:rsidRDefault="00CC73DD" w:rsidP="00DB2573">
            <w:pPr>
              <w:pStyle w:val="Normal-pool-Table"/>
              <w:rPr>
                <w:lang w:val="en-GB"/>
              </w:rPr>
            </w:pPr>
            <w:r w:rsidRPr="00361139">
              <w:rPr>
                <w:lang w:val="en-GB"/>
              </w:rPr>
              <w:t>9855</w:t>
            </w:r>
          </w:p>
        </w:tc>
        <w:tc>
          <w:tcPr>
            <w:tcW w:w="677" w:type="dxa"/>
            <w:shd w:val="clear" w:color="auto" w:fill="auto"/>
            <w:noWrap/>
            <w:hideMark/>
          </w:tcPr>
          <w:p w14:paraId="633C5324"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C4E8551" w14:textId="77777777" w:rsidR="00CC73DD" w:rsidRPr="005F6E71" w:rsidRDefault="00CC73DD" w:rsidP="00DB2573">
            <w:pPr>
              <w:pStyle w:val="Normal-pool-Table"/>
              <w:rPr>
                <w:lang w:val="es-ES"/>
              </w:rPr>
            </w:pPr>
            <w:r w:rsidRPr="005F6E71">
              <w:rPr>
                <w:lang w:val="es-ES"/>
              </w:rPr>
              <w:t>Ghana, Tanzania, Zambia, Kenya, Senegal</w:t>
            </w:r>
          </w:p>
        </w:tc>
        <w:tc>
          <w:tcPr>
            <w:tcW w:w="2126" w:type="dxa"/>
            <w:shd w:val="clear" w:color="auto" w:fill="auto"/>
            <w:noWrap/>
            <w:hideMark/>
          </w:tcPr>
          <w:p w14:paraId="0B5D23DC" w14:textId="77777777" w:rsidR="00CC73DD" w:rsidRPr="00361139" w:rsidRDefault="00CC73DD" w:rsidP="00DB2573">
            <w:pPr>
              <w:pStyle w:val="Normal-pool-Table"/>
              <w:rPr>
                <w:lang w:val="en-GB"/>
              </w:rPr>
            </w:pPr>
            <w:r w:rsidRPr="00361139">
              <w:rPr>
                <w:lang w:val="en-GB"/>
              </w:rPr>
              <w:t>Knowledge exchange and institutional partnerships to reduce environmental health risks from exposure to harmful chemicals and waste - Regional</w:t>
            </w:r>
          </w:p>
        </w:tc>
        <w:tc>
          <w:tcPr>
            <w:tcW w:w="992" w:type="dxa"/>
            <w:shd w:val="clear" w:color="auto" w:fill="auto"/>
            <w:noWrap/>
            <w:hideMark/>
          </w:tcPr>
          <w:p w14:paraId="0F356194"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0DED1627"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B779029"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4E2655D" w14:textId="77777777" w:rsidR="00CC73DD" w:rsidRPr="00361139" w:rsidRDefault="00CC73DD" w:rsidP="002232EE">
            <w:pPr>
              <w:pStyle w:val="Normal-pool-Table"/>
              <w:jc w:val="right"/>
              <w:rPr>
                <w:lang w:val="en-GB"/>
              </w:rPr>
            </w:pPr>
            <w:r w:rsidRPr="00361139">
              <w:rPr>
                <w:lang w:val="en-GB"/>
              </w:rPr>
              <w:t>4,31</w:t>
            </w:r>
          </w:p>
        </w:tc>
        <w:tc>
          <w:tcPr>
            <w:tcW w:w="1037" w:type="dxa"/>
            <w:shd w:val="clear" w:color="auto" w:fill="auto"/>
            <w:noWrap/>
            <w:hideMark/>
          </w:tcPr>
          <w:p w14:paraId="4C576CE9" w14:textId="77777777" w:rsidR="00CC73DD" w:rsidRPr="00361139" w:rsidRDefault="00CC73DD" w:rsidP="002232EE">
            <w:pPr>
              <w:pStyle w:val="Normal-pool-Table"/>
              <w:jc w:val="right"/>
              <w:rPr>
                <w:lang w:val="en-GB"/>
              </w:rPr>
            </w:pPr>
            <w:r w:rsidRPr="00361139">
              <w:rPr>
                <w:lang w:val="en-GB"/>
              </w:rPr>
              <w:t>10,85</w:t>
            </w:r>
          </w:p>
        </w:tc>
      </w:tr>
      <w:tr w:rsidR="00FA47A8" w:rsidRPr="00361139" w14:paraId="0AF9E087" w14:textId="77777777" w:rsidTr="00413E25">
        <w:trPr>
          <w:cantSplit/>
          <w:trHeight w:val="57"/>
          <w:jc w:val="right"/>
        </w:trPr>
        <w:tc>
          <w:tcPr>
            <w:tcW w:w="677" w:type="dxa"/>
            <w:shd w:val="clear" w:color="auto" w:fill="auto"/>
            <w:noWrap/>
            <w:hideMark/>
          </w:tcPr>
          <w:p w14:paraId="25164282" w14:textId="77777777" w:rsidR="00CC73DD" w:rsidRPr="00361139" w:rsidRDefault="00CC73DD" w:rsidP="00DB2573">
            <w:pPr>
              <w:pStyle w:val="Normal-pool-Table"/>
              <w:rPr>
                <w:lang w:val="en-GB"/>
              </w:rPr>
            </w:pPr>
            <w:r w:rsidRPr="00361139">
              <w:rPr>
                <w:lang w:val="en-GB"/>
              </w:rPr>
              <w:t>9851</w:t>
            </w:r>
          </w:p>
        </w:tc>
        <w:tc>
          <w:tcPr>
            <w:tcW w:w="677" w:type="dxa"/>
            <w:shd w:val="clear" w:color="auto" w:fill="auto"/>
            <w:noWrap/>
            <w:hideMark/>
          </w:tcPr>
          <w:p w14:paraId="62024B9E"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D1BD6CD" w14:textId="77777777" w:rsidR="00CC73DD" w:rsidRPr="00361139" w:rsidRDefault="00CC73DD" w:rsidP="00DB2573">
            <w:pPr>
              <w:pStyle w:val="Normal-pool-Table"/>
              <w:rPr>
                <w:lang w:val="en-GB"/>
              </w:rPr>
            </w:pPr>
            <w:r w:rsidRPr="00361139">
              <w:rPr>
                <w:lang w:val="en-GB"/>
              </w:rPr>
              <w:t>Ghana</w:t>
            </w:r>
          </w:p>
        </w:tc>
        <w:tc>
          <w:tcPr>
            <w:tcW w:w="2126" w:type="dxa"/>
            <w:shd w:val="clear" w:color="auto" w:fill="auto"/>
            <w:noWrap/>
            <w:hideMark/>
          </w:tcPr>
          <w:p w14:paraId="000C2741" w14:textId="10D5728B" w:rsidR="00CC73DD" w:rsidRPr="00361139" w:rsidRDefault="00CC73DD" w:rsidP="00DB2573">
            <w:pPr>
              <w:pStyle w:val="Normal-pool-Table"/>
              <w:rPr>
                <w:lang w:val="en-GB"/>
              </w:rPr>
            </w:pPr>
            <w:r w:rsidRPr="00361139">
              <w:rPr>
                <w:lang w:val="en-GB"/>
              </w:rPr>
              <w:t>Africa Environmental Health and Pollution Management Project</w:t>
            </w:r>
            <w:r w:rsidR="00334B82" w:rsidRPr="00361139">
              <w:rPr>
                <w:lang w:val="en-GB"/>
              </w:rPr>
              <w:t xml:space="preserve"> </w:t>
            </w:r>
            <w:r w:rsidRPr="00361139">
              <w:rPr>
                <w:lang w:val="en-GB"/>
              </w:rPr>
              <w:t>- Ghana</w:t>
            </w:r>
          </w:p>
        </w:tc>
        <w:tc>
          <w:tcPr>
            <w:tcW w:w="992" w:type="dxa"/>
            <w:shd w:val="clear" w:color="auto" w:fill="auto"/>
            <w:noWrap/>
            <w:hideMark/>
          </w:tcPr>
          <w:p w14:paraId="6D4AA59A"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63BFFF9A"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7BDABC2"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2731223" w14:textId="77777777" w:rsidR="00CC73DD" w:rsidRPr="00361139" w:rsidRDefault="00CC73DD" w:rsidP="002232EE">
            <w:pPr>
              <w:pStyle w:val="Normal-pool-Table"/>
              <w:jc w:val="right"/>
              <w:rPr>
                <w:lang w:val="en-GB"/>
              </w:rPr>
            </w:pPr>
            <w:r w:rsidRPr="00361139">
              <w:rPr>
                <w:lang w:val="en-GB"/>
              </w:rPr>
              <w:t>8,72</w:t>
            </w:r>
          </w:p>
        </w:tc>
        <w:tc>
          <w:tcPr>
            <w:tcW w:w="1037" w:type="dxa"/>
            <w:shd w:val="clear" w:color="auto" w:fill="auto"/>
            <w:noWrap/>
            <w:hideMark/>
          </w:tcPr>
          <w:p w14:paraId="338B8854" w14:textId="77777777" w:rsidR="00CC73DD" w:rsidRPr="00361139" w:rsidRDefault="00CC73DD" w:rsidP="002232EE">
            <w:pPr>
              <w:pStyle w:val="Normal-pool-Table"/>
              <w:jc w:val="right"/>
              <w:rPr>
                <w:lang w:val="en-GB"/>
              </w:rPr>
            </w:pPr>
            <w:r w:rsidRPr="00361139">
              <w:rPr>
                <w:lang w:val="en-GB"/>
              </w:rPr>
              <w:t>50,60</w:t>
            </w:r>
          </w:p>
        </w:tc>
      </w:tr>
      <w:tr w:rsidR="00FA47A8" w:rsidRPr="00361139" w14:paraId="3FF8EF3C" w14:textId="77777777" w:rsidTr="00413E25">
        <w:trPr>
          <w:cantSplit/>
          <w:trHeight w:val="57"/>
          <w:jc w:val="right"/>
        </w:trPr>
        <w:tc>
          <w:tcPr>
            <w:tcW w:w="677" w:type="dxa"/>
            <w:shd w:val="clear" w:color="auto" w:fill="auto"/>
            <w:noWrap/>
            <w:hideMark/>
          </w:tcPr>
          <w:p w14:paraId="2F273EA3" w14:textId="77777777" w:rsidR="00CC73DD" w:rsidRPr="00361139" w:rsidRDefault="00CC73DD" w:rsidP="00DB2573">
            <w:pPr>
              <w:pStyle w:val="Normal-pool-Table"/>
              <w:rPr>
                <w:lang w:val="en-GB"/>
              </w:rPr>
            </w:pPr>
            <w:r w:rsidRPr="00361139">
              <w:rPr>
                <w:lang w:val="en-GB"/>
              </w:rPr>
              <w:t>9850</w:t>
            </w:r>
          </w:p>
        </w:tc>
        <w:tc>
          <w:tcPr>
            <w:tcW w:w="677" w:type="dxa"/>
            <w:shd w:val="clear" w:color="auto" w:fill="auto"/>
            <w:noWrap/>
            <w:hideMark/>
          </w:tcPr>
          <w:p w14:paraId="0F9AB169"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C94B37B" w14:textId="77777777" w:rsidR="00CC73DD" w:rsidRPr="00361139" w:rsidRDefault="00CC73DD" w:rsidP="00DB2573">
            <w:pPr>
              <w:pStyle w:val="Normal-pool-Table"/>
              <w:rPr>
                <w:lang w:val="en-GB"/>
              </w:rPr>
            </w:pPr>
            <w:r w:rsidRPr="00361139">
              <w:rPr>
                <w:lang w:val="en-GB"/>
              </w:rPr>
              <w:t>Tanzania</w:t>
            </w:r>
          </w:p>
        </w:tc>
        <w:tc>
          <w:tcPr>
            <w:tcW w:w="2126" w:type="dxa"/>
            <w:shd w:val="clear" w:color="auto" w:fill="auto"/>
            <w:noWrap/>
            <w:hideMark/>
          </w:tcPr>
          <w:p w14:paraId="2FB64136" w14:textId="77777777" w:rsidR="00CC73DD" w:rsidRPr="00361139" w:rsidRDefault="00CC73DD" w:rsidP="00DB2573">
            <w:pPr>
              <w:pStyle w:val="Normal-pool-Table"/>
              <w:rPr>
                <w:lang w:val="en-GB"/>
              </w:rPr>
            </w:pPr>
            <w:r w:rsidRPr="00361139">
              <w:rPr>
                <w:lang w:val="en-GB"/>
              </w:rPr>
              <w:t>Africa Environmental Health and Pollution Management Project – Tanzania</w:t>
            </w:r>
          </w:p>
        </w:tc>
        <w:tc>
          <w:tcPr>
            <w:tcW w:w="992" w:type="dxa"/>
            <w:shd w:val="clear" w:color="auto" w:fill="auto"/>
            <w:noWrap/>
            <w:hideMark/>
          </w:tcPr>
          <w:p w14:paraId="7DF0920D"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111FE9F9"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105FA2A4"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FEF355C" w14:textId="77777777" w:rsidR="00CC73DD" w:rsidRPr="00361139" w:rsidRDefault="00CC73DD" w:rsidP="002232EE">
            <w:pPr>
              <w:pStyle w:val="Normal-pool-Table"/>
              <w:jc w:val="right"/>
              <w:rPr>
                <w:lang w:val="en-GB"/>
              </w:rPr>
            </w:pPr>
            <w:r w:rsidRPr="00361139">
              <w:rPr>
                <w:lang w:val="en-GB"/>
              </w:rPr>
              <w:t>7,34</w:t>
            </w:r>
          </w:p>
        </w:tc>
        <w:tc>
          <w:tcPr>
            <w:tcW w:w="1037" w:type="dxa"/>
            <w:shd w:val="clear" w:color="auto" w:fill="auto"/>
            <w:noWrap/>
            <w:hideMark/>
          </w:tcPr>
          <w:p w14:paraId="56DEE4B6" w14:textId="77777777" w:rsidR="00CC73DD" w:rsidRPr="00361139" w:rsidRDefault="00CC73DD" w:rsidP="002232EE">
            <w:pPr>
              <w:pStyle w:val="Normal-pool-Table"/>
              <w:jc w:val="right"/>
              <w:rPr>
                <w:lang w:val="en-GB"/>
              </w:rPr>
            </w:pPr>
            <w:r w:rsidRPr="00361139">
              <w:rPr>
                <w:lang w:val="en-GB"/>
              </w:rPr>
              <w:t>150,30</w:t>
            </w:r>
          </w:p>
        </w:tc>
      </w:tr>
      <w:tr w:rsidR="00FA47A8" w:rsidRPr="00361139" w14:paraId="402601F0" w14:textId="77777777" w:rsidTr="00413E25">
        <w:trPr>
          <w:cantSplit/>
          <w:trHeight w:val="57"/>
          <w:jc w:val="right"/>
        </w:trPr>
        <w:tc>
          <w:tcPr>
            <w:tcW w:w="677" w:type="dxa"/>
            <w:shd w:val="clear" w:color="auto" w:fill="auto"/>
            <w:noWrap/>
            <w:hideMark/>
          </w:tcPr>
          <w:p w14:paraId="4BFEB7D3" w14:textId="77777777" w:rsidR="00CC73DD" w:rsidRPr="00361139" w:rsidRDefault="00CC73DD" w:rsidP="00DB2573">
            <w:pPr>
              <w:pStyle w:val="Normal-pool-Table"/>
              <w:rPr>
                <w:lang w:val="en-GB"/>
              </w:rPr>
            </w:pPr>
            <w:r w:rsidRPr="00361139">
              <w:rPr>
                <w:lang w:val="en-GB"/>
              </w:rPr>
              <w:t>9755</w:t>
            </w:r>
          </w:p>
        </w:tc>
        <w:tc>
          <w:tcPr>
            <w:tcW w:w="677" w:type="dxa"/>
            <w:shd w:val="clear" w:color="auto" w:fill="auto"/>
            <w:noWrap/>
            <w:hideMark/>
          </w:tcPr>
          <w:p w14:paraId="05DEEA21"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3C8AA9C" w14:textId="77777777" w:rsidR="00CC73DD" w:rsidRPr="00361139" w:rsidRDefault="00CC73DD" w:rsidP="00DB2573">
            <w:pPr>
              <w:pStyle w:val="Normal-pool-Table"/>
              <w:rPr>
                <w:lang w:val="en-GB"/>
              </w:rPr>
            </w:pPr>
            <w:r w:rsidRPr="00361139">
              <w:rPr>
                <w:lang w:val="en-GB"/>
              </w:rPr>
              <w:t>Indonesia</w:t>
            </w:r>
          </w:p>
        </w:tc>
        <w:tc>
          <w:tcPr>
            <w:tcW w:w="2126" w:type="dxa"/>
            <w:shd w:val="clear" w:color="auto" w:fill="auto"/>
            <w:noWrap/>
            <w:hideMark/>
          </w:tcPr>
          <w:p w14:paraId="54460C78" w14:textId="77777777" w:rsidR="00CC73DD" w:rsidRPr="00361139" w:rsidRDefault="00CC73DD" w:rsidP="00DB2573">
            <w:pPr>
              <w:pStyle w:val="Normal-pool-Table"/>
              <w:rPr>
                <w:lang w:val="en-GB"/>
              </w:rPr>
            </w:pPr>
            <w:r w:rsidRPr="00361139">
              <w:rPr>
                <w:lang w:val="en-GB"/>
              </w:rPr>
              <w:t xml:space="preserve">Development of Minamata Initial Assessment and National Action Plan for Artisanal and </w:t>
            </w:r>
            <w:proofErr w:type="gramStart"/>
            <w:r w:rsidRPr="00361139">
              <w:rPr>
                <w:lang w:val="en-GB"/>
              </w:rPr>
              <w:t>Small Scale</w:t>
            </w:r>
            <w:proofErr w:type="gramEnd"/>
            <w:r w:rsidRPr="00361139">
              <w:rPr>
                <w:lang w:val="en-GB"/>
              </w:rPr>
              <w:t xml:space="preserve"> Gold Mining in Indonesia</w:t>
            </w:r>
          </w:p>
        </w:tc>
        <w:tc>
          <w:tcPr>
            <w:tcW w:w="992" w:type="dxa"/>
            <w:shd w:val="clear" w:color="auto" w:fill="auto"/>
            <w:noWrap/>
            <w:hideMark/>
          </w:tcPr>
          <w:p w14:paraId="1E5943B8"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187A170"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B493D59"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3C35C3F"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68B6995A" w14:textId="77777777" w:rsidR="00CC73DD" w:rsidRPr="00361139" w:rsidRDefault="00CC73DD" w:rsidP="002232EE">
            <w:pPr>
              <w:pStyle w:val="Normal-pool-Table"/>
              <w:jc w:val="right"/>
              <w:rPr>
                <w:lang w:val="en-GB"/>
              </w:rPr>
            </w:pPr>
            <w:r w:rsidRPr="00361139">
              <w:rPr>
                <w:lang w:val="en-GB"/>
              </w:rPr>
              <w:t>0,00</w:t>
            </w:r>
          </w:p>
        </w:tc>
      </w:tr>
      <w:tr w:rsidR="00FA47A8" w:rsidRPr="00361139" w14:paraId="3C14E5DD" w14:textId="77777777" w:rsidTr="00413E25">
        <w:trPr>
          <w:cantSplit/>
          <w:trHeight w:val="57"/>
          <w:jc w:val="right"/>
        </w:trPr>
        <w:tc>
          <w:tcPr>
            <w:tcW w:w="677" w:type="dxa"/>
            <w:shd w:val="clear" w:color="auto" w:fill="auto"/>
            <w:noWrap/>
            <w:hideMark/>
          </w:tcPr>
          <w:p w14:paraId="0D2531C7" w14:textId="77777777" w:rsidR="00CC73DD" w:rsidRPr="00361139" w:rsidRDefault="00CC73DD" w:rsidP="00DB2573">
            <w:pPr>
              <w:pStyle w:val="Normal-pool-Table"/>
              <w:rPr>
                <w:lang w:val="en-GB"/>
              </w:rPr>
            </w:pPr>
            <w:r w:rsidRPr="00361139">
              <w:rPr>
                <w:lang w:val="en-GB"/>
              </w:rPr>
              <w:t>9751</w:t>
            </w:r>
          </w:p>
        </w:tc>
        <w:tc>
          <w:tcPr>
            <w:tcW w:w="677" w:type="dxa"/>
            <w:shd w:val="clear" w:color="auto" w:fill="auto"/>
            <w:noWrap/>
            <w:hideMark/>
          </w:tcPr>
          <w:p w14:paraId="66F34DBF"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EFA89E8" w14:textId="77777777" w:rsidR="00CC73DD" w:rsidRPr="00361139" w:rsidRDefault="00CC73DD" w:rsidP="00DB2573">
            <w:pPr>
              <w:pStyle w:val="Normal-pool-Table"/>
              <w:rPr>
                <w:lang w:val="en-GB"/>
              </w:rPr>
            </w:pPr>
            <w:r w:rsidRPr="00361139">
              <w:rPr>
                <w:lang w:val="en-GB"/>
              </w:rPr>
              <w:t>El Salvador</w:t>
            </w:r>
          </w:p>
        </w:tc>
        <w:tc>
          <w:tcPr>
            <w:tcW w:w="2126" w:type="dxa"/>
            <w:shd w:val="clear" w:color="auto" w:fill="auto"/>
            <w:noWrap/>
            <w:hideMark/>
          </w:tcPr>
          <w:p w14:paraId="0C8943E1" w14:textId="77777777" w:rsidR="00CC73DD" w:rsidRPr="00361139" w:rsidRDefault="00CC73DD" w:rsidP="00DB2573">
            <w:pPr>
              <w:pStyle w:val="Normal-pool-Table"/>
              <w:rPr>
                <w:lang w:val="en-GB"/>
              </w:rPr>
            </w:pPr>
            <w:r w:rsidRPr="00361139">
              <w:rPr>
                <w:lang w:val="en-GB"/>
              </w:rPr>
              <w:t>Development of a Minamata Initial Assessment in El Salvador</w:t>
            </w:r>
          </w:p>
        </w:tc>
        <w:tc>
          <w:tcPr>
            <w:tcW w:w="992" w:type="dxa"/>
            <w:shd w:val="clear" w:color="auto" w:fill="auto"/>
            <w:noWrap/>
            <w:hideMark/>
          </w:tcPr>
          <w:p w14:paraId="08FDC3DE"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A4FC6D0"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18ABEA7"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2C0E323"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2CD680B8" w14:textId="77777777" w:rsidR="00CC73DD" w:rsidRPr="00361139" w:rsidRDefault="00CC73DD" w:rsidP="002232EE">
            <w:pPr>
              <w:pStyle w:val="Normal-pool-Table"/>
              <w:jc w:val="right"/>
              <w:rPr>
                <w:lang w:val="en-GB"/>
              </w:rPr>
            </w:pPr>
            <w:r w:rsidRPr="00361139">
              <w:rPr>
                <w:lang w:val="en-GB"/>
              </w:rPr>
              <w:t>0,00</w:t>
            </w:r>
          </w:p>
        </w:tc>
      </w:tr>
      <w:tr w:rsidR="00FA47A8" w:rsidRPr="00361139" w14:paraId="16283834" w14:textId="77777777" w:rsidTr="00413E25">
        <w:trPr>
          <w:cantSplit/>
          <w:trHeight w:val="57"/>
          <w:jc w:val="right"/>
        </w:trPr>
        <w:tc>
          <w:tcPr>
            <w:tcW w:w="677" w:type="dxa"/>
            <w:shd w:val="clear" w:color="auto" w:fill="auto"/>
            <w:noWrap/>
            <w:hideMark/>
          </w:tcPr>
          <w:p w14:paraId="08C33305" w14:textId="77777777" w:rsidR="00CC73DD" w:rsidRPr="00361139" w:rsidRDefault="00CC73DD" w:rsidP="00DB2573">
            <w:pPr>
              <w:pStyle w:val="Normal-pool-Table"/>
              <w:rPr>
                <w:lang w:val="en-GB"/>
              </w:rPr>
            </w:pPr>
            <w:r w:rsidRPr="00361139">
              <w:rPr>
                <w:lang w:val="en-GB"/>
              </w:rPr>
              <w:lastRenderedPageBreak/>
              <w:t>9737</w:t>
            </w:r>
          </w:p>
        </w:tc>
        <w:tc>
          <w:tcPr>
            <w:tcW w:w="677" w:type="dxa"/>
            <w:shd w:val="clear" w:color="auto" w:fill="auto"/>
            <w:noWrap/>
            <w:hideMark/>
          </w:tcPr>
          <w:p w14:paraId="4388F13A"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79B1090" w14:textId="77777777" w:rsidR="00CC73DD" w:rsidRPr="00361139" w:rsidRDefault="00CC73DD" w:rsidP="00DB2573">
            <w:pPr>
              <w:pStyle w:val="Normal-pool-Table"/>
              <w:rPr>
                <w:lang w:val="en-GB"/>
              </w:rPr>
            </w:pPr>
            <w:r w:rsidRPr="00361139">
              <w:rPr>
                <w:lang w:val="en-GB"/>
              </w:rPr>
              <w:t>Ecuador</w:t>
            </w:r>
          </w:p>
        </w:tc>
        <w:tc>
          <w:tcPr>
            <w:tcW w:w="2126" w:type="dxa"/>
            <w:shd w:val="clear" w:color="auto" w:fill="auto"/>
            <w:noWrap/>
            <w:hideMark/>
          </w:tcPr>
          <w:p w14:paraId="12D763FE"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Ecuador</w:t>
            </w:r>
          </w:p>
        </w:tc>
        <w:tc>
          <w:tcPr>
            <w:tcW w:w="992" w:type="dxa"/>
            <w:shd w:val="clear" w:color="auto" w:fill="auto"/>
            <w:noWrap/>
            <w:hideMark/>
          </w:tcPr>
          <w:p w14:paraId="6C23CE87"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34B70748"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C9F20E8"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2FBE56A0"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340DF2CB" w14:textId="77777777" w:rsidR="00CC73DD" w:rsidRPr="00361139" w:rsidRDefault="00CC73DD" w:rsidP="002232EE">
            <w:pPr>
              <w:pStyle w:val="Normal-pool-Table"/>
              <w:jc w:val="right"/>
              <w:rPr>
                <w:lang w:val="en-GB"/>
              </w:rPr>
            </w:pPr>
            <w:r w:rsidRPr="00361139">
              <w:rPr>
                <w:lang w:val="en-GB"/>
              </w:rPr>
              <w:t>0,08</w:t>
            </w:r>
          </w:p>
        </w:tc>
      </w:tr>
      <w:tr w:rsidR="00FA47A8" w:rsidRPr="00361139" w14:paraId="2F6B2D24" w14:textId="77777777" w:rsidTr="00413E25">
        <w:trPr>
          <w:cantSplit/>
          <w:trHeight w:val="57"/>
          <w:jc w:val="right"/>
        </w:trPr>
        <w:tc>
          <w:tcPr>
            <w:tcW w:w="677" w:type="dxa"/>
            <w:shd w:val="clear" w:color="auto" w:fill="auto"/>
            <w:noWrap/>
            <w:hideMark/>
          </w:tcPr>
          <w:p w14:paraId="2000F04B" w14:textId="77777777" w:rsidR="00CC73DD" w:rsidRPr="00361139" w:rsidRDefault="00CC73DD" w:rsidP="00DB2573">
            <w:pPr>
              <w:pStyle w:val="Normal-pool-Table"/>
              <w:rPr>
                <w:lang w:val="en-GB"/>
              </w:rPr>
            </w:pPr>
            <w:r w:rsidRPr="00361139">
              <w:rPr>
                <w:lang w:val="en-GB"/>
              </w:rPr>
              <w:t>9731</w:t>
            </w:r>
          </w:p>
        </w:tc>
        <w:tc>
          <w:tcPr>
            <w:tcW w:w="677" w:type="dxa"/>
            <w:shd w:val="clear" w:color="auto" w:fill="auto"/>
            <w:noWrap/>
            <w:hideMark/>
          </w:tcPr>
          <w:p w14:paraId="5F0F3912"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60D60D9" w14:textId="77777777" w:rsidR="00CC73DD" w:rsidRPr="00361139" w:rsidRDefault="00CC73DD" w:rsidP="00DB2573">
            <w:pPr>
              <w:pStyle w:val="Normal-pool-Table"/>
              <w:rPr>
                <w:lang w:val="en-GB"/>
              </w:rPr>
            </w:pPr>
            <w:r w:rsidRPr="00361139">
              <w:rPr>
                <w:lang w:val="en-GB"/>
              </w:rPr>
              <w:t>Belarus</w:t>
            </w:r>
          </w:p>
        </w:tc>
        <w:tc>
          <w:tcPr>
            <w:tcW w:w="2126" w:type="dxa"/>
            <w:shd w:val="clear" w:color="auto" w:fill="auto"/>
            <w:noWrap/>
            <w:hideMark/>
          </w:tcPr>
          <w:p w14:paraId="2A494198" w14:textId="77777777" w:rsidR="00CC73DD" w:rsidRPr="00361139" w:rsidRDefault="00CC73DD" w:rsidP="00DB2573">
            <w:pPr>
              <w:pStyle w:val="Normal-pool-Table"/>
              <w:rPr>
                <w:lang w:val="en-GB"/>
              </w:rPr>
            </w:pPr>
            <w:r w:rsidRPr="00361139">
              <w:rPr>
                <w:lang w:val="en-GB"/>
              </w:rPr>
              <w:t>Development of a Minamata Initial Assessment</w:t>
            </w:r>
          </w:p>
        </w:tc>
        <w:tc>
          <w:tcPr>
            <w:tcW w:w="992" w:type="dxa"/>
            <w:shd w:val="clear" w:color="auto" w:fill="auto"/>
            <w:noWrap/>
            <w:hideMark/>
          </w:tcPr>
          <w:p w14:paraId="5766391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7A9DFA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1AF60CDF"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6C587C82"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19AD7B98" w14:textId="77777777" w:rsidR="00CC73DD" w:rsidRPr="00361139" w:rsidRDefault="00CC73DD" w:rsidP="002232EE">
            <w:pPr>
              <w:pStyle w:val="Normal-pool-Table"/>
              <w:jc w:val="right"/>
              <w:rPr>
                <w:lang w:val="en-GB"/>
              </w:rPr>
            </w:pPr>
            <w:r w:rsidRPr="00361139">
              <w:rPr>
                <w:lang w:val="en-GB"/>
              </w:rPr>
              <w:t>0,06</w:t>
            </w:r>
          </w:p>
        </w:tc>
      </w:tr>
      <w:tr w:rsidR="00FA47A8" w:rsidRPr="00361139" w14:paraId="69710C49" w14:textId="77777777" w:rsidTr="00413E25">
        <w:trPr>
          <w:cantSplit/>
          <w:trHeight w:val="57"/>
          <w:jc w:val="right"/>
        </w:trPr>
        <w:tc>
          <w:tcPr>
            <w:tcW w:w="677" w:type="dxa"/>
            <w:shd w:val="clear" w:color="auto" w:fill="auto"/>
            <w:noWrap/>
            <w:hideMark/>
          </w:tcPr>
          <w:p w14:paraId="3DAF9D63" w14:textId="77777777" w:rsidR="00CC73DD" w:rsidRPr="00361139" w:rsidRDefault="00CC73DD" w:rsidP="00DB2573">
            <w:pPr>
              <w:pStyle w:val="Normal-pool-Table"/>
              <w:rPr>
                <w:lang w:val="en-GB"/>
              </w:rPr>
            </w:pPr>
            <w:r w:rsidRPr="00361139">
              <w:rPr>
                <w:lang w:val="en-GB"/>
              </w:rPr>
              <w:t>9718</w:t>
            </w:r>
          </w:p>
        </w:tc>
        <w:tc>
          <w:tcPr>
            <w:tcW w:w="677" w:type="dxa"/>
            <w:shd w:val="clear" w:color="auto" w:fill="auto"/>
            <w:noWrap/>
            <w:hideMark/>
          </w:tcPr>
          <w:p w14:paraId="1535BA9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49448567" w14:textId="77777777" w:rsidR="00CC73DD" w:rsidRPr="00361139" w:rsidRDefault="00CC73DD" w:rsidP="00DB2573">
            <w:pPr>
              <w:pStyle w:val="Normal-pool-Table"/>
              <w:rPr>
                <w:lang w:val="en-GB"/>
              </w:rPr>
            </w:pPr>
            <w:r w:rsidRPr="00361139">
              <w:rPr>
                <w:lang w:val="en-GB"/>
              </w:rPr>
              <w:t>Burkina Faso</w:t>
            </w:r>
          </w:p>
        </w:tc>
        <w:tc>
          <w:tcPr>
            <w:tcW w:w="2126" w:type="dxa"/>
            <w:shd w:val="clear" w:color="auto" w:fill="auto"/>
            <w:noWrap/>
            <w:hideMark/>
          </w:tcPr>
          <w:p w14:paraId="64BEA9FD" w14:textId="77777777" w:rsidR="00CC73DD" w:rsidRPr="00361139" w:rsidRDefault="00CC73DD" w:rsidP="00DB2573">
            <w:pPr>
              <w:pStyle w:val="Normal-pool-Table"/>
              <w:rPr>
                <w:lang w:val="en-GB"/>
              </w:rPr>
            </w:pPr>
            <w:r w:rsidRPr="00361139">
              <w:rPr>
                <w:lang w:val="en-GB"/>
              </w:rPr>
              <w:t>GEF GOLD: Contribution Towards the Elimination of Mercury and Improvement of the Gold Value Chain in the Artisanal and Small-Scale Gold Mining Sector</w:t>
            </w:r>
          </w:p>
        </w:tc>
        <w:tc>
          <w:tcPr>
            <w:tcW w:w="992" w:type="dxa"/>
            <w:shd w:val="clear" w:color="auto" w:fill="auto"/>
            <w:noWrap/>
            <w:hideMark/>
          </w:tcPr>
          <w:p w14:paraId="018C4C7E"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7E5F41BB"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27699979"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931839D"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1B92CA8C" w14:textId="77777777" w:rsidR="00CC73DD" w:rsidRPr="00361139" w:rsidRDefault="00CC73DD" w:rsidP="002232EE">
            <w:pPr>
              <w:pStyle w:val="Normal-pool-Table"/>
              <w:jc w:val="right"/>
              <w:rPr>
                <w:lang w:val="en-GB"/>
              </w:rPr>
            </w:pPr>
            <w:r w:rsidRPr="00361139">
              <w:rPr>
                <w:lang w:val="en-GB"/>
              </w:rPr>
              <w:t>7,31</w:t>
            </w:r>
          </w:p>
        </w:tc>
      </w:tr>
      <w:tr w:rsidR="00FA47A8" w:rsidRPr="00361139" w14:paraId="56C2B9A6" w14:textId="77777777" w:rsidTr="00413E25">
        <w:trPr>
          <w:cantSplit/>
          <w:trHeight w:val="57"/>
          <w:jc w:val="right"/>
        </w:trPr>
        <w:tc>
          <w:tcPr>
            <w:tcW w:w="677" w:type="dxa"/>
            <w:shd w:val="clear" w:color="auto" w:fill="auto"/>
            <w:noWrap/>
            <w:hideMark/>
          </w:tcPr>
          <w:p w14:paraId="30F14BE6" w14:textId="77777777" w:rsidR="00CC73DD" w:rsidRPr="00361139" w:rsidRDefault="00CC73DD" w:rsidP="00DB2573">
            <w:pPr>
              <w:pStyle w:val="Normal-pool-Table"/>
              <w:rPr>
                <w:lang w:val="en-GB"/>
              </w:rPr>
            </w:pPr>
            <w:r w:rsidRPr="00361139">
              <w:rPr>
                <w:lang w:val="en-GB"/>
              </w:rPr>
              <w:t>9713</w:t>
            </w:r>
          </w:p>
        </w:tc>
        <w:tc>
          <w:tcPr>
            <w:tcW w:w="677" w:type="dxa"/>
            <w:shd w:val="clear" w:color="auto" w:fill="auto"/>
            <w:noWrap/>
            <w:hideMark/>
          </w:tcPr>
          <w:p w14:paraId="33F9884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6EED256" w14:textId="77777777" w:rsidR="00CC73DD" w:rsidRPr="00361139" w:rsidRDefault="00CC73DD" w:rsidP="00DB2573">
            <w:pPr>
              <w:pStyle w:val="Normal-pool-Table"/>
              <w:rPr>
                <w:lang w:val="en-GB"/>
              </w:rPr>
            </w:pPr>
            <w:r w:rsidRPr="00361139">
              <w:rPr>
                <w:lang w:val="en-GB"/>
              </w:rPr>
              <w:t>Guyana</w:t>
            </w:r>
          </w:p>
        </w:tc>
        <w:tc>
          <w:tcPr>
            <w:tcW w:w="2126" w:type="dxa"/>
            <w:shd w:val="clear" w:color="auto" w:fill="auto"/>
            <w:noWrap/>
            <w:hideMark/>
          </w:tcPr>
          <w:p w14:paraId="1307D0FC" w14:textId="4B6CCC27" w:rsidR="00CC73DD" w:rsidRPr="00361139" w:rsidRDefault="00CC73DD" w:rsidP="00DB2573">
            <w:pPr>
              <w:pStyle w:val="Normal-pool-Table"/>
              <w:rPr>
                <w:lang w:val="en-GB"/>
              </w:rPr>
            </w:pPr>
            <w:r w:rsidRPr="00361139">
              <w:rPr>
                <w:lang w:val="en-GB"/>
              </w:rPr>
              <w:t xml:space="preserve">A GEF GOLD/ Supply Chain Approach to Eliminating Mercury in Guyana’s ASGM Sector: El Dorado Gold </w:t>
            </w:r>
            <w:proofErr w:type="spellStart"/>
            <w:r w:rsidRPr="00361139">
              <w:rPr>
                <w:lang w:val="en-GB"/>
              </w:rPr>
              <w:t>Jewelry</w:t>
            </w:r>
            <w:proofErr w:type="spellEnd"/>
            <w:r w:rsidR="00334B82" w:rsidRPr="00361139">
              <w:rPr>
                <w:lang w:val="en-GB"/>
              </w:rPr>
              <w:t xml:space="preserve"> </w:t>
            </w:r>
            <w:r w:rsidRPr="00361139">
              <w:rPr>
                <w:lang w:val="en-GB"/>
              </w:rPr>
              <w:t>Made in Guyana</w:t>
            </w:r>
          </w:p>
        </w:tc>
        <w:tc>
          <w:tcPr>
            <w:tcW w:w="992" w:type="dxa"/>
            <w:shd w:val="clear" w:color="auto" w:fill="auto"/>
            <w:noWrap/>
            <w:hideMark/>
          </w:tcPr>
          <w:p w14:paraId="2DE91FAD" w14:textId="77777777" w:rsidR="00CC73DD" w:rsidRPr="00361139" w:rsidRDefault="00CC73DD" w:rsidP="00DB2573">
            <w:pPr>
              <w:pStyle w:val="Normal-pool-Table"/>
              <w:rPr>
                <w:lang w:val="en-GB"/>
              </w:rPr>
            </w:pPr>
            <w:r w:rsidRPr="00361139">
              <w:rPr>
                <w:lang w:val="en-GB"/>
              </w:rPr>
              <w:t>CI</w:t>
            </w:r>
          </w:p>
        </w:tc>
        <w:tc>
          <w:tcPr>
            <w:tcW w:w="851" w:type="dxa"/>
            <w:shd w:val="clear" w:color="auto" w:fill="auto"/>
            <w:noWrap/>
            <w:hideMark/>
          </w:tcPr>
          <w:p w14:paraId="6370F84D"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FF2949C"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83C216E" w14:textId="77777777" w:rsidR="00CC73DD" w:rsidRPr="00361139" w:rsidRDefault="00CC73DD" w:rsidP="002232EE">
            <w:pPr>
              <w:pStyle w:val="Normal-pool-Table"/>
              <w:jc w:val="right"/>
              <w:rPr>
                <w:lang w:val="en-GB"/>
              </w:rPr>
            </w:pPr>
            <w:r w:rsidRPr="00361139">
              <w:rPr>
                <w:lang w:val="en-GB"/>
              </w:rPr>
              <w:t>2,65</w:t>
            </w:r>
          </w:p>
        </w:tc>
        <w:tc>
          <w:tcPr>
            <w:tcW w:w="1037" w:type="dxa"/>
            <w:shd w:val="clear" w:color="auto" w:fill="auto"/>
            <w:noWrap/>
            <w:hideMark/>
          </w:tcPr>
          <w:p w14:paraId="55DB3D12" w14:textId="77777777" w:rsidR="00CC73DD" w:rsidRPr="00361139" w:rsidRDefault="00CC73DD" w:rsidP="002232EE">
            <w:pPr>
              <w:pStyle w:val="Normal-pool-Table"/>
              <w:jc w:val="right"/>
              <w:rPr>
                <w:lang w:val="en-GB"/>
              </w:rPr>
            </w:pPr>
            <w:r w:rsidRPr="00361139">
              <w:rPr>
                <w:lang w:val="en-GB"/>
              </w:rPr>
              <w:t>3,14</w:t>
            </w:r>
          </w:p>
        </w:tc>
      </w:tr>
      <w:tr w:rsidR="00FA47A8" w:rsidRPr="00361139" w14:paraId="4B3256C6" w14:textId="77777777" w:rsidTr="00413E25">
        <w:trPr>
          <w:cantSplit/>
          <w:trHeight w:val="57"/>
          <w:jc w:val="right"/>
        </w:trPr>
        <w:tc>
          <w:tcPr>
            <w:tcW w:w="677" w:type="dxa"/>
            <w:shd w:val="clear" w:color="auto" w:fill="auto"/>
            <w:noWrap/>
            <w:hideMark/>
          </w:tcPr>
          <w:p w14:paraId="0758F48B" w14:textId="77777777" w:rsidR="00CC73DD" w:rsidRPr="00361139" w:rsidRDefault="00CC73DD" w:rsidP="00DB2573">
            <w:pPr>
              <w:pStyle w:val="Normal-pool-Table"/>
              <w:rPr>
                <w:lang w:val="en-GB"/>
              </w:rPr>
            </w:pPr>
            <w:r w:rsidRPr="00361139">
              <w:rPr>
                <w:lang w:val="en-GB"/>
              </w:rPr>
              <w:t>9711</w:t>
            </w:r>
          </w:p>
        </w:tc>
        <w:tc>
          <w:tcPr>
            <w:tcW w:w="677" w:type="dxa"/>
            <w:shd w:val="clear" w:color="auto" w:fill="auto"/>
            <w:noWrap/>
            <w:hideMark/>
          </w:tcPr>
          <w:p w14:paraId="7AAA26CC"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C9F6A0D" w14:textId="77777777" w:rsidR="00CC73DD" w:rsidRPr="00361139" w:rsidRDefault="00CC73DD" w:rsidP="00DB2573">
            <w:pPr>
              <w:pStyle w:val="Normal-pool-Table"/>
              <w:rPr>
                <w:lang w:val="en-GB"/>
              </w:rPr>
            </w:pPr>
            <w:r w:rsidRPr="00361139">
              <w:rPr>
                <w:lang w:val="en-GB"/>
              </w:rPr>
              <w:t>Burkina Faso</w:t>
            </w:r>
          </w:p>
        </w:tc>
        <w:tc>
          <w:tcPr>
            <w:tcW w:w="2126" w:type="dxa"/>
            <w:shd w:val="clear" w:color="auto" w:fill="auto"/>
            <w:noWrap/>
            <w:hideMark/>
          </w:tcPr>
          <w:p w14:paraId="3AB45DFF"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Burkina Faso</w:t>
            </w:r>
          </w:p>
        </w:tc>
        <w:tc>
          <w:tcPr>
            <w:tcW w:w="992" w:type="dxa"/>
            <w:shd w:val="clear" w:color="auto" w:fill="auto"/>
            <w:noWrap/>
            <w:hideMark/>
          </w:tcPr>
          <w:p w14:paraId="3486E16B"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3582A14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F723812"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0BDE007B"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5EC51E90" w14:textId="77777777" w:rsidR="00CC73DD" w:rsidRPr="00361139" w:rsidRDefault="00CC73DD" w:rsidP="002232EE">
            <w:pPr>
              <w:pStyle w:val="Normal-pool-Table"/>
              <w:jc w:val="right"/>
              <w:rPr>
                <w:lang w:val="en-GB"/>
              </w:rPr>
            </w:pPr>
            <w:r w:rsidRPr="00361139">
              <w:rPr>
                <w:lang w:val="en-GB"/>
              </w:rPr>
              <w:t>0,22</w:t>
            </w:r>
          </w:p>
        </w:tc>
      </w:tr>
      <w:tr w:rsidR="00FA47A8" w:rsidRPr="00361139" w14:paraId="384326B2" w14:textId="77777777" w:rsidTr="00413E25">
        <w:trPr>
          <w:cantSplit/>
          <w:trHeight w:val="57"/>
          <w:jc w:val="right"/>
        </w:trPr>
        <w:tc>
          <w:tcPr>
            <w:tcW w:w="677" w:type="dxa"/>
            <w:shd w:val="clear" w:color="auto" w:fill="auto"/>
            <w:noWrap/>
            <w:hideMark/>
          </w:tcPr>
          <w:p w14:paraId="6537C950" w14:textId="77777777" w:rsidR="00CC73DD" w:rsidRPr="00361139" w:rsidRDefault="00CC73DD" w:rsidP="00DB2573">
            <w:pPr>
              <w:pStyle w:val="Normal-pool-Table"/>
              <w:rPr>
                <w:lang w:val="en-GB"/>
              </w:rPr>
            </w:pPr>
            <w:r w:rsidRPr="00361139">
              <w:rPr>
                <w:lang w:val="en-GB"/>
              </w:rPr>
              <w:t>9710</w:t>
            </w:r>
          </w:p>
        </w:tc>
        <w:tc>
          <w:tcPr>
            <w:tcW w:w="677" w:type="dxa"/>
            <w:shd w:val="clear" w:color="auto" w:fill="auto"/>
            <w:noWrap/>
            <w:hideMark/>
          </w:tcPr>
          <w:p w14:paraId="2832E4A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437B4F75" w14:textId="77777777" w:rsidR="00CC73DD" w:rsidRPr="00361139" w:rsidRDefault="00CC73DD" w:rsidP="00DB2573">
            <w:pPr>
              <w:pStyle w:val="Normal-pool-Table"/>
              <w:rPr>
                <w:lang w:val="en-GB"/>
              </w:rPr>
            </w:pPr>
            <w:r w:rsidRPr="00361139">
              <w:rPr>
                <w:lang w:val="en-GB"/>
              </w:rPr>
              <w:t>Peru</w:t>
            </w:r>
          </w:p>
        </w:tc>
        <w:tc>
          <w:tcPr>
            <w:tcW w:w="2126" w:type="dxa"/>
            <w:shd w:val="clear" w:color="auto" w:fill="auto"/>
            <w:noWrap/>
            <w:hideMark/>
          </w:tcPr>
          <w:p w14:paraId="6CA42573" w14:textId="77777777" w:rsidR="00CC73DD" w:rsidRPr="00361139" w:rsidRDefault="00CC73DD" w:rsidP="00DB2573">
            <w:pPr>
              <w:pStyle w:val="Normal-pool-Table"/>
              <w:rPr>
                <w:lang w:val="en-GB"/>
              </w:rPr>
            </w:pPr>
            <w:r w:rsidRPr="00361139">
              <w:rPr>
                <w:lang w:val="en-GB"/>
              </w:rPr>
              <w:t>GEF GOLD Peru - Integrated Sound Management of Mercury in Peru’s Artisanal and Small-scale Gold Mining (ASGM)</w:t>
            </w:r>
          </w:p>
        </w:tc>
        <w:tc>
          <w:tcPr>
            <w:tcW w:w="992" w:type="dxa"/>
            <w:shd w:val="clear" w:color="auto" w:fill="auto"/>
            <w:noWrap/>
            <w:hideMark/>
          </w:tcPr>
          <w:p w14:paraId="703DA6D5"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0836358A"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22B0A1DD"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6D3E4DA2" w14:textId="77777777" w:rsidR="00CC73DD" w:rsidRPr="00361139" w:rsidRDefault="00CC73DD" w:rsidP="002232EE">
            <w:pPr>
              <w:pStyle w:val="Normal-pool-Table"/>
              <w:jc w:val="right"/>
              <w:rPr>
                <w:lang w:val="en-GB"/>
              </w:rPr>
            </w:pPr>
            <w:r w:rsidRPr="00361139">
              <w:rPr>
                <w:lang w:val="en-GB"/>
              </w:rPr>
              <w:t>3,99</w:t>
            </w:r>
          </w:p>
        </w:tc>
        <w:tc>
          <w:tcPr>
            <w:tcW w:w="1037" w:type="dxa"/>
            <w:shd w:val="clear" w:color="auto" w:fill="auto"/>
            <w:noWrap/>
            <w:hideMark/>
          </w:tcPr>
          <w:p w14:paraId="0A354275" w14:textId="77777777" w:rsidR="00CC73DD" w:rsidRPr="00361139" w:rsidRDefault="00CC73DD" w:rsidP="002232EE">
            <w:pPr>
              <w:pStyle w:val="Normal-pool-Table"/>
              <w:jc w:val="right"/>
              <w:rPr>
                <w:lang w:val="en-GB"/>
              </w:rPr>
            </w:pPr>
            <w:r w:rsidRPr="00361139">
              <w:rPr>
                <w:lang w:val="en-GB"/>
              </w:rPr>
              <w:t>35,23</w:t>
            </w:r>
          </w:p>
        </w:tc>
      </w:tr>
      <w:tr w:rsidR="00FA47A8" w:rsidRPr="00361139" w14:paraId="0E85F21C" w14:textId="77777777" w:rsidTr="00413E25">
        <w:trPr>
          <w:cantSplit/>
          <w:trHeight w:val="57"/>
          <w:jc w:val="right"/>
        </w:trPr>
        <w:tc>
          <w:tcPr>
            <w:tcW w:w="677" w:type="dxa"/>
            <w:shd w:val="clear" w:color="auto" w:fill="auto"/>
            <w:noWrap/>
            <w:hideMark/>
          </w:tcPr>
          <w:p w14:paraId="03304A3E" w14:textId="77777777" w:rsidR="00CC73DD" w:rsidRPr="00361139" w:rsidRDefault="00CC73DD" w:rsidP="00DB2573">
            <w:pPr>
              <w:pStyle w:val="Normal-pool-Table"/>
              <w:rPr>
                <w:lang w:val="en-GB"/>
              </w:rPr>
            </w:pPr>
            <w:r w:rsidRPr="00361139">
              <w:rPr>
                <w:lang w:val="en-GB"/>
              </w:rPr>
              <w:t>9709</w:t>
            </w:r>
          </w:p>
        </w:tc>
        <w:tc>
          <w:tcPr>
            <w:tcW w:w="677" w:type="dxa"/>
            <w:shd w:val="clear" w:color="auto" w:fill="auto"/>
            <w:noWrap/>
            <w:hideMark/>
          </w:tcPr>
          <w:p w14:paraId="6E9CDC40"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2BA7825" w14:textId="77777777" w:rsidR="00CC73DD" w:rsidRPr="00361139" w:rsidRDefault="00CC73DD" w:rsidP="00DB2573">
            <w:pPr>
              <w:pStyle w:val="Normal-pool-Table"/>
              <w:rPr>
                <w:lang w:val="en-GB"/>
              </w:rPr>
            </w:pPr>
            <w:r w:rsidRPr="00361139">
              <w:rPr>
                <w:lang w:val="en-GB"/>
              </w:rPr>
              <w:t>Colombia</w:t>
            </w:r>
          </w:p>
        </w:tc>
        <w:tc>
          <w:tcPr>
            <w:tcW w:w="2126" w:type="dxa"/>
            <w:shd w:val="clear" w:color="auto" w:fill="auto"/>
            <w:noWrap/>
            <w:hideMark/>
          </w:tcPr>
          <w:p w14:paraId="169FD56C" w14:textId="77777777" w:rsidR="00CC73DD" w:rsidRPr="00361139" w:rsidRDefault="00CC73DD" w:rsidP="00DB2573">
            <w:pPr>
              <w:pStyle w:val="Normal-pool-Table"/>
              <w:rPr>
                <w:lang w:val="en-GB"/>
              </w:rPr>
            </w:pPr>
            <w:r w:rsidRPr="00361139">
              <w:rPr>
                <w:lang w:val="en-GB"/>
              </w:rPr>
              <w:t>GEF GOLD Colombia: Integrated Sound Management of Mercury in Colombia’s ASGM sector</w:t>
            </w:r>
          </w:p>
        </w:tc>
        <w:tc>
          <w:tcPr>
            <w:tcW w:w="992" w:type="dxa"/>
            <w:shd w:val="clear" w:color="auto" w:fill="auto"/>
            <w:noWrap/>
            <w:hideMark/>
          </w:tcPr>
          <w:p w14:paraId="0CCB49A2"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6DD48492"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CEEC223"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E9A7E2C" w14:textId="77777777" w:rsidR="00CC73DD" w:rsidRPr="00361139" w:rsidRDefault="00CC73DD" w:rsidP="002232EE">
            <w:pPr>
              <w:pStyle w:val="Normal-pool-Table"/>
              <w:jc w:val="right"/>
              <w:rPr>
                <w:lang w:val="en-GB"/>
              </w:rPr>
            </w:pPr>
            <w:r w:rsidRPr="00361139">
              <w:rPr>
                <w:lang w:val="en-GB"/>
              </w:rPr>
              <w:t>6,00</w:t>
            </w:r>
          </w:p>
        </w:tc>
        <w:tc>
          <w:tcPr>
            <w:tcW w:w="1037" w:type="dxa"/>
            <w:shd w:val="clear" w:color="auto" w:fill="auto"/>
            <w:noWrap/>
            <w:hideMark/>
          </w:tcPr>
          <w:p w14:paraId="47E7466F" w14:textId="77777777" w:rsidR="00CC73DD" w:rsidRPr="00361139" w:rsidRDefault="00CC73DD" w:rsidP="002232EE">
            <w:pPr>
              <w:pStyle w:val="Normal-pool-Table"/>
              <w:jc w:val="right"/>
              <w:rPr>
                <w:lang w:val="en-GB"/>
              </w:rPr>
            </w:pPr>
            <w:r w:rsidRPr="00361139">
              <w:rPr>
                <w:lang w:val="en-GB"/>
              </w:rPr>
              <w:t>23,44</w:t>
            </w:r>
          </w:p>
        </w:tc>
      </w:tr>
      <w:tr w:rsidR="00FA47A8" w:rsidRPr="00361139" w14:paraId="2A9BC8CF" w14:textId="77777777" w:rsidTr="00413E25">
        <w:trPr>
          <w:cantSplit/>
          <w:trHeight w:val="57"/>
          <w:jc w:val="right"/>
        </w:trPr>
        <w:tc>
          <w:tcPr>
            <w:tcW w:w="677" w:type="dxa"/>
            <w:shd w:val="clear" w:color="auto" w:fill="auto"/>
            <w:noWrap/>
            <w:hideMark/>
          </w:tcPr>
          <w:p w14:paraId="43A5D139" w14:textId="77777777" w:rsidR="00CC73DD" w:rsidRPr="00361139" w:rsidRDefault="00CC73DD" w:rsidP="00DB2573">
            <w:pPr>
              <w:pStyle w:val="Normal-pool-Table"/>
              <w:rPr>
                <w:lang w:val="en-GB"/>
              </w:rPr>
            </w:pPr>
            <w:r w:rsidRPr="00361139">
              <w:rPr>
                <w:lang w:val="en-GB"/>
              </w:rPr>
              <w:t>9708</w:t>
            </w:r>
          </w:p>
        </w:tc>
        <w:tc>
          <w:tcPr>
            <w:tcW w:w="677" w:type="dxa"/>
            <w:shd w:val="clear" w:color="auto" w:fill="auto"/>
            <w:noWrap/>
            <w:hideMark/>
          </w:tcPr>
          <w:p w14:paraId="4B584243"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3F2D3EB" w14:textId="77777777" w:rsidR="00CC73DD" w:rsidRPr="00361139" w:rsidRDefault="00CC73DD" w:rsidP="00DB2573">
            <w:pPr>
              <w:pStyle w:val="Normal-pool-Table"/>
              <w:rPr>
                <w:lang w:val="en-GB"/>
              </w:rPr>
            </w:pPr>
            <w:r w:rsidRPr="00361139">
              <w:rPr>
                <w:lang w:val="en-GB"/>
              </w:rPr>
              <w:t>Kenya</w:t>
            </w:r>
          </w:p>
        </w:tc>
        <w:tc>
          <w:tcPr>
            <w:tcW w:w="2126" w:type="dxa"/>
            <w:shd w:val="clear" w:color="auto" w:fill="auto"/>
            <w:noWrap/>
            <w:hideMark/>
          </w:tcPr>
          <w:p w14:paraId="65B88E19" w14:textId="77777777" w:rsidR="00CC73DD" w:rsidRPr="00361139" w:rsidRDefault="00CC73DD" w:rsidP="00DB2573">
            <w:pPr>
              <w:pStyle w:val="Normal-pool-Table"/>
              <w:rPr>
                <w:lang w:val="en-GB"/>
              </w:rPr>
            </w:pPr>
            <w:r w:rsidRPr="00361139">
              <w:rPr>
                <w:lang w:val="en-GB"/>
              </w:rPr>
              <w:t>Integrated Sound Management of Mercury in Kenya’s Artisanal and Small-scale Gold Mining (ASGM)</w:t>
            </w:r>
          </w:p>
        </w:tc>
        <w:tc>
          <w:tcPr>
            <w:tcW w:w="992" w:type="dxa"/>
            <w:shd w:val="clear" w:color="auto" w:fill="auto"/>
            <w:noWrap/>
            <w:hideMark/>
          </w:tcPr>
          <w:p w14:paraId="743049F8"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7B9296B7"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41ACF2C6"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2EA7F5B" w14:textId="77777777" w:rsidR="00CC73DD" w:rsidRPr="00361139" w:rsidRDefault="00CC73DD" w:rsidP="002232EE">
            <w:pPr>
              <w:pStyle w:val="Normal-pool-Table"/>
              <w:jc w:val="right"/>
              <w:rPr>
                <w:lang w:val="en-GB"/>
              </w:rPr>
            </w:pPr>
            <w:r w:rsidRPr="00361139">
              <w:rPr>
                <w:lang w:val="en-GB"/>
              </w:rPr>
              <w:t>4,20</w:t>
            </w:r>
          </w:p>
        </w:tc>
        <w:tc>
          <w:tcPr>
            <w:tcW w:w="1037" w:type="dxa"/>
            <w:shd w:val="clear" w:color="auto" w:fill="auto"/>
            <w:noWrap/>
            <w:hideMark/>
          </w:tcPr>
          <w:p w14:paraId="19248F57" w14:textId="77777777" w:rsidR="00CC73DD" w:rsidRPr="00361139" w:rsidRDefault="00CC73DD" w:rsidP="002232EE">
            <w:pPr>
              <w:pStyle w:val="Normal-pool-Table"/>
              <w:jc w:val="right"/>
              <w:rPr>
                <w:lang w:val="en-GB"/>
              </w:rPr>
            </w:pPr>
            <w:r w:rsidRPr="00361139">
              <w:rPr>
                <w:lang w:val="en-GB"/>
              </w:rPr>
              <w:t>17,82</w:t>
            </w:r>
          </w:p>
        </w:tc>
      </w:tr>
      <w:tr w:rsidR="00FA47A8" w:rsidRPr="00361139" w14:paraId="39977EAE" w14:textId="77777777" w:rsidTr="00413E25">
        <w:trPr>
          <w:cantSplit/>
          <w:trHeight w:val="57"/>
          <w:jc w:val="right"/>
        </w:trPr>
        <w:tc>
          <w:tcPr>
            <w:tcW w:w="677" w:type="dxa"/>
            <w:shd w:val="clear" w:color="auto" w:fill="auto"/>
            <w:noWrap/>
            <w:hideMark/>
          </w:tcPr>
          <w:p w14:paraId="35737CA0" w14:textId="77777777" w:rsidR="00CC73DD" w:rsidRPr="00361139" w:rsidRDefault="00CC73DD" w:rsidP="00DB2573">
            <w:pPr>
              <w:pStyle w:val="Normal-pool-Table"/>
              <w:rPr>
                <w:lang w:val="en-GB"/>
              </w:rPr>
            </w:pPr>
            <w:r w:rsidRPr="00361139">
              <w:rPr>
                <w:lang w:val="en-GB"/>
              </w:rPr>
              <w:t>9707</w:t>
            </w:r>
          </w:p>
        </w:tc>
        <w:tc>
          <w:tcPr>
            <w:tcW w:w="677" w:type="dxa"/>
            <w:shd w:val="clear" w:color="auto" w:fill="auto"/>
            <w:noWrap/>
            <w:hideMark/>
          </w:tcPr>
          <w:p w14:paraId="2A80CE48"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A7676ED" w14:textId="77777777" w:rsidR="00CC73DD" w:rsidRPr="00361139" w:rsidRDefault="00CC73DD" w:rsidP="00DB2573">
            <w:pPr>
              <w:pStyle w:val="Normal-pool-Table"/>
              <w:rPr>
                <w:lang w:val="en-GB"/>
              </w:rPr>
            </w:pPr>
            <w:r w:rsidRPr="00361139">
              <w:rPr>
                <w:lang w:val="en-GB"/>
              </w:rPr>
              <w:t>Indonesia</w:t>
            </w:r>
          </w:p>
        </w:tc>
        <w:tc>
          <w:tcPr>
            <w:tcW w:w="2126" w:type="dxa"/>
            <w:shd w:val="clear" w:color="auto" w:fill="auto"/>
            <w:noWrap/>
            <w:hideMark/>
          </w:tcPr>
          <w:p w14:paraId="1DBD229D" w14:textId="77777777" w:rsidR="00CC73DD" w:rsidRPr="00361139" w:rsidRDefault="00CC73DD" w:rsidP="00DB2573">
            <w:pPr>
              <w:pStyle w:val="Normal-pool-Table"/>
              <w:rPr>
                <w:lang w:val="en-GB"/>
              </w:rPr>
            </w:pPr>
            <w:r w:rsidRPr="00361139">
              <w:rPr>
                <w:lang w:val="en-GB"/>
              </w:rPr>
              <w:t>Integrated Sound Management of Mercury in Indonesia’s Artisanal and Small-scale Gold Mining (ISMIA)</w:t>
            </w:r>
          </w:p>
        </w:tc>
        <w:tc>
          <w:tcPr>
            <w:tcW w:w="992" w:type="dxa"/>
            <w:shd w:val="clear" w:color="auto" w:fill="auto"/>
            <w:noWrap/>
            <w:hideMark/>
          </w:tcPr>
          <w:p w14:paraId="7BE5A391"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33C0FD45"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DC102D5"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409652C9" w14:textId="77777777" w:rsidR="00CC73DD" w:rsidRPr="00361139" w:rsidRDefault="00CC73DD" w:rsidP="002232EE">
            <w:pPr>
              <w:pStyle w:val="Normal-pool-Table"/>
              <w:jc w:val="right"/>
              <w:rPr>
                <w:lang w:val="en-GB"/>
              </w:rPr>
            </w:pPr>
            <w:r w:rsidRPr="00361139">
              <w:rPr>
                <w:lang w:val="en-GB"/>
              </w:rPr>
              <w:t>6,72</w:t>
            </w:r>
          </w:p>
        </w:tc>
        <w:tc>
          <w:tcPr>
            <w:tcW w:w="1037" w:type="dxa"/>
            <w:shd w:val="clear" w:color="auto" w:fill="auto"/>
            <w:noWrap/>
            <w:hideMark/>
          </w:tcPr>
          <w:p w14:paraId="61F2C5B4" w14:textId="77777777" w:rsidR="00CC73DD" w:rsidRPr="00361139" w:rsidRDefault="00CC73DD" w:rsidP="002232EE">
            <w:pPr>
              <w:pStyle w:val="Normal-pool-Table"/>
              <w:jc w:val="right"/>
              <w:rPr>
                <w:lang w:val="en-GB"/>
              </w:rPr>
            </w:pPr>
            <w:r w:rsidRPr="00361139">
              <w:rPr>
                <w:lang w:val="en-GB"/>
              </w:rPr>
              <w:t>28,60</w:t>
            </w:r>
          </w:p>
        </w:tc>
      </w:tr>
      <w:tr w:rsidR="00FA47A8" w:rsidRPr="00361139" w14:paraId="6DB52347" w14:textId="77777777" w:rsidTr="00413E25">
        <w:trPr>
          <w:cantSplit/>
          <w:trHeight w:val="57"/>
          <w:jc w:val="right"/>
        </w:trPr>
        <w:tc>
          <w:tcPr>
            <w:tcW w:w="677" w:type="dxa"/>
            <w:shd w:val="clear" w:color="auto" w:fill="auto"/>
            <w:noWrap/>
            <w:hideMark/>
          </w:tcPr>
          <w:p w14:paraId="03E3AF75" w14:textId="77777777" w:rsidR="00CC73DD" w:rsidRPr="00361139" w:rsidRDefault="00CC73DD" w:rsidP="00DB2573">
            <w:pPr>
              <w:pStyle w:val="Normal-pool-Table"/>
              <w:rPr>
                <w:lang w:val="en-GB"/>
              </w:rPr>
            </w:pPr>
            <w:r w:rsidRPr="00361139">
              <w:rPr>
                <w:lang w:val="en-GB"/>
              </w:rPr>
              <w:t>9697</w:t>
            </w:r>
          </w:p>
        </w:tc>
        <w:tc>
          <w:tcPr>
            <w:tcW w:w="677" w:type="dxa"/>
            <w:shd w:val="clear" w:color="auto" w:fill="auto"/>
            <w:noWrap/>
            <w:hideMark/>
          </w:tcPr>
          <w:p w14:paraId="50CED19A"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94BE055" w14:textId="77777777" w:rsidR="00CC73DD" w:rsidRPr="005F6E71" w:rsidRDefault="00CC73DD" w:rsidP="00DB2573">
            <w:pPr>
              <w:pStyle w:val="Normal-pool-Table"/>
              <w:rPr>
                <w:lang w:val="es-ES"/>
              </w:rPr>
            </w:pPr>
            <w:r w:rsidRPr="005F6E71">
              <w:rPr>
                <w:lang w:val="es-ES"/>
              </w:rPr>
              <w:t xml:space="preserve">Burkina Faso, Colombia, Guyana, Indonesia, Kenya, Mongolia, </w:t>
            </w:r>
            <w:proofErr w:type="spellStart"/>
            <w:r w:rsidRPr="005F6E71">
              <w:rPr>
                <w:lang w:val="es-ES"/>
              </w:rPr>
              <w:t>Peru</w:t>
            </w:r>
            <w:proofErr w:type="spellEnd"/>
            <w:r w:rsidRPr="005F6E71">
              <w:rPr>
                <w:lang w:val="es-ES"/>
              </w:rPr>
              <w:t>, Philippines</w:t>
            </w:r>
          </w:p>
        </w:tc>
        <w:tc>
          <w:tcPr>
            <w:tcW w:w="2126" w:type="dxa"/>
            <w:shd w:val="clear" w:color="auto" w:fill="auto"/>
            <w:noWrap/>
            <w:hideMark/>
          </w:tcPr>
          <w:p w14:paraId="5EE9D91F" w14:textId="77777777" w:rsidR="00CC73DD" w:rsidRPr="00361139" w:rsidRDefault="00CC73DD" w:rsidP="00DB2573">
            <w:pPr>
              <w:pStyle w:val="Normal-pool-Table"/>
              <w:rPr>
                <w:lang w:val="en-GB"/>
              </w:rPr>
            </w:pPr>
            <w:r w:rsidRPr="00361139">
              <w:rPr>
                <w:lang w:val="en-GB"/>
              </w:rPr>
              <w:t xml:space="preserve">Global Knowledge Management and Exchange of Child Project Results Through Networking and Outreach Activities for the GEF GOLD Program </w:t>
            </w:r>
          </w:p>
        </w:tc>
        <w:tc>
          <w:tcPr>
            <w:tcW w:w="992" w:type="dxa"/>
            <w:shd w:val="clear" w:color="auto" w:fill="auto"/>
            <w:noWrap/>
            <w:hideMark/>
          </w:tcPr>
          <w:p w14:paraId="4C3B5599"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B4FB888"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C670D1A"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786E7429" w14:textId="77777777" w:rsidR="00CC73DD" w:rsidRPr="00361139" w:rsidRDefault="00CC73DD" w:rsidP="002232EE">
            <w:pPr>
              <w:pStyle w:val="Normal-pool-Table"/>
              <w:jc w:val="right"/>
              <w:rPr>
                <w:lang w:val="en-GB"/>
              </w:rPr>
            </w:pPr>
            <w:r w:rsidRPr="00361139">
              <w:rPr>
                <w:lang w:val="en-GB"/>
              </w:rPr>
              <w:t>8,00</w:t>
            </w:r>
          </w:p>
        </w:tc>
        <w:tc>
          <w:tcPr>
            <w:tcW w:w="1037" w:type="dxa"/>
            <w:shd w:val="clear" w:color="auto" w:fill="auto"/>
            <w:noWrap/>
            <w:hideMark/>
          </w:tcPr>
          <w:p w14:paraId="406B414E" w14:textId="77777777" w:rsidR="00CC73DD" w:rsidRPr="00361139" w:rsidRDefault="00CC73DD" w:rsidP="002232EE">
            <w:pPr>
              <w:pStyle w:val="Normal-pool-Table"/>
              <w:jc w:val="right"/>
              <w:rPr>
                <w:lang w:val="en-GB"/>
              </w:rPr>
            </w:pPr>
            <w:r w:rsidRPr="00361139">
              <w:rPr>
                <w:lang w:val="en-GB"/>
              </w:rPr>
              <w:t>17,77</w:t>
            </w:r>
          </w:p>
        </w:tc>
      </w:tr>
      <w:tr w:rsidR="00FA47A8" w:rsidRPr="00361139" w14:paraId="6E4D4AE0" w14:textId="77777777" w:rsidTr="00413E25">
        <w:trPr>
          <w:cantSplit/>
          <w:trHeight w:val="57"/>
          <w:jc w:val="right"/>
        </w:trPr>
        <w:tc>
          <w:tcPr>
            <w:tcW w:w="677" w:type="dxa"/>
            <w:shd w:val="clear" w:color="auto" w:fill="auto"/>
            <w:noWrap/>
            <w:hideMark/>
          </w:tcPr>
          <w:p w14:paraId="591741BE" w14:textId="77777777" w:rsidR="00CC73DD" w:rsidRPr="00361139" w:rsidRDefault="00CC73DD" w:rsidP="00DB2573">
            <w:pPr>
              <w:pStyle w:val="Normal-pool-Table"/>
              <w:rPr>
                <w:lang w:val="en-GB"/>
              </w:rPr>
            </w:pPr>
            <w:r w:rsidRPr="00361139">
              <w:rPr>
                <w:lang w:val="en-GB"/>
              </w:rPr>
              <w:t>9695</w:t>
            </w:r>
          </w:p>
        </w:tc>
        <w:tc>
          <w:tcPr>
            <w:tcW w:w="677" w:type="dxa"/>
            <w:shd w:val="clear" w:color="auto" w:fill="auto"/>
            <w:noWrap/>
            <w:hideMark/>
          </w:tcPr>
          <w:p w14:paraId="6C42060A"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BEE9CAD" w14:textId="77777777" w:rsidR="00CC73DD" w:rsidRPr="00361139" w:rsidRDefault="00CC73DD" w:rsidP="00DB2573">
            <w:pPr>
              <w:pStyle w:val="Normal-pool-Table"/>
              <w:rPr>
                <w:lang w:val="en-GB"/>
              </w:rPr>
            </w:pPr>
            <w:r w:rsidRPr="00361139">
              <w:rPr>
                <w:lang w:val="en-GB"/>
              </w:rPr>
              <w:t>Mongolia, Philippines</w:t>
            </w:r>
          </w:p>
        </w:tc>
        <w:tc>
          <w:tcPr>
            <w:tcW w:w="2126" w:type="dxa"/>
            <w:shd w:val="clear" w:color="auto" w:fill="auto"/>
            <w:noWrap/>
            <w:hideMark/>
          </w:tcPr>
          <w:p w14:paraId="4BFD7A2E" w14:textId="77777777" w:rsidR="00CC73DD" w:rsidRPr="00361139" w:rsidRDefault="00CC73DD" w:rsidP="00DB2573">
            <w:pPr>
              <w:pStyle w:val="Normal-pool-Table"/>
              <w:rPr>
                <w:lang w:val="en-GB"/>
              </w:rPr>
            </w:pPr>
            <w:r w:rsidRPr="00361139">
              <w:rPr>
                <w:lang w:val="en-GB"/>
              </w:rPr>
              <w:t>GEF GOLD Mongolia-Philippines: Contribution Towards the Elimination of Mercury in the ASGM sector From Miners to Refiners</w:t>
            </w:r>
          </w:p>
        </w:tc>
        <w:tc>
          <w:tcPr>
            <w:tcW w:w="992" w:type="dxa"/>
            <w:shd w:val="clear" w:color="auto" w:fill="auto"/>
            <w:noWrap/>
            <w:hideMark/>
          </w:tcPr>
          <w:p w14:paraId="56450EA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3250E621"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64994D50"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6837E148" w14:textId="77777777" w:rsidR="00CC73DD" w:rsidRPr="00361139" w:rsidRDefault="00CC73DD" w:rsidP="002232EE">
            <w:pPr>
              <w:pStyle w:val="Normal-pool-Table"/>
              <w:jc w:val="right"/>
              <w:rPr>
                <w:lang w:val="en-GB"/>
              </w:rPr>
            </w:pPr>
            <w:r w:rsidRPr="00361139">
              <w:rPr>
                <w:lang w:val="en-GB"/>
              </w:rPr>
              <w:t>11,70</w:t>
            </w:r>
          </w:p>
        </w:tc>
        <w:tc>
          <w:tcPr>
            <w:tcW w:w="1037" w:type="dxa"/>
            <w:shd w:val="clear" w:color="auto" w:fill="auto"/>
            <w:noWrap/>
            <w:hideMark/>
          </w:tcPr>
          <w:p w14:paraId="42CA8496" w14:textId="77777777" w:rsidR="00CC73DD" w:rsidRPr="00361139" w:rsidRDefault="00CC73DD" w:rsidP="002232EE">
            <w:pPr>
              <w:pStyle w:val="Normal-pool-Table"/>
              <w:jc w:val="right"/>
              <w:rPr>
                <w:lang w:val="en-GB"/>
              </w:rPr>
            </w:pPr>
            <w:r w:rsidRPr="00361139">
              <w:rPr>
                <w:lang w:val="en-GB"/>
              </w:rPr>
              <w:t>48,21</w:t>
            </w:r>
          </w:p>
        </w:tc>
      </w:tr>
      <w:tr w:rsidR="00FA47A8" w:rsidRPr="00361139" w14:paraId="604B56C7" w14:textId="77777777" w:rsidTr="00413E25">
        <w:trPr>
          <w:cantSplit/>
          <w:trHeight w:val="57"/>
          <w:jc w:val="right"/>
        </w:trPr>
        <w:tc>
          <w:tcPr>
            <w:tcW w:w="677" w:type="dxa"/>
            <w:shd w:val="clear" w:color="auto" w:fill="auto"/>
            <w:noWrap/>
            <w:hideMark/>
          </w:tcPr>
          <w:p w14:paraId="263E7228" w14:textId="77777777" w:rsidR="00CC73DD" w:rsidRPr="00361139" w:rsidRDefault="00CC73DD" w:rsidP="00DB2573">
            <w:pPr>
              <w:pStyle w:val="Normal-pool-Table"/>
              <w:rPr>
                <w:lang w:val="en-GB"/>
              </w:rPr>
            </w:pPr>
            <w:r w:rsidRPr="00361139">
              <w:rPr>
                <w:lang w:val="en-GB"/>
              </w:rPr>
              <w:lastRenderedPageBreak/>
              <w:t>9690</w:t>
            </w:r>
          </w:p>
        </w:tc>
        <w:tc>
          <w:tcPr>
            <w:tcW w:w="677" w:type="dxa"/>
            <w:shd w:val="clear" w:color="auto" w:fill="auto"/>
            <w:noWrap/>
            <w:hideMark/>
          </w:tcPr>
          <w:p w14:paraId="44AE28E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863B427" w14:textId="77777777" w:rsidR="00CC73DD" w:rsidRPr="00361139" w:rsidRDefault="00CC73DD" w:rsidP="00DB2573">
            <w:pPr>
              <w:pStyle w:val="Normal-pool-Table"/>
              <w:rPr>
                <w:lang w:val="en-GB"/>
              </w:rPr>
            </w:pPr>
            <w:r w:rsidRPr="00361139">
              <w:rPr>
                <w:lang w:val="en-GB"/>
              </w:rPr>
              <w:t>Iraq</w:t>
            </w:r>
          </w:p>
        </w:tc>
        <w:tc>
          <w:tcPr>
            <w:tcW w:w="2126" w:type="dxa"/>
            <w:shd w:val="clear" w:color="auto" w:fill="auto"/>
            <w:noWrap/>
            <w:hideMark/>
          </w:tcPr>
          <w:p w14:paraId="540329A3" w14:textId="77777777" w:rsidR="00CC73DD" w:rsidRPr="00361139" w:rsidRDefault="00CC73DD" w:rsidP="00DB2573">
            <w:pPr>
              <w:pStyle w:val="Normal-pool-Table"/>
              <w:rPr>
                <w:lang w:val="en-GB"/>
              </w:rPr>
            </w:pPr>
            <w:r w:rsidRPr="00361139">
              <w:rPr>
                <w:lang w:val="en-GB"/>
              </w:rPr>
              <w:t>Develop the National Implementation Plan for the Stockholm Convention on Persistent Organic Pollutants (POPs) and the Minamata Initial Assessment for the Minamata Convention on Mercury in Iraq</w:t>
            </w:r>
          </w:p>
        </w:tc>
        <w:tc>
          <w:tcPr>
            <w:tcW w:w="992" w:type="dxa"/>
            <w:shd w:val="clear" w:color="auto" w:fill="auto"/>
            <w:noWrap/>
            <w:hideMark/>
          </w:tcPr>
          <w:p w14:paraId="18613A85"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50EADCC"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F2E4EC3"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2E907F02" w14:textId="77777777" w:rsidR="00CC73DD" w:rsidRPr="00361139" w:rsidRDefault="00CC73DD" w:rsidP="002232EE">
            <w:pPr>
              <w:pStyle w:val="Normal-pool-Table"/>
              <w:jc w:val="right"/>
              <w:rPr>
                <w:lang w:val="en-GB"/>
              </w:rPr>
            </w:pPr>
            <w:r w:rsidRPr="00361139">
              <w:rPr>
                <w:lang w:val="en-GB"/>
              </w:rPr>
              <w:t>0,80</w:t>
            </w:r>
          </w:p>
        </w:tc>
        <w:tc>
          <w:tcPr>
            <w:tcW w:w="1037" w:type="dxa"/>
            <w:shd w:val="clear" w:color="auto" w:fill="auto"/>
            <w:noWrap/>
            <w:hideMark/>
          </w:tcPr>
          <w:p w14:paraId="7865466A" w14:textId="77777777" w:rsidR="00CC73DD" w:rsidRPr="00361139" w:rsidRDefault="00CC73DD" w:rsidP="002232EE">
            <w:pPr>
              <w:pStyle w:val="Normal-pool-Table"/>
              <w:jc w:val="right"/>
              <w:rPr>
                <w:lang w:val="en-GB"/>
              </w:rPr>
            </w:pPr>
            <w:r w:rsidRPr="00361139">
              <w:rPr>
                <w:lang w:val="en-GB"/>
              </w:rPr>
              <w:t>0,00</w:t>
            </w:r>
          </w:p>
        </w:tc>
      </w:tr>
      <w:tr w:rsidR="00FA47A8" w:rsidRPr="00361139" w14:paraId="467350FB" w14:textId="77777777" w:rsidTr="00413E25">
        <w:trPr>
          <w:cantSplit/>
          <w:trHeight w:val="57"/>
          <w:jc w:val="right"/>
        </w:trPr>
        <w:tc>
          <w:tcPr>
            <w:tcW w:w="677" w:type="dxa"/>
            <w:shd w:val="clear" w:color="auto" w:fill="auto"/>
            <w:noWrap/>
            <w:hideMark/>
          </w:tcPr>
          <w:p w14:paraId="454CFD50" w14:textId="77777777" w:rsidR="00CC73DD" w:rsidRPr="00361139" w:rsidRDefault="00CC73DD" w:rsidP="00DB2573">
            <w:pPr>
              <w:pStyle w:val="Normal-pool-Table"/>
              <w:rPr>
                <w:lang w:val="en-GB"/>
              </w:rPr>
            </w:pPr>
            <w:r w:rsidRPr="00361139">
              <w:rPr>
                <w:lang w:val="en-GB"/>
              </w:rPr>
              <w:t>9686</w:t>
            </w:r>
          </w:p>
        </w:tc>
        <w:tc>
          <w:tcPr>
            <w:tcW w:w="677" w:type="dxa"/>
            <w:shd w:val="clear" w:color="auto" w:fill="auto"/>
            <w:noWrap/>
            <w:hideMark/>
          </w:tcPr>
          <w:p w14:paraId="359ECAE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7DB5F95" w14:textId="77777777" w:rsidR="00CC73DD" w:rsidRPr="005F6E71" w:rsidRDefault="00CC73DD" w:rsidP="00DB2573">
            <w:pPr>
              <w:pStyle w:val="Normal-pool-Table"/>
              <w:rPr>
                <w:lang w:val="es-ES"/>
              </w:rPr>
            </w:pPr>
            <w:r w:rsidRPr="005F6E71">
              <w:rPr>
                <w:lang w:val="es-ES"/>
              </w:rPr>
              <w:t xml:space="preserve">Algeria, Albania, Libya, </w:t>
            </w:r>
            <w:proofErr w:type="spellStart"/>
            <w:r w:rsidRPr="005F6E71">
              <w:rPr>
                <w:lang w:val="es-ES"/>
              </w:rPr>
              <w:t>Morocco</w:t>
            </w:r>
            <w:proofErr w:type="spellEnd"/>
            <w:r w:rsidRPr="005F6E71">
              <w:rPr>
                <w:lang w:val="es-ES"/>
              </w:rPr>
              <w:t xml:space="preserve">, Montenegro, </w:t>
            </w:r>
            <w:proofErr w:type="spellStart"/>
            <w:r w:rsidRPr="005F6E71">
              <w:rPr>
                <w:lang w:val="es-ES"/>
              </w:rPr>
              <w:t>Tunisia</w:t>
            </w:r>
            <w:proofErr w:type="spellEnd"/>
            <w:r w:rsidRPr="005F6E71">
              <w:rPr>
                <w:lang w:val="es-ES"/>
              </w:rPr>
              <w:t xml:space="preserve">, Bosnia-Herzegovina, </w:t>
            </w:r>
            <w:proofErr w:type="spellStart"/>
            <w:r w:rsidRPr="005F6E71">
              <w:rPr>
                <w:lang w:val="es-ES"/>
              </w:rPr>
              <w:t>Egypt</w:t>
            </w:r>
            <w:proofErr w:type="spellEnd"/>
            <w:r w:rsidRPr="005F6E71">
              <w:rPr>
                <w:lang w:val="es-ES"/>
              </w:rPr>
              <w:t>, Lebanon</w:t>
            </w:r>
          </w:p>
        </w:tc>
        <w:tc>
          <w:tcPr>
            <w:tcW w:w="2126" w:type="dxa"/>
            <w:shd w:val="clear" w:color="auto" w:fill="auto"/>
            <w:noWrap/>
            <w:hideMark/>
          </w:tcPr>
          <w:p w14:paraId="25EE922D" w14:textId="77777777" w:rsidR="00CC73DD" w:rsidRPr="00361139" w:rsidRDefault="00CC73DD" w:rsidP="00DB2573">
            <w:pPr>
              <w:pStyle w:val="Normal-pool-Table"/>
              <w:rPr>
                <w:lang w:val="en-GB"/>
              </w:rPr>
            </w:pPr>
            <w:r w:rsidRPr="00361139">
              <w:rPr>
                <w:lang w:val="en-GB"/>
              </w:rPr>
              <w:t>Mediterranean Sea Basin Environment and Climate Regional Support Project - Regional</w:t>
            </w:r>
          </w:p>
        </w:tc>
        <w:tc>
          <w:tcPr>
            <w:tcW w:w="992" w:type="dxa"/>
            <w:shd w:val="clear" w:color="auto" w:fill="auto"/>
            <w:noWrap/>
            <w:hideMark/>
          </w:tcPr>
          <w:p w14:paraId="4C6A80EB"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CE09688"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3EFBAD1B"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82CCC82" w14:textId="77777777" w:rsidR="00CC73DD" w:rsidRPr="00361139" w:rsidRDefault="00CC73DD" w:rsidP="002232EE">
            <w:pPr>
              <w:pStyle w:val="Normal-pool-Table"/>
              <w:jc w:val="right"/>
              <w:rPr>
                <w:lang w:val="en-GB"/>
              </w:rPr>
            </w:pPr>
            <w:r w:rsidRPr="00361139">
              <w:rPr>
                <w:lang w:val="en-GB"/>
              </w:rPr>
              <w:t>2,50</w:t>
            </w:r>
          </w:p>
        </w:tc>
        <w:tc>
          <w:tcPr>
            <w:tcW w:w="1037" w:type="dxa"/>
            <w:shd w:val="clear" w:color="auto" w:fill="auto"/>
            <w:noWrap/>
            <w:hideMark/>
          </w:tcPr>
          <w:p w14:paraId="49AE800D" w14:textId="77777777" w:rsidR="00CC73DD" w:rsidRPr="00361139" w:rsidRDefault="00CC73DD" w:rsidP="002232EE">
            <w:pPr>
              <w:pStyle w:val="Normal-pool-Table"/>
              <w:jc w:val="right"/>
              <w:rPr>
                <w:lang w:val="en-GB"/>
              </w:rPr>
            </w:pPr>
            <w:r w:rsidRPr="00361139">
              <w:rPr>
                <w:lang w:val="en-GB"/>
              </w:rPr>
              <w:t>6,62</w:t>
            </w:r>
          </w:p>
        </w:tc>
      </w:tr>
      <w:tr w:rsidR="00FA47A8" w:rsidRPr="00361139" w14:paraId="21EFE543" w14:textId="77777777" w:rsidTr="00413E25">
        <w:trPr>
          <w:cantSplit/>
          <w:trHeight w:val="57"/>
          <w:jc w:val="right"/>
        </w:trPr>
        <w:tc>
          <w:tcPr>
            <w:tcW w:w="677" w:type="dxa"/>
            <w:shd w:val="clear" w:color="auto" w:fill="auto"/>
            <w:noWrap/>
            <w:hideMark/>
          </w:tcPr>
          <w:p w14:paraId="50F69A5A" w14:textId="77777777" w:rsidR="00CC73DD" w:rsidRPr="00361139" w:rsidRDefault="00CC73DD" w:rsidP="00DB2573">
            <w:pPr>
              <w:pStyle w:val="Normal-pool-Table"/>
              <w:rPr>
                <w:lang w:val="en-GB"/>
              </w:rPr>
            </w:pPr>
            <w:r w:rsidRPr="00361139">
              <w:rPr>
                <w:lang w:val="en-GB"/>
              </w:rPr>
              <w:t>9684</w:t>
            </w:r>
          </w:p>
        </w:tc>
        <w:tc>
          <w:tcPr>
            <w:tcW w:w="677" w:type="dxa"/>
            <w:shd w:val="clear" w:color="auto" w:fill="auto"/>
            <w:noWrap/>
            <w:hideMark/>
          </w:tcPr>
          <w:p w14:paraId="1F8C617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784B660" w14:textId="77777777" w:rsidR="00CC73DD" w:rsidRPr="00361139" w:rsidRDefault="00CC73DD" w:rsidP="00DB2573">
            <w:pPr>
              <w:pStyle w:val="Normal-pool-Table"/>
              <w:rPr>
                <w:lang w:val="en-GB"/>
              </w:rPr>
            </w:pPr>
            <w:r w:rsidRPr="00361139">
              <w:rPr>
                <w:lang w:val="en-GB"/>
              </w:rPr>
              <w:t>Turkey, Albania, Libya, Montenegro, Morocco, Tunisia, Bosnia-Herzegovina, Egypt, Lebanon, Algeria</w:t>
            </w:r>
          </w:p>
        </w:tc>
        <w:tc>
          <w:tcPr>
            <w:tcW w:w="2126" w:type="dxa"/>
            <w:shd w:val="clear" w:color="auto" w:fill="auto"/>
            <w:noWrap/>
            <w:hideMark/>
          </w:tcPr>
          <w:p w14:paraId="69556307" w14:textId="7945B220" w:rsidR="00CC73DD" w:rsidRPr="00361139" w:rsidRDefault="00CC73DD" w:rsidP="00DB2573">
            <w:pPr>
              <w:pStyle w:val="Normal-pool-Table"/>
              <w:rPr>
                <w:lang w:val="en-GB"/>
              </w:rPr>
            </w:pPr>
            <w:r w:rsidRPr="00361139">
              <w:rPr>
                <w:lang w:val="en-GB"/>
              </w:rPr>
              <w:t>Reducing</w:t>
            </w:r>
            <w:r w:rsidR="00334B82" w:rsidRPr="00361139">
              <w:rPr>
                <w:lang w:val="en-GB"/>
              </w:rPr>
              <w:t xml:space="preserve"> </w:t>
            </w:r>
            <w:r w:rsidRPr="00361139">
              <w:rPr>
                <w:lang w:val="en-GB"/>
              </w:rPr>
              <w:t>Pollution from Harmful Chemicals and Wastes in Mediterranean Hot Spots and Measuring Progress to Impacts - Regional</w:t>
            </w:r>
          </w:p>
        </w:tc>
        <w:tc>
          <w:tcPr>
            <w:tcW w:w="992" w:type="dxa"/>
            <w:shd w:val="clear" w:color="auto" w:fill="auto"/>
            <w:noWrap/>
            <w:hideMark/>
          </w:tcPr>
          <w:p w14:paraId="0BC501C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FE2CB6C"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AA2BFAE"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30A0610F" w14:textId="77777777" w:rsidR="00CC73DD" w:rsidRPr="00361139" w:rsidRDefault="00CC73DD" w:rsidP="002232EE">
            <w:pPr>
              <w:pStyle w:val="Normal-pool-Table"/>
              <w:jc w:val="right"/>
              <w:rPr>
                <w:lang w:val="en-GB"/>
              </w:rPr>
            </w:pPr>
            <w:r w:rsidRPr="00361139">
              <w:rPr>
                <w:lang w:val="en-GB"/>
              </w:rPr>
              <w:t>14,25</w:t>
            </w:r>
          </w:p>
        </w:tc>
        <w:tc>
          <w:tcPr>
            <w:tcW w:w="1037" w:type="dxa"/>
            <w:shd w:val="clear" w:color="auto" w:fill="auto"/>
            <w:noWrap/>
            <w:hideMark/>
          </w:tcPr>
          <w:p w14:paraId="13B8570A" w14:textId="77777777" w:rsidR="00CC73DD" w:rsidRPr="00361139" w:rsidRDefault="00CC73DD" w:rsidP="002232EE">
            <w:pPr>
              <w:pStyle w:val="Normal-pool-Table"/>
              <w:jc w:val="right"/>
              <w:rPr>
                <w:lang w:val="en-GB"/>
              </w:rPr>
            </w:pPr>
            <w:r w:rsidRPr="00361139">
              <w:rPr>
                <w:lang w:val="en-GB"/>
              </w:rPr>
              <w:t>53,15</w:t>
            </w:r>
          </w:p>
        </w:tc>
      </w:tr>
      <w:tr w:rsidR="00FA47A8" w:rsidRPr="00361139" w14:paraId="1C9EE794" w14:textId="77777777" w:rsidTr="00413E25">
        <w:trPr>
          <w:cantSplit/>
          <w:trHeight w:val="57"/>
          <w:jc w:val="right"/>
        </w:trPr>
        <w:tc>
          <w:tcPr>
            <w:tcW w:w="677" w:type="dxa"/>
            <w:shd w:val="clear" w:color="auto" w:fill="auto"/>
            <w:noWrap/>
            <w:hideMark/>
          </w:tcPr>
          <w:p w14:paraId="0B3B11E3" w14:textId="77777777" w:rsidR="00CC73DD" w:rsidRPr="00361139" w:rsidRDefault="00CC73DD" w:rsidP="00DB2573">
            <w:pPr>
              <w:pStyle w:val="Normal-pool-Table"/>
              <w:rPr>
                <w:lang w:val="en-GB"/>
              </w:rPr>
            </w:pPr>
            <w:r w:rsidRPr="00361139">
              <w:rPr>
                <w:lang w:val="en-GB"/>
              </w:rPr>
              <w:t>9680</w:t>
            </w:r>
          </w:p>
        </w:tc>
        <w:tc>
          <w:tcPr>
            <w:tcW w:w="677" w:type="dxa"/>
            <w:shd w:val="clear" w:color="auto" w:fill="auto"/>
            <w:noWrap/>
            <w:hideMark/>
          </w:tcPr>
          <w:p w14:paraId="7429DD12"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512F0CE" w14:textId="77777777" w:rsidR="00CC73DD" w:rsidRPr="00361139" w:rsidRDefault="00CC73DD" w:rsidP="00DB2573">
            <w:pPr>
              <w:pStyle w:val="Normal-pool-Table"/>
              <w:rPr>
                <w:lang w:val="en-GB"/>
              </w:rPr>
            </w:pPr>
            <w:r w:rsidRPr="00361139">
              <w:rPr>
                <w:lang w:val="en-GB"/>
              </w:rPr>
              <w:t>Mongolia</w:t>
            </w:r>
          </w:p>
        </w:tc>
        <w:tc>
          <w:tcPr>
            <w:tcW w:w="2126" w:type="dxa"/>
            <w:shd w:val="clear" w:color="auto" w:fill="auto"/>
            <w:noWrap/>
            <w:hideMark/>
          </w:tcPr>
          <w:p w14:paraId="42ACCCA7" w14:textId="77777777" w:rsidR="00CC73DD" w:rsidRPr="00361139" w:rsidRDefault="00CC73DD" w:rsidP="00DB2573">
            <w:pPr>
              <w:pStyle w:val="Normal-pool-Table"/>
              <w:rPr>
                <w:lang w:val="en-GB"/>
              </w:rPr>
            </w:pPr>
            <w:r w:rsidRPr="00361139">
              <w:rPr>
                <w:lang w:val="en-GB"/>
              </w:rPr>
              <w:t>Advanced Minamata Initial Assessment in Mongolia</w:t>
            </w:r>
          </w:p>
        </w:tc>
        <w:tc>
          <w:tcPr>
            <w:tcW w:w="992" w:type="dxa"/>
            <w:shd w:val="clear" w:color="auto" w:fill="auto"/>
            <w:noWrap/>
            <w:hideMark/>
          </w:tcPr>
          <w:p w14:paraId="7A33F6E2"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3693429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A6EC338"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6441ACE"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4DC5140C" w14:textId="77777777" w:rsidR="00CC73DD" w:rsidRPr="00361139" w:rsidRDefault="00CC73DD" w:rsidP="002232EE">
            <w:pPr>
              <w:pStyle w:val="Normal-pool-Table"/>
              <w:jc w:val="right"/>
              <w:rPr>
                <w:lang w:val="en-GB"/>
              </w:rPr>
            </w:pPr>
            <w:r w:rsidRPr="00361139">
              <w:rPr>
                <w:lang w:val="en-GB"/>
              </w:rPr>
              <w:t>0,02</w:t>
            </w:r>
          </w:p>
        </w:tc>
      </w:tr>
      <w:tr w:rsidR="00FA47A8" w:rsidRPr="00361139" w14:paraId="1962978B" w14:textId="77777777" w:rsidTr="00413E25">
        <w:trPr>
          <w:cantSplit/>
          <w:trHeight w:val="57"/>
          <w:jc w:val="right"/>
        </w:trPr>
        <w:tc>
          <w:tcPr>
            <w:tcW w:w="677" w:type="dxa"/>
            <w:shd w:val="clear" w:color="auto" w:fill="auto"/>
            <w:noWrap/>
            <w:hideMark/>
          </w:tcPr>
          <w:p w14:paraId="1726DCBA" w14:textId="77777777" w:rsidR="00CC73DD" w:rsidRPr="00361139" w:rsidRDefault="00CC73DD" w:rsidP="00DB2573">
            <w:pPr>
              <w:pStyle w:val="Normal-pool-Table"/>
              <w:rPr>
                <w:lang w:val="en-GB"/>
              </w:rPr>
            </w:pPr>
            <w:r w:rsidRPr="00361139">
              <w:rPr>
                <w:lang w:val="en-GB"/>
              </w:rPr>
              <w:t>9644</w:t>
            </w:r>
          </w:p>
        </w:tc>
        <w:tc>
          <w:tcPr>
            <w:tcW w:w="677" w:type="dxa"/>
            <w:shd w:val="clear" w:color="auto" w:fill="auto"/>
            <w:noWrap/>
            <w:hideMark/>
          </w:tcPr>
          <w:p w14:paraId="48EE9BBE"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4D9AF81" w14:textId="77777777" w:rsidR="00CC73DD" w:rsidRPr="00361139" w:rsidRDefault="00CC73DD" w:rsidP="00DB2573">
            <w:pPr>
              <w:pStyle w:val="Normal-pool-Table"/>
              <w:rPr>
                <w:lang w:val="en-GB"/>
              </w:rPr>
            </w:pPr>
            <w:r w:rsidRPr="00361139">
              <w:rPr>
                <w:lang w:val="en-GB"/>
              </w:rPr>
              <w:t>Kyrgyz Republic</w:t>
            </w:r>
          </w:p>
        </w:tc>
        <w:tc>
          <w:tcPr>
            <w:tcW w:w="2126" w:type="dxa"/>
            <w:shd w:val="clear" w:color="auto" w:fill="auto"/>
            <w:noWrap/>
            <w:hideMark/>
          </w:tcPr>
          <w:p w14:paraId="2E2E956C" w14:textId="77777777" w:rsidR="00CC73DD" w:rsidRPr="00361139" w:rsidRDefault="00CC73DD" w:rsidP="00DB2573">
            <w:pPr>
              <w:pStyle w:val="Normal-pool-Table"/>
              <w:rPr>
                <w:lang w:val="en-GB"/>
              </w:rPr>
            </w:pPr>
            <w:r w:rsidRPr="00361139">
              <w:rPr>
                <w:lang w:val="en-GB"/>
              </w:rPr>
              <w:t xml:space="preserve">Development of Minamata Initial Assessment and Updating of National Action Plan for Artisanal and </w:t>
            </w:r>
            <w:proofErr w:type="gramStart"/>
            <w:r w:rsidRPr="00361139">
              <w:rPr>
                <w:lang w:val="en-GB"/>
              </w:rPr>
              <w:t>Small Scale</w:t>
            </w:r>
            <w:proofErr w:type="gramEnd"/>
            <w:r w:rsidRPr="00361139">
              <w:rPr>
                <w:lang w:val="en-GB"/>
              </w:rPr>
              <w:t xml:space="preserve"> Gold Mining</w:t>
            </w:r>
          </w:p>
        </w:tc>
        <w:tc>
          <w:tcPr>
            <w:tcW w:w="992" w:type="dxa"/>
            <w:shd w:val="clear" w:color="auto" w:fill="auto"/>
            <w:noWrap/>
            <w:hideMark/>
          </w:tcPr>
          <w:p w14:paraId="4C27147E"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24A11D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E9A7C48"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479EAB93"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2D2902F1" w14:textId="77777777" w:rsidR="00CC73DD" w:rsidRPr="00361139" w:rsidRDefault="00CC73DD" w:rsidP="002232EE">
            <w:pPr>
              <w:pStyle w:val="Normal-pool-Table"/>
              <w:jc w:val="right"/>
              <w:rPr>
                <w:lang w:val="en-GB"/>
              </w:rPr>
            </w:pPr>
            <w:r w:rsidRPr="00361139">
              <w:rPr>
                <w:lang w:val="en-GB"/>
              </w:rPr>
              <w:t>0,00</w:t>
            </w:r>
          </w:p>
        </w:tc>
      </w:tr>
      <w:tr w:rsidR="00FA47A8" w:rsidRPr="00361139" w14:paraId="6FB2C579" w14:textId="77777777" w:rsidTr="00413E25">
        <w:trPr>
          <w:cantSplit/>
          <w:trHeight w:val="57"/>
          <w:jc w:val="right"/>
        </w:trPr>
        <w:tc>
          <w:tcPr>
            <w:tcW w:w="677" w:type="dxa"/>
            <w:shd w:val="clear" w:color="auto" w:fill="auto"/>
            <w:noWrap/>
            <w:hideMark/>
          </w:tcPr>
          <w:p w14:paraId="765C679D" w14:textId="77777777" w:rsidR="00CC73DD" w:rsidRPr="00361139" w:rsidRDefault="00CC73DD" w:rsidP="00DB2573">
            <w:pPr>
              <w:pStyle w:val="Normal-pool-Table"/>
              <w:rPr>
                <w:lang w:val="en-GB"/>
              </w:rPr>
            </w:pPr>
            <w:r w:rsidRPr="00361139">
              <w:rPr>
                <w:lang w:val="en-GB"/>
              </w:rPr>
              <w:t>9641</w:t>
            </w:r>
          </w:p>
        </w:tc>
        <w:tc>
          <w:tcPr>
            <w:tcW w:w="677" w:type="dxa"/>
            <w:shd w:val="clear" w:color="auto" w:fill="auto"/>
            <w:noWrap/>
            <w:hideMark/>
          </w:tcPr>
          <w:p w14:paraId="51FFF41C"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344BC99" w14:textId="77777777" w:rsidR="00CC73DD" w:rsidRPr="00361139" w:rsidRDefault="00CC73DD" w:rsidP="00DB2573">
            <w:pPr>
              <w:pStyle w:val="Normal-pool-Table"/>
              <w:rPr>
                <w:lang w:val="en-GB"/>
              </w:rPr>
            </w:pPr>
            <w:r w:rsidRPr="00361139">
              <w:rPr>
                <w:lang w:val="en-GB"/>
              </w:rPr>
              <w:t>Eritrea</w:t>
            </w:r>
          </w:p>
        </w:tc>
        <w:tc>
          <w:tcPr>
            <w:tcW w:w="2126" w:type="dxa"/>
            <w:shd w:val="clear" w:color="auto" w:fill="auto"/>
            <w:noWrap/>
            <w:hideMark/>
          </w:tcPr>
          <w:p w14:paraId="5F041F09" w14:textId="77777777" w:rsidR="00CC73DD" w:rsidRPr="00361139" w:rsidRDefault="00CC73DD" w:rsidP="00DB2573">
            <w:pPr>
              <w:pStyle w:val="Normal-pool-Table"/>
              <w:rPr>
                <w:lang w:val="en-GB"/>
              </w:rPr>
            </w:pPr>
            <w:r w:rsidRPr="00361139">
              <w:rPr>
                <w:lang w:val="en-GB"/>
              </w:rPr>
              <w:t xml:space="preserve">Development of Minamata Initial Assessment and National Action Plan for Artisanal and </w:t>
            </w:r>
            <w:proofErr w:type="gramStart"/>
            <w:r w:rsidRPr="00361139">
              <w:rPr>
                <w:lang w:val="en-GB"/>
              </w:rPr>
              <w:t>Small Scale</w:t>
            </w:r>
            <w:proofErr w:type="gramEnd"/>
            <w:r w:rsidRPr="00361139">
              <w:rPr>
                <w:lang w:val="en-GB"/>
              </w:rPr>
              <w:t xml:space="preserve"> Gold Mining in Eritrea</w:t>
            </w:r>
          </w:p>
        </w:tc>
        <w:tc>
          <w:tcPr>
            <w:tcW w:w="992" w:type="dxa"/>
            <w:shd w:val="clear" w:color="auto" w:fill="auto"/>
            <w:noWrap/>
            <w:hideMark/>
          </w:tcPr>
          <w:p w14:paraId="3C2773DC"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094A5B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1A68C23"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1D5B0411"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47B7C2A3" w14:textId="77777777" w:rsidR="00CC73DD" w:rsidRPr="00361139" w:rsidRDefault="00CC73DD" w:rsidP="002232EE">
            <w:pPr>
              <w:pStyle w:val="Normal-pool-Table"/>
              <w:jc w:val="right"/>
              <w:rPr>
                <w:lang w:val="en-GB"/>
              </w:rPr>
            </w:pPr>
            <w:r w:rsidRPr="00361139">
              <w:rPr>
                <w:lang w:val="en-GB"/>
              </w:rPr>
              <w:t>0,00</w:t>
            </w:r>
          </w:p>
        </w:tc>
      </w:tr>
      <w:tr w:rsidR="00FA47A8" w:rsidRPr="00361139" w14:paraId="1DB72CBE" w14:textId="77777777" w:rsidTr="00413E25">
        <w:trPr>
          <w:cantSplit/>
          <w:trHeight w:val="57"/>
          <w:jc w:val="right"/>
        </w:trPr>
        <w:tc>
          <w:tcPr>
            <w:tcW w:w="677" w:type="dxa"/>
            <w:shd w:val="clear" w:color="auto" w:fill="auto"/>
            <w:noWrap/>
            <w:hideMark/>
          </w:tcPr>
          <w:p w14:paraId="384EA021" w14:textId="77777777" w:rsidR="00CC73DD" w:rsidRPr="00361139" w:rsidRDefault="00CC73DD" w:rsidP="00DB2573">
            <w:pPr>
              <w:pStyle w:val="Normal-pool-Table"/>
              <w:rPr>
                <w:lang w:val="en-GB"/>
              </w:rPr>
            </w:pPr>
            <w:r w:rsidRPr="00361139">
              <w:rPr>
                <w:lang w:val="en-GB"/>
              </w:rPr>
              <w:t>9622</w:t>
            </w:r>
          </w:p>
        </w:tc>
        <w:tc>
          <w:tcPr>
            <w:tcW w:w="677" w:type="dxa"/>
            <w:shd w:val="clear" w:color="auto" w:fill="auto"/>
            <w:noWrap/>
            <w:hideMark/>
          </w:tcPr>
          <w:p w14:paraId="3B61DE7E"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4A14CB5" w14:textId="77777777" w:rsidR="00CC73DD" w:rsidRPr="00361139" w:rsidRDefault="00CC73DD" w:rsidP="00DB2573">
            <w:pPr>
              <w:pStyle w:val="Normal-pool-Table"/>
              <w:rPr>
                <w:lang w:val="en-GB"/>
              </w:rPr>
            </w:pPr>
            <w:r w:rsidRPr="00361139">
              <w:rPr>
                <w:lang w:val="en-GB"/>
              </w:rPr>
              <w:t>Lao PDR</w:t>
            </w:r>
          </w:p>
        </w:tc>
        <w:tc>
          <w:tcPr>
            <w:tcW w:w="2126" w:type="dxa"/>
            <w:shd w:val="clear" w:color="auto" w:fill="auto"/>
            <w:noWrap/>
            <w:hideMark/>
          </w:tcPr>
          <w:p w14:paraId="2B0899CA" w14:textId="77777777" w:rsidR="00CC73DD" w:rsidRPr="00361139" w:rsidRDefault="00CC73DD" w:rsidP="00DB2573">
            <w:pPr>
              <w:pStyle w:val="Normal-pool-Table"/>
              <w:rPr>
                <w:lang w:val="en-GB"/>
              </w:rPr>
            </w:pPr>
            <w:r w:rsidRPr="00361139">
              <w:rPr>
                <w:lang w:val="en-GB"/>
              </w:rPr>
              <w:t xml:space="preserve">Development of Minamata Initial Assessment and Updating of National Action Plan for Artisanal and </w:t>
            </w:r>
            <w:proofErr w:type="gramStart"/>
            <w:r w:rsidRPr="00361139">
              <w:rPr>
                <w:lang w:val="en-GB"/>
              </w:rPr>
              <w:t>Small Scale</w:t>
            </w:r>
            <w:proofErr w:type="gramEnd"/>
            <w:r w:rsidRPr="00361139">
              <w:rPr>
                <w:lang w:val="en-GB"/>
              </w:rPr>
              <w:t xml:space="preserve"> Gold Mining</w:t>
            </w:r>
          </w:p>
        </w:tc>
        <w:tc>
          <w:tcPr>
            <w:tcW w:w="992" w:type="dxa"/>
            <w:shd w:val="clear" w:color="auto" w:fill="auto"/>
            <w:noWrap/>
            <w:hideMark/>
          </w:tcPr>
          <w:p w14:paraId="0400B2A7"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9D2631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73072ED"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68B5B474"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1DD8B57D" w14:textId="77777777" w:rsidR="00CC73DD" w:rsidRPr="00361139" w:rsidRDefault="00CC73DD" w:rsidP="002232EE">
            <w:pPr>
              <w:pStyle w:val="Normal-pool-Table"/>
              <w:jc w:val="right"/>
              <w:rPr>
                <w:lang w:val="en-GB"/>
              </w:rPr>
            </w:pPr>
            <w:r w:rsidRPr="00361139">
              <w:rPr>
                <w:lang w:val="en-GB"/>
              </w:rPr>
              <w:t>0,00</w:t>
            </w:r>
          </w:p>
        </w:tc>
      </w:tr>
      <w:tr w:rsidR="00FA47A8" w:rsidRPr="00361139" w14:paraId="2ABF4DFF" w14:textId="77777777" w:rsidTr="00413E25">
        <w:trPr>
          <w:cantSplit/>
          <w:trHeight w:val="57"/>
          <w:jc w:val="right"/>
        </w:trPr>
        <w:tc>
          <w:tcPr>
            <w:tcW w:w="677" w:type="dxa"/>
            <w:shd w:val="clear" w:color="auto" w:fill="auto"/>
            <w:noWrap/>
            <w:hideMark/>
          </w:tcPr>
          <w:p w14:paraId="173C2E92" w14:textId="77777777" w:rsidR="00CC73DD" w:rsidRPr="00361139" w:rsidRDefault="00CC73DD" w:rsidP="00DB2573">
            <w:pPr>
              <w:pStyle w:val="Normal-pool-Table"/>
              <w:rPr>
                <w:lang w:val="en-GB"/>
              </w:rPr>
            </w:pPr>
            <w:r w:rsidRPr="00361139">
              <w:rPr>
                <w:lang w:val="en-GB"/>
              </w:rPr>
              <w:t>9547</w:t>
            </w:r>
          </w:p>
        </w:tc>
        <w:tc>
          <w:tcPr>
            <w:tcW w:w="677" w:type="dxa"/>
            <w:shd w:val="clear" w:color="auto" w:fill="auto"/>
            <w:noWrap/>
            <w:hideMark/>
          </w:tcPr>
          <w:p w14:paraId="7AD35DB1"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9BE5A85" w14:textId="77777777" w:rsidR="00CC73DD" w:rsidRPr="00361139" w:rsidRDefault="00CC73DD" w:rsidP="00DB2573">
            <w:pPr>
              <w:pStyle w:val="Normal-pool-Table"/>
              <w:rPr>
                <w:lang w:val="en-GB"/>
              </w:rPr>
            </w:pPr>
            <w:r w:rsidRPr="00361139">
              <w:rPr>
                <w:lang w:val="en-GB"/>
              </w:rPr>
              <w:t>Guinea, Niger</w:t>
            </w:r>
          </w:p>
        </w:tc>
        <w:tc>
          <w:tcPr>
            <w:tcW w:w="2126" w:type="dxa"/>
            <w:shd w:val="clear" w:color="auto" w:fill="auto"/>
            <w:noWrap/>
            <w:hideMark/>
          </w:tcPr>
          <w:p w14:paraId="36A366AD" w14:textId="77777777" w:rsidR="00CC73DD" w:rsidRPr="00361139" w:rsidRDefault="00CC73DD" w:rsidP="00DB2573">
            <w:pPr>
              <w:pStyle w:val="Normal-pool-Table"/>
              <w:rPr>
                <w:lang w:val="en-GB"/>
              </w:rPr>
            </w:pPr>
            <w:r w:rsidRPr="00361139">
              <w:rPr>
                <w:lang w:val="en-GB"/>
              </w:rPr>
              <w:t xml:space="preserve">Development of National Action Plan for Artisanal and </w:t>
            </w:r>
            <w:proofErr w:type="gramStart"/>
            <w:r w:rsidRPr="00361139">
              <w:rPr>
                <w:lang w:val="en-GB"/>
              </w:rPr>
              <w:t>Small Scale</w:t>
            </w:r>
            <w:proofErr w:type="gramEnd"/>
            <w:r w:rsidRPr="00361139">
              <w:rPr>
                <w:lang w:val="en-GB"/>
              </w:rPr>
              <w:t xml:space="preserve"> Gold Mining in Guinea and Niger</w:t>
            </w:r>
          </w:p>
        </w:tc>
        <w:tc>
          <w:tcPr>
            <w:tcW w:w="992" w:type="dxa"/>
            <w:shd w:val="clear" w:color="auto" w:fill="auto"/>
            <w:noWrap/>
            <w:hideMark/>
          </w:tcPr>
          <w:p w14:paraId="35A6C3D4"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9B372B5"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44469A9"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5F96656A"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27BD785D" w14:textId="77777777" w:rsidR="00CC73DD" w:rsidRPr="00361139" w:rsidRDefault="00CC73DD" w:rsidP="002232EE">
            <w:pPr>
              <w:pStyle w:val="Normal-pool-Table"/>
              <w:jc w:val="right"/>
              <w:rPr>
                <w:lang w:val="en-GB"/>
              </w:rPr>
            </w:pPr>
            <w:r w:rsidRPr="00361139">
              <w:rPr>
                <w:lang w:val="en-GB"/>
              </w:rPr>
              <w:t>0,00</w:t>
            </w:r>
          </w:p>
        </w:tc>
      </w:tr>
      <w:tr w:rsidR="00FA47A8" w:rsidRPr="00361139" w14:paraId="47401DDA" w14:textId="77777777" w:rsidTr="00413E25">
        <w:trPr>
          <w:cantSplit/>
          <w:trHeight w:val="57"/>
          <w:jc w:val="right"/>
        </w:trPr>
        <w:tc>
          <w:tcPr>
            <w:tcW w:w="677" w:type="dxa"/>
            <w:shd w:val="clear" w:color="auto" w:fill="auto"/>
            <w:noWrap/>
            <w:hideMark/>
          </w:tcPr>
          <w:p w14:paraId="081FEAAF" w14:textId="77777777" w:rsidR="00CC73DD" w:rsidRPr="00361139" w:rsidRDefault="00CC73DD" w:rsidP="00DB2573">
            <w:pPr>
              <w:pStyle w:val="Normal-pool-Table"/>
              <w:rPr>
                <w:lang w:val="en-GB"/>
              </w:rPr>
            </w:pPr>
            <w:r w:rsidRPr="00361139">
              <w:rPr>
                <w:lang w:val="en-GB"/>
              </w:rPr>
              <w:t>9533</w:t>
            </w:r>
          </w:p>
        </w:tc>
        <w:tc>
          <w:tcPr>
            <w:tcW w:w="677" w:type="dxa"/>
            <w:shd w:val="clear" w:color="auto" w:fill="auto"/>
            <w:noWrap/>
            <w:hideMark/>
          </w:tcPr>
          <w:p w14:paraId="4B7AF42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46F50E9A" w14:textId="77777777" w:rsidR="00CC73DD" w:rsidRPr="00361139" w:rsidRDefault="00CC73DD" w:rsidP="00DB2573">
            <w:pPr>
              <w:pStyle w:val="Normal-pool-Table"/>
              <w:rPr>
                <w:lang w:val="en-GB"/>
              </w:rPr>
            </w:pPr>
            <w:r w:rsidRPr="00361139">
              <w:rPr>
                <w:lang w:val="en-GB"/>
              </w:rPr>
              <w:t>Mali, Senegal</w:t>
            </w:r>
          </w:p>
        </w:tc>
        <w:tc>
          <w:tcPr>
            <w:tcW w:w="2126" w:type="dxa"/>
            <w:shd w:val="clear" w:color="auto" w:fill="auto"/>
            <w:noWrap/>
            <w:hideMark/>
          </w:tcPr>
          <w:p w14:paraId="423DF7A5" w14:textId="77777777" w:rsidR="00CC73DD" w:rsidRPr="00361139" w:rsidRDefault="00CC73DD" w:rsidP="00DB2573">
            <w:pPr>
              <w:pStyle w:val="Normal-pool-Table"/>
              <w:rPr>
                <w:lang w:val="en-GB"/>
              </w:rPr>
            </w:pPr>
            <w:r w:rsidRPr="00361139">
              <w:rPr>
                <w:lang w:val="en-GB"/>
              </w:rPr>
              <w:t xml:space="preserve">Development of National Action Plan for Artisanal and </w:t>
            </w:r>
            <w:proofErr w:type="gramStart"/>
            <w:r w:rsidRPr="00361139">
              <w:rPr>
                <w:lang w:val="en-GB"/>
              </w:rPr>
              <w:t>Small Scale</w:t>
            </w:r>
            <w:proofErr w:type="gramEnd"/>
            <w:r w:rsidRPr="00361139">
              <w:rPr>
                <w:lang w:val="en-GB"/>
              </w:rPr>
              <w:t xml:space="preserve"> Gold Mining Mali and Senegal</w:t>
            </w:r>
          </w:p>
        </w:tc>
        <w:tc>
          <w:tcPr>
            <w:tcW w:w="992" w:type="dxa"/>
            <w:shd w:val="clear" w:color="auto" w:fill="auto"/>
            <w:noWrap/>
            <w:hideMark/>
          </w:tcPr>
          <w:p w14:paraId="5E525CA4"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8B8E868"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8B895AE"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2C52FB05"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0674BB3F" w14:textId="77777777" w:rsidR="00CC73DD" w:rsidRPr="00361139" w:rsidRDefault="00CC73DD" w:rsidP="002232EE">
            <w:pPr>
              <w:pStyle w:val="Normal-pool-Table"/>
              <w:jc w:val="right"/>
              <w:rPr>
                <w:lang w:val="en-GB"/>
              </w:rPr>
            </w:pPr>
            <w:r w:rsidRPr="00361139">
              <w:rPr>
                <w:lang w:val="en-GB"/>
              </w:rPr>
              <w:t>0,00</w:t>
            </w:r>
          </w:p>
        </w:tc>
      </w:tr>
      <w:tr w:rsidR="00FA47A8" w:rsidRPr="00361139" w14:paraId="6C7B9F42" w14:textId="77777777" w:rsidTr="00413E25">
        <w:trPr>
          <w:cantSplit/>
          <w:trHeight w:val="57"/>
          <w:jc w:val="right"/>
        </w:trPr>
        <w:tc>
          <w:tcPr>
            <w:tcW w:w="677" w:type="dxa"/>
            <w:shd w:val="clear" w:color="auto" w:fill="auto"/>
            <w:noWrap/>
            <w:hideMark/>
          </w:tcPr>
          <w:p w14:paraId="01C6165B" w14:textId="77777777" w:rsidR="00CC73DD" w:rsidRPr="00361139" w:rsidRDefault="00CC73DD" w:rsidP="00DB2573">
            <w:pPr>
              <w:pStyle w:val="Normal-pool-Table"/>
              <w:rPr>
                <w:lang w:val="en-GB"/>
              </w:rPr>
            </w:pPr>
            <w:r w:rsidRPr="00361139">
              <w:rPr>
                <w:lang w:val="en-GB"/>
              </w:rPr>
              <w:lastRenderedPageBreak/>
              <w:t>9494</w:t>
            </w:r>
          </w:p>
        </w:tc>
        <w:tc>
          <w:tcPr>
            <w:tcW w:w="677" w:type="dxa"/>
            <w:shd w:val="clear" w:color="auto" w:fill="auto"/>
            <w:noWrap/>
            <w:hideMark/>
          </w:tcPr>
          <w:p w14:paraId="27545297"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8F120CE" w14:textId="77777777" w:rsidR="00CC73DD" w:rsidRPr="00361139" w:rsidRDefault="00CC73DD" w:rsidP="00DB2573">
            <w:pPr>
              <w:pStyle w:val="Normal-pool-Table"/>
              <w:rPr>
                <w:lang w:val="en-GB"/>
              </w:rPr>
            </w:pPr>
            <w:r w:rsidRPr="00361139">
              <w:rPr>
                <w:lang w:val="en-GB"/>
              </w:rPr>
              <w:t>South Africa</w:t>
            </w:r>
          </w:p>
        </w:tc>
        <w:tc>
          <w:tcPr>
            <w:tcW w:w="2126" w:type="dxa"/>
            <w:shd w:val="clear" w:color="auto" w:fill="auto"/>
            <w:noWrap/>
            <w:hideMark/>
          </w:tcPr>
          <w:p w14:paraId="0584674A" w14:textId="77777777" w:rsidR="00CC73DD" w:rsidRPr="00361139" w:rsidRDefault="00CC73DD" w:rsidP="00DB2573">
            <w:pPr>
              <w:pStyle w:val="Normal-pool-Table"/>
              <w:rPr>
                <w:lang w:val="en-GB"/>
              </w:rPr>
            </w:pPr>
            <w:r w:rsidRPr="00361139">
              <w:rPr>
                <w:lang w:val="en-GB"/>
              </w:rPr>
              <w:t>Development of Minamata Initial Assessment in South Africa</w:t>
            </w:r>
          </w:p>
        </w:tc>
        <w:tc>
          <w:tcPr>
            <w:tcW w:w="992" w:type="dxa"/>
            <w:shd w:val="clear" w:color="auto" w:fill="auto"/>
            <w:noWrap/>
            <w:hideMark/>
          </w:tcPr>
          <w:p w14:paraId="437B3D4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9EB8E62"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CC23686"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11B25BE5"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027C0FED" w14:textId="77777777" w:rsidR="00CC73DD" w:rsidRPr="00361139" w:rsidRDefault="00CC73DD" w:rsidP="002232EE">
            <w:pPr>
              <w:pStyle w:val="Normal-pool-Table"/>
              <w:jc w:val="right"/>
              <w:rPr>
                <w:lang w:val="en-GB"/>
              </w:rPr>
            </w:pPr>
            <w:r w:rsidRPr="00361139">
              <w:rPr>
                <w:lang w:val="en-GB"/>
              </w:rPr>
              <w:t>0,00</w:t>
            </w:r>
          </w:p>
        </w:tc>
      </w:tr>
      <w:tr w:rsidR="00FA47A8" w:rsidRPr="00361139" w14:paraId="32ABDE23" w14:textId="77777777" w:rsidTr="00413E25">
        <w:trPr>
          <w:cantSplit/>
          <w:trHeight w:val="57"/>
          <w:jc w:val="right"/>
        </w:trPr>
        <w:tc>
          <w:tcPr>
            <w:tcW w:w="677" w:type="dxa"/>
            <w:shd w:val="clear" w:color="auto" w:fill="auto"/>
            <w:noWrap/>
            <w:hideMark/>
          </w:tcPr>
          <w:p w14:paraId="5D998E9A" w14:textId="77777777" w:rsidR="00CC73DD" w:rsidRPr="00361139" w:rsidRDefault="00CC73DD" w:rsidP="00DB2573">
            <w:pPr>
              <w:pStyle w:val="Normal-pool-Table"/>
              <w:rPr>
                <w:lang w:val="en-GB"/>
              </w:rPr>
            </w:pPr>
            <w:r w:rsidRPr="00361139">
              <w:rPr>
                <w:lang w:val="en-GB"/>
              </w:rPr>
              <w:t>9489</w:t>
            </w:r>
          </w:p>
        </w:tc>
        <w:tc>
          <w:tcPr>
            <w:tcW w:w="677" w:type="dxa"/>
            <w:shd w:val="clear" w:color="auto" w:fill="auto"/>
            <w:noWrap/>
            <w:hideMark/>
          </w:tcPr>
          <w:p w14:paraId="6700A2C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E729227" w14:textId="77777777" w:rsidR="00CC73DD" w:rsidRPr="00361139" w:rsidRDefault="00CC73DD" w:rsidP="00DB2573">
            <w:pPr>
              <w:pStyle w:val="Normal-pool-Table"/>
              <w:rPr>
                <w:lang w:val="en-GB"/>
              </w:rPr>
            </w:pPr>
            <w:r w:rsidRPr="00361139">
              <w:rPr>
                <w:lang w:val="en-GB"/>
              </w:rPr>
              <w:t>Suriname</w:t>
            </w:r>
          </w:p>
        </w:tc>
        <w:tc>
          <w:tcPr>
            <w:tcW w:w="2126" w:type="dxa"/>
            <w:shd w:val="clear" w:color="auto" w:fill="auto"/>
            <w:noWrap/>
            <w:hideMark/>
          </w:tcPr>
          <w:p w14:paraId="2C5DA96D" w14:textId="77777777" w:rsidR="00CC73DD" w:rsidRPr="00361139" w:rsidRDefault="00CC73DD" w:rsidP="00DB2573">
            <w:pPr>
              <w:pStyle w:val="Normal-pool-Table"/>
              <w:rPr>
                <w:lang w:val="en-GB"/>
              </w:rPr>
            </w:pPr>
            <w:r w:rsidRPr="00361139">
              <w:rPr>
                <w:lang w:val="en-GB"/>
              </w:rPr>
              <w:t>Artisanal and Small-Scale Gold Mining (ASGM) National Action Plan (NAP) for Suriname</w:t>
            </w:r>
          </w:p>
        </w:tc>
        <w:tc>
          <w:tcPr>
            <w:tcW w:w="992" w:type="dxa"/>
            <w:shd w:val="clear" w:color="auto" w:fill="auto"/>
            <w:noWrap/>
            <w:hideMark/>
          </w:tcPr>
          <w:p w14:paraId="20398A79"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5A820F8F"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4A9BC55A"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54EEF6D2"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6E7FAA0E" w14:textId="77777777" w:rsidR="00CC73DD" w:rsidRPr="00361139" w:rsidRDefault="00CC73DD" w:rsidP="002232EE">
            <w:pPr>
              <w:pStyle w:val="Normal-pool-Table"/>
              <w:jc w:val="right"/>
              <w:rPr>
                <w:lang w:val="en-GB"/>
              </w:rPr>
            </w:pPr>
            <w:r w:rsidRPr="00361139">
              <w:rPr>
                <w:lang w:val="en-GB"/>
              </w:rPr>
              <w:t>0,00</w:t>
            </w:r>
          </w:p>
        </w:tc>
      </w:tr>
      <w:tr w:rsidR="00FA47A8" w:rsidRPr="00361139" w14:paraId="50C73D33" w14:textId="77777777" w:rsidTr="00413E25">
        <w:trPr>
          <w:cantSplit/>
          <w:trHeight w:val="57"/>
          <w:jc w:val="right"/>
        </w:trPr>
        <w:tc>
          <w:tcPr>
            <w:tcW w:w="677" w:type="dxa"/>
            <w:shd w:val="clear" w:color="auto" w:fill="auto"/>
            <w:noWrap/>
            <w:hideMark/>
          </w:tcPr>
          <w:p w14:paraId="0675B2B8" w14:textId="77777777" w:rsidR="00CC73DD" w:rsidRPr="00361139" w:rsidRDefault="00CC73DD" w:rsidP="00DB2573">
            <w:pPr>
              <w:pStyle w:val="Normal-pool-Table"/>
              <w:rPr>
                <w:lang w:val="en-GB"/>
              </w:rPr>
            </w:pPr>
            <w:r w:rsidRPr="00361139">
              <w:rPr>
                <w:lang w:val="en-GB"/>
              </w:rPr>
              <w:t>9478</w:t>
            </w:r>
          </w:p>
        </w:tc>
        <w:tc>
          <w:tcPr>
            <w:tcW w:w="677" w:type="dxa"/>
            <w:shd w:val="clear" w:color="auto" w:fill="auto"/>
            <w:noWrap/>
            <w:hideMark/>
          </w:tcPr>
          <w:p w14:paraId="6C55F3B0"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872A5A4" w14:textId="77777777" w:rsidR="00CC73DD" w:rsidRPr="00361139" w:rsidRDefault="00CC73DD" w:rsidP="00DB2573">
            <w:pPr>
              <w:pStyle w:val="Normal-pool-Table"/>
              <w:rPr>
                <w:lang w:val="en-GB"/>
              </w:rPr>
            </w:pPr>
            <w:r w:rsidRPr="00361139">
              <w:rPr>
                <w:lang w:val="en-GB"/>
              </w:rPr>
              <w:t>Ghana</w:t>
            </w:r>
          </w:p>
        </w:tc>
        <w:tc>
          <w:tcPr>
            <w:tcW w:w="2126" w:type="dxa"/>
            <w:shd w:val="clear" w:color="auto" w:fill="auto"/>
            <w:noWrap/>
            <w:hideMark/>
          </w:tcPr>
          <w:p w14:paraId="2149646A"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Ghana</w:t>
            </w:r>
          </w:p>
        </w:tc>
        <w:tc>
          <w:tcPr>
            <w:tcW w:w="992" w:type="dxa"/>
            <w:shd w:val="clear" w:color="auto" w:fill="auto"/>
            <w:noWrap/>
            <w:hideMark/>
          </w:tcPr>
          <w:p w14:paraId="179DF633"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21FAC524"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C69BBEA"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6F5ABE92"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074DDA95" w14:textId="77777777" w:rsidR="00CC73DD" w:rsidRPr="00361139" w:rsidRDefault="00CC73DD" w:rsidP="002232EE">
            <w:pPr>
              <w:pStyle w:val="Normal-pool-Table"/>
              <w:jc w:val="right"/>
              <w:rPr>
                <w:lang w:val="en-GB"/>
              </w:rPr>
            </w:pPr>
            <w:r w:rsidRPr="00361139">
              <w:rPr>
                <w:lang w:val="en-GB"/>
              </w:rPr>
              <w:t>0,06</w:t>
            </w:r>
          </w:p>
        </w:tc>
      </w:tr>
      <w:tr w:rsidR="00FA47A8" w:rsidRPr="00361139" w14:paraId="14640FE9" w14:textId="77777777" w:rsidTr="00413E25">
        <w:trPr>
          <w:cantSplit/>
          <w:trHeight w:val="57"/>
          <w:jc w:val="right"/>
        </w:trPr>
        <w:tc>
          <w:tcPr>
            <w:tcW w:w="677" w:type="dxa"/>
            <w:shd w:val="clear" w:color="auto" w:fill="auto"/>
            <w:noWrap/>
            <w:hideMark/>
          </w:tcPr>
          <w:p w14:paraId="0683BAC7" w14:textId="77777777" w:rsidR="00CC73DD" w:rsidRPr="00361139" w:rsidRDefault="00CC73DD" w:rsidP="00DB2573">
            <w:pPr>
              <w:pStyle w:val="Normal-pool-Table"/>
              <w:rPr>
                <w:lang w:val="en-GB"/>
              </w:rPr>
            </w:pPr>
            <w:r w:rsidRPr="00361139">
              <w:rPr>
                <w:lang w:val="en-GB"/>
              </w:rPr>
              <w:t>9456</w:t>
            </w:r>
          </w:p>
        </w:tc>
        <w:tc>
          <w:tcPr>
            <w:tcW w:w="677" w:type="dxa"/>
            <w:shd w:val="clear" w:color="auto" w:fill="auto"/>
            <w:noWrap/>
            <w:hideMark/>
          </w:tcPr>
          <w:p w14:paraId="06A11154"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C227D5C" w14:textId="77777777" w:rsidR="00CC73DD" w:rsidRPr="00361139" w:rsidRDefault="00CC73DD" w:rsidP="00DB2573">
            <w:pPr>
              <w:pStyle w:val="Normal-pool-Table"/>
              <w:rPr>
                <w:lang w:val="en-GB"/>
              </w:rPr>
            </w:pPr>
            <w:r w:rsidRPr="00361139">
              <w:rPr>
                <w:lang w:val="en-GB"/>
              </w:rPr>
              <w:t>Tanzania</w:t>
            </w:r>
          </w:p>
        </w:tc>
        <w:tc>
          <w:tcPr>
            <w:tcW w:w="2126" w:type="dxa"/>
            <w:shd w:val="clear" w:color="auto" w:fill="auto"/>
            <w:noWrap/>
            <w:hideMark/>
          </w:tcPr>
          <w:p w14:paraId="023014F5" w14:textId="77777777" w:rsidR="00CC73DD" w:rsidRPr="00361139" w:rsidRDefault="00CC73DD" w:rsidP="00DB2573">
            <w:pPr>
              <w:pStyle w:val="Normal-pool-Table"/>
              <w:rPr>
                <w:lang w:val="en-GB"/>
              </w:rPr>
            </w:pPr>
            <w:r w:rsidRPr="00361139">
              <w:rPr>
                <w:lang w:val="en-GB"/>
              </w:rPr>
              <w:t xml:space="preserve">Development of National Action Plans for Artisanal and </w:t>
            </w:r>
            <w:proofErr w:type="gramStart"/>
            <w:r w:rsidRPr="00361139">
              <w:rPr>
                <w:lang w:val="en-GB"/>
              </w:rPr>
              <w:t>Small Scale</w:t>
            </w:r>
            <w:proofErr w:type="gramEnd"/>
            <w:r w:rsidRPr="00361139">
              <w:rPr>
                <w:lang w:val="en-GB"/>
              </w:rPr>
              <w:t xml:space="preserve"> Gold Mining in the United Republic of Tanzania</w:t>
            </w:r>
          </w:p>
        </w:tc>
        <w:tc>
          <w:tcPr>
            <w:tcW w:w="992" w:type="dxa"/>
            <w:shd w:val="clear" w:color="auto" w:fill="auto"/>
            <w:noWrap/>
            <w:hideMark/>
          </w:tcPr>
          <w:p w14:paraId="09A0A917"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73837FAB"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16C5A951"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7FD49D7"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0B06868A" w14:textId="77777777" w:rsidR="00CC73DD" w:rsidRPr="00361139" w:rsidRDefault="00CC73DD" w:rsidP="002232EE">
            <w:pPr>
              <w:pStyle w:val="Normal-pool-Table"/>
              <w:jc w:val="right"/>
              <w:rPr>
                <w:lang w:val="en-GB"/>
              </w:rPr>
            </w:pPr>
            <w:r w:rsidRPr="00361139">
              <w:rPr>
                <w:lang w:val="en-GB"/>
              </w:rPr>
              <w:t>0,00</w:t>
            </w:r>
          </w:p>
        </w:tc>
      </w:tr>
      <w:tr w:rsidR="00FA47A8" w:rsidRPr="00361139" w14:paraId="19EC29D9" w14:textId="77777777" w:rsidTr="00413E25">
        <w:trPr>
          <w:cantSplit/>
          <w:trHeight w:val="57"/>
          <w:jc w:val="right"/>
        </w:trPr>
        <w:tc>
          <w:tcPr>
            <w:tcW w:w="677" w:type="dxa"/>
            <w:shd w:val="clear" w:color="auto" w:fill="auto"/>
            <w:noWrap/>
            <w:hideMark/>
          </w:tcPr>
          <w:p w14:paraId="5DC324D3" w14:textId="77777777" w:rsidR="00CC73DD" w:rsidRPr="00361139" w:rsidRDefault="00CC73DD" w:rsidP="00DB2573">
            <w:pPr>
              <w:pStyle w:val="Normal-pool-Table"/>
              <w:rPr>
                <w:lang w:val="en-GB"/>
              </w:rPr>
            </w:pPr>
            <w:r w:rsidRPr="00361139">
              <w:rPr>
                <w:lang w:val="en-GB"/>
              </w:rPr>
              <w:t>9454</w:t>
            </w:r>
          </w:p>
        </w:tc>
        <w:tc>
          <w:tcPr>
            <w:tcW w:w="677" w:type="dxa"/>
            <w:shd w:val="clear" w:color="auto" w:fill="auto"/>
            <w:noWrap/>
            <w:hideMark/>
          </w:tcPr>
          <w:p w14:paraId="2268A1EC"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318AA76" w14:textId="77777777" w:rsidR="00CC73DD" w:rsidRPr="00361139" w:rsidRDefault="00CC73DD" w:rsidP="00DB2573">
            <w:pPr>
              <w:pStyle w:val="Normal-pool-Table"/>
              <w:rPr>
                <w:lang w:val="en-GB"/>
              </w:rPr>
            </w:pPr>
            <w:r w:rsidRPr="00361139">
              <w:rPr>
                <w:lang w:val="en-GB"/>
              </w:rPr>
              <w:t>Sierra Leone</w:t>
            </w:r>
          </w:p>
        </w:tc>
        <w:tc>
          <w:tcPr>
            <w:tcW w:w="2126" w:type="dxa"/>
            <w:shd w:val="clear" w:color="auto" w:fill="auto"/>
            <w:noWrap/>
            <w:hideMark/>
          </w:tcPr>
          <w:p w14:paraId="04502E8A" w14:textId="77777777" w:rsidR="00CC73DD" w:rsidRPr="00361139" w:rsidRDefault="00CC73DD" w:rsidP="00DB2573">
            <w:pPr>
              <w:pStyle w:val="Normal-pool-Table"/>
              <w:rPr>
                <w:lang w:val="en-GB"/>
              </w:rPr>
            </w:pPr>
            <w:r w:rsidRPr="00361139">
              <w:rPr>
                <w:lang w:val="en-GB"/>
              </w:rPr>
              <w:t xml:space="preserve">Development of Minamata Initial Assessment and National Action Plan for Artisanal and </w:t>
            </w:r>
            <w:proofErr w:type="gramStart"/>
            <w:r w:rsidRPr="00361139">
              <w:rPr>
                <w:lang w:val="en-GB"/>
              </w:rPr>
              <w:t>Small Scale</w:t>
            </w:r>
            <w:proofErr w:type="gramEnd"/>
            <w:r w:rsidRPr="00361139">
              <w:rPr>
                <w:lang w:val="en-GB"/>
              </w:rPr>
              <w:t xml:space="preserve"> Gold Mining in Sierra Leone</w:t>
            </w:r>
          </w:p>
        </w:tc>
        <w:tc>
          <w:tcPr>
            <w:tcW w:w="992" w:type="dxa"/>
            <w:shd w:val="clear" w:color="auto" w:fill="auto"/>
            <w:noWrap/>
            <w:hideMark/>
          </w:tcPr>
          <w:p w14:paraId="1316040E"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EA64F1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D354CE5"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60D3CCB9"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3861C5C0" w14:textId="77777777" w:rsidR="00CC73DD" w:rsidRPr="00361139" w:rsidRDefault="00CC73DD" w:rsidP="002232EE">
            <w:pPr>
              <w:pStyle w:val="Normal-pool-Table"/>
              <w:jc w:val="right"/>
              <w:rPr>
                <w:lang w:val="en-GB"/>
              </w:rPr>
            </w:pPr>
            <w:r w:rsidRPr="00361139">
              <w:rPr>
                <w:lang w:val="en-GB"/>
              </w:rPr>
              <w:t>0,00</w:t>
            </w:r>
          </w:p>
        </w:tc>
      </w:tr>
      <w:tr w:rsidR="00FA47A8" w:rsidRPr="00361139" w14:paraId="2969A366" w14:textId="77777777" w:rsidTr="00413E25">
        <w:trPr>
          <w:cantSplit/>
          <w:trHeight w:val="57"/>
          <w:jc w:val="right"/>
        </w:trPr>
        <w:tc>
          <w:tcPr>
            <w:tcW w:w="677" w:type="dxa"/>
            <w:shd w:val="clear" w:color="auto" w:fill="auto"/>
            <w:noWrap/>
            <w:hideMark/>
          </w:tcPr>
          <w:p w14:paraId="140E2E2B" w14:textId="77777777" w:rsidR="00CC73DD" w:rsidRPr="00361139" w:rsidRDefault="00CC73DD" w:rsidP="00DB2573">
            <w:pPr>
              <w:pStyle w:val="Normal-pool-Table"/>
              <w:rPr>
                <w:lang w:val="en-GB"/>
              </w:rPr>
            </w:pPr>
            <w:r w:rsidRPr="00361139">
              <w:rPr>
                <w:lang w:val="en-GB"/>
              </w:rPr>
              <w:t>9453</w:t>
            </w:r>
          </w:p>
        </w:tc>
        <w:tc>
          <w:tcPr>
            <w:tcW w:w="677" w:type="dxa"/>
            <w:shd w:val="clear" w:color="auto" w:fill="auto"/>
            <w:noWrap/>
            <w:hideMark/>
          </w:tcPr>
          <w:p w14:paraId="7F0DF44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560F44D" w14:textId="77777777" w:rsidR="00CC73DD" w:rsidRPr="00361139" w:rsidRDefault="00CC73DD" w:rsidP="00DB2573">
            <w:pPr>
              <w:pStyle w:val="Normal-pool-Table"/>
              <w:rPr>
                <w:lang w:val="en-GB"/>
              </w:rPr>
            </w:pPr>
            <w:r w:rsidRPr="00361139">
              <w:rPr>
                <w:lang w:val="en-GB"/>
              </w:rPr>
              <w:t>Democratic Republic of the Congo</w:t>
            </w:r>
          </w:p>
        </w:tc>
        <w:tc>
          <w:tcPr>
            <w:tcW w:w="2126" w:type="dxa"/>
            <w:shd w:val="clear" w:color="auto" w:fill="auto"/>
            <w:noWrap/>
            <w:hideMark/>
          </w:tcPr>
          <w:p w14:paraId="038903EB" w14:textId="77777777" w:rsidR="00CC73DD" w:rsidRPr="00361139" w:rsidRDefault="00CC73DD" w:rsidP="00DB2573">
            <w:pPr>
              <w:pStyle w:val="Normal-pool-Table"/>
              <w:rPr>
                <w:lang w:val="en-GB"/>
              </w:rPr>
            </w:pPr>
            <w:r w:rsidRPr="00361139">
              <w:rPr>
                <w:lang w:val="en-GB"/>
              </w:rPr>
              <w:t xml:space="preserve">Development of Minamata Initial Assessment and National Action Plan for Artisanal and </w:t>
            </w:r>
            <w:proofErr w:type="gramStart"/>
            <w:r w:rsidRPr="00361139">
              <w:rPr>
                <w:lang w:val="en-GB"/>
              </w:rPr>
              <w:t>Small Scale</w:t>
            </w:r>
            <w:proofErr w:type="gramEnd"/>
            <w:r w:rsidRPr="00361139">
              <w:rPr>
                <w:lang w:val="en-GB"/>
              </w:rPr>
              <w:t xml:space="preserve"> Gold Mining in Democratic Republic of Congo (DRC)</w:t>
            </w:r>
          </w:p>
        </w:tc>
        <w:tc>
          <w:tcPr>
            <w:tcW w:w="992" w:type="dxa"/>
            <w:shd w:val="clear" w:color="auto" w:fill="auto"/>
            <w:noWrap/>
            <w:hideMark/>
          </w:tcPr>
          <w:p w14:paraId="3A680EF6"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512BCDF"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AE4981E"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2EACA053"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2F8F5982" w14:textId="77777777" w:rsidR="00CC73DD" w:rsidRPr="00361139" w:rsidRDefault="00CC73DD" w:rsidP="002232EE">
            <w:pPr>
              <w:pStyle w:val="Normal-pool-Table"/>
              <w:jc w:val="right"/>
              <w:rPr>
                <w:lang w:val="en-GB"/>
              </w:rPr>
            </w:pPr>
            <w:r w:rsidRPr="00361139">
              <w:rPr>
                <w:lang w:val="en-GB"/>
              </w:rPr>
              <w:t>0,00</w:t>
            </w:r>
          </w:p>
        </w:tc>
      </w:tr>
      <w:tr w:rsidR="00FA47A8" w:rsidRPr="00361139" w14:paraId="25A63D44" w14:textId="77777777" w:rsidTr="00413E25">
        <w:trPr>
          <w:cantSplit/>
          <w:trHeight w:val="57"/>
          <w:jc w:val="right"/>
        </w:trPr>
        <w:tc>
          <w:tcPr>
            <w:tcW w:w="677" w:type="dxa"/>
            <w:shd w:val="clear" w:color="auto" w:fill="auto"/>
            <w:noWrap/>
            <w:hideMark/>
          </w:tcPr>
          <w:p w14:paraId="54AE4B5B" w14:textId="77777777" w:rsidR="00CC73DD" w:rsidRPr="00361139" w:rsidRDefault="00CC73DD" w:rsidP="00DB2573">
            <w:pPr>
              <w:pStyle w:val="Normal-pool-Table"/>
              <w:rPr>
                <w:lang w:val="en-GB"/>
              </w:rPr>
            </w:pPr>
            <w:r w:rsidRPr="00361139">
              <w:rPr>
                <w:lang w:val="en-GB"/>
              </w:rPr>
              <w:t>9381</w:t>
            </w:r>
          </w:p>
        </w:tc>
        <w:tc>
          <w:tcPr>
            <w:tcW w:w="677" w:type="dxa"/>
            <w:shd w:val="clear" w:color="auto" w:fill="auto"/>
            <w:noWrap/>
            <w:hideMark/>
          </w:tcPr>
          <w:p w14:paraId="3D8DD0F4"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495F3E4" w14:textId="77777777" w:rsidR="00CC73DD" w:rsidRPr="00361139" w:rsidRDefault="00CC73DD" w:rsidP="00DB2573">
            <w:pPr>
              <w:pStyle w:val="Normal-pool-Table"/>
              <w:rPr>
                <w:lang w:val="en-GB"/>
              </w:rPr>
            </w:pPr>
            <w:r w:rsidRPr="00361139">
              <w:rPr>
                <w:lang w:val="en-GB"/>
              </w:rPr>
              <w:t>Ghana</w:t>
            </w:r>
          </w:p>
        </w:tc>
        <w:tc>
          <w:tcPr>
            <w:tcW w:w="2126" w:type="dxa"/>
            <w:shd w:val="clear" w:color="auto" w:fill="auto"/>
            <w:noWrap/>
            <w:hideMark/>
          </w:tcPr>
          <w:p w14:paraId="07BA1DBD" w14:textId="77777777" w:rsidR="00CC73DD" w:rsidRPr="00361139" w:rsidRDefault="00CC73DD" w:rsidP="00DB2573">
            <w:pPr>
              <w:pStyle w:val="Normal-pool-Table"/>
              <w:rPr>
                <w:lang w:val="en-GB"/>
              </w:rPr>
            </w:pPr>
            <w:r w:rsidRPr="00361139">
              <w:rPr>
                <w:lang w:val="en-GB"/>
              </w:rPr>
              <w:t>Development of Minamata Convention Initial Assessment (MIA) for Ghana</w:t>
            </w:r>
          </w:p>
        </w:tc>
        <w:tc>
          <w:tcPr>
            <w:tcW w:w="992" w:type="dxa"/>
            <w:shd w:val="clear" w:color="auto" w:fill="auto"/>
            <w:noWrap/>
            <w:hideMark/>
          </w:tcPr>
          <w:p w14:paraId="0A13A013"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2DF0A62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42341A6"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79A2D1C"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50C160AA" w14:textId="77777777" w:rsidR="00CC73DD" w:rsidRPr="00361139" w:rsidRDefault="00CC73DD" w:rsidP="002232EE">
            <w:pPr>
              <w:pStyle w:val="Normal-pool-Table"/>
              <w:jc w:val="right"/>
              <w:rPr>
                <w:lang w:val="en-GB"/>
              </w:rPr>
            </w:pPr>
            <w:r w:rsidRPr="00361139">
              <w:rPr>
                <w:lang w:val="en-GB"/>
              </w:rPr>
              <w:t>0,00</w:t>
            </w:r>
          </w:p>
        </w:tc>
      </w:tr>
      <w:tr w:rsidR="00FA47A8" w:rsidRPr="00361139" w14:paraId="699FE33A" w14:textId="77777777" w:rsidTr="00413E25">
        <w:trPr>
          <w:cantSplit/>
          <w:trHeight w:val="57"/>
          <w:jc w:val="right"/>
        </w:trPr>
        <w:tc>
          <w:tcPr>
            <w:tcW w:w="677" w:type="dxa"/>
            <w:shd w:val="clear" w:color="auto" w:fill="auto"/>
            <w:noWrap/>
            <w:hideMark/>
          </w:tcPr>
          <w:p w14:paraId="75891591" w14:textId="77777777" w:rsidR="00CC73DD" w:rsidRPr="00361139" w:rsidRDefault="00CC73DD" w:rsidP="00DB2573">
            <w:pPr>
              <w:pStyle w:val="Normal-pool-Table"/>
              <w:rPr>
                <w:lang w:val="en-GB"/>
              </w:rPr>
            </w:pPr>
            <w:r w:rsidRPr="00361139">
              <w:rPr>
                <w:lang w:val="en-GB"/>
              </w:rPr>
              <w:t>9379</w:t>
            </w:r>
          </w:p>
        </w:tc>
        <w:tc>
          <w:tcPr>
            <w:tcW w:w="677" w:type="dxa"/>
            <w:shd w:val="clear" w:color="auto" w:fill="auto"/>
            <w:noWrap/>
            <w:hideMark/>
          </w:tcPr>
          <w:p w14:paraId="270D60E6"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474B2FE5" w14:textId="77777777" w:rsidR="00CC73DD" w:rsidRPr="00361139" w:rsidRDefault="00CC73DD" w:rsidP="00DB2573">
            <w:pPr>
              <w:pStyle w:val="Normal-pool-Table"/>
              <w:rPr>
                <w:lang w:val="en-GB"/>
              </w:rPr>
            </w:pPr>
            <w:r w:rsidRPr="00361139">
              <w:rPr>
                <w:lang w:val="en-GB"/>
              </w:rPr>
              <w:t>Viet Nam</w:t>
            </w:r>
          </w:p>
        </w:tc>
        <w:tc>
          <w:tcPr>
            <w:tcW w:w="2126" w:type="dxa"/>
            <w:shd w:val="clear" w:color="auto" w:fill="auto"/>
            <w:noWrap/>
            <w:hideMark/>
          </w:tcPr>
          <w:p w14:paraId="2A7943F4" w14:textId="77777777" w:rsidR="00CC73DD" w:rsidRPr="00361139" w:rsidRDefault="00CC73DD" w:rsidP="00DB2573">
            <w:pPr>
              <w:pStyle w:val="Normal-pool-Table"/>
              <w:rPr>
                <w:lang w:val="en-GB"/>
              </w:rPr>
            </w:pPr>
            <w:r w:rsidRPr="00361139">
              <w:rPr>
                <w:lang w:val="en-GB"/>
              </w:rPr>
              <w:t>Application of Green Chemistry in Vietnam to Support Green Growth and Reduction in the Use and Release of POPs/Harmful Chemicals</w:t>
            </w:r>
          </w:p>
        </w:tc>
        <w:tc>
          <w:tcPr>
            <w:tcW w:w="992" w:type="dxa"/>
            <w:shd w:val="clear" w:color="auto" w:fill="auto"/>
            <w:noWrap/>
            <w:hideMark/>
          </w:tcPr>
          <w:p w14:paraId="0930A05D"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2984D685"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682671C6"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5E7A162" w14:textId="77777777" w:rsidR="00CC73DD" w:rsidRPr="00361139" w:rsidRDefault="00CC73DD" w:rsidP="002232EE">
            <w:pPr>
              <w:pStyle w:val="Normal-pool-Table"/>
              <w:jc w:val="right"/>
              <w:rPr>
                <w:lang w:val="en-GB"/>
              </w:rPr>
            </w:pPr>
            <w:r w:rsidRPr="00361139">
              <w:rPr>
                <w:lang w:val="en-GB"/>
              </w:rPr>
              <w:t>2,00</w:t>
            </w:r>
          </w:p>
        </w:tc>
        <w:tc>
          <w:tcPr>
            <w:tcW w:w="1037" w:type="dxa"/>
            <w:shd w:val="clear" w:color="auto" w:fill="auto"/>
            <w:noWrap/>
            <w:hideMark/>
          </w:tcPr>
          <w:p w14:paraId="4226E805" w14:textId="77777777" w:rsidR="00CC73DD" w:rsidRPr="00361139" w:rsidRDefault="00CC73DD" w:rsidP="002232EE">
            <w:pPr>
              <w:pStyle w:val="Normal-pool-Table"/>
              <w:jc w:val="right"/>
              <w:rPr>
                <w:lang w:val="en-GB"/>
              </w:rPr>
            </w:pPr>
            <w:r w:rsidRPr="00361139">
              <w:rPr>
                <w:lang w:val="en-GB"/>
              </w:rPr>
              <w:t>8,40</w:t>
            </w:r>
          </w:p>
        </w:tc>
      </w:tr>
      <w:tr w:rsidR="00FA47A8" w:rsidRPr="00361139" w14:paraId="00DAA0F0" w14:textId="77777777" w:rsidTr="00413E25">
        <w:trPr>
          <w:cantSplit/>
          <w:trHeight w:val="57"/>
          <w:jc w:val="right"/>
        </w:trPr>
        <w:tc>
          <w:tcPr>
            <w:tcW w:w="677" w:type="dxa"/>
            <w:shd w:val="clear" w:color="auto" w:fill="auto"/>
            <w:noWrap/>
            <w:hideMark/>
          </w:tcPr>
          <w:p w14:paraId="35DD18FD" w14:textId="77777777" w:rsidR="00CC73DD" w:rsidRPr="00361139" w:rsidRDefault="00CC73DD" w:rsidP="00DB2573">
            <w:pPr>
              <w:pStyle w:val="Normal-pool-Table"/>
              <w:rPr>
                <w:lang w:val="en-GB"/>
              </w:rPr>
            </w:pPr>
            <w:r w:rsidRPr="00361139">
              <w:rPr>
                <w:lang w:val="en-GB"/>
              </w:rPr>
              <w:t>9358</w:t>
            </w:r>
          </w:p>
        </w:tc>
        <w:tc>
          <w:tcPr>
            <w:tcW w:w="677" w:type="dxa"/>
            <w:shd w:val="clear" w:color="auto" w:fill="auto"/>
            <w:noWrap/>
            <w:hideMark/>
          </w:tcPr>
          <w:p w14:paraId="7E14717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1527823" w14:textId="77777777" w:rsidR="00CC73DD" w:rsidRPr="00361139" w:rsidRDefault="00CC73DD" w:rsidP="00DB2573">
            <w:pPr>
              <w:pStyle w:val="Normal-pool-Table"/>
              <w:rPr>
                <w:lang w:val="en-GB"/>
              </w:rPr>
            </w:pPr>
            <w:r w:rsidRPr="00361139">
              <w:rPr>
                <w:lang w:val="en-GB"/>
              </w:rPr>
              <w:t>Nigeria</w:t>
            </w:r>
          </w:p>
        </w:tc>
        <w:tc>
          <w:tcPr>
            <w:tcW w:w="2126" w:type="dxa"/>
            <w:shd w:val="clear" w:color="auto" w:fill="auto"/>
            <w:noWrap/>
            <w:hideMark/>
          </w:tcPr>
          <w:p w14:paraId="03D7CBAF" w14:textId="77777777" w:rsidR="00CC73DD" w:rsidRPr="00361139" w:rsidRDefault="00CC73DD" w:rsidP="00DB2573">
            <w:pPr>
              <w:pStyle w:val="Normal-pool-Table"/>
              <w:rPr>
                <w:lang w:val="en-GB"/>
              </w:rPr>
            </w:pPr>
            <w:r w:rsidRPr="00361139">
              <w:rPr>
                <w:lang w:val="en-GB"/>
              </w:rPr>
              <w:t>National Action Plan on Mercury in the Nigerian Artisanal and Small-Scale Gold Mining sector</w:t>
            </w:r>
          </w:p>
        </w:tc>
        <w:tc>
          <w:tcPr>
            <w:tcW w:w="992" w:type="dxa"/>
            <w:shd w:val="clear" w:color="auto" w:fill="auto"/>
            <w:noWrap/>
            <w:hideMark/>
          </w:tcPr>
          <w:p w14:paraId="08AD9A85"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070D9EA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08C71AB"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16F17069"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477223F7" w14:textId="77777777" w:rsidR="00CC73DD" w:rsidRPr="00361139" w:rsidRDefault="00CC73DD" w:rsidP="002232EE">
            <w:pPr>
              <w:pStyle w:val="Normal-pool-Table"/>
              <w:jc w:val="right"/>
              <w:rPr>
                <w:lang w:val="en-GB"/>
              </w:rPr>
            </w:pPr>
            <w:r w:rsidRPr="00361139">
              <w:rPr>
                <w:lang w:val="en-GB"/>
              </w:rPr>
              <w:t>0,37</w:t>
            </w:r>
          </w:p>
        </w:tc>
      </w:tr>
      <w:tr w:rsidR="00FA47A8" w:rsidRPr="00361139" w14:paraId="667787F7" w14:textId="77777777" w:rsidTr="00413E25">
        <w:trPr>
          <w:cantSplit/>
          <w:trHeight w:val="57"/>
          <w:jc w:val="right"/>
        </w:trPr>
        <w:tc>
          <w:tcPr>
            <w:tcW w:w="677" w:type="dxa"/>
            <w:shd w:val="clear" w:color="auto" w:fill="auto"/>
            <w:noWrap/>
            <w:hideMark/>
          </w:tcPr>
          <w:p w14:paraId="5E5CC15F" w14:textId="77777777" w:rsidR="00CC73DD" w:rsidRPr="00361139" w:rsidRDefault="00CC73DD" w:rsidP="00DB2573">
            <w:pPr>
              <w:pStyle w:val="Normal-pool-Table"/>
              <w:rPr>
                <w:lang w:val="en-GB"/>
              </w:rPr>
            </w:pPr>
            <w:r w:rsidRPr="00361139">
              <w:rPr>
                <w:lang w:val="en-GB"/>
              </w:rPr>
              <w:t>9351</w:t>
            </w:r>
          </w:p>
        </w:tc>
        <w:tc>
          <w:tcPr>
            <w:tcW w:w="677" w:type="dxa"/>
            <w:shd w:val="clear" w:color="auto" w:fill="auto"/>
            <w:noWrap/>
            <w:hideMark/>
          </w:tcPr>
          <w:p w14:paraId="27733D78"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B09EF60" w14:textId="77777777" w:rsidR="00CC73DD" w:rsidRPr="00361139" w:rsidRDefault="00CC73DD" w:rsidP="00DB2573">
            <w:pPr>
              <w:pStyle w:val="Normal-pool-Table"/>
              <w:rPr>
                <w:lang w:val="en-GB"/>
              </w:rPr>
            </w:pPr>
            <w:r w:rsidRPr="00361139">
              <w:rPr>
                <w:lang w:val="en-GB"/>
              </w:rPr>
              <w:t>Honduras</w:t>
            </w:r>
          </w:p>
        </w:tc>
        <w:tc>
          <w:tcPr>
            <w:tcW w:w="2126" w:type="dxa"/>
            <w:shd w:val="clear" w:color="auto" w:fill="auto"/>
            <w:noWrap/>
            <w:hideMark/>
          </w:tcPr>
          <w:p w14:paraId="1730F3FE" w14:textId="77777777" w:rsidR="00CC73DD" w:rsidRPr="00361139" w:rsidRDefault="00CC73DD" w:rsidP="00DB2573">
            <w:pPr>
              <w:pStyle w:val="Normal-pool-Table"/>
              <w:rPr>
                <w:lang w:val="en-GB"/>
              </w:rPr>
            </w:pPr>
            <w:r w:rsidRPr="00361139">
              <w:rPr>
                <w:lang w:val="en-GB"/>
              </w:rPr>
              <w:t xml:space="preserve">Development of Minamata Initial Assessment and National Action Plan for Artisanal and </w:t>
            </w:r>
            <w:proofErr w:type="gramStart"/>
            <w:r w:rsidRPr="00361139">
              <w:rPr>
                <w:lang w:val="en-GB"/>
              </w:rPr>
              <w:t>Small Scale</w:t>
            </w:r>
            <w:proofErr w:type="gramEnd"/>
            <w:r w:rsidRPr="00361139">
              <w:rPr>
                <w:lang w:val="en-GB"/>
              </w:rPr>
              <w:t xml:space="preserve"> Gold Mining in Honduras</w:t>
            </w:r>
          </w:p>
        </w:tc>
        <w:tc>
          <w:tcPr>
            <w:tcW w:w="992" w:type="dxa"/>
            <w:shd w:val="clear" w:color="auto" w:fill="auto"/>
            <w:noWrap/>
            <w:hideMark/>
          </w:tcPr>
          <w:p w14:paraId="4C0D2101"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2EB7F30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1F29726"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29D7D93" w14:textId="77777777" w:rsidR="00CC73DD" w:rsidRPr="00361139" w:rsidRDefault="00CC73DD" w:rsidP="002232EE">
            <w:pPr>
              <w:pStyle w:val="Normal-pool-Table"/>
              <w:jc w:val="right"/>
              <w:rPr>
                <w:lang w:val="en-GB"/>
              </w:rPr>
            </w:pPr>
            <w:r w:rsidRPr="00361139">
              <w:rPr>
                <w:lang w:val="en-GB"/>
              </w:rPr>
              <w:t>0,70</w:t>
            </w:r>
          </w:p>
        </w:tc>
        <w:tc>
          <w:tcPr>
            <w:tcW w:w="1037" w:type="dxa"/>
            <w:shd w:val="clear" w:color="auto" w:fill="auto"/>
            <w:noWrap/>
            <w:hideMark/>
          </w:tcPr>
          <w:p w14:paraId="5EE7320A" w14:textId="77777777" w:rsidR="00CC73DD" w:rsidRPr="00361139" w:rsidRDefault="00CC73DD" w:rsidP="002232EE">
            <w:pPr>
              <w:pStyle w:val="Normal-pool-Table"/>
              <w:jc w:val="right"/>
              <w:rPr>
                <w:lang w:val="en-GB"/>
              </w:rPr>
            </w:pPr>
            <w:r w:rsidRPr="00361139">
              <w:rPr>
                <w:lang w:val="en-GB"/>
              </w:rPr>
              <w:t>0,00</w:t>
            </w:r>
          </w:p>
        </w:tc>
      </w:tr>
      <w:tr w:rsidR="00FA47A8" w:rsidRPr="00361139" w14:paraId="21969D93" w14:textId="77777777" w:rsidTr="00413E25">
        <w:trPr>
          <w:cantSplit/>
          <w:trHeight w:val="57"/>
          <w:jc w:val="right"/>
        </w:trPr>
        <w:tc>
          <w:tcPr>
            <w:tcW w:w="677" w:type="dxa"/>
            <w:shd w:val="clear" w:color="auto" w:fill="auto"/>
            <w:noWrap/>
            <w:hideMark/>
          </w:tcPr>
          <w:p w14:paraId="12A802DF" w14:textId="77777777" w:rsidR="00CC73DD" w:rsidRPr="00361139" w:rsidRDefault="00CC73DD" w:rsidP="00DB2573">
            <w:pPr>
              <w:pStyle w:val="Normal-pool-Table"/>
              <w:rPr>
                <w:lang w:val="en-GB"/>
              </w:rPr>
            </w:pPr>
            <w:r w:rsidRPr="00361139">
              <w:rPr>
                <w:lang w:val="en-GB"/>
              </w:rPr>
              <w:t>9350</w:t>
            </w:r>
          </w:p>
        </w:tc>
        <w:tc>
          <w:tcPr>
            <w:tcW w:w="677" w:type="dxa"/>
            <w:shd w:val="clear" w:color="auto" w:fill="auto"/>
            <w:noWrap/>
            <w:hideMark/>
          </w:tcPr>
          <w:p w14:paraId="5282ED51"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3D72122" w14:textId="77777777" w:rsidR="00CC73DD" w:rsidRPr="00361139" w:rsidRDefault="00CC73DD" w:rsidP="00DB2573">
            <w:pPr>
              <w:pStyle w:val="Normal-pool-Table"/>
              <w:rPr>
                <w:lang w:val="en-GB"/>
              </w:rPr>
            </w:pPr>
            <w:r w:rsidRPr="00361139">
              <w:rPr>
                <w:lang w:val="en-GB"/>
              </w:rPr>
              <w:t>Paraguay</w:t>
            </w:r>
          </w:p>
        </w:tc>
        <w:tc>
          <w:tcPr>
            <w:tcW w:w="2126" w:type="dxa"/>
            <w:shd w:val="clear" w:color="auto" w:fill="auto"/>
            <w:noWrap/>
            <w:hideMark/>
          </w:tcPr>
          <w:p w14:paraId="6F1ECD9F" w14:textId="77777777" w:rsidR="00CC73DD" w:rsidRPr="00361139" w:rsidRDefault="00CC73DD" w:rsidP="00DB2573">
            <w:pPr>
              <w:pStyle w:val="Normal-pool-Table"/>
              <w:rPr>
                <w:lang w:val="en-GB"/>
              </w:rPr>
            </w:pPr>
            <w:r w:rsidRPr="00361139">
              <w:rPr>
                <w:lang w:val="en-GB"/>
              </w:rPr>
              <w:t xml:space="preserve">Development of National Action Plans for Artisanal and </w:t>
            </w:r>
            <w:proofErr w:type="gramStart"/>
            <w:r w:rsidRPr="00361139">
              <w:rPr>
                <w:lang w:val="en-GB"/>
              </w:rPr>
              <w:t>Small Scale</w:t>
            </w:r>
            <w:proofErr w:type="gramEnd"/>
            <w:r w:rsidRPr="00361139">
              <w:rPr>
                <w:lang w:val="en-GB"/>
              </w:rPr>
              <w:t xml:space="preserve"> Gold Mining in Paraguay</w:t>
            </w:r>
          </w:p>
        </w:tc>
        <w:tc>
          <w:tcPr>
            <w:tcW w:w="992" w:type="dxa"/>
            <w:shd w:val="clear" w:color="auto" w:fill="auto"/>
            <w:noWrap/>
            <w:hideMark/>
          </w:tcPr>
          <w:p w14:paraId="0BC3366A"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5B0B387A"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8829475"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24863B2D"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4C98EBB0" w14:textId="77777777" w:rsidR="00CC73DD" w:rsidRPr="00361139" w:rsidRDefault="00CC73DD" w:rsidP="002232EE">
            <w:pPr>
              <w:pStyle w:val="Normal-pool-Table"/>
              <w:jc w:val="right"/>
              <w:rPr>
                <w:lang w:val="en-GB"/>
              </w:rPr>
            </w:pPr>
            <w:r w:rsidRPr="00361139">
              <w:rPr>
                <w:lang w:val="en-GB"/>
              </w:rPr>
              <w:t>0,00</w:t>
            </w:r>
          </w:p>
        </w:tc>
      </w:tr>
      <w:tr w:rsidR="00FA47A8" w:rsidRPr="00361139" w14:paraId="67ACC896" w14:textId="77777777" w:rsidTr="00413E25">
        <w:trPr>
          <w:cantSplit/>
          <w:trHeight w:val="57"/>
          <w:jc w:val="right"/>
        </w:trPr>
        <w:tc>
          <w:tcPr>
            <w:tcW w:w="677" w:type="dxa"/>
            <w:shd w:val="clear" w:color="auto" w:fill="auto"/>
            <w:noWrap/>
            <w:hideMark/>
          </w:tcPr>
          <w:p w14:paraId="2A27D3B1" w14:textId="77777777" w:rsidR="00CC73DD" w:rsidRPr="00361139" w:rsidRDefault="00CC73DD" w:rsidP="00DB2573">
            <w:pPr>
              <w:pStyle w:val="Normal-pool-Table"/>
              <w:rPr>
                <w:lang w:val="en-GB"/>
              </w:rPr>
            </w:pPr>
            <w:r w:rsidRPr="00361139">
              <w:rPr>
                <w:lang w:val="en-GB"/>
              </w:rPr>
              <w:t>9346</w:t>
            </w:r>
          </w:p>
        </w:tc>
        <w:tc>
          <w:tcPr>
            <w:tcW w:w="677" w:type="dxa"/>
            <w:shd w:val="clear" w:color="auto" w:fill="auto"/>
            <w:noWrap/>
            <w:hideMark/>
          </w:tcPr>
          <w:p w14:paraId="54F0E51F"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892BC77" w14:textId="77777777" w:rsidR="00CC73DD" w:rsidRPr="00361139" w:rsidRDefault="00CC73DD" w:rsidP="00DB2573">
            <w:pPr>
              <w:pStyle w:val="Normal-pool-Table"/>
              <w:rPr>
                <w:lang w:val="en-GB"/>
              </w:rPr>
            </w:pPr>
            <w:r w:rsidRPr="00361139">
              <w:rPr>
                <w:lang w:val="en-GB"/>
              </w:rPr>
              <w:t>Sri Lanka</w:t>
            </w:r>
          </w:p>
        </w:tc>
        <w:tc>
          <w:tcPr>
            <w:tcW w:w="2126" w:type="dxa"/>
            <w:shd w:val="clear" w:color="auto" w:fill="auto"/>
            <w:noWrap/>
            <w:hideMark/>
          </w:tcPr>
          <w:p w14:paraId="7054F1C7" w14:textId="77777777" w:rsidR="00CC73DD" w:rsidRPr="00361139" w:rsidRDefault="00CC73DD" w:rsidP="00DB2573">
            <w:pPr>
              <w:pStyle w:val="Normal-pool-Table"/>
              <w:rPr>
                <w:lang w:val="en-GB"/>
              </w:rPr>
            </w:pPr>
            <w:r w:rsidRPr="00361139">
              <w:rPr>
                <w:lang w:val="en-GB"/>
              </w:rPr>
              <w:t>Minamata Convention: Initial Assessment in Sri Lanka</w:t>
            </w:r>
          </w:p>
        </w:tc>
        <w:tc>
          <w:tcPr>
            <w:tcW w:w="992" w:type="dxa"/>
            <w:shd w:val="clear" w:color="auto" w:fill="auto"/>
            <w:noWrap/>
            <w:hideMark/>
          </w:tcPr>
          <w:p w14:paraId="05CC4340"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083CADB8"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1AE1198D"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489E086B"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71B5D4AC" w14:textId="77777777" w:rsidR="00CC73DD" w:rsidRPr="00361139" w:rsidRDefault="00CC73DD" w:rsidP="002232EE">
            <w:pPr>
              <w:pStyle w:val="Normal-pool-Table"/>
              <w:jc w:val="right"/>
              <w:rPr>
                <w:lang w:val="en-GB"/>
              </w:rPr>
            </w:pPr>
            <w:r w:rsidRPr="00361139">
              <w:rPr>
                <w:lang w:val="en-GB"/>
              </w:rPr>
              <w:t>0,04</w:t>
            </w:r>
          </w:p>
        </w:tc>
      </w:tr>
      <w:tr w:rsidR="00FA47A8" w:rsidRPr="00361139" w14:paraId="69A58D53" w14:textId="77777777" w:rsidTr="00413E25">
        <w:trPr>
          <w:cantSplit/>
          <w:trHeight w:val="57"/>
          <w:jc w:val="right"/>
        </w:trPr>
        <w:tc>
          <w:tcPr>
            <w:tcW w:w="677" w:type="dxa"/>
            <w:shd w:val="clear" w:color="auto" w:fill="auto"/>
            <w:noWrap/>
            <w:hideMark/>
          </w:tcPr>
          <w:p w14:paraId="6A98174E" w14:textId="77777777" w:rsidR="00CC73DD" w:rsidRPr="00361139" w:rsidRDefault="00CC73DD" w:rsidP="00DB2573">
            <w:pPr>
              <w:pStyle w:val="Normal-pool-Table"/>
              <w:rPr>
                <w:lang w:val="en-GB"/>
              </w:rPr>
            </w:pPr>
            <w:r w:rsidRPr="00361139">
              <w:rPr>
                <w:lang w:val="en-GB"/>
              </w:rPr>
              <w:t>9345</w:t>
            </w:r>
          </w:p>
        </w:tc>
        <w:tc>
          <w:tcPr>
            <w:tcW w:w="677" w:type="dxa"/>
            <w:shd w:val="clear" w:color="auto" w:fill="auto"/>
            <w:noWrap/>
            <w:hideMark/>
          </w:tcPr>
          <w:p w14:paraId="67C2EBFE"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BE45540" w14:textId="77777777" w:rsidR="00CC73DD" w:rsidRPr="00361139" w:rsidRDefault="00CC73DD" w:rsidP="00DB2573">
            <w:pPr>
              <w:pStyle w:val="Normal-pool-Table"/>
              <w:rPr>
                <w:lang w:val="en-GB"/>
              </w:rPr>
            </w:pPr>
            <w:r w:rsidRPr="00361139">
              <w:rPr>
                <w:lang w:val="en-GB"/>
              </w:rPr>
              <w:t>Sudan</w:t>
            </w:r>
          </w:p>
        </w:tc>
        <w:tc>
          <w:tcPr>
            <w:tcW w:w="2126" w:type="dxa"/>
            <w:shd w:val="clear" w:color="auto" w:fill="auto"/>
            <w:noWrap/>
            <w:hideMark/>
          </w:tcPr>
          <w:p w14:paraId="41A75A42" w14:textId="77777777" w:rsidR="00CC73DD" w:rsidRPr="00361139" w:rsidRDefault="00CC73DD" w:rsidP="00DB2573">
            <w:pPr>
              <w:pStyle w:val="Normal-pool-Table"/>
              <w:rPr>
                <w:lang w:val="en-GB"/>
              </w:rPr>
            </w:pPr>
            <w:r w:rsidRPr="00361139">
              <w:rPr>
                <w:lang w:val="en-GB"/>
              </w:rPr>
              <w:t>Minamata Convention: Initial assessment in the Republic of Sudan</w:t>
            </w:r>
          </w:p>
        </w:tc>
        <w:tc>
          <w:tcPr>
            <w:tcW w:w="992" w:type="dxa"/>
            <w:shd w:val="clear" w:color="auto" w:fill="auto"/>
            <w:noWrap/>
            <w:hideMark/>
          </w:tcPr>
          <w:p w14:paraId="4C3E5FEE"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0FF31205"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7B06F426"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54D147B2"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7BB85519" w14:textId="77777777" w:rsidR="00CC73DD" w:rsidRPr="00361139" w:rsidRDefault="00CC73DD" w:rsidP="002232EE">
            <w:pPr>
              <w:pStyle w:val="Normal-pool-Table"/>
              <w:jc w:val="right"/>
              <w:rPr>
                <w:lang w:val="en-GB"/>
              </w:rPr>
            </w:pPr>
            <w:r w:rsidRPr="00361139">
              <w:rPr>
                <w:lang w:val="en-GB"/>
              </w:rPr>
              <w:t>0,12</w:t>
            </w:r>
          </w:p>
        </w:tc>
      </w:tr>
      <w:tr w:rsidR="00FA47A8" w:rsidRPr="00361139" w14:paraId="418C246D" w14:textId="77777777" w:rsidTr="00413E25">
        <w:trPr>
          <w:cantSplit/>
          <w:trHeight w:val="57"/>
          <w:jc w:val="right"/>
        </w:trPr>
        <w:tc>
          <w:tcPr>
            <w:tcW w:w="677" w:type="dxa"/>
            <w:shd w:val="clear" w:color="auto" w:fill="auto"/>
            <w:noWrap/>
            <w:hideMark/>
          </w:tcPr>
          <w:p w14:paraId="0F2BA310" w14:textId="77777777" w:rsidR="00CC73DD" w:rsidRPr="00361139" w:rsidRDefault="00CC73DD" w:rsidP="00DB2573">
            <w:pPr>
              <w:pStyle w:val="Normal-pool-Table"/>
              <w:rPr>
                <w:lang w:val="en-GB"/>
              </w:rPr>
            </w:pPr>
            <w:r w:rsidRPr="00361139">
              <w:rPr>
                <w:lang w:val="en-GB"/>
              </w:rPr>
              <w:lastRenderedPageBreak/>
              <w:t>9343</w:t>
            </w:r>
          </w:p>
        </w:tc>
        <w:tc>
          <w:tcPr>
            <w:tcW w:w="677" w:type="dxa"/>
            <w:shd w:val="clear" w:color="auto" w:fill="auto"/>
            <w:noWrap/>
            <w:hideMark/>
          </w:tcPr>
          <w:p w14:paraId="181B6499"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DEEF581" w14:textId="77777777" w:rsidR="00CC73DD" w:rsidRPr="00361139" w:rsidRDefault="00CC73DD" w:rsidP="00DB2573">
            <w:pPr>
              <w:pStyle w:val="Normal-pool-Table"/>
              <w:rPr>
                <w:lang w:val="en-GB"/>
              </w:rPr>
            </w:pPr>
            <w:r w:rsidRPr="00361139">
              <w:rPr>
                <w:lang w:val="en-GB"/>
              </w:rPr>
              <w:t>Morocco</w:t>
            </w:r>
          </w:p>
        </w:tc>
        <w:tc>
          <w:tcPr>
            <w:tcW w:w="2126" w:type="dxa"/>
            <w:shd w:val="clear" w:color="auto" w:fill="auto"/>
            <w:noWrap/>
            <w:hideMark/>
          </w:tcPr>
          <w:p w14:paraId="034D5159" w14:textId="77777777" w:rsidR="00CC73DD" w:rsidRPr="00361139" w:rsidRDefault="00CC73DD" w:rsidP="00DB2573">
            <w:pPr>
              <w:pStyle w:val="Normal-pool-Table"/>
              <w:rPr>
                <w:lang w:val="en-GB"/>
              </w:rPr>
            </w:pPr>
            <w:r w:rsidRPr="00361139">
              <w:rPr>
                <w:lang w:val="en-GB"/>
              </w:rPr>
              <w:t xml:space="preserve">Strengthen the National </w:t>
            </w:r>
            <w:proofErr w:type="gramStart"/>
            <w:r w:rsidRPr="00361139">
              <w:rPr>
                <w:lang w:val="en-GB"/>
              </w:rPr>
              <w:t>Decision Making</w:t>
            </w:r>
            <w:proofErr w:type="gramEnd"/>
            <w:r w:rsidRPr="00361139">
              <w:rPr>
                <w:lang w:val="en-GB"/>
              </w:rPr>
              <w:t xml:space="preserve"> Mechanism to Ratify the Minamata Convention and Strengthen National Capacities for the Implementation of its Futures Provisions</w:t>
            </w:r>
          </w:p>
        </w:tc>
        <w:tc>
          <w:tcPr>
            <w:tcW w:w="992" w:type="dxa"/>
            <w:shd w:val="clear" w:color="auto" w:fill="auto"/>
            <w:noWrap/>
            <w:hideMark/>
          </w:tcPr>
          <w:p w14:paraId="483683FF"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6E729E1C"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E288C29"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495E1A1"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74FDA411" w14:textId="77777777" w:rsidR="00CC73DD" w:rsidRPr="00361139" w:rsidRDefault="00CC73DD" w:rsidP="002232EE">
            <w:pPr>
              <w:pStyle w:val="Normal-pool-Table"/>
              <w:jc w:val="right"/>
              <w:rPr>
                <w:lang w:val="en-GB"/>
              </w:rPr>
            </w:pPr>
            <w:r w:rsidRPr="00361139">
              <w:rPr>
                <w:lang w:val="en-GB"/>
              </w:rPr>
              <w:t>0,00</w:t>
            </w:r>
          </w:p>
        </w:tc>
      </w:tr>
      <w:tr w:rsidR="00FA47A8" w:rsidRPr="00361139" w14:paraId="4BEDBE3E" w14:textId="77777777" w:rsidTr="00413E25">
        <w:trPr>
          <w:cantSplit/>
          <w:trHeight w:val="57"/>
          <w:jc w:val="right"/>
        </w:trPr>
        <w:tc>
          <w:tcPr>
            <w:tcW w:w="677" w:type="dxa"/>
            <w:shd w:val="clear" w:color="auto" w:fill="auto"/>
            <w:noWrap/>
            <w:hideMark/>
          </w:tcPr>
          <w:p w14:paraId="385E3401" w14:textId="77777777" w:rsidR="00CC73DD" w:rsidRPr="00361139" w:rsidRDefault="00CC73DD" w:rsidP="00DB2573">
            <w:pPr>
              <w:pStyle w:val="Normal-pool-Table"/>
              <w:rPr>
                <w:lang w:val="en-GB"/>
              </w:rPr>
            </w:pPr>
            <w:r w:rsidRPr="00361139">
              <w:rPr>
                <w:lang w:val="en-GB"/>
              </w:rPr>
              <w:t>9308</w:t>
            </w:r>
          </w:p>
        </w:tc>
        <w:tc>
          <w:tcPr>
            <w:tcW w:w="677" w:type="dxa"/>
            <w:shd w:val="clear" w:color="auto" w:fill="auto"/>
            <w:noWrap/>
            <w:hideMark/>
          </w:tcPr>
          <w:p w14:paraId="10FDCC01"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387FA55" w14:textId="77777777" w:rsidR="00CC73DD" w:rsidRPr="00361139" w:rsidRDefault="00CC73DD" w:rsidP="00DB2573">
            <w:pPr>
              <w:pStyle w:val="Normal-pool-Table"/>
              <w:rPr>
                <w:lang w:val="en-GB"/>
              </w:rPr>
            </w:pPr>
            <w:r w:rsidRPr="00361139">
              <w:rPr>
                <w:lang w:val="en-GB"/>
              </w:rPr>
              <w:t>Cabo Verde, Sao Tome and Principe</w:t>
            </w:r>
          </w:p>
        </w:tc>
        <w:tc>
          <w:tcPr>
            <w:tcW w:w="2126" w:type="dxa"/>
            <w:shd w:val="clear" w:color="auto" w:fill="auto"/>
            <w:noWrap/>
            <w:hideMark/>
          </w:tcPr>
          <w:p w14:paraId="429B8305" w14:textId="77777777" w:rsidR="00CC73DD" w:rsidRPr="00361139" w:rsidRDefault="00CC73DD" w:rsidP="00DB2573">
            <w:pPr>
              <w:pStyle w:val="Normal-pool-Table"/>
              <w:rPr>
                <w:lang w:val="en-GB"/>
              </w:rPr>
            </w:pPr>
            <w:r w:rsidRPr="00361139">
              <w:rPr>
                <w:lang w:val="en-GB"/>
              </w:rPr>
              <w:t>Minamata Convention: Initial Assessment in Cabo Verde and Sao Tome and Principe</w:t>
            </w:r>
          </w:p>
        </w:tc>
        <w:tc>
          <w:tcPr>
            <w:tcW w:w="992" w:type="dxa"/>
            <w:shd w:val="clear" w:color="auto" w:fill="auto"/>
            <w:noWrap/>
            <w:hideMark/>
          </w:tcPr>
          <w:p w14:paraId="62FE1F45"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4A028CB5"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EDCD225"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5876BFD7" w14:textId="77777777" w:rsidR="00CC73DD" w:rsidRPr="00361139" w:rsidRDefault="00CC73DD" w:rsidP="002232EE">
            <w:pPr>
              <w:pStyle w:val="Normal-pool-Table"/>
              <w:jc w:val="right"/>
              <w:rPr>
                <w:lang w:val="en-GB"/>
              </w:rPr>
            </w:pPr>
            <w:r w:rsidRPr="00361139">
              <w:rPr>
                <w:lang w:val="en-GB"/>
              </w:rPr>
              <w:t>0,40</w:t>
            </w:r>
          </w:p>
        </w:tc>
        <w:tc>
          <w:tcPr>
            <w:tcW w:w="1037" w:type="dxa"/>
            <w:shd w:val="clear" w:color="auto" w:fill="auto"/>
            <w:noWrap/>
            <w:hideMark/>
          </w:tcPr>
          <w:p w14:paraId="5EAA723F" w14:textId="77777777" w:rsidR="00CC73DD" w:rsidRPr="00361139" w:rsidRDefault="00CC73DD" w:rsidP="002232EE">
            <w:pPr>
              <w:pStyle w:val="Normal-pool-Table"/>
              <w:jc w:val="right"/>
              <w:rPr>
                <w:lang w:val="en-GB"/>
              </w:rPr>
            </w:pPr>
            <w:r w:rsidRPr="00361139">
              <w:rPr>
                <w:lang w:val="en-GB"/>
              </w:rPr>
              <w:t>0,19</w:t>
            </w:r>
          </w:p>
        </w:tc>
      </w:tr>
      <w:tr w:rsidR="00FA47A8" w:rsidRPr="00361139" w14:paraId="6138F846" w14:textId="77777777" w:rsidTr="00413E25">
        <w:trPr>
          <w:cantSplit/>
          <w:trHeight w:val="57"/>
          <w:jc w:val="right"/>
        </w:trPr>
        <w:tc>
          <w:tcPr>
            <w:tcW w:w="677" w:type="dxa"/>
            <w:shd w:val="clear" w:color="auto" w:fill="auto"/>
            <w:noWrap/>
            <w:hideMark/>
          </w:tcPr>
          <w:p w14:paraId="7AA824D1" w14:textId="77777777" w:rsidR="00CC73DD" w:rsidRPr="00361139" w:rsidRDefault="00CC73DD" w:rsidP="00DB2573">
            <w:pPr>
              <w:pStyle w:val="Normal-pool-Table"/>
              <w:rPr>
                <w:lang w:val="en-GB"/>
              </w:rPr>
            </w:pPr>
            <w:r w:rsidRPr="00361139">
              <w:rPr>
                <w:lang w:val="en-GB"/>
              </w:rPr>
              <w:t>9276</w:t>
            </w:r>
          </w:p>
        </w:tc>
        <w:tc>
          <w:tcPr>
            <w:tcW w:w="677" w:type="dxa"/>
            <w:shd w:val="clear" w:color="auto" w:fill="auto"/>
            <w:noWrap/>
            <w:hideMark/>
          </w:tcPr>
          <w:p w14:paraId="1F994D08"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72CDCFC" w14:textId="77777777" w:rsidR="00CC73DD" w:rsidRPr="00361139" w:rsidRDefault="00CC73DD" w:rsidP="00DB2573">
            <w:pPr>
              <w:pStyle w:val="Normal-pool-Table"/>
              <w:rPr>
                <w:lang w:val="en-GB"/>
              </w:rPr>
            </w:pPr>
            <w:r w:rsidRPr="00361139">
              <w:rPr>
                <w:lang w:val="en-GB"/>
              </w:rPr>
              <w:t>Burundi, Central African Republic, Congo, Kenya, Swaziland, Uganda, Zambia, Zimbabwe</w:t>
            </w:r>
          </w:p>
        </w:tc>
        <w:tc>
          <w:tcPr>
            <w:tcW w:w="2126" w:type="dxa"/>
            <w:shd w:val="clear" w:color="auto" w:fill="auto"/>
            <w:noWrap/>
            <w:hideMark/>
          </w:tcPr>
          <w:p w14:paraId="6F268869" w14:textId="77777777" w:rsidR="00CC73DD" w:rsidRPr="00361139" w:rsidRDefault="00CC73DD" w:rsidP="00DB2573">
            <w:pPr>
              <w:pStyle w:val="Normal-pool-Table"/>
              <w:rPr>
                <w:lang w:val="en-GB"/>
              </w:rPr>
            </w:pPr>
            <w:r w:rsidRPr="00361139">
              <w:rPr>
                <w:lang w:val="en-GB"/>
              </w:rPr>
              <w:t xml:space="preserve">Regional Project on the Development of National Action Plans for the Artisanal and </w:t>
            </w:r>
            <w:proofErr w:type="gramStart"/>
            <w:r w:rsidRPr="00361139">
              <w:rPr>
                <w:lang w:val="en-GB"/>
              </w:rPr>
              <w:t>Small Scale</w:t>
            </w:r>
            <w:proofErr w:type="gramEnd"/>
            <w:r w:rsidRPr="00361139">
              <w:rPr>
                <w:lang w:val="en-GB"/>
              </w:rPr>
              <w:t xml:space="preserve"> Gold Mining in Africa - Regional</w:t>
            </w:r>
          </w:p>
        </w:tc>
        <w:tc>
          <w:tcPr>
            <w:tcW w:w="992" w:type="dxa"/>
            <w:shd w:val="clear" w:color="auto" w:fill="auto"/>
            <w:noWrap/>
            <w:hideMark/>
          </w:tcPr>
          <w:p w14:paraId="344C0E52"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4CE221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2FF0FC5"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1E0CC79E" w14:textId="77777777" w:rsidR="00CC73DD" w:rsidRPr="00361139" w:rsidRDefault="00CC73DD" w:rsidP="002232EE">
            <w:pPr>
              <w:pStyle w:val="Normal-pool-Table"/>
              <w:jc w:val="right"/>
              <w:rPr>
                <w:lang w:val="en-GB"/>
              </w:rPr>
            </w:pPr>
            <w:r w:rsidRPr="00361139">
              <w:rPr>
                <w:lang w:val="en-GB"/>
              </w:rPr>
              <w:t>4,00</w:t>
            </w:r>
          </w:p>
        </w:tc>
        <w:tc>
          <w:tcPr>
            <w:tcW w:w="1037" w:type="dxa"/>
            <w:shd w:val="clear" w:color="auto" w:fill="auto"/>
            <w:noWrap/>
            <w:hideMark/>
          </w:tcPr>
          <w:p w14:paraId="6B52C413" w14:textId="77777777" w:rsidR="00CC73DD" w:rsidRPr="00361139" w:rsidRDefault="00CC73DD" w:rsidP="002232EE">
            <w:pPr>
              <w:pStyle w:val="Normal-pool-Table"/>
              <w:jc w:val="right"/>
              <w:rPr>
                <w:lang w:val="en-GB"/>
              </w:rPr>
            </w:pPr>
            <w:r w:rsidRPr="00361139">
              <w:rPr>
                <w:lang w:val="en-GB"/>
              </w:rPr>
              <w:t>0,05</w:t>
            </w:r>
          </w:p>
        </w:tc>
      </w:tr>
      <w:tr w:rsidR="00FA47A8" w:rsidRPr="00361139" w14:paraId="03CF0225" w14:textId="77777777" w:rsidTr="00413E25">
        <w:trPr>
          <w:cantSplit/>
          <w:trHeight w:val="57"/>
          <w:jc w:val="right"/>
        </w:trPr>
        <w:tc>
          <w:tcPr>
            <w:tcW w:w="677" w:type="dxa"/>
            <w:shd w:val="clear" w:color="auto" w:fill="auto"/>
            <w:noWrap/>
            <w:hideMark/>
          </w:tcPr>
          <w:p w14:paraId="61997A82" w14:textId="77777777" w:rsidR="00CC73DD" w:rsidRPr="00361139" w:rsidRDefault="00CC73DD" w:rsidP="00DB2573">
            <w:pPr>
              <w:pStyle w:val="Normal-pool-Table"/>
              <w:rPr>
                <w:lang w:val="en-GB"/>
              </w:rPr>
            </w:pPr>
            <w:r w:rsidRPr="00361139">
              <w:rPr>
                <w:lang w:val="en-GB"/>
              </w:rPr>
              <w:t>9240</w:t>
            </w:r>
          </w:p>
        </w:tc>
        <w:tc>
          <w:tcPr>
            <w:tcW w:w="677" w:type="dxa"/>
            <w:shd w:val="clear" w:color="auto" w:fill="auto"/>
            <w:noWrap/>
            <w:hideMark/>
          </w:tcPr>
          <w:p w14:paraId="57FDA857"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92FE6A6" w14:textId="77777777" w:rsidR="00CC73DD" w:rsidRPr="00361139" w:rsidRDefault="00CC73DD" w:rsidP="00DB2573">
            <w:pPr>
              <w:pStyle w:val="Normal-pool-Table"/>
              <w:rPr>
                <w:lang w:val="en-GB"/>
              </w:rPr>
            </w:pPr>
            <w:r w:rsidRPr="00361139">
              <w:rPr>
                <w:lang w:val="en-GB"/>
              </w:rPr>
              <w:t>China</w:t>
            </w:r>
          </w:p>
        </w:tc>
        <w:tc>
          <w:tcPr>
            <w:tcW w:w="2126" w:type="dxa"/>
            <w:shd w:val="clear" w:color="auto" w:fill="auto"/>
            <w:noWrap/>
            <w:hideMark/>
          </w:tcPr>
          <w:p w14:paraId="7DB04E5C" w14:textId="77777777" w:rsidR="00CC73DD" w:rsidRPr="00361139" w:rsidRDefault="00CC73DD" w:rsidP="00DB2573">
            <w:pPr>
              <w:pStyle w:val="Normal-pool-Table"/>
              <w:rPr>
                <w:lang w:val="en-GB"/>
              </w:rPr>
            </w:pPr>
            <w:r w:rsidRPr="00361139">
              <w:rPr>
                <w:lang w:val="en-GB"/>
              </w:rPr>
              <w:t xml:space="preserve">Capacity Strengthening </w:t>
            </w:r>
            <w:proofErr w:type="gramStart"/>
            <w:r w:rsidRPr="00361139">
              <w:rPr>
                <w:lang w:val="en-GB"/>
              </w:rPr>
              <w:t>For</w:t>
            </w:r>
            <w:proofErr w:type="gramEnd"/>
            <w:r w:rsidRPr="00361139">
              <w:rPr>
                <w:lang w:val="en-GB"/>
              </w:rPr>
              <w:t xml:space="preserve"> Implementation Of Minamata Convention On Mercury</w:t>
            </w:r>
          </w:p>
        </w:tc>
        <w:tc>
          <w:tcPr>
            <w:tcW w:w="992" w:type="dxa"/>
            <w:shd w:val="clear" w:color="auto" w:fill="auto"/>
            <w:noWrap/>
            <w:hideMark/>
          </w:tcPr>
          <w:p w14:paraId="6FBB1A60" w14:textId="77777777" w:rsidR="00CC73DD" w:rsidRPr="00361139" w:rsidRDefault="00CC73DD" w:rsidP="00DB2573">
            <w:pPr>
              <w:pStyle w:val="Normal-pool-Table"/>
              <w:rPr>
                <w:lang w:val="en-GB"/>
              </w:rPr>
            </w:pPr>
            <w:r w:rsidRPr="00361139">
              <w:rPr>
                <w:lang w:val="en-GB"/>
              </w:rPr>
              <w:t>WB</w:t>
            </w:r>
          </w:p>
        </w:tc>
        <w:tc>
          <w:tcPr>
            <w:tcW w:w="851" w:type="dxa"/>
            <w:shd w:val="clear" w:color="auto" w:fill="auto"/>
            <w:noWrap/>
            <w:hideMark/>
          </w:tcPr>
          <w:p w14:paraId="77EFD7EC"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473B6D19"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4DD5355E" w14:textId="77777777" w:rsidR="00CC73DD" w:rsidRPr="00361139" w:rsidRDefault="00CC73DD" w:rsidP="002232EE">
            <w:pPr>
              <w:pStyle w:val="Normal-pool-Table"/>
              <w:jc w:val="right"/>
              <w:rPr>
                <w:lang w:val="en-GB"/>
              </w:rPr>
            </w:pPr>
            <w:r w:rsidRPr="00361139">
              <w:rPr>
                <w:lang w:val="en-GB"/>
              </w:rPr>
              <w:t>8,00</w:t>
            </w:r>
          </w:p>
        </w:tc>
        <w:tc>
          <w:tcPr>
            <w:tcW w:w="1037" w:type="dxa"/>
            <w:shd w:val="clear" w:color="auto" w:fill="auto"/>
            <w:noWrap/>
            <w:hideMark/>
          </w:tcPr>
          <w:p w14:paraId="076D3676" w14:textId="77777777" w:rsidR="00CC73DD" w:rsidRPr="00361139" w:rsidRDefault="00CC73DD" w:rsidP="002232EE">
            <w:pPr>
              <w:pStyle w:val="Normal-pool-Table"/>
              <w:jc w:val="right"/>
              <w:rPr>
                <w:lang w:val="en-GB"/>
              </w:rPr>
            </w:pPr>
            <w:r w:rsidRPr="00361139">
              <w:rPr>
                <w:lang w:val="en-GB"/>
              </w:rPr>
              <w:t>8,00</w:t>
            </w:r>
          </w:p>
        </w:tc>
      </w:tr>
      <w:tr w:rsidR="00FA47A8" w:rsidRPr="00361139" w14:paraId="32EE4F14" w14:textId="77777777" w:rsidTr="00413E25">
        <w:trPr>
          <w:cantSplit/>
          <w:trHeight w:val="57"/>
          <w:jc w:val="right"/>
        </w:trPr>
        <w:tc>
          <w:tcPr>
            <w:tcW w:w="677" w:type="dxa"/>
            <w:shd w:val="clear" w:color="auto" w:fill="auto"/>
            <w:noWrap/>
            <w:hideMark/>
          </w:tcPr>
          <w:p w14:paraId="3791FE8A" w14:textId="77777777" w:rsidR="00CC73DD" w:rsidRPr="00361139" w:rsidRDefault="00CC73DD" w:rsidP="00DB2573">
            <w:pPr>
              <w:pStyle w:val="Normal-pool-Table"/>
              <w:rPr>
                <w:lang w:val="en-GB"/>
              </w:rPr>
            </w:pPr>
            <w:r w:rsidRPr="00361139">
              <w:rPr>
                <w:lang w:val="en-GB"/>
              </w:rPr>
              <w:t>9203</w:t>
            </w:r>
          </w:p>
        </w:tc>
        <w:tc>
          <w:tcPr>
            <w:tcW w:w="677" w:type="dxa"/>
            <w:shd w:val="clear" w:color="auto" w:fill="auto"/>
            <w:noWrap/>
            <w:hideMark/>
          </w:tcPr>
          <w:p w14:paraId="76DEB757"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92C822F" w14:textId="77777777" w:rsidR="00CC73DD" w:rsidRPr="00361139" w:rsidRDefault="00CC73DD" w:rsidP="00DB2573">
            <w:pPr>
              <w:pStyle w:val="Normal-pool-Table"/>
              <w:rPr>
                <w:lang w:val="en-GB"/>
              </w:rPr>
            </w:pPr>
            <w:r w:rsidRPr="00361139">
              <w:rPr>
                <w:lang w:val="en-GB"/>
              </w:rPr>
              <w:t>Ecuador</w:t>
            </w:r>
          </w:p>
        </w:tc>
        <w:tc>
          <w:tcPr>
            <w:tcW w:w="2126" w:type="dxa"/>
            <w:shd w:val="clear" w:color="auto" w:fill="auto"/>
            <w:noWrap/>
            <w:hideMark/>
          </w:tcPr>
          <w:p w14:paraId="1B8B2F66" w14:textId="77777777" w:rsidR="00CC73DD" w:rsidRPr="00361139" w:rsidRDefault="00CC73DD" w:rsidP="00DB2573">
            <w:pPr>
              <w:pStyle w:val="Normal-pool-Table"/>
              <w:rPr>
                <w:lang w:val="en-GB"/>
              </w:rPr>
            </w:pPr>
            <w:r w:rsidRPr="00361139">
              <w:rPr>
                <w:lang w:val="en-GB"/>
              </w:rPr>
              <w:t>National Program for the Environmental Sound Management and Live Cycle Management of Chemical Substances</w:t>
            </w:r>
          </w:p>
        </w:tc>
        <w:tc>
          <w:tcPr>
            <w:tcW w:w="992" w:type="dxa"/>
            <w:shd w:val="clear" w:color="auto" w:fill="auto"/>
            <w:noWrap/>
            <w:hideMark/>
          </w:tcPr>
          <w:p w14:paraId="45A62C3A"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12FB948D"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587E92C7"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AD1C6EB" w14:textId="77777777" w:rsidR="00CC73DD" w:rsidRPr="00361139" w:rsidRDefault="00CC73DD" w:rsidP="002232EE">
            <w:pPr>
              <w:pStyle w:val="Normal-pool-Table"/>
              <w:jc w:val="right"/>
              <w:rPr>
                <w:lang w:val="en-GB"/>
              </w:rPr>
            </w:pPr>
            <w:r w:rsidRPr="00361139">
              <w:rPr>
                <w:lang w:val="en-GB"/>
              </w:rPr>
              <w:t>8,49</w:t>
            </w:r>
          </w:p>
        </w:tc>
        <w:tc>
          <w:tcPr>
            <w:tcW w:w="1037" w:type="dxa"/>
            <w:shd w:val="clear" w:color="auto" w:fill="auto"/>
            <w:noWrap/>
            <w:hideMark/>
          </w:tcPr>
          <w:p w14:paraId="2CC8EB0E" w14:textId="77777777" w:rsidR="00CC73DD" w:rsidRPr="00361139" w:rsidRDefault="00CC73DD" w:rsidP="002232EE">
            <w:pPr>
              <w:pStyle w:val="Normal-pool-Table"/>
              <w:jc w:val="right"/>
              <w:rPr>
                <w:lang w:val="en-GB"/>
              </w:rPr>
            </w:pPr>
            <w:r w:rsidRPr="00361139">
              <w:rPr>
                <w:lang w:val="en-GB"/>
              </w:rPr>
              <w:t>40,57</w:t>
            </w:r>
          </w:p>
        </w:tc>
      </w:tr>
      <w:tr w:rsidR="00FA47A8" w:rsidRPr="00361139" w14:paraId="6F95BC9F" w14:textId="77777777" w:rsidTr="00413E25">
        <w:trPr>
          <w:cantSplit/>
          <w:trHeight w:val="57"/>
          <w:jc w:val="right"/>
        </w:trPr>
        <w:tc>
          <w:tcPr>
            <w:tcW w:w="677" w:type="dxa"/>
            <w:shd w:val="clear" w:color="auto" w:fill="auto"/>
            <w:noWrap/>
            <w:hideMark/>
          </w:tcPr>
          <w:p w14:paraId="7B5C87AE" w14:textId="77777777" w:rsidR="00CC73DD" w:rsidRPr="00361139" w:rsidRDefault="00CC73DD" w:rsidP="00DB2573">
            <w:pPr>
              <w:pStyle w:val="Normal-pool-Table"/>
              <w:rPr>
                <w:lang w:val="en-GB"/>
              </w:rPr>
            </w:pPr>
            <w:r w:rsidRPr="00361139">
              <w:rPr>
                <w:lang w:val="en-GB"/>
              </w:rPr>
              <w:t>9188</w:t>
            </w:r>
          </w:p>
        </w:tc>
        <w:tc>
          <w:tcPr>
            <w:tcW w:w="677" w:type="dxa"/>
            <w:shd w:val="clear" w:color="auto" w:fill="auto"/>
            <w:noWrap/>
            <w:hideMark/>
          </w:tcPr>
          <w:p w14:paraId="27CE211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9D9159A" w14:textId="77777777" w:rsidR="00CC73DD" w:rsidRPr="00361139" w:rsidRDefault="00CC73DD" w:rsidP="00DB2573">
            <w:pPr>
              <w:pStyle w:val="Normal-pool-Table"/>
              <w:rPr>
                <w:lang w:val="en-GB"/>
              </w:rPr>
            </w:pPr>
            <w:r w:rsidRPr="00361139">
              <w:rPr>
                <w:lang w:val="en-GB"/>
              </w:rPr>
              <w:t>Papua New Guinea</w:t>
            </w:r>
          </w:p>
        </w:tc>
        <w:tc>
          <w:tcPr>
            <w:tcW w:w="2126" w:type="dxa"/>
            <w:shd w:val="clear" w:color="auto" w:fill="auto"/>
            <w:noWrap/>
            <w:hideMark/>
          </w:tcPr>
          <w:p w14:paraId="081E740A" w14:textId="77777777" w:rsidR="00CC73DD" w:rsidRPr="00361139" w:rsidRDefault="00CC73DD" w:rsidP="00DB2573">
            <w:pPr>
              <w:pStyle w:val="Normal-pool-Table"/>
              <w:rPr>
                <w:lang w:val="en-GB"/>
              </w:rPr>
            </w:pPr>
            <w:r w:rsidRPr="00361139">
              <w:rPr>
                <w:lang w:val="en-GB"/>
              </w:rPr>
              <w:t>Development of Minamata Initial Assessment in Papua New Guinea</w:t>
            </w:r>
          </w:p>
        </w:tc>
        <w:tc>
          <w:tcPr>
            <w:tcW w:w="992" w:type="dxa"/>
            <w:shd w:val="clear" w:color="auto" w:fill="auto"/>
            <w:noWrap/>
            <w:hideMark/>
          </w:tcPr>
          <w:p w14:paraId="135654DD"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720262B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0923523"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640D6923" w14:textId="77777777" w:rsidR="00CC73DD" w:rsidRPr="00361139" w:rsidRDefault="00CC73DD" w:rsidP="002232EE">
            <w:pPr>
              <w:pStyle w:val="Normal-pool-Table"/>
              <w:jc w:val="right"/>
              <w:rPr>
                <w:lang w:val="en-GB"/>
              </w:rPr>
            </w:pPr>
            <w:r w:rsidRPr="00361139">
              <w:rPr>
                <w:lang w:val="en-GB"/>
              </w:rPr>
              <w:t>0,30</w:t>
            </w:r>
          </w:p>
        </w:tc>
        <w:tc>
          <w:tcPr>
            <w:tcW w:w="1037" w:type="dxa"/>
            <w:shd w:val="clear" w:color="auto" w:fill="auto"/>
            <w:noWrap/>
            <w:hideMark/>
          </w:tcPr>
          <w:p w14:paraId="7187535B" w14:textId="77777777" w:rsidR="00CC73DD" w:rsidRPr="00361139" w:rsidRDefault="00CC73DD" w:rsidP="002232EE">
            <w:pPr>
              <w:pStyle w:val="Normal-pool-Table"/>
              <w:jc w:val="right"/>
              <w:rPr>
                <w:lang w:val="en-GB"/>
              </w:rPr>
            </w:pPr>
            <w:r w:rsidRPr="00361139">
              <w:rPr>
                <w:lang w:val="en-GB"/>
              </w:rPr>
              <w:t>0,00</w:t>
            </w:r>
          </w:p>
        </w:tc>
      </w:tr>
      <w:tr w:rsidR="00FA47A8" w:rsidRPr="00361139" w14:paraId="799A3E9E" w14:textId="77777777" w:rsidTr="00413E25">
        <w:trPr>
          <w:cantSplit/>
          <w:trHeight w:val="57"/>
          <w:jc w:val="right"/>
        </w:trPr>
        <w:tc>
          <w:tcPr>
            <w:tcW w:w="677" w:type="dxa"/>
            <w:shd w:val="clear" w:color="auto" w:fill="auto"/>
            <w:noWrap/>
            <w:hideMark/>
          </w:tcPr>
          <w:p w14:paraId="5E72159F" w14:textId="77777777" w:rsidR="00CC73DD" w:rsidRPr="00361139" w:rsidRDefault="00CC73DD" w:rsidP="00DB2573">
            <w:pPr>
              <w:pStyle w:val="Normal-pool-Table"/>
              <w:rPr>
                <w:lang w:val="en-GB"/>
              </w:rPr>
            </w:pPr>
            <w:r w:rsidRPr="00361139">
              <w:rPr>
                <w:lang w:val="en-GB"/>
              </w:rPr>
              <w:t>9187</w:t>
            </w:r>
          </w:p>
        </w:tc>
        <w:tc>
          <w:tcPr>
            <w:tcW w:w="677" w:type="dxa"/>
            <w:shd w:val="clear" w:color="auto" w:fill="auto"/>
            <w:noWrap/>
            <w:hideMark/>
          </w:tcPr>
          <w:p w14:paraId="59B46A53"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95FCBC3" w14:textId="77777777" w:rsidR="00CC73DD" w:rsidRPr="00361139" w:rsidRDefault="00CC73DD" w:rsidP="00DB2573">
            <w:pPr>
              <w:pStyle w:val="Normal-pool-Table"/>
              <w:rPr>
                <w:lang w:val="en-GB"/>
              </w:rPr>
            </w:pPr>
            <w:r w:rsidRPr="00361139">
              <w:rPr>
                <w:lang w:val="en-GB"/>
              </w:rPr>
              <w:t>Cook Islands, Kiribati, Palau, Tonga, Vanuatu</w:t>
            </w:r>
          </w:p>
        </w:tc>
        <w:tc>
          <w:tcPr>
            <w:tcW w:w="2126" w:type="dxa"/>
            <w:shd w:val="clear" w:color="auto" w:fill="auto"/>
            <w:noWrap/>
            <w:hideMark/>
          </w:tcPr>
          <w:p w14:paraId="6B190155" w14:textId="77777777" w:rsidR="00CC73DD" w:rsidRPr="00361139" w:rsidRDefault="00CC73DD" w:rsidP="00DB2573">
            <w:pPr>
              <w:pStyle w:val="Normal-pool-Table"/>
              <w:rPr>
                <w:lang w:val="en-GB"/>
              </w:rPr>
            </w:pPr>
            <w:r w:rsidRPr="00361139">
              <w:rPr>
                <w:lang w:val="en-GB"/>
              </w:rPr>
              <w:t>Development of Minamata Convention Mercury Initial Assessment in Pacific - Regional</w:t>
            </w:r>
          </w:p>
        </w:tc>
        <w:tc>
          <w:tcPr>
            <w:tcW w:w="992" w:type="dxa"/>
            <w:shd w:val="clear" w:color="auto" w:fill="auto"/>
            <w:noWrap/>
            <w:hideMark/>
          </w:tcPr>
          <w:p w14:paraId="3954FFB5"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0CE296E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6BC3CEB8"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51DE4887"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57913B3C" w14:textId="77777777" w:rsidR="00CC73DD" w:rsidRPr="00361139" w:rsidRDefault="00CC73DD" w:rsidP="002232EE">
            <w:pPr>
              <w:pStyle w:val="Normal-pool-Table"/>
              <w:jc w:val="right"/>
              <w:rPr>
                <w:lang w:val="en-GB"/>
              </w:rPr>
            </w:pPr>
            <w:r w:rsidRPr="00361139">
              <w:rPr>
                <w:lang w:val="en-GB"/>
              </w:rPr>
              <w:t>0,02</w:t>
            </w:r>
          </w:p>
        </w:tc>
      </w:tr>
      <w:tr w:rsidR="00FA47A8" w:rsidRPr="00361139" w14:paraId="1EC3AB85" w14:textId="77777777" w:rsidTr="00413E25">
        <w:trPr>
          <w:cantSplit/>
          <w:trHeight w:val="57"/>
          <w:jc w:val="right"/>
        </w:trPr>
        <w:tc>
          <w:tcPr>
            <w:tcW w:w="677" w:type="dxa"/>
            <w:shd w:val="clear" w:color="auto" w:fill="auto"/>
            <w:noWrap/>
            <w:hideMark/>
          </w:tcPr>
          <w:p w14:paraId="2D611ABA" w14:textId="77777777" w:rsidR="00CC73DD" w:rsidRPr="00361139" w:rsidRDefault="00CC73DD" w:rsidP="00DB2573">
            <w:pPr>
              <w:pStyle w:val="Normal-pool-Table"/>
              <w:rPr>
                <w:lang w:val="en-GB"/>
              </w:rPr>
            </w:pPr>
            <w:r w:rsidRPr="00361139">
              <w:rPr>
                <w:lang w:val="en-GB"/>
              </w:rPr>
              <w:t>9185</w:t>
            </w:r>
          </w:p>
        </w:tc>
        <w:tc>
          <w:tcPr>
            <w:tcW w:w="677" w:type="dxa"/>
            <w:shd w:val="clear" w:color="auto" w:fill="auto"/>
            <w:noWrap/>
            <w:hideMark/>
          </w:tcPr>
          <w:p w14:paraId="014B17A2"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8D64EF6" w14:textId="77777777" w:rsidR="00CC73DD" w:rsidRPr="00361139" w:rsidRDefault="00CC73DD" w:rsidP="00DB2573">
            <w:pPr>
              <w:pStyle w:val="Normal-pool-Table"/>
              <w:rPr>
                <w:lang w:val="en-GB"/>
              </w:rPr>
            </w:pPr>
            <w:r w:rsidRPr="00361139">
              <w:rPr>
                <w:lang w:val="en-GB"/>
              </w:rPr>
              <w:t>Botswana, Lesotho, Namibia, Swaziland</w:t>
            </w:r>
          </w:p>
        </w:tc>
        <w:tc>
          <w:tcPr>
            <w:tcW w:w="2126" w:type="dxa"/>
            <w:shd w:val="clear" w:color="auto" w:fill="auto"/>
            <w:noWrap/>
            <w:hideMark/>
          </w:tcPr>
          <w:p w14:paraId="109FF42F" w14:textId="77777777" w:rsidR="00CC73DD" w:rsidRPr="00361139" w:rsidRDefault="00CC73DD" w:rsidP="00DB2573">
            <w:pPr>
              <w:pStyle w:val="Normal-pool-Table"/>
              <w:rPr>
                <w:lang w:val="en-GB"/>
              </w:rPr>
            </w:pPr>
            <w:r w:rsidRPr="00361139">
              <w:rPr>
                <w:lang w:val="en-GB"/>
              </w:rPr>
              <w:t>Development of Minamata Initial Assessment - Regional</w:t>
            </w:r>
          </w:p>
        </w:tc>
        <w:tc>
          <w:tcPr>
            <w:tcW w:w="992" w:type="dxa"/>
            <w:shd w:val="clear" w:color="auto" w:fill="auto"/>
            <w:noWrap/>
            <w:hideMark/>
          </w:tcPr>
          <w:p w14:paraId="63677295"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12A3B13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CD28B2F"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4325BC0" w14:textId="77777777" w:rsidR="00CC73DD" w:rsidRPr="00361139" w:rsidRDefault="00CC73DD" w:rsidP="002232EE">
            <w:pPr>
              <w:pStyle w:val="Normal-pool-Table"/>
              <w:jc w:val="right"/>
              <w:rPr>
                <w:lang w:val="en-GB"/>
              </w:rPr>
            </w:pPr>
            <w:r w:rsidRPr="00361139">
              <w:rPr>
                <w:lang w:val="en-GB"/>
              </w:rPr>
              <w:t>0,80</w:t>
            </w:r>
          </w:p>
        </w:tc>
        <w:tc>
          <w:tcPr>
            <w:tcW w:w="1037" w:type="dxa"/>
            <w:shd w:val="clear" w:color="auto" w:fill="auto"/>
            <w:noWrap/>
            <w:hideMark/>
          </w:tcPr>
          <w:p w14:paraId="3AF687C7" w14:textId="77777777" w:rsidR="00CC73DD" w:rsidRPr="00361139" w:rsidRDefault="00CC73DD" w:rsidP="002232EE">
            <w:pPr>
              <w:pStyle w:val="Normal-pool-Table"/>
              <w:jc w:val="right"/>
              <w:rPr>
                <w:lang w:val="en-GB"/>
              </w:rPr>
            </w:pPr>
            <w:r w:rsidRPr="00361139">
              <w:rPr>
                <w:lang w:val="en-GB"/>
              </w:rPr>
              <w:t>0,06</w:t>
            </w:r>
          </w:p>
        </w:tc>
      </w:tr>
      <w:tr w:rsidR="00FA47A8" w:rsidRPr="00361139" w14:paraId="0FD7C9E8" w14:textId="77777777" w:rsidTr="00413E25">
        <w:trPr>
          <w:cantSplit/>
          <w:trHeight w:val="57"/>
          <w:jc w:val="right"/>
        </w:trPr>
        <w:tc>
          <w:tcPr>
            <w:tcW w:w="677" w:type="dxa"/>
            <w:shd w:val="clear" w:color="auto" w:fill="auto"/>
            <w:noWrap/>
            <w:hideMark/>
          </w:tcPr>
          <w:p w14:paraId="5397D911" w14:textId="77777777" w:rsidR="00CC73DD" w:rsidRPr="00361139" w:rsidRDefault="00CC73DD" w:rsidP="00DB2573">
            <w:pPr>
              <w:pStyle w:val="Normal-pool-Table"/>
              <w:rPr>
                <w:lang w:val="en-GB"/>
              </w:rPr>
            </w:pPr>
            <w:r w:rsidRPr="00361139">
              <w:rPr>
                <w:lang w:val="en-GB"/>
              </w:rPr>
              <w:t>9174</w:t>
            </w:r>
          </w:p>
        </w:tc>
        <w:tc>
          <w:tcPr>
            <w:tcW w:w="677" w:type="dxa"/>
            <w:shd w:val="clear" w:color="auto" w:fill="auto"/>
            <w:noWrap/>
            <w:hideMark/>
          </w:tcPr>
          <w:p w14:paraId="036F538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0E3CFD5" w14:textId="77777777" w:rsidR="00CC73DD" w:rsidRPr="00361139" w:rsidRDefault="00CC73DD" w:rsidP="00DB2573">
            <w:pPr>
              <w:pStyle w:val="Normal-pool-Table"/>
              <w:rPr>
                <w:lang w:val="en-GB"/>
              </w:rPr>
            </w:pPr>
            <w:r w:rsidRPr="00361139">
              <w:rPr>
                <w:lang w:val="en-GB"/>
              </w:rPr>
              <w:t>Djibouti</w:t>
            </w:r>
          </w:p>
        </w:tc>
        <w:tc>
          <w:tcPr>
            <w:tcW w:w="2126" w:type="dxa"/>
            <w:shd w:val="clear" w:color="auto" w:fill="auto"/>
            <w:noWrap/>
            <w:hideMark/>
          </w:tcPr>
          <w:p w14:paraId="1EA91943" w14:textId="77777777" w:rsidR="00CC73DD" w:rsidRPr="00361139" w:rsidRDefault="00CC73DD" w:rsidP="00DB2573">
            <w:pPr>
              <w:pStyle w:val="Normal-pool-Table"/>
              <w:rPr>
                <w:lang w:val="en-GB"/>
              </w:rPr>
            </w:pPr>
            <w:r w:rsidRPr="00361139">
              <w:rPr>
                <w:lang w:val="en-GB"/>
              </w:rPr>
              <w:t>Development of a Minamata Initial Assessment in Djibouti</w:t>
            </w:r>
          </w:p>
        </w:tc>
        <w:tc>
          <w:tcPr>
            <w:tcW w:w="992" w:type="dxa"/>
            <w:shd w:val="clear" w:color="auto" w:fill="auto"/>
            <w:noWrap/>
            <w:hideMark/>
          </w:tcPr>
          <w:p w14:paraId="583AF4FB"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68D5329F"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603FE1D"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72387E24"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7C4C2296" w14:textId="77777777" w:rsidR="00CC73DD" w:rsidRPr="00361139" w:rsidRDefault="00CC73DD" w:rsidP="002232EE">
            <w:pPr>
              <w:pStyle w:val="Normal-pool-Table"/>
              <w:jc w:val="right"/>
              <w:rPr>
                <w:lang w:val="en-GB"/>
              </w:rPr>
            </w:pPr>
            <w:r w:rsidRPr="00361139">
              <w:rPr>
                <w:lang w:val="en-GB"/>
              </w:rPr>
              <w:t>0,00</w:t>
            </w:r>
          </w:p>
        </w:tc>
      </w:tr>
      <w:tr w:rsidR="00FA47A8" w:rsidRPr="00361139" w14:paraId="47FEA353" w14:textId="77777777" w:rsidTr="00413E25">
        <w:trPr>
          <w:cantSplit/>
          <w:trHeight w:val="57"/>
          <w:jc w:val="right"/>
        </w:trPr>
        <w:tc>
          <w:tcPr>
            <w:tcW w:w="677" w:type="dxa"/>
            <w:shd w:val="clear" w:color="auto" w:fill="auto"/>
            <w:noWrap/>
            <w:hideMark/>
          </w:tcPr>
          <w:p w14:paraId="64699508" w14:textId="77777777" w:rsidR="00CC73DD" w:rsidRPr="00361139" w:rsidRDefault="00CC73DD" w:rsidP="00DB2573">
            <w:pPr>
              <w:pStyle w:val="Normal-pool-Table"/>
              <w:rPr>
                <w:lang w:val="en-GB"/>
              </w:rPr>
            </w:pPr>
            <w:r w:rsidRPr="00361139">
              <w:rPr>
                <w:lang w:val="en-GB"/>
              </w:rPr>
              <w:t>9173</w:t>
            </w:r>
          </w:p>
        </w:tc>
        <w:tc>
          <w:tcPr>
            <w:tcW w:w="677" w:type="dxa"/>
            <w:shd w:val="clear" w:color="auto" w:fill="auto"/>
            <w:noWrap/>
            <w:hideMark/>
          </w:tcPr>
          <w:p w14:paraId="4187463F"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D9EBFC4" w14:textId="77777777" w:rsidR="00CC73DD" w:rsidRPr="00361139" w:rsidRDefault="00CC73DD" w:rsidP="00DB2573">
            <w:pPr>
              <w:pStyle w:val="Normal-pool-Table"/>
              <w:rPr>
                <w:lang w:val="en-GB"/>
              </w:rPr>
            </w:pPr>
            <w:r w:rsidRPr="00361139">
              <w:rPr>
                <w:lang w:val="en-GB"/>
              </w:rPr>
              <w:t>Burundi, Central African Republic, Democratic Republic of the Congo, Cote d'Ivoire, Gabon</w:t>
            </w:r>
          </w:p>
        </w:tc>
        <w:tc>
          <w:tcPr>
            <w:tcW w:w="2126" w:type="dxa"/>
            <w:shd w:val="clear" w:color="auto" w:fill="auto"/>
            <w:noWrap/>
            <w:hideMark/>
          </w:tcPr>
          <w:p w14:paraId="4E2FBD16" w14:textId="77777777" w:rsidR="00CC73DD" w:rsidRPr="00361139" w:rsidRDefault="00CC73DD" w:rsidP="00DB2573">
            <w:pPr>
              <w:pStyle w:val="Normal-pool-Table"/>
              <w:rPr>
                <w:lang w:val="en-GB"/>
              </w:rPr>
            </w:pPr>
            <w:r w:rsidRPr="00361139">
              <w:rPr>
                <w:lang w:val="en-GB"/>
              </w:rPr>
              <w:t>Development of Minamata Convention Mercury Initial Assessment in Africa - Regional</w:t>
            </w:r>
          </w:p>
        </w:tc>
        <w:tc>
          <w:tcPr>
            <w:tcW w:w="992" w:type="dxa"/>
            <w:shd w:val="clear" w:color="auto" w:fill="auto"/>
            <w:noWrap/>
            <w:hideMark/>
          </w:tcPr>
          <w:p w14:paraId="1875CAA3"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79EB9A4A"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5E8B093C"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6EE227C"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48ADA0CD" w14:textId="77777777" w:rsidR="00CC73DD" w:rsidRPr="00361139" w:rsidRDefault="00CC73DD" w:rsidP="002232EE">
            <w:pPr>
              <w:pStyle w:val="Normal-pool-Table"/>
              <w:jc w:val="right"/>
              <w:rPr>
                <w:lang w:val="en-GB"/>
              </w:rPr>
            </w:pPr>
            <w:r w:rsidRPr="00361139">
              <w:rPr>
                <w:lang w:val="en-GB"/>
              </w:rPr>
              <w:t>0,06</w:t>
            </w:r>
          </w:p>
        </w:tc>
      </w:tr>
      <w:tr w:rsidR="00FA47A8" w:rsidRPr="00361139" w14:paraId="7ED41DB0" w14:textId="77777777" w:rsidTr="00413E25">
        <w:trPr>
          <w:cantSplit/>
          <w:trHeight w:val="57"/>
          <w:jc w:val="right"/>
        </w:trPr>
        <w:tc>
          <w:tcPr>
            <w:tcW w:w="677" w:type="dxa"/>
            <w:shd w:val="clear" w:color="auto" w:fill="auto"/>
            <w:noWrap/>
            <w:hideMark/>
          </w:tcPr>
          <w:p w14:paraId="0ECC929A" w14:textId="77777777" w:rsidR="00CC73DD" w:rsidRPr="00361139" w:rsidRDefault="00CC73DD" w:rsidP="00DB2573">
            <w:pPr>
              <w:pStyle w:val="Normal-pool-Table"/>
              <w:rPr>
                <w:lang w:val="en-GB"/>
              </w:rPr>
            </w:pPr>
            <w:r w:rsidRPr="00361139">
              <w:rPr>
                <w:lang w:val="en-GB"/>
              </w:rPr>
              <w:t>9170</w:t>
            </w:r>
          </w:p>
        </w:tc>
        <w:tc>
          <w:tcPr>
            <w:tcW w:w="677" w:type="dxa"/>
            <w:shd w:val="clear" w:color="auto" w:fill="auto"/>
            <w:noWrap/>
            <w:hideMark/>
          </w:tcPr>
          <w:p w14:paraId="5920E38D"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5DC68E9C" w14:textId="77777777" w:rsidR="00CC73DD" w:rsidRPr="00361139" w:rsidRDefault="00CC73DD" w:rsidP="00DB2573">
            <w:pPr>
              <w:pStyle w:val="Normal-pool-Table"/>
              <w:rPr>
                <w:lang w:val="en-GB"/>
              </w:rPr>
            </w:pPr>
            <w:r w:rsidRPr="00361139">
              <w:rPr>
                <w:lang w:val="en-GB"/>
              </w:rPr>
              <w:t>India</w:t>
            </w:r>
          </w:p>
        </w:tc>
        <w:tc>
          <w:tcPr>
            <w:tcW w:w="2126" w:type="dxa"/>
            <w:shd w:val="clear" w:color="auto" w:fill="auto"/>
            <w:noWrap/>
            <w:hideMark/>
          </w:tcPr>
          <w:p w14:paraId="2559D037" w14:textId="77777777" w:rsidR="00CC73DD" w:rsidRPr="00361139" w:rsidRDefault="00CC73DD" w:rsidP="00DB2573">
            <w:pPr>
              <w:pStyle w:val="Normal-pool-Table"/>
              <w:rPr>
                <w:lang w:val="en-GB"/>
              </w:rPr>
            </w:pPr>
            <w:r w:rsidRPr="00361139">
              <w:rPr>
                <w:lang w:val="en-GB"/>
              </w:rPr>
              <w:t>Improve Mercury Management in India</w:t>
            </w:r>
          </w:p>
        </w:tc>
        <w:tc>
          <w:tcPr>
            <w:tcW w:w="992" w:type="dxa"/>
            <w:shd w:val="clear" w:color="auto" w:fill="auto"/>
            <w:noWrap/>
            <w:hideMark/>
          </w:tcPr>
          <w:p w14:paraId="019583C8"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5FED532A"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E9C655A"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40E8ECA3"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42CAF2DF" w14:textId="77777777" w:rsidR="00CC73DD" w:rsidRPr="00361139" w:rsidRDefault="00CC73DD" w:rsidP="002232EE">
            <w:pPr>
              <w:pStyle w:val="Normal-pool-Table"/>
              <w:jc w:val="right"/>
              <w:rPr>
                <w:lang w:val="en-GB"/>
              </w:rPr>
            </w:pPr>
            <w:r w:rsidRPr="00361139">
              <w:rPr>
                <w:lang w:val="en-GB"/>
              </w:rPr>
              <w:t>0,00</w:t>
            </w:r>
          </w:p>
        </w:tc>
      </w:tr>
      <w:tr w:rsidR="00FA47A8" w:rsidRPr="00361139" w14:paraId="2FAE6471" w14:textId="77777777" w:rsidTr="00413E25">
        <w:trPr>
          <w:cantSplit/>
          <w:trHeight w:val="57"/>
          <w:jc w:val="right"/>
        </w:trPr>
        <w:tc>
          <w:tcPr>
            <w:tcW w:w="677" w:type="dxa"/>
            <w:shd w:val="clear" w:color="auto" w:fill="auto"/>
            <w:noWrap/>
            <w:hideMark/>
          </w:tcPr>
          <w:p w14:paraId="2A83F07C" w14:textId="77777777" w:rsidR="00CC73DD" w:rsidRPr="00361139" w:rsidRDefault="00CC73DD" w:rsidP="00DB2573">
            <w:pPr>
              <w:pStyle w:val="Normal-pool-Table"/>
              <w:rPr>
                <w:lang w:val="en-GB"/>
              </w:rPr>
            </w:pPr>
            <w:r w:rsidRPr="00361139">
              <w:rPr>
                <w:lang w:val="en-GB"/>
              </w:rPr>
              <w:lastRenderedPageBreak/>
              <w:t>9164</w:t>
            </w:r>
          </w:p>
        </w:tc>
        <w:tc>
          <w:tcPr>
            <w:tcW w:w="677" w:type="dxa"/>
            <w:shd w:val="clear" w:color="auto" w:fill="auto"/>
            <w:noWrap/>
            <w:hideMark/>
          </w:tcPr>
          <w:p w14:paraId="22AD8F27"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759974B" w14:textId="77777777" w:rsidR="00CC73DD" w:rsidRPr="00361139" w:rsidRDefault="00CC73DD" w:rsidP="00DB2573">
            <w:pPr>
              <w:pStyle w:val="Normal-pool-Table"/>
              <w:rPr>
                <w:lang w:val="en-GB"/>
              </w:rPr>
            </w:pPr>
            <w:r w:rsidRPr="00361139">
              <w:rPr>
                <w:lang w:val="en-GB"/>
              </w:rPr>
              <w:t>Gabon</w:t>
            </w:r>
          </w:p>
        </w:tc>
        <w:tc>
          <w:tcPr>
            <w:tcW w:w="2126" w:type="dxa"/>
            <w:shd w:val="clear" w:color="auto" w:fill="auto"/>
            <w:noWrap/>
            <w:hideMark/>
          </w:tcPr>
          <w:p w14:paraId="430E0711" w14:textId="77777777" w:rsidR="00CC73DD" w:rsidRPr="00361139" w:rsidRDefault="00CC73DD" w:rsidP="00DB2573">
            <w:pPr>
              <w:pStyle w:val="Normal-pool-Table"/>
              <w:rPr>
                <w:lang w:val="en-GB"/>
              </w:rPr>
            </w:pPr>
            <w:r w:rsidRPr="00361139">
              <w:rPr>
                <w:lang w:val="en-GB"/>
              </w:rPr>
              <w:t>National Action Plan on Mercury in the Artisanal and Small-Scale Gold Mining sector in Gabon</w:t>
            </w:r>
          </w:p>
        </w:tc>
        <w:tc>
          <w:tcPr>
            <w:tcW w:w="992" w:type="dxa"/>
            <w:shd w:val="clear" w:color="auto" w:fill="auto"/>
            <w:noWrap/>
            <w:hideMark/>
          </w:tcPr>
          <w:p w14:paraId="0C31E388"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70F28F67"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47448B2"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1C15AC42"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067E206B" w14:textId="77777777" w:rsidR="00CC73DD" w:rsidRPr="00361139" w:rsidRDefault="00CC73DD" w:rsidP="002232EE">
            <w:pPr>
              <w:pStyle w:val="Normal-pool-Table"/>
              <w:jc w:val="right"/>
              <w:rPr>
                <w:lang w:val="en-GB"/>
              </w:rPr>
            </w:pPr>
            <w:r w:rsidRPr="00361139">
              <w:rPr>
                <w:lang w:val="en-GB"/>
              </w:rPr>
              <w:t>0,16</w:t>
            </w:r>
          </w:p>
        </w:tc>
      </w:tr>
      <w:tr w:rsidR="00FA47A8" w:rsidRPr="00361139" w14:paraId="6D9D8334" w14:textId="77777777" w:rsidTr="00413E25">
        <w:trPr>
          <w:cantSplit/>
          <w:trHeight w:val="57"/>
          <w:jc w:val="right"/>
        </w:trPr>
        <w:tc>
          <w:tcPr>
            <w:tcW w:w="677" w:type="dxa"/>
            <w:shd w:val="clear" w:color="auto" w:fill="auto"/>
            <w:noWrap/>
            <w:hideMark/>
          </w:tcPr>
          <w:p w14:paraId="50500609" w14:textId="77777777" w:rsidR="00CC73DD" w:rsidRPr="00361139" w:rsidRDefault="00CC73DD" w:rsidP="00DB2573">
            <w:pPr>
              <w:pStyle w:val="Normal-pool-Table"/>
              <w:rPr>
                <w:lang w:val="en-GB"/>
              </w:rPr>
            </w:pPr>
            <w:r w:rsidRPr="00361139">
              <w:rPr>
                <w:lang w:val="en-GB"/>
              </w:rPr>
              <w:t>9144</w:t>
            </w:r>
          </w:p>
        </w:tc>
        <w:tc>
          <w:tcPr>
            <w:tcW w:w="677" w:type="dxa"/>
            <w:shd w:val="clear" w:color="auto" w:fill="auto"/>
            <w:noWrap/>
            <w:hideMark/>
          </w:tcPr>
          <w:p w14:paraId="29046FF2"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A47673D" w14:textId="77777777" w:rsidR="00CC73DD" w:rsidRPr="00361139" w:rsidRDefault="00CC73DD" w:rsidP="00DB2573">
            <w:pPr>
              <w:pStyle w:val="Normal-pool-Table"/>
              <w:rPr>
                <w:lang w:val="en-GB"/>
              </w:rPr>
            </w:pPr>
            <w:r w:rsidRPr="00361139">
              <w:rPr>
                <w:lang w:val="en-GB"/>
              </w:rPr>
              <w:t>Malaysia</w:t>
            </w:r>
          </w:p>
        </w:tc>
        <w:tc>
          <w:tcPr>
            <w:tcW w:w="2126" w:type="dxa"/>
            <w:shd w:val="clear" w:color="auto" w:fill="auto"/>
            <w:noWrap/>
            <w:hideMark/>
          </w:tcPr>
          <w:p w14:paraId="10505E36" w14:textId="77777777" w:rsidR="00CC73DD" w:rsidRPr="00361139" w:rsidRDefault="00CC73DD" w:rsidP="00DB2573">
            <w:pPr>
              <w:pStyle w:val="Normal-pool-Table"/>
              <w:rPr>
                <w:lang w:val="en-GB"/>
              </w:rPr>
            </w:pPr>
            <w:r w:rsidRPr="00361139">
              <w:rPr>
                <w:lang w:val="en-GB"/>
              </w:rPr>
              <w:t>Minamata Convention Initial Assessment in Malaysia</w:t>
            </w:r>
          </w:p>
        </w:tc>
        <w:tc>
          <w:tcPr>
            <w:tcW w:w="992" w:type="dxa"/>
            <w:shd w:val="clear" w:color="auto" w:fill="auto"/>
            <w:noWrap/>
            <w:hideMark/>
          </w:tcPr>
          <w:p w14:paraId="763B094B"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51E06D9E"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29DA2B7A"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1C2C26F" w14:textId="77777777" w:rsidR="00CC73DD" w:rsidRPr="00361139" w:rsidRDefault="00CC73DD" w:rsidP="002232EE">
            <w:pPr>
              <w:pStyle w:val="Normal-pool-Table"/>
              <w:jc w:val="right"/>
              <w:rPr>
                <w:lang w:val="en-GB"/>
              </w:rPr>
            </w:pPr>
            <w:r w:rsidRPr="00361139">
              <w:rPr>
                <w:lang w:val="en-GB"/>
              </w:rPr>
              <w:t>0,25</w:t>
            </w:r>
          </w:p>
        </w:tc>
        <w:tc>
          <w:tcPr>
            <w:tcW w:w="1037" w:type="dxa"/>
            <w:shd w:val="clear" w:color="auto" w:fill="auto"/>
            <w:noWrap/>
            <w:hideMark/>
          </w:tcPr>
          <w:p w14:paraId="17A9F15F" w14:textId="77777777" w:rsidR="00CC73DD" w:rsidRPr="00361139" w:rsidRDefault="00CC73DD" w:rsidP="002232EE">
            <w:pPr>
              <w:pStyle w:val="Normal-pool-Table"/>
              <w:jc w:val="right"/>
              <w:rPr>
                <w:lang w:val="en-GB"/>
              </w:rPr>
            </w:pPr>
            <w:r w:rsidRPr="00361139">
              <w:rPr>
                <w:lang w:val="en-GB"/>
              </w:rPr>
              <w:t>0,25</w:t>
            </w:r>
          </w:p>
        </w:tc>
      </w:tr>
      <w:tr w:rsidR="00FA47A8" w:rsidRPr="00361139" w14:paraId="7780D0D2" w14:textId="77777777" w:rsidTr="00413E25">
        <w:trPr>
          <w:cantSplit/>
          <w:trHeight w:val="57"/>
          <w:jc w:val="right"/>
        </w:trPr>
        <w:tc>
          <w:tcPr>
            <w:tcW w:w="677" w:type="dxa"/>
            <w:shd w:val="clear" w:color="auto" w:fill="auto"/>
            <w:noWrap/>
            <w:hideMark/>
          </w:tcPr>
          <w:p w14:paraId="4EBF5CD9" w14:textId="77777777" w:rsidR="00CC73DD" w:rsidRPr="00361139" w:rsidRDefault="00CC73DD" w:rsidP="00DB2573">
            <w:pPr>
              <w:pStyle w:val="Normal-pool-Table"/>
              <w:rPr>
                <w:lang w:val="en-GB"/>
              </w:rPr>
            </w:pPr>
            <w:r w:rsidRPr="00361139">
              <w:rPr>
                <w:lang w:val="en-GB"/>
              </w:rPr>
              <w:t>8026</w:t>
            </w:r>
          </w:p>
        </w:tc>
        <w:tc>
          <w:tcPr>
            <w:tcW w:w="677" w:type="dxa"/>
            <w:shd w:val="clear" w:color="auto" w:fill="auto"/>
            <w:noWrap/>
            <w:hideMark/>
          </w:tcPr>
          <w:p w14:paraId="1E59CD8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62E353D" w14:textId="77777777" w:rsidR="00CC73DD" w:rsidRPr="00361139" w:rsidRDefault="00CC73DD" w:rsidP="00DB2573">
            <w:pPr>
              <w:pStyle w:val="Normal-pool-Table"/>
              <w:rPr>
                <w:lang w:val="en-GB"/>
              </w:rPr>
            </w:pPr>
            <w:r w:rsidRPr="00361139">
              <w:rPr>
                <w:lang w:val="en-GB"/>
              </w:rPr>
              <w:t>Panama</w:t>
            </w:r>
          </w:p>
        </w:tc>
        <w:tc>
          <w:tcPr>
            <w:tcW w:w="2126" w:type="dxa"/>
            <w:shd w:val="clear" w:color="auto" w:fill="auto"/>
            <w:noWrap/>
            <w:hideMark/>
          </w:tcPr>
          <w:p w14:paraId="65BD61C4" w14:textId="77777777" w:rsidR="00CC73DD" w:rsidRPr="00361139" w:rsidRDefault="00CC73DD" w:rsidP="00DB2573">
            <w:pPr>
              <w:pStyle w:val="Normal-pool-Table"/>
              <w:rPr>
                <w:lang w:val="en-GB"/>
              </w:rPr>
            </w:pPr>
            <w:r w:rsidRPr="00361139">
              <w:rPr>
                <w:lang w:val="en-GB"/>
              </w:rPr>
              <w:t>Minamata Initial Assessment for Panama</w:t>
            </w:r>
          </w:p>
        </w:tc>
        <w:tc>
          <w:tcPr>
            <w:tcW w:w="992" w:type="dxa"/>
            <w:shd w:val="clear" w:color="auto" w:fill="auto"/>
            <w:noWrap/>
            <w:hideMark/>
          </w:tcPr>
          <w:p w14:paraId="2D5C78BE"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4F90D103"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1AF3E94"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B00691D" w14:textId="77777777" w:rsidR="00CC73DD" w:rsidRPr="00361139" w:rsidRDefault="00CC73DD" w:rsidP="002232EE">
            <w:pPr>
              <w:pStyle w:val="Normal-pool-Table"/>
              <w:jc w:val="right"/>
              <w:rPr>
                <w:lang w:val="en-GB"/>
              </w:rPr>
            </w:pPr>
            <w:r w:rsidRPr="00361139">
              <w:rPr>
                <w:lang w:val="en-GB"/>
              </w:rPr>
              <w:t>0,20</w:t>
            </w:r>
          </w:p>
        </w:tc>
        <w:tc>
          <w:tcPr>
            <w:tcW w:w="1037" w:type="dxa"/>
            <w:shd w:val="clear" w:color="auto" w:fill="auto"/>
            <w:noWrap/>
            <w:hideMark/>
          </w:tcPr>
          <w:p w14:paraId="19CD63F8" w14:textId="77777777" w:rsidR="00CC73DD" w:rsidRPr="00361139" w:rsidRDefault="00CC73DD" w:rsidP="002232EE">
            <w:pPr>
              <w:pStyle w:val="Normal-pool-Table"/>
              <w:jc w:val="right"/>
              <w:rPr>
                <w:lang w:val="en-GB"/>
              </w:rPr>
            </w:pPr>
            <w:r w:rsidRPr="00361139">
              <w:rPr>
                <w:lang w:val="en-GB"/>
              </w:rPr>
              <w:t>0,00</w:t>
            </w:r>
          </w:p>
        </w:tc>
      </w:tr>
      <w:tr w:rsidR="00FA47A8" w:rsidRPr="00361139" w14:paraId="16EC8E49" w14:textId="77777777" w:rsidTr="00413E25">
        <w:trPr>
          <w:cantSplit/>
          <w:trHeight w:val="57"/>
          <w:jc w:val="right"/>
        </w:trPr>
        <w:tc>
          <w:tcPr>
            <w:tcW w:w="677" w:type="dxa"/>
            <w:shd w:val="clear" w:color="auto" w:fill="auto"/>
            <w:noWrap/>
            <w:hideMark/>
          </w:tcPr>
          <w:p w14:paraId="23D7FD2E" w14:textId="77777777" w:rsidR="00CC73DD" w:rsidRPr="00361139" w:rsidRDefault="00CC73DD" w:rsidP="00DB2573">
            <w:pPr>
              <w:pStyle w:val="Normal-pool-Table"/>
              <w:rPr>
                <w:lang w:val="en-GB"/>
              </w:rPr>
            </w:pPr>
            <w:r w:rsidRPr="00361139">
              <w:rPr>
                <w:lang w:val="en-GB"/>
              </w:rPr>
              <w:t>8017</w:t>
            </w:r>
          </w:p>
        </w:tc>
        <w:tc>
          <w:tcPr>
            <w:tcW w:w="677" w:type="dxa"/>
            <w:shd w:val="clear" w:color="auto" w:fill="auto"/>
            <w:noWrap/>
            <w:hideMark/>
          </w:tcPr>
          <w:p w14:paraId="30188EFA"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3931C850" w14:textId="77777777" w:rsidR="00CC73DD" w:rsidRPr="00361139" w:rsidRDefault="00CC73DD" w:rsidP="00DB2573">
            <w:pPr>
              <w:pStyle w:val="Normal-pool-Table"/>
              <w:rPr>
                <w:lang w:val="en-GB"/>
              </w:rPr>
            </w:pPr>
            <w:r w:rsidRPr="00361139">
              <w:rPr>
                <w:lang w:val="en-GB"/>
              </w:rPr>
              <w:t>Belarus</w:t>
            </w:r>
          </w:p>
        </w:tc>
        <w:tc>
          <w:tcPr>
            <w:tcW w:w="2126" w:type="dxa"/>
            <w:shd w:val="clear" w:color="auto" w:fill="auto"/>
            <w:noWrap/>
            <w:hideMark/>
          </w:tcPr>
          <w:p w14:paraId="45DE8771" w14:textId="77777777" w:rsidR="00CC73DD" w:rsidRPr="00361139" w:rsidRDefault="00CC73DD" w:rsidP="00DB2573">
            <w:pPr>
              <w:pStyle w:val="Normal-pool-Table"/>
              <w:rPr>
                <w:lang w:val="en-GB"/>
              </w:rPr>
            </w:pPr>
            <w:r w:rsidRPr="00361139">
              <w:rPr>
                <w:lang w:val="en-GB"/>
              </w:rPr>
              <w:t>GEF-6 POPs Legacy and Sustainable Chemicals Management</w:t>
            </w:r>
          </w:p>
        </w:tc>
        <w:tc>
          <w:tcPr>
            <w:tcW w:w="992" w:type="dxa"/>
            <w:shd w:val="clear" w:color="auto" w:fill="auto"/>
            <w:noWrap/>
            <w:hideMark/>
          </w:tcPr>
          <w:p w14:paraId="04FEE6DA"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41EAE2C8"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6B0AE53A"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1C08C25B" w14:textId="77777777" w:rsidR="00CC73DD" w:rsidRPr="00361139" w:rsidRDefault="00CC73DD" w:rsidP="002232EE">
            <w:pPr>
              <w:pStyle w:val="Normal-pool-Table"/>
              <w:jc w:val="right"/>
              <w:rPr>
                <w:lang w:val="en-GB"/>
              </w:rPr>
            </w:pPr>
            <w:r w:rsidRPr="00361139">
              <w:rPr>
                <w:lang w:val="en-GB"/>
              </w:rPr>
              <w:t>8,40</w:t>
            </w:r>
          </w:p>
        </w:tc>
        <w:tc>
          <w:tcPr>
            <w:tcW w:w="1037" w:type="dxa"/>
            <w:shd w:val="clear" w:color="auto" w:fill="auto"/>
            <w:noWrap/>
            <w:hideMark/>
          </w:tcPr>
          <w:p w14:paraId="1714E046" w14:textId="77777777" w:rsidR="00CC73DD" w:rsidRPr="00361139" w:rsidRDefault="00CC73DD" w:rsidP="002232EE">
            <w:pPr>
              <w:pStyle w:val="Normal-pool-Table"/>
              <w:jc w:val="right"/>
              <w:rPr>
                <w:lang w:val="en-GB"/>
              </w:rPr>
            </w:pPr>
            <w:r w:rsidRPr="00361139">
              <w:rPr>
                <w:lang w:val="en-GB"/>
              </w:rPr>
              <w:t>50,81</w:t>
            </w:r>
          </w:p>
        </w:tc>
      </w:tr>
      <w:tr w:rsidR="00FA47A8" w:rsidRPr="00361139" w14:paraId="3A1F71EE" w14:textId="77777777" w:rsidTr="00413E25">
        <w:trPr>
          <w:cantSplit/>
          <w:trHeight w:val="57"/>
          <w:jc w:val="right"/>
        </w:trPr>
        <w:tc>
          <w:tcPr>
            <w:tcW w:w="677" w:type="dxa"/>
            <w:shd w:val="clear" w:color="auto" w:fill="auto"/>
            <w:noWrap/>
            <w:hideMark/>
          </w:tcPr>
          <w:p w14:paraId="0C1B4A7C" w14:textId="77777777" w:rsidR="00CC73DD" w:rsidRPr="00361139" w:rsidRDefault="00CC73DD" w:rsidP="00DB2573">
            <w:pPr>
              <w:pStyle w:val="Normal-pool-Table"/>
              <w:rPr>
                <w:lang w:val="en-GB"/>
              </w:rPr>
            </w:pPr>
            <w:r w:rsidRPr="00361139">
              <w:rPr>
                <w:lang w:val="en-GB"/>
              </w:rPr>
              <w:t>8000</w:t>
            </w:r>
          </w:p>
        </w:tc>
        <w:tc>
          <w:tcPr>
            <w:tcW w:w="677" w:type="dxa"/>
            <w:shd w:val="clear" w:color="auto" w:fill="auto"/>
            <w:noWrap/>
            <w:hideMark/>
          </w:tcPr>
          <w:p w14:paraId="0E0520DC"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75CA5908" w14:textId="77777777" w:rsidR="00CC73DD" w:rsidRPr="00361139" w:rsidRDefault="00CC73DD" w:rsidP="00DB2573">
            <w:pPr>
              <w:pStyle w:val="Normal-pool-Table"/>
              <w:rPr>
                <w:lang w:val="en-GB"/>
              </w:rPr>
            </w:pPr>
            <w:r w:rsidRPr="00361139">
              <w:rPr>
                <w:lang w:val="en-GB"/>
              </w:rPr>
              <w:t>Tunisia</w:t>
            </w:r>
          </w:p>
        </w:tc>
        <w:tc>
          <w:tcPr>
            <w:tcW w:w="2126" w:type="dxa"/>
            <w:shd w:val="clear" w:color="auto" w:fill="auto"/>
            <w:noWrap/>
            <w:hideMark/>
          </w:tcPr>
          <w:p w14:paraId="6EC68230" w14:textId="77777777" w:rsidR="00CC73DD" w:rsidRPr="00361139" w:rsidRDefault="00CC73DD" w:rsidP="00DB2573">
            <w:pPr>
              <w:pStyle w:val="Normal-pool-Table"/>
              <w:rPr>
                <w:lang w:val="en-GB"/>
              </w:rPr>
            </w:pPr>
            <w:r w:rsidRPr="00361139">
              <w:rPr>
                <w:lang w:val="en-GB"/>
              </w:rPr>
              <w:t>Improve Mercury Management in Tunisia</w:t>
            </w:r>
          </w:p>
        </w:tc>
        <w:tc>
          <w:tcPr>
            <w:tcW w:w="992" w:type="dxa"/>
            <w:shd w:val="clear" w:color="auto" w:fill="auto"/>
            <w:noWrap/>
            <w:hideMark/>
          </w:tcPr>
          <w:p w14:paraId="507D560F"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735B6991" w14:textId="77777777" w:rsidR="00CC73DD" w:rsidRPr="00361139" w:rsidRDefault="00CC73DD" w:rsidP="00DB2573">
            <w:pPr>
              <w:pStyle w:val="Normal-pool-Table"/>
              <w:rPr>
                <w:lang w:val="en-GB"/>
              </w:rPr>
            </w:pPr>
            <w:r w:rsidRPr="00361139">
              <w:rPr>
                <w:lang w:val="en-GB"/>
              </w:rPr>
              <w:t>MSP</w:t>
            </w:r>
          </w:p>
        </w:tc>
        <w:tc>
          <w:tcPr>
            <w:tcW w:w="1038" w:type="dxa"/>
            <w:shd w:val="clear" w:color="auto" w:fill="auto"/>
            <w:noWrap/>
            <w:hideMark/>
          </w:tcPr>
          <w:p w14:paraId="14EDE401"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0550A573" w14:textId="77777777" w:rsidR="00CC73DD" w:rsidRPr="00361139" w:rsidRDefault="00CC73DD" w:rsidP="002232EE">
            <w:pPr>
              <w:pStyle w:val="Normal-pool-Table"/>
              <w:jc w:val="right"/>
              <w:rPr>
                <w:lang w:val="en-GB"/>
              </w:rPr>
            </w:pPr>
            <w:r w:rsidRPr="00361139">
              <w:rPr>
                <w:lang w:val="en-GB"/>
              </w:rPr>
              <w:t>0,60</w:t>
            </w:r>
          </w:p>
        </w:tc>
        <w:tc>
          <w:tcPr>
            <w:tcW w:w="1037" w:type="dxa"/>
            <w:shd w:val="clear" w:color="auto" w:fill="auto"/>
            <w:noWrap/>
            <w:hideMark/>
          </w:tcPr>
          <w:p w14:paraId="01E7F144" w14:textId="77777777" w:rsidR="00CC73DD" w:rsidRPr="00361139" w:rsidRDefault="00CC73DD" w:rsidP="002232EE">
            <w:pPr>
              <w:pStyle w:val="Normal-pool-Table"/>
              <w:jc w:val="right"/>
              <w:rPr>
                <w:lang w:val="en-GB"/>
              </w:rPr>
            </w:pPr>
            <w:r w:rsidRPr="00361139">
              <w:rPr>
                <w:lang w:val="en-GB"/>
              </w:rPr>
              <w:t>2,35</w:t>
            </w:r>
          </w:p>
        </w:tc>
      </w:tr>
      <w:tr w:rsidR="00FA47A8" w:rsidRPr="00361139" w14:paraId="60B06EC6" w14:textId="77777777" w:rsidTr="00413E25">
        <w:trPr>
          <w:cantSplit/>
          <w:trHeight w:val="57"/>
          <w:jc w:val="right"/>
        </w:trPr>
        <w:tc>
          <w:tcPr>
            <w:tcW w:w="677" w:type="dxa"/>
            <w:shd w:val="clear" w:color="auto" w:fill="auto"/>
            <w:noWrap/>
            <w:hideMark/>
          </w:tcPr>
          <w:p w14:paraId="63628217" w14:textId="77777777" w:rsidR="00CC73DD" w:rsidRPr="00361139" w:rsidRDefault="00CC73DD" w:rsidP="00DB2573">
            <w:pPr>
              <w:pStyle w:val="Normal-pool-Table"/>
              <w:rPr>
                <w:lang w:val="en-GB"/>
              </w:rPr>
            </w:pPr>
            <w:r w:rsidRPr="00361139">
              <w:rPr>
                <w:lang w:val="en-GB"/>
              </w:rPr>
              <w:t>6985</w:t>
            </w:r>
          </w:p>
        </w:tc>
        <w:tc>
          <w:tcPr>
            <w:tcW w:w="677" w:type="dxa"/>
            <w:shd w:val="clear" w:color="auto" w:fill="auto"/>
            <w:noWrap/>
            <w:hideMark/>
          </w:tcPr>
          <w:p w14:paraId="552599E6"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1E8DFBD3" w14:textId="77777777" w:rsidR="00CC73DD" w:rsidRPr="00361139" w:rsidRDefault="00CC73DD" w:rsidP="00DB2573">
            <w:pPr>
              <w:pStyle w:val="Normal-pool-Table"/>
              <w:rPr>
                <w:lang w:val="en-GB"/>
              </w:rPr>
            </w:pPr>
            <w:r w:rsidRPr="00361139">
              <w:rPr>
                <w:lang w:val="en-GB"/>
              </w:rPr>
              <w:t>Mozambique</w:t>
            </w:r>
          </w:p>
        </w:tc>
        <w:tc>
          <w:tcPr>
            <w:tcW w:w="2126" w:type="dxa"/>
            <w:shd w:val="clear" w:color="auto" w:fill="auto"/>
            <w:noWrap/>
            <w:hideMark/>
          </w:tcPr>
          <w:p w14:paraId="48029D60" w14:textId="77777777" w:rsidR="00CC73DD" w:rsidRPr="00361139" w:rsidRDefault="00CC73DD" w:rsidP="00DB2573">
            <w:pPr>
              <w:pStyle w:val="Normal-pool-Table"/>
              <w:rPr>
                <w:lang w:val="en-GB"/>
              </w:rPr>
            </w:pPr>
            <w:r w:rsidRPr="00361139">
              <w:rPr>
                <w:lang w:val="en-GB"/>
              </w:rPr>
              <w:t>National Action Plan on Mercury in the Mozambican Artisanal and Small-Scale Gold Mining sector</w:t>
            </w:r>
          </w:p>
        </w:tc>
        <w:tc>
          <w:tcPr>
            <w:tcW w:w="992" w:type="dxa"/>
            <w:shd w:val="clear" w:color="auto" w:fill="auto"/>
            <w:noWrap/>
            <w:hideMark/>
          </w:tcPr>
          <w:p w14:paraId="275C4FE8"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1B723D91"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8B0A5B1"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7BD12BBF" w14:textId="77777777" w:rsidR="00CC73DD" w:rsidRPr="00361139" w:rsidRDefault="00CC73DD" w:rsidP="002232EE">
            <w:pPr>
              <w:pStyle w:val="Normal-pool-Table"/>
              <w:jc w:val="right"/>
              <w:rPr>
                <w:lang w:val="en-GB"/>
              </w:rPr>
            </w:pPr>
            <w:r w:rsidRPr="00361139">
              <w:rPr>
                <w:lang w:val="en-GB"/>
              </w:rPr>
              <w:t>0,50</w:t>
            </w:r>
          </w:p>
        </w:tc>
        <w:tc>
          <w:tcPr>
            <w:tcW w:w="1037" w:type="dxa"/>
            <w:shd w:val="clear" w:color="auto" w:fill="auto"/>
            <w:noWrap/>
            <w:hideMark/>
          </w:tcPr>
          <w:p w14:paraId="22884449" w14:textId="77777777" w:rsidR="00CC73DD" w:rsidRPr="00361139" w:rsidRDefault="00CC73DD" w:rsidP="002232EE">
            <w:pPr>
              <w:pStyle w:val="Normal-pool-Table"/>
              <w:jc w:val="right"/>
              <w:rPr>
                <w:lang w:val="en-GB"/>
              </w:rPr>
            </w:pPr>
            <w:r w:rsidRPr="00361139">
              <w:rPr>
                <w:lang w:val="en-GB"/>
              </w:rPr>
              <w:t>0,08</w:t>
            </w:r>
          </w:p>
        </w:tc>
      </w:tr>
      <w:tr w:rsidR="00FA47A8" w:rsidRPr="00361139" w14:paraId="3736381C" w14:textId="77777777" w:rsidTr="00413E25">
        <w:trPr>
          <w:cantSplit/>
          <w:trHeight w:val="57"/>
          <w:jc w:val="right"/>
        </w:trPr>
        <w:tc>
          <w:tcPr>
            <w:tcW w:w="677" w:type="dxa"/>
            <w:shd w:val="clear" w:color="auto" w:fill="auto"/>
            <w:noWrap/>
            <w:hideMark/>
          </w:tcPr>
          <w:p w14:paraId="6B967BFE" w14:textId="77777777" w:rsidR="00CC73DD" w:rsidRPr="00361139" w:rsidRDefault="00CC73DD" w:rsidP="00DB2573">
            <w:pPr>
              <w:pStyle w:val="Normal-pool-Table"/>
              <w:rPr>
                <w:lang w:val="en-GB"/>
              </w:rPr>
            </w:pPr>
            <w:r w:rsidRPr="00361139">
              <w:rPr>
                <w:lang w:val="en-GB"/>
              </w:rPr>
              <w:t>6959</w:t>
            </w:r>
          </w:p>
        </w:tc>
        <w:tc>
          <w:tcPr>
            <w:tcW w:w="677" w:type="dxa"/>
            <w:shd w:val="clear" w:color="auto" w:fill="auto"/>
            <w:noWrap/>
            <w:hideMark/>
          </w:tcPr>
          <w:p w14:paraId="071FA5DB"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642A694B" w14:textId="77777777" w:rsidR="00CC73DD" w:rsidRPr="005F6E71" w:rsidRDefault="00CC73DD" w:rsidP="00DB2573">
            <w:pPr>
              <w:pStyle w:val="Normal-pool-Table"/>
              <w:rPr>
                <w:lang w:val="fr-CH"/>
              </w:rPr>
            </w:pPr>
            <w:r w:rsidRPr="005F6E71">
              <w:rPr>
                <w:lang w:val="fr-CH"/>
              </w:rPr>
              <w:t xml:space="preserve">Bangladesh, </w:t>
            </w:r>
            <w:proofErr w:type="spellStart"/>
            <w:r w:rsidRPr="005F6E71">
              <w:rPr>
                <w:lang w:val="fr-CH"/>
              </w:rPr>
              <w:t>Guinea-Bissau</w:t>
            </w:r>
            <w:proofErr w:type="spellEnd"/>
            <w:r w:rsidRPr="005F6E71">
              <w:rPr>
                <w:lang w:val="fr-CH"/>
              </w:rPr>
              <w:t xml:space="preserve">, </w:t>
            </w:r>
            <w:proofErr w:type="spellStart"/>
            <w:r w:rsidRPr="005F6E71">
              <w:rPr>
                <w:lang w:val="fr-CH"/>
              </w:rPr>
              <w:t>Mauritania</w:t>
            </w:r>
            <w:proofErr w:type="spellEnd"/>
            <w:r w:rsidRPr="005F6E71">
              <w:rPr>
                <w:lang w:val="fr-CH"/>
              </w:rPr>
              <w:t>, Mozambique, Samoa</w:t>
            </w:r>
          </w:p>
        </w:tc>
        <w:tc>
          <w:tcPr>
            <w:tcW w:w="2126" w:type="dxa"/>
            <w:shd w:val="clear" w:color="auto" w:fill="auto"/>
            <w:noWrap/>
            <w:hideMark/>
          </w:tcPr>
          <w:p w14:paraId="4A165EED" w14:textId="77777777" w:rsidR="00CC73DD" w:rsidRPr="00361139" w:rsidRDefault="00CC73DD" w:rsidP="00DB2573">
            <w:pPr>
              <w:pStyle w:val="Normal-pool-Table"/>
              <w:rPr>
                <w:lang w:val="en-GB"/>
              </w:rPr>
            </w:pPr>
            <w:r w:rsidRPr="00361139">
              <w:rPr>
                <w:lang w:val="en-GB"/>
              </w:rPr>
              <w:t>Strengthen national decision making towards ratification of the Minamata Convention and build capacity towards implementation of future provisions - Regional</w:t>
            </w:r>
          </w:p>
        </w:tc>
        <w:tc>
          <w:tcPr>
            <w:tcW w:w="992" w:type="dxa"/>
            <w:shd w:val="clear" w:color="auto" w:fill="auto"/>
            <w:noWrap/>
            <w:hideMark/>
          </w:tcPr>
          <w:p w14:paraId="57448D87"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7BF64F4D"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334D4651" w14:textId="77777777" w:rsidR="00CC73DD" w:rsidRPr="00361139" w:rsidRDefault="00CC73DD" w:rsidP="00DB2573">
            <w:pPr>
              <w:pStyle w:val="Normal-pool-Table"/>
              <w:rPr>
                <w:lang w:val="en-GB"/>
              </w:rPr>
            </w:pPr>
            <w:r w:rsidRPr="00361139">
              <w:rPr>
                <w:lang w:val="en-GB"/>
              </w:rPr>
              <w:t>Completed</w:t>
            </w:r>
          </w:p>
        </w:tc>
        <w:tc>
          <w:tcPr>
            <w:tcW w:w="760" w:type="dxa"/>
            <w:shd w:val="clear" w:color="auto" w:fill="auto"/>
            <w:noWrap/>
            <w:hideMark/>
          </w:tcPr>
          <w:p w14:paraId="368F6951" w14:textId="77777777" w:rsidR="00CC73DD" w:rsidRPr="00361139" w:rsidRDefault="00CC73DD" w:rsidP="002232EE">
            <w:pPr>
              <w:pStyle w:val="Normal-pool-Table"/>
              <w:jc w:val="right"/>
              <w:rPr>
                <w:lang w:val="en-GB"/>
              </w:rPr>
            </w:pPr>
            <w:r w:rsidRPr="00361139">
              <w:rPr>
                <w:lang w:val="en-GB"/>
              </w:rPr>
              <w:t>1,00</w:t>
            </w:r>
          </w:p>
        </w:tc>
        <w:tc>
          <w:tcPr>
            <w:tcW w:w="1037" w:type="dxa"/>
            <w:shd w:val="clear" w:color="auto" w:fill="auto"/>
            <w:noWrap/>
            <w:hideMark/>
          </w:tcPr>
          <w:p w14:paraId="36C824BD" w14:textId="77777777" w:rsidR="00CC73DD" w:rsidRPr="00361139" w:rsidRDefault="00CC73DD" w:rsidP="002232EE">
            <w:pPr>
              <w:pStyle w:val="Normal-pool-Table"/>
              <w:jc w:val="right"/>
              <w:rPr>
                <w:lang w:val="en-GB"/>
              </w:rPr>
            </w:pPr>
            <w:r w:rsidRPr="00361139">
              <w:rPr>
                <w:lang w:val="en-GB"/>
              </w:rPr>
              <w:t>0,00</w:t>
            </w:r>
          </w:p>
        </w:tc>
      </w:tr>
      <w:tr w:rsidR="00FA47A8" w:rsidRPr="00361139" w14:paraId="37344D97" w14:textId="77777777" w:rsidTr="00413E25">
        <w:trPr>
          <w:cantSplit/>
          <w:trHeight w:val="57"/>
          <w:jc w:val="right"/>
        </w:trPr>
        <w:tc>
          <w:tcPr>
            <w:tcW w:w="677" w:type="dxa"/>
            <w:shd w:val="clear" w:color="auto" w:fill="auto"/>
            <w:noWrap/>
            <w:hideMark/>
          </w:tcPr>
          <w:p w14:paraId="36134EA8" w14:textId="77777777" w:rsidR="00CC73DD" w:rsidRPr="00361139" w:rsidRDefault="00CC73DD" w:rsidP="00DB2573">
            <w:pPr>
              <w:pStyle w:val="Normal-pool-Table"/>
              <w:rPr>
                <w:lang w:val="en-GB"/>
              </w:rPr>
            </w:pPr>
            <w:r w:rsidRPr="00361139">
              <w:rPr>
                <w:lang w:val="en-GB"/>
              </w:rPr>
              <w:t>6944</w:t>
            </w:r>
          </w:p>
        </w:tc>
        <w:tc>
          <w:tcPr>
            <w:tcW w:w="677" w:type="dxa"/>
            <w:shd w:val="clear" w:color="auto" w:fill="auto"/>
            <w:noWrap/>
            <w:hideMark/>
          </w:tcPr>
          <w:p w14:paraId="1DBD5D9F"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04BD6765" w14:textId="77777777" w:rsidR="00CC73DD" w:rsidRPr="00361139" w:rsidRDefault="00CC73DD" w:rsidP="00DB2573">
            <w:pPr>
              <w:pStyle w:val="Normal-pool-Table"/>
              <w:rPr>
                <w:lang w:val="en-GB"/>
              </w:rPr>
            </w:pPr>
            <w:r w:rsidRPr="00361139">
              <w:rPr>
                <w:lang w:val="en-GB"/>
              </w:rPr>
              <w:t>Angola, Malawi, Zimbabwe</w:t>
            </w:r>
          </w:p>
        </w:tc>
        <w:tc>
          <w:tcPr>
            <w:tcW w:w="2126" w:type="dxa"/>
            <w:shd w:val="clear" w:color="auto" w:fill="auto"/>
            <w:noWrap/>
            <w:hideMark/>
          </w:tcPr>
          <w:p w14:paraId="71343DDE" w14:textId="77777777" w:rsidR="00CC73DD" w:rsidRPr="00361139" w:rsidRDefault="00CC73DD" w:rsidP="00DB2573">
            <w:pPr>
              <w:pStyle w:val="Normal-pool-Table"/>
              <w:rPr>
                <w:lang w:val="en-GB"/>
              </w:rPr>
            </w:pPr>
            <w:r w:rsidRPr="00361139">
              <w:rPr>
                <w:lang w:val="en-GB"/>
              </w:rPr>
              <w:t>Development of Minamata Convention on Mercury Initial Assessment in Africa - Regional</w:t>
            </w:r>
          </w:p>
        </w:tc>
        <w:tc>
          <w:tcPr>
            <w:tcW w:w="992" w:type="dxa"/>
            <w:shd w:val="clear" w:color="auto" w:fill="auto"/>
            <w:noWrap/>
            <w:hideMark/>
          </w:tcPr>
          <w:p w14:paraId="7C3665FB" w14:textId="77777777" w:rsidR="00CC73DD" w:rsidRPr="00361139" w:rsidRDefault="00CC73DD" w:rsidP="00DB2573">
            <w:pPr>
              <w:pStyle w:val="Normal-pool-Table"/>
              <w:rPr>
                <w:lang w:val="en-GB"/>
              </w:rPr>
            </w:pPr>
            <w:r w:rsidRPr="00361139">
              <w:rPr>
                <w:lang w:val="en-GB"/>
              </w:rPr>
              <w:t>UNEP</w:t>
            </w:r>
          </w:p>
        </w:tc>
        <w:tc>
          <w:tcPr>
            <w:tcW w:w="851" w:type="dxa"/>
            <w:shd w:val="clear" w:color="auto" w:fill="auto"/>
            <w:noWrap/>
            <w:hideMark/>
          </w:tcPr>
          <w:p w14:paraId="4DF34399" w14:textId="77777777" w:rsidR="00CC73DD" w:rsidRPr="00361139" w:rsidRDefault="00CC73DD" w:rsidP="00DB2573">
            <w:pPr>
              <w:pStyle w:val="Normal-pool-Table"/>
              <w:rPr>
                <w:lang w:val="en-GB"/>
              </w:rPr>
            </w:pPr>
            <w:r w:rsidRPr="00361139">
              <w:rPr>
                <w:lang w:val="en-GB"/>
              </w:rPr>
              <w:t>EA</w:t>
            </w:r>
          </w:p>
        </w:tc>
        <w:tc>
          <w:tcPr>
            <w:tcW w:w="1038" w:type="dxa"/>
            <w:shd w:val="clear" w:color="auto" w:fill="auto"/>
            <w:noWrap/>
            <w:hideMark/>
          </w:tcPr>
          <w:p w14:paraId="08751057"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0E007F39" w14:textId="77777777" w:rsidR="00CC73DD" w:rsidRPr="00361139" w:rsidRDefault="00CC73DD" w:rsidP="002232EE">
            <w:pPr>
              <w:pStyle w:val="Normal-pool-Table"/>
              <w:jc w:val="right"/>
              <w:rPr>
                <w:lang w:val="en-GB"/>
              </w:rPr>
            </w:pPr>
            <w:r w:rsidRPr="00361139">
              <w:rPr>
                <w:lang w:val="en-GB"/>
              </w:rPr>
              <w:t>0,55</w:t>
            </w:r>
          </w:p>
        </w:tc>
        <w:tc>
          <w:tcPr>
            <w:tcW w:w="1037" w:type="dxa"/>
            <w:shd w:val="clear" w:color="auto" w:fill="auto"/>
            <w:noWrap/>
            <w:hideMark/>
          </w:tcPr>
          <w:p w14:paraId="441D683A" w14:textId="77777777" w:rsidR="00CC73DD" w:rsidRPr="00361139" w:rsidRDefault="00CC73DD" w:rsidP="002232EE">
            <w:pPr>
              <w:pStyle w:val="Normal-pool-Table"/>
              <w:jc w:val="right"/>
              <w:rPr>
                <w:lang w:val="en-GB"/>
              </w:rPr>
            </w:pPr>
            <w:r w:rsidRPr="00361139">
              <w:rPr>
                <w:lang w:val="en-GB"/>
              </w:rPr>
              <w:t>0,51</w:t>
            </w:r>
          </w:p>
        </w:tc>
      </w:tr>
      <w:tr w:rsidR="00FA47A8" w:rsidRPr="00361139" w14:paraId="2C0621D1" w14:textId="77777777" w:rsidTr="00413E25">
        <w:trPr>
          <w:cantSplit/>
          <w:trHeight w:val="57"/>
          <w:jc w:val="right"/>
        </w:trPr>
        <w:tc>
          <w:tcPr>
            <w:tcW w:w="677" w:type="dxa"/>
            <w:shd w:val="clear" w:color="auto" w:fill="auto"/>
            <w:noWrap/>
            <w:hideMark/>
          </w:tcPr>
          <w:p w14:paraId="6C916F7F" w14:textId="77777777" w:rsidR="00CC73DD" w:rsidRPr="00361139" w:rsidRDefault="00CC73DD" w:rsidP="00DB2573">
            <w:pPr>
              <w:pStyle w:val="Normal-pool-Table"/>
              <w:rPr>
                <w:lang w:val="en-GB"/>
              </w:rPr>
            </w:pPr>
            <w:r w:rsidRPr="00361139">
              <w:rPr>
                <w:lang w:val="en-GB"/>
              </w:rPr>
              <w:t>6928</w:t>
            </w:r>
          </w:p>
        </w:tc>
        <w:tc>
          <w:tcPr>
            <w:tcW w:w="677" w:type="dxa"/>
            <w:shd w:val="clear" w:color="auto" w:fill="auto"/>
            <w:noWrap/>
            <w:hideMark/>
          </w:tcPr>
          <w:p w14:paraId="226F4C95"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22D9A3E8" w14:textId="77777777" w:rsidR="00CC73DD" w:rsidRPr="00361139" w:rsidRDefault="00CC73DD" w:rsidP="00DB2573">
            <w:pPr>
              <w:pStyle w:val="Normal-pool-Table"/>
              <w:rPr>
                <w:lang w:val="en-GB"/>
              </w:rPr>
            </w:pPr>
            <w:r w:rsidRPr="00361139">
              <w:rPr>
                <w:lang w:val="en-GB"/>
              </w:rPr>
              <w:t>Colombia</w:t>
            </w:r>
          </w:p>
        </w:tc>
        <w:tc>
          <w:tcPr>
            <w:tcW w:w="2126" w:type="dxa"/>
            <w:shd w:val="clear" w:color="auto" w:fill="auto"/>
            <w:noWrap/>
            <w:hideMark/>
          </w:tcPr>
          <w:p w14:paraId="1271C277" w14:textId="77777777" w:rsidR="00CC73DD" w:rsidRPr="00361139" w:rsidRDefault="00CC73DD" w:rsidP="00DB2573">
            <w:pPr>
              <w:pStyle w:val="Normal-pool-Table"/>
              <w:rPr>
                <w:lang w:val="en-GB"/>
              </w:rPr>
            </w:pPr>
            <w:r w:rsidRPr="00361139">
              <w:rPr>
                <w:lang w:val="en-GB"/>
              </w:rPr>
              <w:t>Reducing UPOPs and Mercury Releases from Healthcare Waste Management, e-Waste Treatment, Scrap Processing and Biomass Burning</w:t>
            </w:r>
          </w:p>
        </w:tc>
        <w:tc>
          <w:tcPr>
            <w:tcW w:w="992" w:type="dxa"/>
            <w:shd w:val="clear" w:color="auto" w:fill="auto"/>
            <w:noWrap/>
            <w:hideMark/>
          </w:tcPr>
          <w:p w14:paraId="313E1823" w14:textId="77777777" w:rsidR="00CC73DD" w:rsidRPr="00361139" w:rsidRDefault="00CC73DD" w:rsidP="00DB2573">
            <w:pPr>
              <w:pStyle w:val="Normal-pool-Table"/>
              <w:rPr>
                <w:lang w:val="en-GB"/>
              </w:rPr>
            </w:pPr>
            <w:r w:rsidRPr="00361139">
              <w:rPr>
                <w:lang w:val="en-GB"/>
              </w:rPr>
              <w:t>UNDP</w:t>
            </w:r>
          </w:p>
        </w:tc>
        <w:tc>
          <w:tcPr>
            <w:tcW w:w="851" w:type="dxa"/>
            <w:shd w:val="clear" w:color="auto" w:fill="auto"/>
            <w:noWrap/>
            <w:hideMark/>
          </w:tcPr>
          <w:p w14:paraId="3630C671"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08399AB8"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24F14B21" w14:textId="77777777" w:rsidR="00CC73DD" w:rsidRPr="00361139" w:rsidRDefault="00CC73DD" w:rsidP="002232EE">
            <w:pPr>
              <w:pStyle w:val="Normal-pool-Table"/>
              <w:jc w:val="right"/>
              <w:rPr>
                <w:lang w:val="en-GB"/>
              </w:rPr>
            </w:pPr>
            <w:r w:rsidRPr="00361139">
              <w:rPr>
                <w:lang w:val="en-GB"/>
              </w:rPr>
              <w:t>5,80</w:t>
            </w:r>
          </w:p>
        </w:tc>
        <w:tc>
          <w:tcPr>
            <w:tcW w:w="1037" w:type="dxa"/>
            <w:shd w:val="clear" w:color="auto" w:fill="auto"/>
            <w:noWrap/>
            <w:hideMark/>
          </w:tcPr>
          <w:p w14:paraId="57DBF300" w14:textId="77777777" w:rsidR="00CC73DD" w:rsidRPr="00361139" w:rsidRDefault="00CC73DD" w:rsidP="002232EE">
            <w:pPr>
              <w:pStyle w:val="Normal-pool-Table"/>
              <w:jc w:val="right"/>
              <w:rPr>
                <w:lang w:val="en-GB"/>
              </w:rPr>
            </w:pPr>
            <w:r w:rsidRPr="00361139">
              <w:rPr>
                <w:lang w:val="en-GB"/>
              </w:rPr>
              <w:t>32,92</w:t>
            </w:r>
          </w:p>
        </w:tc>
      </w:tr>
      <w:tr w:rsidR="00FA47A8" w:rsidRPr="00361139" w14:paraId="047BAC78" w14:textId="77777777" w:rsidTr="00413E25">
        <w:trPr>
          <w:cantSplit/>
          <w:trHeight w:val="57"/>
          <w:jc w:val="right"/>
        </w:trPr>
        <w:tc>
          <w:tcPr>
            <w:tcW w:w="677" w:type="dxa"/>
            <w:shd w:val="clear" w:color="auto" w:fill="auto"/>
            <w:noWrap/>
            <w:hideMark/>
          </w:tcPr>
          <w:p w14:paraId="024C081A" w14:textId="77777777" w:rsidR="00CC73DD" w:rsidRPr="00361139" w:rsidRDefault="00CC73DD" w:rsidP="00DB2573">
            <w:pPr>
              <w:pStyle w:val="Normal-pool-Table"/>
              <w:rPr>
                <w:lang w:val="en-GB"/>
              </w:rPr>
            </w:pPr>
            <w:r w:rsidRPr="00361139">
              <w:rPr>
                <w:lang w:val="en-GB"/>
              </w:rPr>
              <w:t>6921</w:t>
            </w:r>
          </w:p>
        </w:tc>
        <w:tc>
          <w:tcPr>
            <w:tcW w:w="677" w:type="dxa"/>
            <w:shd w:val="clear" w:color="auto" w:fill="auto"/>
            <w:noWrap/>
            <w:hideMark/>
          </w:tcPr>
          <w:p w14:paraId="39DF7143" w14:textId="77777777" w:rsidR="00CC73DD" w:rsidRPr="00361139" w:rsidRDefault="00CC73DD" w:rsidP="00DB2573">
            <w:pPr>
              <w:pStyle w:val="Normal-pool-Table"/>
              <w:rPr>
                <w:lang w:val="en-GB"/>
              </w:rPr>
            </w:pPr>
            <w:r w:rsidRPr="00361139">
              <w:rPr>
                <w:lang w:val="en-GB"/>
              </w:rPr>
              <w:t>GEF6</w:t>
            </w:r>
          </w:p>
        </w:tc>
        <w:tc>
          <w:tcPr>
            <w:tcW w:w="1335" w:type="dxa"/>
            <w:shd w:val="clear" w:color="auto" w:fill="auto"/>
            <w:noWrap/>
            <w:hideMark/>
          </w:tcPr>
          <w:p w14:paraId="4C08EA70" w14:textId="77777777" w:rsidR="00CC73DD" w:rsidRPr="00361139" w:rsidRDefault="00CC73DD" w:rsidP="00DB2573">
            <w:pPr>
              <w:pStyle w:val="Normal-pool-Table"/>
              <w:rPr>
                <w:lang w:val="en-GB"/>
              </w:rPr>
            </w:pPr>
            <w:r w:rsidRPr="00361139">
              <w:rPr>
                <w:lang w:val="en-GB"/>
              </w:rPr>
              <w:t>China</w:t>
            </w:r>
          </w:p>
        </w:tc>
        <w:tc>
          <w:tcPr>
            <w:tcW w:w="2126" w:type="dxa"/>
            <w:shd w:val="clear" w:color="auto" w:fill="auto"/>
            <w:noWrap/>
            <w:hideMark/>
          </w:tcPr>
          <w:p w14:paraId="0D16A607" w14:textId="77777777" w:rsidR="00CC73DD" w:rsidRPr="00361139" w:rsidRDefault="00CC73DD" w:rsidP="00DB2573">
            <w:pPr>
              <w:pStyle w:val="Normal-pool-Table"/>
              <w:rPr>
                <w:lang w:val="en-GB"/>
              </w:rPr>
            </w:pPr>
            <w:r w:rsidRPr="00361139">
              <w:rPr>
                <w:lang w:val="en-GB"/>
              </w:rPr>
              <w:t>Demonstration of Mercury Reduction and Minimization in the Production of Vinyl Chloride Monomer in China</w:t>
            </w:r>
          </w:p>
        </w:tc>
        <w:tc>
          <w:tcPr>
            <w:tcW w:w="992" w:type="dxa"/>
            <w:shd w:val="clear" w:color="auto" w:fill="auto"/>
            <w:noWrap/>
            <w:hideMark/>
          </w:tcPr>
          <w:p w14:paraId="38EC1E21" w14:textId="77777777" w:rsidR="00CC73DD" w:rsidRPr="00361139" w:rsidRDefault="00CC73DD" w:rsidP="00DB2573">
            <w:pPr>
              <w:pStyle w:val="Normal-pool-Table"/>
              <w:rPr>
                <w:lang w:val="en-GB"/>
              </w:rPr>
            </w:pPr>
            <w:r w:rsidRPr="00361139">
              <w:rPr>
                <w:lang w:val="en-GB"/>
              </w:rPr>
              <w:t>UNIDO</w:t>
            </w:r>
          </w:p>
        </w:tc>
        <w:tc>
          <w:tcPr>
            <w:tcW w:w="851" w:type="dxa"/>
            <w:shd w:val="clear" w:color="auto" w:fill="auto"/>
            <w:noWrap/>
            <w:hideMark/>
          </w:tcPr>
          <w:p w14:paraId="554CABAF" w14:textId="77777777" w:rsidR="00CC73DD" w:rsidRPr="00361139" w:rsidRDefault="00CC73DD" w:rsidP="00DB2573">
            <w:pPr>
              <w:pStyle w:val="Normal-pool-Table"/>
              <w:rPr>
                <w:lang w:val="en-GB"/>
              </w:rPr>
            </w:pPr>
            <w:r w:rsidRPr="00361139">
              <w:rPr>
                <w:lang w:val="en-GB"/>
              </w:rPr>
              <w:t>FSP</w:t>
            </w:r>
          </w:p>
        </w:tc>
        <w:tc>
          <w:tcPr>
            <w:tcW w:w="1038" w:type="dxa"/>
            <w:shd w:val="clear" w:color="auto" w:fill="auto"/>
            <w:noWrap/>
            <w:hideMark/>
          </w:tcPr>
          <w:p w14:paraId="79632E4A" w14:textId="77777777" w:rsidR="00CC73DD" w:rsidRPr="00361139" w:rsidRDefault="00CC73DD" w:rsidP="00DB2573">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760" w:type="dxa"/>
            <w:shd w:val="clear" w:color="auto" w:fill="auto"/>
            <w:noWrap/>
            <w:hideMark/>
          </w:tcPr>
          <w:p w14:paraId="6CF3C54A" w14:textId="77777777" w:rsidR="00CC73DD" w:rsidRPr="00361139" w:rsidRDefault="00CC73DD" w:rsidP="002232EE">
            <w:pPr>
              <w:pStyle w:val="Normal-pool-Table"/>
              <w:jc w:val="right"/>
              <w:rPr>
                <w:lang w:val="en-GB"/>
              </w:rPr>
            </w:pPr>
            <w:r w:rsidRPr="00361139">
              <w:rPr>
                <w:lang w:val="en-GB"/>
              </w:rPr>
              <w:t>16,20</w:t>
            </w:r>
          </w:p>
        </w:tc>
        <w:tc>
          <w:tcPr>
            <w:tcW w:w="1037" w:type="dxa"/>
            <w:shd w:val="clear" w:color="auto" w:fill="auto"/>
            <w:noWrap/>
            <w:hideMark/>
          </w:tcPr>
          <w:p w14:paraId="5EE4A430" w14:textId="77777777" w:rsidR="00CC73DD" w:rsidRPr="00361139" w:rsidRDefault="00CC73DD" w:rsidP="002232EE">
            <w:pPr>
              <w:pStyle w:val="Normal-pool-Table"/>
              <w:jc w:val="right"/>
              <w:rPr>
                <w:lang w:val="en-GB"/>
              </w:rPr>
            </w:pPr>
            <w:r w:rsidRPr="00361139">
              <w:rPr>
                <w:lang w:val="en-GB"/>
              </w:rPr>
              <w:t>100,40</w:t>
            </w:r>
          </w:p>
        </w:tc>
      </w:tr>
    </w:tbl>
    <w:p w14:paraId="179421B5" w14:textId="77777777" w:rsidR="00CC73DD" w:rsidRPr="00361139" w:rsidRDefault="00CC73DD" w:rsidP="003C3FF7">
      <w:pPr>
        <w:pStyle w:val="Normal-pool"/>
        <w:rPr>
          <w:lang w:val="en-GB"/>
        </w:rPr>
      </w:pPr>
    </w:p>
    <w:p w14:paraId="28DDD361" w14:textId="77777777" w:rsidR="00CC73DD" w:rsidRPr="00361139" w:rsidRDefault="00CC73DD" w:rsidP="00AA7C84">
      <w:pPr>
        <w:pStyle w:val="Normal-pool"/>
        <w:rPr>
          <w:lang w:val="en-GB"/>
        </w:rPr>
      </w:pPr>
      <w:r w:rsidRPr="00361139">
        <w:rPr>
          <w:lang w:val="en-GB"/>
        </w:rPr>
        <w:br w:type="page"/>
      </w:r>
    </w:p>
    <w:p w14:paraId="6102F3AC" w14:textId="77777777" w:rsidR="00CC73DD" w:rsidRPr="00361139" w:rsidRDefault="00CC73DD" w:rsidP="00413E25">
      <w:pPr>
        <w:pStyle w:val="NormalNonumber"/>
        <w:rPr>
          <w:i/>
          <w:iCs/>
          <w:lang w:val="en-GB"/>
        </w:rPr>
      </w:pPr>
      <w:bookmarkStart w:id="344" w:name="_Toc139982254"/>
      <w:bookmarkStart w:id="345" w:name="_Toc139983966"/>
      <w:r w:rsidRPr="00361139">
        <w:rPr>
          <w:i/>
          <w:iCs/>
          <w:lang w:val="en-GB"/>
        </w:rPr>
        <w:lastRenderedPageBreak/>
        <w:t>SIP Projects under review (24 projects, source: MC Secretariat)</w:t>
      </w:r>
      <w:bookmarkEnd w:id="344"/>
      <w:bookmarkEnd w:id="345"/>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097"/>
        <w:gridCol w:w="4370"/>
        <w:gridCol w:w="1083"/>
        <w:gridCol w:w="1059"/>
        <w:gridCol w:w="1057"/>
      </w:tblGrid>
      <w:tr w:rsidR="002D08C9" w:rsidRPr="00361139" w14:paraId="0876D618" w14:textId="77777777" w:rsidTr="00AA7C84">
        <w:trPr>
          <w:cantSplit/>
          <w:trHeight w:val="57"/>
          <w:tblHeader/>
          <w:jc w:val="right"/>
        </w:trPr>
        <w:tc>
          <w:tcPr>
            <w:tcW w:w="433" w:type="pct"/>
            <w:vMerge w:val="restart"/>
            <w:shd w:val="clear" w:color="auto" w:fill="B6DDE8"/>
            <w:vAlign w:val="bottom"/>
            <w:hideMark/>
          </w:tcPr>
          <w:p w14:paraId="494AF99B" w14:textId="77777777" w:rsidR="00CC73DD" w:rsidRPr="00361139" w:rsidRDefault="00CC73DD" w:rsidP="00AA7C84">
            <w:pPr>
              <w:pStyle w:val="Normal-pool-Table"/>
              <w:rPr>
                <w:i/>
                <w:iCs/>
                <w:lang w:val="en-GB"/>
              </w:rPr>
            </w:pPr>
            <w:r w:rsidRPr="00361139">
              <w:rPr>
                <w:i/>
                <w:iCs/>
                <w:lang w:val="en-GB"/>
              </w:rPr>
              <w:t>SIP Round</w:t>
            </w:r>
          </w:p>
        </w:tc>
        <w:tc>
          <w:tcPr>
            <w:tcW w:w="578" w:type="pct"/>
            <w:vMerge w:val="restart"/>
            <w:shd w:val="clear" w:color="auto" w:fill="B6DDE8"/>
            <w:vAlign w:val="bottom"/>
            <w:hideMark/>
          </w:tcPr>
          <w:p w14:paraId="5C568D44" w14:textId="77777777" w:rsidR="00CC73DD" w:rsidRPr="00361139" w:rsidRDefault="00CC73DD" w:rsidP="00AA7C84">
            <w:pPr>
              <w:pStyle w:val="Normal-pool-Table"/>
              <w:rPr>
                <w:i/>
                <w:iCs/>
                <w:lang w:val="en-GB"/>
              </w:rPr>
            </w:pPr>
            <w:r w:rsidRPr="00361139">
              <w:rPr>
                <w:i/>
                <w:iCs/>
                <w:lang w:val="en-GB"/>
              </w:rPr>
              <w:t>Countries</w:t>
            </w:r>
          </w:p>
        </w:tc>
        <w:tc>
          <w:tcPr>
            <w:tcW w:w="2303" w:type="pct"/>
            <w:vMerge w:val="restart"/>
            <w:shd w:val="clear" w:color="auto" w:fill="B6DDE8"/>
            <w:vAlign w:val="bottom"/>
            <w:hideMark/>
          </w:tcPr>
          <w:p w14:paraId="7F76615C" w14:textId="77777777" w:rsidR="00CC73DD" w:rsidRPr="00361139" w:rsidRDefault="00CC73DD" w:rsidP="00AA7C84">
            <w:pPr>
              <w:pStyle w:val="Normal-pool-Table"/>
              <w:rPr>
                <w:i/>
                <w:iCs/>
                <w:lang w:val="en-GB"/>
              </w:rPr>
            </w:pPr>
            <w:r w:rsidRPr="00361139">
              <w:rPr>
                <w:i/>
                <w:iCs/>
                <w:lang w:val="en-GB"/>
              </w:rPr>
              <w:t>Project Title</w:t>
            </w:r>
          </w:p>
        </w:tc>
        <w:tc>
          <w:tcPr>
            <w:tcW w:w="571" w:type="pct"/>
            <w:vMerge w:val="restart"/>
            <w:shd w:val="clear" w:color="auto" w:fill="B6DDE8"/>
            <w:vAlign w:val="bottom"/>
            <w:hideMark/>
          </w:tcPr>
          <w:p w14:paraId="7B8209B1" w14:textId="77777777" w:rsidR="00CC73DD" w:rsidRPr="00361139" w:rsidRDefault="00CC73DD" w:rsidP="00AA7C84">
            <w:pPr>
              <w:pStyle w:val="Normal-pool-Table"/>
              <w:rPr>
                <w:i/>
                <w:iCs/>
                <w:lang w:val="en-GB"/>
              </w:rPr>
            </w:pPr>
            <w:r w:rsidRPr="00361139">
              <w:rPr>
                <w:i/>
                <w:iCs/>
                <w:lang w:val="en-GB"/>
              </w:rPr>
              <w:t>Project status</w:t>
            </w:r>
          </w:p>
        </w:tc>
        <w:tc>
          <w:tcPr>
            <w:tcW w:w="1115" w:type="pct"/>
            <w:gridSpan w:val="2"/>
            <w:shd w:val="clear" w:color="auto" w:fill="B6DDE8"/>
            <w:vAlign w:val="bottom"/>
            <w:hideMark/>
          </w:tcPr>
          <w:p w14:paraId="46BAD47F" w14:textId="77777777" w:rsidR="00CC73DD" w:rsidRPr="00361139" w:rsidRDefault="00CC73DD" w:rsidP="00AA7C84">
            <w:pPr>
              <w:pStyle w:val="Normal-pool-Table"/>
              <w:jc w:val="center"/>
              <w:rPr>
                <w:i/>
                <w:iCs/>
                <w:lang w:val="en-GB"/>
              </w:rPr>
            </w:pPr>
            <w:r w:rsidRPr="00361139">
              <w:rPr>
                <w:i/>
                <w:iCs/>
                <w:lang w:val="en-GB"/>
              </w:rPr>
              <w:t>Funding (mil. $)</w:t>
            </w:r>
          </w:p>
        </w:tc>
      </w:tr>
      <w:tr w:rsidR="00CC73DD" w:rsidRPr="00361139" w14:paraId="08F4671C" w14:textId="77777777" w:rsidTr="00AA7C84">
        <w:trPr>
          <w:cantSplit/>
          <w:trHeight w:val="57"/>
          <w:tblHeader/>
          <w:jc w:val="right"/>
        </w:trPr>
        <w:tc>
          <w:tcPr>
            <w:tcW w:w="433" w:type="pct"/>
            <w:vMerge/>
            <w:shd w:val="clear" w:color="auto" w:fill="auto"/>
            <w:hideMark/>
          </w:tcPr>
          <w:p w14:paraId="520014E9" w14:textId="77777777" w:rsidR="00CC73DD" w:rsidRPr="00361139" w:rsidRDefault="00CC73DD" w:rsidP="00AA7C84">
            <w:pPr>
              <w:pStyle w:val="Normal-pool-Table"/>
              <w:rPr>
                <w:lang w:val="en-GB"/>
              </w:rPr>
            </w:pPr>
          </w:p>
        </w:tc>
        <w:tc>
          <w:tcPr>
            <w:tcW w:w="578" w:type="pct"/>
            <w:vMerge/>
            <w:shd w:val="clear" w:color="auto" w:fill="auto"/>
            <w:hideMark/>
          </w:tcPr>
          <w:p w14:paraId="682EFF57" w14:textId="77777777" w:rsidR="00CC73DD" w:rsidRPr="00361139" w:rsidRDefault="00CC73DD" w:rsidP="00AA7C84">
            <w:pPr>
              <w:pStyle w:val="Normal-pool-Table"/>
              <w:rPr>
                <w:lang w:val="en-GB"/>
              </w:rPr>
            </w:pPr>
          </w:p>
        </w:tc>
        <w:tc>
          <w:tcPr>
            <w:tcW w:w="2303" w:type="pct"/>
            <w:vMerge/>
            <w:shd w:val="clear" w:color="auto" w:fill="auto"/>
            <w:hideMark/>
          </w:tcPr>
          <w:p w14:paraId="6E069E7E" w14:textId="77777777" w:rsidR="00CC73DD" w:rsidRPr="00361139" w:rsidRDefault="00CC73DD" w:rsidP="00AA7C84">
            <w:pPr>
              <w:pStyle w:val="Normal-pool-Table"/>
              <w:rPr>
                <w:lang w:val="en-GB"/>
              </w:rPr>
            </w:pPr>
          </w:p>
        </w:tc>
        <w:tc>
          <w:tcPr>
            <w:tcW w:w="571" w:type="pct"/>
            <w:vMerge/>
            <w:shd w:val="clear" w:color="auto" w:fill="auto"/>
            <w:hideMark/>
          </w:tcPr>
          <w:p w14:paraId="0EFB4B93" w14:textId="77777777" w:rsidR="00CC73DD" w:rsidRPr="00361139" w:rsidRDefault="00CC73DD" w:rsidP="00AA7C84">
            <w:pPr>
              <w:pStyle w:val="Normal-pool-Table"/>
              <w:rPr>
                <w:lang w:val="en-GB"/>
              </w:rPr>
            </w:pPr>
          </w:p>
        </w:tc>
        <w:tc>
          <w:tcPr>
            <w:tcW w:w="558" w:type="pct"/>
            <w:shd w:val="clear" w:color="auto" w:fill="B6DDE8"/>
            <w:vAlign w:val="bottom"/>
            <w:hideMark/>
          </w:tcPr>
          <w:p w14:paraId="598F0D5C" w14:textId="77777777" w:rsidR="00CC73DD" w:rsidRPr="00361139" w:rsidRDefault="00CC73DD" w:rsidP="00AA7C84">
            <w:pPr>
              <w:pStyle w:val="Normal-pool-Table"/>
              <w:rPr>
                <w:i/>
                <w:iCs/>
                <w:lang w:val="en-GB"/>
              </w:rPr>
            </w:pPr>
            <w:r w:rsidRPr="00361139">
              <w:rPr>
                <w:i/>
                <w:iCs/>
                <w:lang w:val="en-GB"/>
              </w:rPr>
              <w:t>Project grant</w:t>
            </w:r>
          </w:p>
        </w:tc>
        <w:tc>
          <w:tcPr>
            <w:tcW w:w="557" w:type="pct"/>
            <w:shd w:val="clear" w:color="auto" w:fill="B6DDE8"/>
            <w:vAlign w:val="bottom"/>
            <w:hideMark/>
          </w:tcPr>
          <w:p w14:paraId="60005CC9" w14:textId="77777777" w:rsidR="00CC73DD" w:rsidRPr="00361139" w:rsidRDefault="00CC73DD" w:rsidP="00AA7C84">
            <w:pPr>
              <w:pStyle w:val="Normal-pool-Table"/>
              <w:rPr>
                <w:i/>
                <w:iCs/>
                <w:lang w:val="en-GB"/>
              </w:rPr>
            </w:pPr>
            <w:r w:rsidRPr="00361139">
              <w:rPr>
                <w:i/>
                <w:iCs/>
                <w:lang w:val="en-GB"/>
              </w:rPr>
              <w:t>Co-financing</w:t>
            </w:r>
          </w:p>
        </w:tc>
      </w:tr>
      <w:tr w:rsidR="00CC73DD" w:rsidRPr="00361139" w14:paraId="76F29B25" w14:textId="77777777" w:rsidTr="00AA7C84">
        <w:trPr>
          <w:cantSplit/>
          <w:trHeight w:val="57"/>
          <w:jc w:val="right"/>
        </w:trPr>
        <w:tc>
          <w:tcPr>
            <w:tcW w:w="433" w:type="pct"/>
            <w:shd w:val="clear" w:color="auto" w:fill="auto"/>
            <w:hideMark/>
          </w:tcPr>
          <w:p w14:paraId="232459B7" w14:textId="77777777" w:rsidR="00CC73DD" w:rsidRPr="00361139" w:rsidRDefault="00CC73DD" w:rsidP="00AA7C84">
            <w:pPr>
              <w:pStyle w:val="Normal-pool-Table"/>
              <w:rPr>
                <w:lang w:val="en-GB"/>
              </w:rPr>
            </w:pPr>
            <w:r w:rsidRPr="00361139">
              <w:rPr>
                <w:lang w:val="en-GB"/>
              </w:rPr>
              <w:t>1</w:t>
            </w:r>
          </w:p>
        </w:tc>
        <w:tc>
          <w:tcPr>
            <w:tcW w:w="578" w:type="pct"/>
            <w:shd w:val="clear" w:color="auto" w:fill="auto"/>
            <w:hideMark/>
          </w:tcPr>
          <w:p w14:paraId="44929254" w14:textId="77777777" w:rsidR="00CC73DD" w:rsidRPr="00361139" w:rsidRDefault="00CC73DD" w:rsidP="00AA7C84">
            <w:pPr>
              <w:pStyle w:val="Normal-pool-Table"/>
              <w:rPr>
                <w:lang w:val="en-GB"/>
              </w:rPr>
            </w:pPr>
            <w:r w:rsidRPr="00361139">
              <w:rPr>
                <w:lang w:val="en-GB"/>
              </w:rPr>
              <w:t>Argentina</w:t>
            </w:r>
          </w:p>
        </w:tc>
        <w:tc>
          <w:tcPr>
            <w:tcW w:w="2303" w:type="pct"/>
            <w:shd w:val="clear" w:color="auto" w:fill="auto"/>
            <w:hideMark/>
          </w:tcPr>
          <w:p w14:paraId="460479FB" w14:textId="77777777" w:rsidR="00CC73DD" w:rsidRPr="00361139" w:rsidRDefault="00CC73DD" w:rsidP="00AA7C84">
            <w:pPr>
              <w:pStyle w:val="Normal-pool-Table"/>
              <w:rPr>
                <w:lang w:val="en-GB"/>
              </w:rPr>
            </w:pPr>
            <w:r w:rsidRPr="00361139">
              <w:rPr>
                <w:lang w:val="en-GB"/>
              </w:rPr>
              <w:t>Capacity Building Programme for the implementation of the Minamata Convention</w:t>
            </w:r>
          </w:p>
        </w:tc>
        <w:tc>
          <w:tcPr>
            <w:tcW w:w="571" w:type="pct"/>
            <w:shd w:val="clear" w:color="auto" w:fill="auto"/>
            <w:hideMark/>
          </w:tcPr>
          <w:p w14:paraId="34C86761" w14:textId="77777777" w:rsidR="00CC73DD" w:rsidRPr="00361139" w:rsidRDefault="00CC73DD" w:rsidP="00AA7C84">
            <w:pPr>
              <w:pStyle w:val="Normal-pool-Table"/>
              <w:rPr>
                <w:lang w:val="en-GB"/>
              </w:rPr>
            </w:pPr>
            <w:r w:rsidRPr="00361139">
              <w:rPr>
                <w:lang w:val="en-GB"/>
              </w:rPr>
              <w:t>Completed</w:t>
            </w:r>
          </w:p>
        </w:tc>
        <w:tc>
          <w:tcPr>
            <w:tcW w:w="558" w:type="pct"/>
            <w:shd w:val="clear" w:color="auto" w:fill="auto"/>
            <w:hideMark/>
          </w:tcPr>
          <w:p w14:paraId="0732BBE0"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405E265D" w14:textId="77777777" w:rsidR="00CC73DD" w:rsidRPr="00361139" w:rsidRDefault="00CC73DD" w:rsidP="00AA7C84">
            <w:pPr>
              <w:pStyle w:val="Normal-pool-Table"/>
              <w:rPr>
                <w:lang w:val="en-GB"/>
              </w:rPr>
            </w:pPr>
            <w:r w:rsidRPr="00361139">
              <w:rPr>
                <w:lang w:val="en-GB"/>
              </w:rPr>
              <w:t>0,20</w:t>
            </w:r>
          </w:p>
        </w:tc>
      </w:tr>
      <w:tr w:rsidR="00CC73DD" w:rsidRPr="00361139" w14:paraId="78E7FFD2" w14:textId="77777777" w:rsidTr="00AA7C84">
        <w:trPr>
          <w:cantSplit/>
          <w:trHeight w:val="57"/>
          <w:jc w:val="right"/>
        </w:trPr>
        <w:tc>
          <w:tcPr>
            <w:tcW w:w="433" w:type="pct"/>
            <w:shd w:val="clear" w:color="auto" w:fill="auto"/>
            <w:hideMark/>
          </w:tcPr>
          <w:p w14:paraId="5436C0B8" w14:textId="77777777" w:rsidR="00CC73DD" w:rsidRPr="00361139" w:rsidRDefault="00CC73DD" w:rsidP="00AA7C84">
            <w:pPr>
              <w:pStyle w:val="Normal-pool-Table"/>
              <w:rPr>
                <w:lang w:val="en-GB"/>
              </w:rPr>
            </w:pPr>
            <w:r w:rsidRPr="00361139">
              <w:rPr>
                <w:lang w:val="en-GB"/>
              </w:rPr>
              <w:t>1</w:t>
            </w:r>
          </w:p>
        </w:tc>
        <w:tc>
          <w:tcPr>
            <w:tcW w:w="578" w:type="pct"/>
            <w:shd w:val="clear" w:color="auto" w:fill="auto"/>
            <w:hideMark/>
          </w:tcPr>
          <w:p w14:paraId="538C2A6F" w14:textId="77777777" w:rsidR="00CC73DD" w:rsidRPr="00361139" w:rsidRDefault="00CC73DD" w:rsidP="00AA7C84">
            <w:pPr>
              <w:pStyle w:val="Normal-pool-Table"/>
              <w:rPr>
                <w:lang w:val="en-GB"/>
              </w:rPr>
            </w:pPr>
            <w:r w:rsidRPr="00361139">
              <w:rPr>
                <w:lang w:val="en-GB"/>
              </w:rPr>
              <w:t>Armenia</w:t>
            </w:r>
          </w:p>
        </w:tc>
        <w:tc>
          <w:tcPr>
            <w:tcW w:w="2303" w:type="pct"/>
            <w:shd w:val="clear" w:color="auto" w:fill="auto"/>
            <w:hideMark/>
          </w:tcPr>
          <w:p w14:paraId="4344CB20" w14:textId="77777777" w:rsidR="00CC73DD" w:rsidRPr="00361139" w:rsidRDefault="00CC73DD" w:rsidP="00AA7C84">
            <w:pPr>
              <w:pStyle w:val="Normal-pool-Table"/>
              <w:rPr>
                <w:lang w:val="en-GB"/>
              </w:rPr>
            </w:pPr>
            <w:r w:rsidRPr="00361139">
              <w:rPr>
                <w:lang w:val="en-GB"/>
              </w:rPr>
              <w:t>Strengthening capacity to promote phasing-out of mercury-added products (lamps) in Armenia</w:t>
            </w:r>
          </w:p>
        </w:tc>
        <w:tc>
          <w:tcPr>
            <w:tcW w:w="571" w:type="pct"/>
            <w:shd w:val="clear" w:color="auto" w:fill="auto"/>
            <w:hideMark/>
          </w:tcPr>
          <w:p w14:paraId="41316C8E" w14:textId="77777777" w:rsidR="00CC73DD" w:rsidRPr="00361139" w:rsidRDefault="00CC73DD" w:rsidP="00AA7C84">
            <w:pPr>
              <w:pStyle w:val="Normal-pool-Table"/>
              <w:rPr>
                <w:lang w:val="en-GB"/>
              </w:rPr>
            </w:pPr>
            <w:r w:rsidRPr="00361139">
              <w:rPr>
                <w:lang w:val="en-GB"/>
              </w:rPr>
              <w:t>Completed</w:t>
            </w:r>
          </w:p>
        </w:tc>
        <w:tc>
          <w:tcPr>
            <w:tcW w:w="558" w:type="pct"/>
            <w:shd w:val="clear" w:color="auto" w:fill="auto"/>
            <w:hideMark/>
          </w:tcPr>
          <w:p w14:paraId="201E6CF0" w14:textId="77777777" w:rsidR="00CC73DD" w:rsidRPr="00361139" w:rsidRDefault="00CC73DD" w:rsidP="00AA7C84">
            <w:pPr>
              <w:pStyle w:val="Normal-pool-Table"/>
              <w:rPr>
                <w:lang w:val="en-GB"/>
              </w:rPr>
            </w:pPr>
            <w:r w:rsidRPr="00361139">
              <w:rPr>
                <w:lang w:val="en-GB"/>
              </w:rPr>
              <w:t>0,16</w:t>
            </w:r>
          </w:p>
        </w:tc>
        <w:tc>
          <w:tcPr>
            <w:tcW w:w="557" w:type="pct"/>
            <w:shd w:val="clear" w:color="auto" w:fill="auto"/>
            <w:hideMark/>
          </w:tcPr>
          <w:p w14:paraId="4A45F580" w14:textId="77777777" w:rsidR="00CC73DD" w:rsidRPr="00361139" w:rsidRDefault="00CC73DD" w:rsidP="00AA7C84">
            <w:pPr>
              <w:pStyle w:val="Normal-pool-Table"/>
              <w:rPr>
                <w:lang w:val="en-GB"/>
              </w:rPr>
            </w:pPr>
            <w:r w:rsidRPr="00361139">
              <w:rPr>
                <w:lang w:val="en-GB"/>
              </w:rPr>
              <w:t>0,07</w:t>
            </w:r>
          </w:p>
        </w:tc>
      </w:tr>
      <w:tr w:rsidR="00CC73DD" w:rsidRPr="00361139" w14:paraId="0C9B1B96" w14:textId="77777777" w:rsidTr="00AA7C84">
        <w:trPr>
          <w:cantSplit/>
          <w:trHeight w:val="57"/>
          <w:jc w:val="right"/>
        </w:trPr>
        <w:tc>
          <w:tcPr>
            <w:tcW w:w="433" w:type="pct"/>
            <w:shd w:val="clear" w:color="auto" w:fill="auto"/>
            <w:hideMark/>
          </w:tcPr>
          <w:p w14:paraId="774E10B3" w14:textId="77777777" w:rsidR="00CC73DD" w:rsidRPr="00361139" w:rsidRDefault="00CC73DD" w:rsidP="00AA7C84">
            <w:pPr>
              <w:pStyle w:val="Normal-pool-Table"/>
              <w:rPr>
                <w:lang w:val="en-GB"/>
              </w:rPr>
            </w:pPr>
            <w:r w:rsidRPr="00361139">
              <w:rPr>
                <w:lang w:val="en-GB"/>
              </w:rPr>
              <w:t>1</w:t>
            </w:r>
          </w:p>
        </w:tc>
        <w:tc>
          <w:tcPr>
            <w:tcW w:w="578" w:type="pct"/>
            <w:shd w:val="clear" w:color="auto" w:fill="auto"/>
            <w:hideMark/>
          </w:tcPr>
          <w:p w14:paraId="08E39526" w14:textId="77777777" w:rsidR="00CC73DD" w:rsidRPr="00361139" w:rsidRDefault="00CC73DD" w:rsidP="00AA7C84">
            <w:pPr>
              <w:pStyle w:val="Normal-pool-Table"/>
              <w:rPr>
                <w:lang w:val="en-GB"/>
              </w:rPr>
            </w:pPr>
            <w:r w:rsidRPr="00361139">
              <w:rPr>
                <w:lang w:val="en-GB"/>
              </w:rPr>
              <w:t>Benin</w:t>
            </w:r>
          </w:p>
        </w:tc>
        <w:tc>
          <w:tcPr>
            <w:tcW w:w="2303" w:type="pct"/>
            <w:shd w:val="clear" w:color="auto" w:fill="auto"/>
            <w:hideMark/>
          </w:tcPr>
          <w:p w14:paraId="1DDD787F" w14:textId="77777777" w:rsidR="00CC73DD" w:rsidRPr="00361139" w:rsidRDefault="00CC73DD" w:rsidP="00AA7C84">
            <w:pPr>
              <w:pStyle w:val="Normal-pool-Table"/>
              <w:rPr>
                <w:lang w:val="en-GB"/>
              </w:rPr>
            </w:pPr>
            <w:r w:rsidRPr="00361139">
              <w:rPr>
                <w:lang w:val="en-GB"/>
              </w:rPr>
              <w:t>Improvement of management framework for mercury-containing products and wastes</w:t>
            </w:r>
          </w:p>
        </w:tc>
        <w:tc>
          <w:tcPr>
            <w:tcW w:w="571" w:type="pct"/>
            <w:shd w:val="clear" w:color="auto" w:fill="auto"/>
            <w:hideMark/>
          </w:tcPr>
          <w:p w14:paraId="546461A0"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2A020786"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2AE775B3" w14:textId="77777777" w:rsidR="00CC73DD" w:rsidRPr="00361139" w:rsidRDefault="00CC73DD" w:rsidP="00AA7C84">
            <w:pPr>
              <w:pStyle w:val="Normal-pool-Table"/>
              <w:rPr>
                <w:lang w:val="en-GB"/>
              </w:rPr>
            </w:pPr>
            <w:r w:rsidRPr="00361139">
              <w:rPr>
                <w:lang w:val="en-GB"/>
              </w:rPr>
              <w:t>0,06</w:t>
            </w:r>
          </w:p>
        </w:tc>
      </w:tr>
      <w:tr w:rsidR="00CC73DD" w:rsidRPr="00361139" w14:paraId="37E1A161" w14:textId="77777777" w:rsidTr="00AA7C84">
        <w:trPr>
          <w:cantSplit/>
          <w:trHeight w:val="57"/>
          <w:jc w:val="right"/>
        </w:trPr>
        <w:tc>
          <w:tcPr>
            <w:tcW w:w="433" w:type="pct"/>
            <w:shd w:val="clear" w:color="auto" w:fill="auto"/>
            <w:hideMark/>
          </w:tcPr>
          <w:p w14:paraId="357E0EE0" w14:textId="77777777" w:rsidR="00CC73DD" w:rsidRPr="00361139" w:rsidRDefault="00CC73DD" w:rsidP="00AA7C84">
            <w:pPr>
              <w:pStyle w:val="Normal-pool-Table"/>
              <w:rPr>
                <w:lang w:val="en-GB"/>
              </w:rPr>
            </w:pPr>
            <w:r w:rsidRPr="00361139">
              <w:rPr>
                <w:lang w:val="en-GB"/>
              </w:rPr>
              <w:t>1</w:t>
            </w:r>
          </w:p>
        </w:tc>
        <w:tc>
          <w:tcPr>
            <w:tcW w:w="578" w:type="pct"/>
            <w:shd w:val="clear" w:color="auto" w:fill="auto"/>
            <w:hideMark/>
          </w:tcPr>
          <w:p w14:paraId="400D88DB" w14:textId="77777777" w:rsidR="00CC73DD" w:rsidRPr="00361139" w:rsidRDefault="00CC73DD" w:rsidP="00AA7C84">
            <w:pPr>
              <w:pStyle w:val="Normal-pool-Table"/>
              <w:rPr>
                <w:lang w:val="en-GB"/>
              </w:rPr>
            </w:pPr>
            <w:r w:rsidRPr="00361139">
              <w:rPr>
                <w:lang w:val="en-GB"/>
              </w:rPr>
              <w:t>Iran</w:t>
            </w:r>
          </w:p>
        </w:tc>
        <w:tc>
          <w:tcPr>
            <w:tcW w:w="2303" w:type="pct"/>
            <w:shd w:val="clear" w:color="auto" w:fill="auto"/>
            <w:hideMark/>
          </w:tcPr>
          <w:p w14:paraId="62481F76" w14:textId="77777777" w:rsidR="00CC73DD" w:rsidRPr="00361139" w:rsidRDefault="00CC73DD" w:rsidP="00AA7C84">
            <w:pPr>
              <w:pStyle w:val="Normal-pool-Table"/>
              <w:rPr>
                <w:lang w:val="en-GB"/>
              </w:rPr>
            </w:pPr>
            <w:r w:rsidRPr="00361139">
              <w:rPr>
                <w:lang w:val="en-GB"/>
              </w:rPr>
              <w:t>Implementing of Minamata Convention on Mercury Management in Chlor-Alkali Plants in the Petrochemical Industry</w:t>
            </w:r>
          </w:p>
        </w:tc>
        <w:tc>
          <w:tcPr>
            <w:tcW w:w="571" w:type="pct"/>
            <w:shd w:val="clear" w:color="auto" w:fill="auto"/>
            <w:hideMark/>
          </w:tcPr>
          <w:p w14:paraId="03EBCCE9" w14:textId="77777777" w:rsidR="00CC73DD" w:rsidRPr="00361139" w:rsidRDefault="00CC73DD" w:rsidP="00AA7C84">
            <w:pPr>
              <w:pStyle w:val="Normal-pool-Table"/>
              <w:rPr>
                <w:lang w:val="en-GB"/>
              </w:rPr>
            </w:pPr>
            <w:r w:rsidRPr="00361139">
              <w:rPr>
                <w:lang w:val="en-GB"/>
              </w:rPr>
              <w:t>Completed</w:t>
            </w:r>
          </w:p>
        </w:tc>
        <w:tc>
          <w:tcPr>
            <w:tcW w:w="558" w:type="pct"/>
            <w:shd w:val="clear" w:color="auto" w:fill="auto"/>
            <w:hideMark/>
          </w:tcPr>
          <w:p w14:paraId="0820AE5C" w14:textId="77777777" w:rsidR="00CC73DD" w:rsidRPr="00361139" w:rsidRDefault="00CC73DD" w:rsidP="00AA7C84">
            <w:pPr>
              <w:pStyle w:val="Normal-pool-Table"/>
              <w:rPr>
                <w:lang w:val="en-GB"/>
              </w:rPr>
            </w:pPr>
            <w:r w:rsidRPr="00361139">
              <w:rPr>
                <w:lang w:val="en-GB"/>
              </w:rPr>
              <w:t>0,10</w:t>
            </w:r>
          </w:p>
        </w:tc>
        <w:tc>
          <w:tcPr>
            <w:tcW w:w="557" w:type="pct"/>
            <w:shd w:val="clear" w:color="auto" w:fill="auto"/>
            <w:hideMark/>
          </w:tcPr>
          <w:p w14:paraId="68CDBD3C" w14:textId="77777777" w:rsidR="00CC73DD" w:rsidRPr="00361139" w:rsidRDefault="00CC73DD" w:rsidP="00AA7C84">
            <w:pPr>
              <w:pStyle w:val="Normal-pool-Table"/>
              <w:rPr>
                <w:lang w:val="en-GB"/>
              </w:rPr>
            </w:pPr>
            <w:r w:rsidRPr="00361139">
              <w:rPr>
                <w:lang w:val="en-GB"/>
              </w:rPr>
              <w:t>0,05</w:t>
            </w:r>
          </w:p>
        </w:tc>
      </w:tr>
      <w:tr w:rsidR="00CC73DD" w:rsidRPr="00361139" w14:paraId="1467170C" w14:textId="77777777" w:rsidTr="00AA7C84">
        <w:trPr>
          <w:cantSplit/>
          <w:trHeight w:val="57"/>
          <w:jc w:val="right"/>
        </w:trPr>
        <w:tc>
          <w:tcPr>
            <w:tcW w:w="433" w:type="pct"/>
            <w:shd w:val="clear" w:color="auto" w:fill="auto"/>
            <w:hideMark/>
          </w:tcPr>
          <w:p w14:paraId="65F8E65F" w14:textId="77777777" w:rsidR="00CC73DD" w:rsidRPr="00361139" w:rsidRDefault="00CC73DD" w:rsidP="00AA7C84">
            <w:pPr>
              <w:pStyle w:val="Normal-pool-Table"/>
              <w:rPr>
                <w:lang w:val="en-GB"/>
              </w:rPr>
            </w:pPr>
            <w:r w:rsidRPr="00361139">
              <w:rPr>
                <w:lang w:val="en-GB"/>
              </w:rPr>
              <w:t>1</w:t>
            </w:r>
          </w:p>
        </w:tc>
        <w:tc>
          <w:tcPr>
            <w:tcW w:w="578" w:type="pct"/>
            <w:shd w:val="clear" w:color="auto" w:fill="auto"/>
            <w:hideMark/>
          </w:tcPr>
          <w:p w14:paraId="18AAA614" w14:textId="77777777" w:rsidR="00CC73DD" w:rsidRPr="00361139" w:rsidRDefault="00CC73DD" w:rsidP="00AA7C84">
            <w:pPr>
              <w:pStyle w:val="Normal-pool-Table"/>
              <w:rPr>
                <w:lang w:val="en-GB"/>
              </w:rPr>
            </w:pPr>
            <w:r w:rsidRPr="00361139">
              <w:rPr>
                <w:lang w:val="en-GB"/>
              </w:rPr>
              <w:t>Lesotho</w:t>
            </w:r>
          </w:p>
        </w:tc>
        <w:tc>
          <w:tcPr>
            <w:tcW w:w="2303" w:type="pct"/>
            <w:shd w:val="clear" w:color="auto" w:fill="auto"/>
            <w:hideMark/>
          </w:tcPr>
          <w:p w14:paraId="65B1FF64" w14:textId="77777777" w:rsidR="00CC73DD" w:rsidRPr="00361139" w:rsidRDefault="00CC73DD" w:rsidP="00AA7C84">
            <w:pPr>
              <w:pStyle w:val="Normal-pool-Table"/>
              <w:rPr>
                <w:lang w:val="en-GB"/>
              </w:rPr>
            </w:pPr>
            <w:r w:rsidRPr="00361139">
              <w:rPr>
                <w:lang w:val="en-GB"/>
              </w:rPr>
              <w:t>Strengthening institutional capacity in the development of a phase-out and phase down strategy for mercury added products in Lesotho</w:t>
            </w:r>
          </w:p>
        </w:tc>
        <w:tc>
          <w:tcPr>
            <w:tcW w:w="571" w:type="pct"/>
            <w:shd w:val="clear" w:color="auto" w:fill="auto"/>
            <w:hideMark/>
          </w:tcPr>
          <w:p w14:paraId="789F8D05" w14:textId="77777777" w:rsidR="00CC73DD" w:rsidRPr="00361139" w:rsidRDefault="00CC73DD" w:rsidP="00AA7C84">
            <w:pPr>
              <w:pStyle w:val="Normal-pool-Table"/>
              <w:rPr>
                <w:lang w:val="en-GB"/>
              </w:rPr>
            </w:pPr>
            <w:r w:rsidRPr="00361139">
              <w:rPr>
                <w:lang w:val="en-GB"/>
              </w:rPr>
              <w:t>Completed</w:t>
            </w:r>
          </w:p>
        </w:tc>
        <w:tc>
          <w:tcPr>
            <w:tcW w:w="558" w:type="pct"/>
            <w:shd w:val="clear" w:color="auto" w:fill="auto"/>
            <w:hideMark/>
          </w:tcPr>
          <w:p w14:paraId="1BF1F606" w14:textId="77777777" w:rsidR="00CC73DD" w:rsidRPr="00361139" w:rsidRDefault="00CC73DD" w:rsidP="00AA7C84">
            <w:pPr>
              <w:pStyle w:val="Normal-pool-Table"/>
              <w:rPr>
                <w:lang w:val="en-GB"/>
              </w:rPr>
            </w:pPr>
            <w:r w:rsidRPr="00361139">
              <w:rPr>
                <w:lang w:val="en-GB"/>
              </w:rPr>
              <w:t>0,20</w:t>
            </w:r>
          </w:p>
        </w:tc>
        <w:tc>
          <w:tcPr>
            <w:tcW w:w="557" w:type="pct"/>
            <w:shd w:val="clear" w:color="auto" w:fill="auto"/>
            <w:hideMark/>
          </w:tcPr>
          <w:p w14:paraId="2C780BBD" w14:textId="77777777" w:rsidR="00CC73DD" w:rsidRPr="00361139" w:rsidRDefault="00CC73DD" w:rsidP="00AA7C84">
            <w:pPr>
              <w:pStyle w:val="Normal-pool-Table"/>
              <w:rPr>
                <w:lang w:val="en-GB"/>
              </w:rPr>
            </w:pPr>
            <w:r w:rsidRPr="00361139">
              <w:rPr>
                <w:lang w:val="en-GB"/>
              </w:rPr>
              <w:t>0,05</w:t>
            </w:r>
          </w:p>
        </w:tc>
      </w:tr>
      <w:tr w:rsidR="00CC73DD" w:rsidRPr="00361139" w14:paraId="111BD6E7" w14:textId="77777777" w:rsidTr="00AA7C84">
        <w:trPr>
          <w:cantSplit/>
          <w:trHeight w:val="57"/>
          <w:jc w:val="right"/>
        </w:trPr>
        <w:tc>
          <w:tcPr>
            <w:tcW w:w="433" w:type="pct"/>
            <w:shd w:val="clear" w:color="auto" w:fill="auto"/>
            <w:hideMark/>
          </w:tcPr>
          <w:p w14:paraId="51EBE27A"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615C4839" w14:textId="77777777" w:rsidR="00CC73DD" w:rsidRPr="00361139" w:rsidRDefault="00CC73DD" w:rsidP="00AA7C84">
            <w:pPr>
              <w:pStyle w:val="Normal-pool-Table"/>
              <w:rPr>
                <w:lang w:val="en-GB"/>
              </w:rPr>
            </w:pPr>
            <w:r w:rsidRPr="00361139">
              <w:rPr>
                <w:lang w:val="en-GB"/>
              </w:rPr>
              <w:t>Antigua and Barbuda</w:t>
            </w:r>
          </w:p>
        </w:tc>
        <w:tc>
          <w:tcPr>
            <w:tcW w:w="2303" w:type="pct"/>
            <w:shd w:val="clear" w:color="auto" w:fill="auto"/>
            <w:hideMark/>
          </w:tcPr>
          <w:p w14:paraId="2C4B8DBF" w14:textId="77777777" w:rsidR="00CC73DD" w:rsidRPr="00361139" w:rsidRDefault="00CC73DD" w:rsidP="00AA7C84">
            <w:pPr>
              <w:pStyle w:val="Normal-pool-Table"/>
              <w:rPr>
                <w:lang w:val="en-GB"/>
              </w:rPr>
            </w:pPr>
            <w:r w:rsidRPr="00361139">
              <w:rPr>
                <w:lang w:val="en-GB"/>
              </w:rPr>
              <w:t>Facilitating capacity-building with technical assistance and technology transfer for managing mercury in the Caribbean</w:t>
            </w:r>
          </w:p>
        </w:tc>
        <w:tc>
          <w:tcPr>
            <w:tcW w:w="571" w:type="pct"/>
            <w:shd w:val="clear" w:color="auto" w:fill="auto"/>
            <w:hideMark/>
          </w:tcPr>
          <w:p w14:paraId="6989A676"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60C3E10B" w14:textId="77777777" w:rsidR="00CC73DD" w:rsidRPr="00361139" w:rsidRDefault="00CC73DD" w:rsidP="00AA7C84">
            <w:pPr>
              <w:pStyle w:val="Normal-pool-Table"/>
              <w:rPr>
                <w:lang w:val="en-GB"/>
              </w:rPr>
            </w:pPr>
            <w:r w:rsidRPr="00361139">
              <w:rPr>
                <w:lang w:val="en-GB"/>
              </w:rPr>
              <w:t>0,21</w:t>
            </w:r>
          </w:p>
        </w:tc>
        <w:tc>
          <w:tcPr>
            <w:tcW w:w="557" w:type="pct"/>
            <w:shd w:val="clear" w:color="auto" w:fill="auto"/>
            <w:hideMark/>
          </w:tcPr>
          <w:p w14:paraId="559D5D94" w14:textId="77777777" w:rsidR="00CC73DD" w:rsidRPr="00361139" w:rsidRDefault="00CC73DD" w:rsidP="00AA7C84">
            <w:pPr>
              <w:pStyle w:val="Normal-pool-Table"/>
              <w:rPr>
                <w:lang w:val="en-GB"/>
              </w:rPr>
            </w:pPr>
            <w:r w:rsidRPr="00361139">
              <w:rPr>
                <w:lang w:val="en-GB"/>
              </w:rPr>
              <w:t>0,12</w:t>
            </w:r>
          </w:p>
        </w:tc>
      </w:tr>
      <w:tr w:rsidR="00CC73DD" w:rsidRPr="00361139" w14:paraId="1EDDB42F" w14:textId="77777777" w:rsidTr="00AA7C84">
        <w:trPr>
          <w:cantSplit/>
          <w:trHeight w:val="57"/>
          <w:jc w:val="right"/>
        </w:trPr>
        <w:tc>
          <w:tcPr>
            <w:tcW w:w="433" w:type="pct"/>
            <w:shd w:val="clear" w:color="auto" w:fill="auto"/>
            <w:hideMark/>
          </w:tcPr>
          <w:p w14:paraId="7410111D"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276D8464" w14:textId="77777777" w:rsidR="00CC73DD" w:rsidRPr="00361139" w:rsidRDefault="00CC73DD" w:rsidP="00AA7C84">
            <w:pPr>
              <w:pStyle w:val="Normal-pool-Table"/>
              <w:rPr>
                <w:lang w:val="en-GB"/>
              </w:rPr>
            </w:pPr>
            <w:r w:rsidRPr="00361139">
              <w:rPr>
                <w:lang w:val="en-GB"/>
              </w:rPr>
              <w:t>Ecuador</w:t>
            </w:r>
          </w:p>
        </w:tc>
        <w:tc>
          <w:tcPr>
            <w:tcW w:w="2303" w:type="pct"/>
            <w:shd w:val="clear" w:color="auto" w:fill="auto"/>
            <w:hideMark/>
          </w:tcPr>
          <w:p w14:paraId="2F7CB7BC" w14:textId="77777777" w:rsidR="00CC73DD" w:rsidRPr="00361139" w:rsidRDefault="00CC73DD" w:rsidP="00AA7C84">
            <w:pPr>
              <w:pStyle w:val="Normal-pool-Table"/>
              <w:rPr>
                <w:lang w:val="en-GB"/>
              </w:rPr>
            </w:pPr>
            <w:r w:rsidRPr="00361139">
              <w:rPr>
                <w:lang w:val="en-GB"/>
              </w:rPr>
              <w:t>Project to strengthen capacities in the implementation of the Minamata Convention in Ecuador</w:t>
            </w:r>
          </w:p>
        </w:tc>
        <w:tc>
          <w:tcPr>
            <w:tcW w:w="571" w:type="pct"/>
            <w:shd w:val="clear" w:color="auto" w:fill="auto"/>
            <w:hideMark/>
          </w:tcPr>
          <w:p w14:paraId="5EA1851B"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757C4688"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3BAAB48F" w14:textId="77777777" w:rsidR="00CC73DD" w:rsidRPr="00361139" w:rsidRDefault="00CC73DD" w:rsidP="00AA7C84">
            <w:pPr>
              <w:pStyle w:val="Normal-pool-Table"/>
              <w:rPr>
                <w:lang w:val="en-GB"/>
              </w:rPr>
            </w:pPr>
            <w:r w:rsidRPr="00361139">
              <w:rPr>
                <w:lang w:val="en-GB"/>
              </w:rPr>
              <w:t>0,10</w:t>
            </w:r>
          </w:p>
        </w:tc>
      </w:tr>
      <w:tr w:rsidR="00CC73DD" w:rsidRPr="00361139" w14:paraId="5FFE4270" w14:textId="77777777" w:rsidTr="00AA7C84">
        <w:trPr>
          <w:cantSplit/>
          <w:trHeight w:val="57"/>
          <w:jc w:val="right"/>
        </w:trPr>
        <w:tc>
          <w:tcPr>
            <w:tcW w:w="433" w:type="pct"/>
            <w:shd w:val="clear" w:color="auto" w:fill="auto"/>
            <w:hideMark/>
          </w:tcPr>
          <w:p w14:paraId="3A562792"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1638E43C" w14:textId="77777777" w:rsidR="00CC73DD" w:rsidRPr="00361139" w:rsidRDefault="00CC73DD" w:rsidP="00AA7C84">
            <w:pPr>
              <w:pStyle w:val="Normal-pool-Table"/>
              <w:rPr>
                <w:lang w:val="en-GB"/>
              </w:rPr>
            </w:pPr>
            <w:r w:rsidRPr="00361139">
              <w:rPr>
                <w:lang w:val="en-GB"/>
              </w:rPr>
              <w:t>Ghana</w:t>
            </w:r>
          </w:p>
        </w:tc>
        <w:tc>
          <w:tcPr>
            <w:tcW w:w="2303" w:type="pct"/>
            <w:shd w:val="clear" w:color="auto" w:fill="auto"/>
            <w:hideMark/>
          </w:tcPr>
          <w:p w14:paraId="1F987D42" w14:textId="77777777" w:rsidR="00CC73DD" w:rsidRPr="00361139" w:rsidRDefault="00CC73DD" w:rsidP="00AA7C84">
            <w:pPr>
              <w:pStyle w:val="Normal-pool-Table"/>
              <w:rPr>
                <w:lang w:val="en-GB"/>
              </w:rPr>
            </w:pPr>
            <w:r w:rsidRPr="00361139">
              <w:rPr>
                <w:lang w:val="en-GB"/>
              </w:rPr>
              <w:t>Strengthening Ghana’s Health Sector for the implementation of the Minamata Convention on Mercury</w:t>
            </w:r>
          </w:p>
        </w:tc>
        <w:tc>
          <w:tcPr>
            <w:tcW w:w="571" w:type="pct"/>
            <w:shd w:val="clear" w:color="auto" w:fill="auto"/>
            <w:hideMark/>
          </w:tcPr>
          <w:p w14:paraId="380A0DF1"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74C59C88"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5C130045" w14:textId="77777777" w:rsidR="00CC73DD" w:rsidRPr="00361139" w:rsidRDefault="00CC73DD" w:rsidP="00AA7C84">
            <w:pPr>
              <w:pStyle w:val="Normal-pool-Table"/>
              <w:rPr>
                <w:lang w:val="en-GB"/>
              </w:rPr>
            </w:pPr>
            <w:r w:rsidRPr="00361139">
              <w:rPr>
                <w:lang w:val="en-GB"/>
              </w:rPr>
              <w:t>0,14</w:t>
            </w:r>
          </w:p>
        </w:tc>
      </w:tr>
      <w:tr w:rsidR="00CC73DD" w:rsidRPr="00361139" w14:paraId="517C4255" w14:textId="77777777" w:rsidTr="00AA7C84">
        <w:trPr>
          <w:cantSplit/>
          <w:trHeight w:val="57"/>
          <w:jc w:val="right"/>
        </w:trPr>
        <w:tc>
          <w:tcPr>
            <w:tcW w:w="433" w:type="pct"/>
            <w:shd w:val="clear" w:color="auto" w:fill="auto"/>
            <w:hideMark/>
          </w:tcPr>
          <w:p w14:paraId="3847A7B1"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2FF90572" w14:textId="77777777" w:rsidR="00CC73DD" w:rsidRPr="00361139" w:rsidRDefault="00CC73DD" w:rsidP="00AA7C84">
            <w:pPr>
              <w:pStyle w:val="Normal-pool-Table"/>
              <w:rPr>
                <w:lang w:val="en-GB"/>
              </w:rPr>
            </w:pPr>
            <w:r w:rsidRPr="00361139">
              <w:rPr>
                <w:lang w:val="en-GB"/>
              </w:rPr>
              <w:t>Indonesia</w:t>
            </w:r>
          </w:p>
        </w:tc>
        <w:tc>
          <w:tcPr>
            <w:tcW w:w="2303" w:type="pct"/>
            <w:shd w:val="clear" w:color="auto" w:fill="auto"/>
            <w:hideMark/>
          </w:tcPr>
          <w:p w14:paraId="7F52BF93" w14:textId="77777777" w:rsidR="00CC73DD" w:rsidRPr="00361139" w:rsidRDefault="00CC73DD" w:rsidP="00AA7C84">
            <w:pPr>
              <w:pStyle w:val="Normal-pool-Table"/>
              <w:rPr>
                <w:lang w:val="en-GB"/>
              </w:rPr>
            </w:pPr>
            <w:r w:rsidRPr="00361139">
              <w:rPr>
                <w:lang w:val="en-GB"/>
              </w:rPr>
              <w:t>Improving Health Risk Control of Mercury Exposure in Artisanal and Small-Scale Gold Mining (ASGM) and Surrounding Areas by Developing the “Participatory Approach” Model</w:t>
            </w:r>
          </w:p>
        </w:tc>
        <w:tc>
          <w:tcPr>
            <w:tcW w:w="571" w:type="pct"/>
            <w:shd w:val="clear" w:color="auto" w:fill="auto"/>
            <w:hideMark/>
          </w:tcPr>
          <w:p w14:paraId="248C7073"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3AC2C3F8" w14:textId="77777777" w:rsidR="00CC73DD" w:rsidRPr="00361139" w:rsidRDefault="00CC73DD" w:rsidP="00AA7C84">
            <w:pPr>
              <w:pStyle w:val="Normal-pool-Table"/>
              <w:rPr>
                <w:lang w:val="en-GB"/>
              </w:rPr>
            </w:pPr>
            <w:r w:rsidRPr="00361139">
              <w:rPr>
                <w:lang w:val="en-GB"/>
              </w:rPr>
              <w:t>0,14</w:t>
            </w:r>
          </w:p>
        </w:tc>
        <w:tc>
          <w:tcPr>
            <w:tcW w:w="557" w:type="pct"/>
            <w:shd w:val="clear" w:color="auto" w:fill="auto"/>
            <w:hideMark/>
          </w:tcPr>
          <w:p w14:paraId="5CE4D2EA" w14:textId="77777777" w:rsidR="00CC73DD" w:rsidRPr="00361139" w:rsidRDefault="00CC73DD" w:rsidP="00AA7C84">
            <w:pPr>
              <w:pStyle w:val="Normal-pool-Table"/>
              <w:rPr>
                <w:lang w:val="en-GB"/>
              </w:rPr>
            </w:pPr>
            <w:r w:rsidRPr="00361139">
              <w:rPr>
                <w:lang w:val="en-GB"/>
              </w:rPr>
              <w:t>0,00</w:t>
            </w:r>
          </w:p>
        </w:tc>
      </w:tr>
      <w:tr w:rsidR="00CC73DD" w:rsidRPr="00361139" w14:paraId="51F51070" w14:textId="77777777" w:rsidTr="00AA7C84">
        <w:trPr>
          <w:cantSplit/>
          <w:trHeight w:val="57"/>
          <w:jc w:val="right"/>
        </w:trPr>
        <w:tc>
          <w:tcPr>
            <w:tcW w:w="433" w:type="pct"/>
            <w:shd w:val="clear" w:color="auto" w:fill="auto"/>
            <w:hideMark/>
          </w:tcPr>
          <w:p w14:paraId="2709A33A"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37C7B493" w14:textId="77777777" w:rsidR="00CC73DD" w:rsidRPr="00361139" w:rsidRDefault="00CC73DD" w:rsidP="00AA7C84">
            <w:pPr>
              <w:pStyle w:val="Normal-pool-Table"/>
              <w:rPr>
                <w:lang w:val="en-GB"/>
              </w:rPr>
            </w:pPr>
            <w:r w:rsidRPr="00361139">
              <w:rPr>
                <w:lang w:val="en-GB"/>
              </w:rPr>
              <w:t>Iran</w:t>
            </w:r>
          </w:p>
        </w:tc>
        <w:tc>
          <w:tcPr>
            <w:tcW w:w="2303" w:type="pct"/>
            <w:shd w:val="clear" w:color="auto" w:fill="auto"/>
            <w:hideMark/>
          </w:tcPr>
          <w:p w14:paraId="03673057" w14:textId="77777777" w:rsidR="00CC73DD" w:rsidRPr="00361139" w:rsidRDefault="00CC73DD" w:rsidP="00AA7C84">
            <w:pPr>
              <w:pStyle w:val="Normal-pool-Table"/>
              <w:rPr>
                <w:lang w:val="en-GB"/>
              </w:rPr>
            </w:pPr>
            <w:r w:rsidRPr="00361139">
              <w:rPr>
                <w:lang w:val="en-GB"/>
              </w:rPr>
              <w:t>Capacity Building for Effective Implementation of Minamata Convention Focusing on Mercury Inventory</w:t>
            </w:r>
          </w:p>
        </w:tc>
        <w:tc>
          <w:tcPr>
            <w:tcW w:w="571" w:type="pct"/>
            <w:shd w:val="clear" w:color="auto" w:fill="auto"/>
            <w:hideMark/>
          </w:tcPr>
          <w:p w14:paraId="28B63147"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708D490E" w14:textId="77777777" w:rsidR="00CC73DD" w:rsidRPr="00361139" w:rsidRDefault="00CC73DD" w:rsidP="00AA7C84">
            <w:pPr>
              <w:pStyle w:val="Normal-pool-Table"/>
              <w:rPr>
                <w:lang w:val="en-GB"/>
              </w:rPr>
            </w:pPr>
            <w:r w:rsidRPr="00361139">
              <w:rPr>
                <w:lang w:val="en-GB"/>
              </w:rPr>
              <w:t>0,15</w:t>
            </w:r>
          </w:p>
        </w:tc>
        <w:tc>
          <w:tcPr>
            <w:tcW w:w="557" w:type="pct"/>
            <w:shd w:val="clear" w:color="auto" w:fill="auto"/>
            <w:hideMark/>
          </w:tcPr>
          <w:p w14:paraId="77389D3C" w14:textId="77777777" w:rsidR="00CC73DD" w:rsidRPr="00361139" w:rsidRDefault="00CC73DD" w:rsidP="00AA7C84">
            <w:pPr>
              <w:pStyle w:val="Normal-pool-Table"/>
              <w:rPr>
                <w:lang w:val="en-GB"/>
              </w:rPr>
            </w:pPr>
            <w:r w:rsidRPr="00361139">
              <w:rPr>
                <w:lang w:val="en-GB"/>
              </w:rPr>
              <w:t>0,10</w:t>
            </w:r>
          </w:p>
        </w:tc>
      </w:tr>
      <w:tr w:rsidR="00CC73DD" w:rsidRPr="00361139" w14:paraId="1CFE9CE0" w14:textId="77777777" w:rsidTr="00AA7C84">
        <w:trPr>
          <w:cantSplit/>
          <w:trHeight w:val="57"/>
          <w:jc w:val="right"/>
        </w:trPr>
        <w:tc>
          <w:tcPr>
            <w:tcW w:w="433" w:type="pct"/>
            <w:shd w:val="clear" w:color="auto" w:fill="auto"/>
            <w:hideMark/>
          </w:tcPr>
          <w:p w14:paraId="41848C74"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150D09F9" w14:textId="77777777" w:rsidR="00CC73DD" w:rsidRPr="00361139" w:rsidRDefault="00CC73DD" w:rsidP="00AA7C84">
            <w:pPr>
              <w:pStyle w:val="Normal-pool-Table"/>
              <w:rPr>
                <w:lang w:val="en-GB"/>
              </w:rPr>
            </w:pPr>
            <w:r w:rsidRPr="00361139">
              <w:rPr>
                <w:lang w:val="en-GB"/>
              </w:rPr>
              <w:t>Moldova</w:t>
            </w:r>
          </w:p>
        </w:tc>
        <w:tc>
          <w:tcPr>
            <w:tcW w:w="2303" w:type="pct"/>
            <w:shd w:val="clear" w:color="auto" w:fill="auto"/>
            <w:hideMark/>
          </w:tcPr>
          <w:p w14:paraId="3044420A" w14:textId="77777777" w:rsidR="00CC73DD" w:rsidRPr="00361139" w:rsidRDefault="00CC73DD" w:rsidP="00AA7C84">
            <w:pPr>
              <w:pStyle w:val="Normal-pool-Table"/>
              <w:rPr>
                <w:lang w:val="en-GB"/>
              </w:rPr>
            </w:pPr>
            <w:r w:rsidRPr="00361139">
              <w:rPr>
                <w:lang w:val="en-GB"/>
              </w:rPr>
              <w:t>Support to post-ratification of the Minamata Convention to the Republic of Moldova by building phase down capacities and reducing risks associated with mercury</w:t>
            </w:r>
          </w:p>
        </w:tc>
        <w:tc>
          <w:tcPr>
            <w:tcW w:w="571" w:type="pct"/>
            <w:shd w:val="clear" w:color="auto" w:fill="auto"/>
            <w:hideMark/>
          </w:tcPr>
          <w:p w14:paraId="45A65665"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194D3596" w14:textId="77777777" w:rsidR="00CC73DD" w:rsidRPr="00361139" w:rsidRDefault="00CC73DD" w:rsidP="00AA7C84">
            <w:pPr>
              <w:pStyle w:val="Normal-pool-Table"/>
              <w:rPr>
                <w:lang w:val="en-GB"/>
              </w:rPr>
            </w:pPr>
            <w:r w:rsidRPr="00361139">
              <w:rPr>
                <w:lang w:val="en-GB"/>
              </w:rPr>
              <w:t>0,22</w:t>
            </w:r>
          </w:p>
        </w:tc>
        <w:tc>
          <w:tcPr>
            <w:tcW w:w="557" w:type="pct"/>
            <w:shd w:val="clear" w:color="auto" w:fill="auto"/>
            <w:hideMark/>
          </w:tcPr>
          <w:p w14:paraId="420D8D9D" w14:textId="77777777" w:rsidR="00CC73DD" w:rsidRPr="00361139" w:rsidRDefault="00CC73DD" w:rsidP="00AA7C84">
            <w:pPr>
              <w:pStyle w:val="Normal-pool-Table"/>
              <w:rPr>
                <w:lang w:val="en-GB"/>
              </w:rPr>
            </w:pPr>
            <w:r w:rsidRPr="00361139">
              <w:rPr>
                <w:lang w:val="en-GB"/>
              </w:rPr>
              <w:t>0,03</w:t>
            </w:r>
          </w:p>
        </w:tc>
      </w:tr>
      <w:tr w:rsidR="00CC73DD" w:rsidRPr="00361139" w14:paraId="60AF1946" w14:textId="77777777" w:rsidTr="00AA7C84">
        <w:trPr>
          <w:cantSplit/>
          <w:trHeight w:val="57"/>
          <w:jc w:val="right"/>
        </w:trPr>
        <w:tc>
          <w:tcPr>
            <w:tcW w:w="433" w:type="pct"/>
            <w:shd w:val="clear" w:color="auto" w:fill="auto"/>
            <w:hideMark/>
          </w:tcPr>
          <w:p w14:paraId="6ED4F2DF"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7A76495F" w14:textId="77777777" w:rsidR="00CC73DD" w:rsidRPr="00361139" w:rsidRDefault="00CC73DD" w:rsidP="00AA7C84">
            <w:pPr>
              <w:pStyle w:val="Normal-pool-Table"/>
              <w:rPr>
                <w:lang w:val="en-GB"/>
              </w:rPr>
            </w:pPr>
            <w:r w:rsidRPr="00361139">
              <w:rPr>
                <w:lang w:val="en-GB"/>
              </w:rPr>
              <w:t>Nigeria</w:t>
            </w:r>
          </w:p>
        </w:tc>
        <w:tc>
          <w:tcPr>
            <w:tcW w:w="2303" w:type="pct"/>
            <w:shd w:val="clear" w:color="auto" w:fill="auto"/>
            <w:hideMark/>
          </w:tcPr>
          <w:p w14:paraId="26E9C52A" w14:textId="77777777" w:rsidR="00CC73DD" w:rsidRPr="00361139" w:rsidRDefault="00CC73DD" w:rsidP="00AA7C84">
            <w:pPr>
              <w:pStyle w:val="Normal-pool-Table"/>
              <w:rPr>
                <w:lang w:val="en-GB"/>
              </w:rPr>
            </w:pPr>
            <w:r w:rsidRPr="00361139">
              <w:rPr>
                <w:lang w:val="en-GB"/>
              </w:rPr>
              <w:t>Capacity strengthening for the implementation of the Minamata Convention on Mercury in Nigeria</w:t>
            </w:r>
          </w:p>
        </w:tc>
        <w:tc>
          <w:tcPr>
            <w:tcW w:w="571" w:type="pct"/>
            <w:shd w:val="clear" w:color="auto" w:fill="auto"/>
            <w:hideMark/>
          </w:tcPr>
          <w:p w14:paraId="713D9547"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6294A766"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7BE6CF64" w14:textId="77777777" w:rsidR="00CC73DD" w:rsidRPr="00361139" w:rsidRDefault="00CC73DD" w:rsidP="00AA7C84">
            <w:pPr>
              <w:pStyle w:val="Normal-pool-Table"/>
              <w:rPr>
                <w:lang w:val="en-GB"/>
              </w:rPr>
            </w:pPr>
            <w:r w:rsidRPr="00361139">
              <w:rPr>
                <w:lang w:val="en-GB"/>
              </w:rPr>
              <w:t>0,05</w:t>
            </w:r>
          </w:p>
        </w:tc>
      </w:tr>
      <w:tr w:rsidR="00CC73DD" w:rsidRPr="00361139" w14:paraId="44F3EDDC" w14:textId="77777777" w:rsidTr="00AA7C84">
        <w:trPr>
          <w:cantSplit/>
          <w:trHeight w:val="57"/>
          <w:jc w:val="right"/>
        </w:trPr>
        <w:tc>
          <w:tcPr>
            <w:tcW w:w="433" w:type="pct"/>
            <w:shd w:val="clear" w:color="auto" w:fill="auto"/>
            <w:hideMark/>
          </w:tcPr>
          <w:p w14:paraId="38698CA3"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44452CDF" w14:textId="77777777" w:rsidR="00CC73DD" w:rsidRPr="00361139" w:rsidRDefault="00CC73DD" w:rsidP="00AA7C84">
            <w:pPr>
              <w:pStyle w:val="Normal-pool-Table"/>
              <w:rPr>
                <w:lang w:val="en-GB"/>
              </w:rPr>
            </w:pPr>
            <w:r w:rsidRPr="00361139">
              <w:rPr>
                <w:lang w:val="en-GB"/>
              </w:rPr>
              <w:t>Peru</w:t>
            </w:r>
          </w:p>
        </w:tc>
        <w:tc>
          <w:tcPr>
            <w:tcW w:w="2303" w:type="pct"/>
            <w:shd w:val="clear" w:color="auto" w:fill="auto"/>
            <w:hideMark/>
          </w:tcPr>
          <w:p w14:paraId="2CD730D1" w14:textId="77777777" w:rsidR="00CC73DD" w:rsidRPr="00361139" w:rsidRDefault="00CC73DD" w:rsidP="00AA7C84">
            <w:pPr>
              <w:pStyle w:val="Normal-pool-Table"/>
              <w:rPr>
                <w:lang w:val="en-GB"/>
              </w:rPr>
            </w:pPr>
            <w:r w:rsidRPr="00361139">
              <w:rPr>
                <w:lang w:val="en-GB"/>
              </w:rPr>
              <w:t>Strengthening capacities to control emissions and releases of mercury in Peru</w:t>
            </w:r>
          </w:p>
        </w:tc>
        <w:tc>
          <w:tcPr>
            <w:tcW w:w="571" w:type="pct"/>
            <w:shd w:val="clear" w:color="auto" w:fill="auto"/>
            <w:hideMark/>
          </w:tcPr>
          <w:p w14:paraId="5678988B"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6B80E56F" w14:textId="77777777" w:rsidR="00CC73DD" w:rsidRPr="00361139" w:rsidRDefault="00CC73DD" w:rsidP="00AA7C84">
            <w:pPr>
              <w:pStyle w:val="Normal-pool-Table"/>
              <w:rPr>
                <w:lang w:val="en-GB"/>
              </w:rPr>
            </w:pPr>
            <w:r w:rsidRPr="00361139">
              <w:rPr>
                <w:lang w:val="en-GB"/>
              </w:rPr>
              <w:t>0,13</w:t>
            </w:r>
          </w:p>
        </w:tc>
        <w:tc>
          <w:tcPr>
            <w:tcW w:w="557" w:type="pct"/>
            <w:shd w:val="clear" w:color="auto" w:fill="auto"/>
            <w:hideMark/>
          </w:tcPr>
          <w:p w14:paraId="4AEEC477" w14:textId="77777777" w:rsidR="00CC73DD" w:rsidRPr="00361139" w:rsidRDefault="00CC73DD" w:rsidP="00AA7C84">
            <w:pPr>
              <w:pStyle w:val="Normal-pool-Table"/>
              <w:rPr>
                <w:lang w:val="en-GB"/>
              </w:rPr>
            </w:pPr>
            <w:r w:rsidRPr="00361139">
              <w:rPr>
                <w:lang w:val="en-GB"/>
              </w:rPr>
              <w:t>0,06</w:t>
            </w:r>
          </w:p>
        </w:tc>
      </w:tr>
      <w:tr w:rsidR="00CC73DD" w:rsidRPr="00361139" w14:paraId="68D5A0E2" w14:textId="77777777" w:rsidTr="00AA7C84">
        <w:trPr>
          <w:cantSplit/>
          <w:trHeight w:val="57"/>
          <w:jc w:val="right"/>
        </w:trPr>
        <w:tc>
          <w:tcPr>
            <w:tcW w:w="433" w:type="pct"/>
            <w:shd w:val="clear" w:color="auto" w:fill="auto"/>
            <w:hideMark/>
          </w:tcPr>
          <w:p w14:paraId="5CF8E896"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53FFB043" w14:textId="77777777" w:rsidR="00CC73DD" w:rsidRPr="00361139" w:rsidRDefault="00CC73DD" w:rsidP="00AA7C84">
            <w:pPr>
              <w:pStyle w:val="Normal-pool-Table"/>
              <w:rPr>
                <w:lang w:val="en-GB"/>
              </w:rPr>
            </w:pPr>
            <w:r w:rsidRPr="00361139">
              <w:rPr>
                <w:lang w:val="en-GB"/>
              </w:rPr>
              <w:t>Sri Lanka</w:t>
            </w:r>
          </w:p>
        </w:tc>
        <w:tc>
          <w:tcPr>
            <w:tcW w:w="2303" w:type="pct"/>
            <w:shd w:val="clear" w:color="auto" w:fill="auto"/>
            <w:hideMark/>
          </w:tcPr>
          <w:p w14:paraId="1319D827" w14:textId="77777777" w:rsidR="00CC73DD" w:rsidRPr="00361139" w:rsidRDefault="00CC73DD" w:rsidP="00AA7C84">
            <w:pPr>
              <w:pStyle w:val="Normal-pool-Table"/>
              <w:rPr>
                <w:lang w:val="en-GB"/>
              </w:rPr>
            </w:pPr>
            <w:r w:rsidRPr="00361139">
              <w:rPr>
                <w:lang w:val="en-GB"/>
              </w:rPr>
              <w:t>Strengthening National Capacity for Phasing Out Mercury Added Products and Environmentally Sound Mercury Containing Waste Management in Sri Lanka</w:t>
            </w:r>
          </w:p>
        </w:tc>
        <w:tc>
          <w:tcPr>
            <w:tcW w:w="571" w:type="pct"/>
            <w:shd w:val="clear" w:color="auto" w:fill="auto"/>
            <w:hideMark/>
          </w:tcPr>
          <w:p w14:paraId="61861387"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6FA80732" w14:textId="77777777" w:rsidR="00CC73DD" w:rsidRPr="00361139" w:rsidRDefault="00CC73DD" w:rsidP="00AA7C84">
            <w:pPr>
              <w:pStyle w:val="Normal-pool-Table"/>
              <w:rPr>
                <w:lang w:val="en-GB"/>
              </w:rPr>
            </w:pPr>
            <w:r w:rsidRPr="00361139">
              <w:rPr>
                <w:lang w:val="en-GB"/>
              </w:rPr>
              <w:t>0,18</w:t>
            </w:r>
          </w:p>
        </w:tc>
        <w:tc>
          <w:tcPr>
            <w:tcW w:w="557" w:type="pct"/>
            <w:shd w:val="clear" w:color="auto" w:fill="auto"/>
            <w:hideMark/>
          </w:tcPr>
          <w:p w14:paraId="1C28EB3F" w14:textId="77777777" w:rsidR="00CC73DD" w:rsidRPr="00361139" w:rsidRDefault="00CC73DD" w:rsidP="00AA7C84">
            <w:pPr>
              <w:pStyle w:val="Normal-pool-Table"/>
              <w:rPr>
                <w:lang w:val="en-GB"/>
              </w:rPr>
            </w:pPr>
            <w:r w:rsidRPr="00361139">
              <w:rPr>
                <w:lang w:val="en-GB"/>
              </w:rPr>
              <w:t>0,01</w:t>
            </w:r>
          </w:p>
        </w:tc>
      </w:tr>
      <w:tr w:rsidR="00CC73DD" w:rsidRPr="00361139" w14:paraId="709DCABC" w14:textId="77777777" w:rsidTr="00AA7C84">
        <w:trPr>
          <w:cantSplit/>
          <w:trHeight w:val="57"/>
          <w:jc w:val="right"/>
        </w:trPr>
        <w:tc>
          <w:tcPr>
            <w:tcW w:w="433" w:type="pct"/>
            <w:shd w:val="clear" w:color="auto" w:fill="auto"/>
            <w:hideMark/>
          </w:tcPr>
          <w:p w14:paraId="6689E580" w14:textId="77777777" w:rsidR="00CC73DD" w:rsidRPr="00361139" w:rsidRDefault="00CC73DD" w:rsidP="00AA7C84">
            <w:pPr>
              <w:pStyle w:val="Normal-pool-Table"/>
              <w:rPr>
                <w:lang w:val="en-GB"/>
              </w:rPr>
            </w:pPr>
            <w:r w:rsidRPr="00361139">
              <w:rPr>
                <w:lang w:val="en-GB"/>
              </w:rPr>
              <w:t>2</w:t>
            </w:r>
          </w:p>
        </w:tc>
        <w:tc>
          <w:tcPr>
            <w:tcW w:w="578" w:type="pct"/>
            <w:shd w:val="clear" w:color="auto" w:fill="auto"/>
            <w:hideMark/>
          </w:tcPr>
          <w:p w14:paraId="533652D0" w14:textId="77777777" w:rsidR="00CC73DD" w:rsidRPr="00361139" w:rsidRDefault="00CC73DD" w:rsidP="00AA7C84">
            <w:pPr>
              <w:pStyle w:val="Normal-pool-Table"/>
              <w:rPr>
                <w:lang w:val="en-GB"/>
              </w:rPr>
            </w:pPr>
            <w:r w:rsidRPr="00361139">
              <w:rPr>
                <w:lang w:val="en-GB"/>
              </w:rPr>
              <w:t>Zambia</w:t>
            </w:r>
          </w:p>
        </w:tc>
        <w:tc>
          <w:tcPr>
            <w:tcW w:w="2303" w:type="pct"/>
            <w:shd w:val="clear" w:color="auto" w:fill="auto"/>
            <w:hideMark/>
          </w:tcPr>
          <w:p w14:paraId="6613E44E" w14:textId="77777777" w:rsidR="00CC73DD" w:rsidRPr="00361139" w:rsidRDefault="00CC73DD" w:rsidP="00AA7C84">
            <w:pPr>
              <w:pStyle w:val="Normal-pool-Table"/>
              <w:rPr>
                <w:lang w:val="en-GB"/>
              </w:rPr>
            </w:pPr>
            <w:r w:rsidRPr="00361139">
              <w:rPr>
                <w:lang w:val="en-GB"/>
              </w:rPr>
              <w:t>To strengthen the Institutional Capacity for Zambia to implement the obligations of the Minamata Convention by reducing the presence of mercury in vulnerable populations as provided for under Articles 16 and 18</w:t>
            </w:r>
          </w:p>
        </w:tc>
        <w:tc>
          <w:tcPr>
            <w:tcW w:w="571" w:type="pct"/>
            <w:shd w:val="clear" w:color="auto" w:fill="auto"/>
            <w:hideMark/>
          </w:tcPr>
          <w:p w14:paraId="242A7003"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0B17D73E" w14:textId="77777777" w:rsidR="00CC73DD" w:rsidRPr="00361139" w:rsidRDefault="00CC73DD" w:rsidP="00AA7C84">
            <w:pPr>
              <w:pStyle w:val="Normal-pool-Table"/>
              <w:rPr>
                <w:lang w:val="en-GB"/>
              </w:rPr>
            </w:pPr>
            <w:r w:rsidRPr="00361139">
              <w:rPr>
                <w:lang w:val="en-GB"/>
              </w:rPr>
              <w:t>0,20</w:t>
            </w:r>
          </w:p>
        </w:tc>
        <w:tc>
          <w:tcPr>
            <w:tcW w:w="557" w:type="pct"/>
            <w:shd w:val="clear" w:color="auto" w:fill="auto"/>
            <w:hideMark/>
          </w:tcPr>
          <w:p w14:paraId="2CA9292F" w14:textId="77777777" w:rsidR="00CC73DD" w:rsidRPr="00361139" w:rsidRDefault="00CC73DD" w:rsidP="00AA7C84">
            <w:pPr>
              <w:pStyle w:val="Normal-pool-Table"/>
              <w:rPr>
                <w:lang w:val="en-GB"/>
              </w:rPr>
            </w:pPr>
            <w:r w:rsidRPr="00361139">
              <w:rPr>
                <w:lang w:val="en-GB"/>
              </w:rPr>
              <w:t>0,03</w:t>
            </w:r>
          </w:p>
        </w:tc>
      </w:tr>
      <w:tr w:rsidR="00CC73DD" w:rsidRPr="00361139" w14:paraId="3FE47C08" w14:textId="77777777" w:rsidTr="00AA7C84">
        <w:trPr>
          <w:cantSplit/>
          <w:trHeight w:val="57"/>
          <w:jc w:val="right"/>
        </w:trPr>
        <w:tc>
          <w:tcPr>
            <w:tcW w:w="433" w:type="pct"/>
            <w:shd w:val="clear" w:color="auto" w:fill="auto"/>
            <w:hideMark/>
          </w:tcPr>
          <w:p w14:paraId="70778641"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34666479" w14:textId="77777777" w:rsidR="00CC73DD" w:rsidRPr="00361139" w:rsidRDefault="00CC73DD" w:rsidP="00AA7C84">
            <w:pPr>
              <w:pStyle w:val="Normal-pool-Table"/>
              <w:rPr>
                <w:lang w:val="en-GB"/>
              </w:rPr>
            </w:pPr>
            <w:r w:rsidRPr="00361139">
              <w:rPr>
                <w:lang w:val="en-GB"/>
              </w:rPr>
              <w:t>Burundi</w:t>
            </w:r>
          </w:p>
        </w:tc>
        <w:tc>
          <w:tcPr>
            <w:tcW w:w="2303" w:type="pct"/>
            <w:shd w:val="clear" w:color="auto" w:fill="auto"/>
            <w:hideMark/>
          </w:tcPr>
          <w:p w14:paraId="57294F58" w14:textId="77777777" w:rsidR="00CC73DD" w:rsidRPr="00361139" w:rsidRDefault="00CC73DD" w:rsidP="00AA7C84">
            <w:pPr>
              <w:pStyle w:val="Normal-pool-Table"/>
              <w:rPr>
                <w:lang w:val="en-GB"/>
              </w:rPr>
            </w:pPr>
            <w:r w:rsidRPr="00361139">
              <w:rPr>
                <w:lang w:val="en-GB"/>
              </w:rPr>
              <w:t>Capacity building support for the implementation of the Minamata Convention on Mercury in Burundi</w:t>
            </w:r>
          </w:p>
        </w:tc>
        <w:tc>
          <w:tcPr>
            <w:tcW w:w="571" w:type="pct"/>
            <w:shd w:val="clear" w:color="auto" w:fill="auto"/>
            <w:hideMark/>
          </w:tcPr>
          <w:p w14:paraId="66D5D78E"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34BB54B4"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11AD495F" w14:textId="77777777" w:rsidR="00CC73DD" w:rsidRPr="00361139" w:rsidRDefault="00CC73DD" w:rsidP="00AA7C84">
            <w:pPr>
              <w:pStyle w:val="Normal-pool-Table"/>
              <w:rPr>
                <w:lang w:val="en-GB"/>
              </w:rPr>
            </w:pPr>
            <w:r w:rsidRPr="00361139">
              <w:rPr>
                <w:lang w:val="en-GB"/>
              </w:rPr>
              <w:t>0,00</w:t>
            </w:r>
          </w:p>
        </w:tc>
      </w:tr>
      <w:tr w:rsidR="00CC73DD" w:rsidRPr="00361139" w14:paraId="2B0957EF" w14:textId="77777777" w:rsidTr="00AA7C84">
        <w:trPr>
          <w:cantSplit/>
          <w:trHeight w:val="57"/>
          <w:jc w:val="right"/>
        </w:trPr>
        <w:tc>
          <w:tcPr>
            <w:tcW w:w="433" w:type="pct"/>
            <w:shd w:val="clear" w:color="auto" w:fill="auto"/>
            <w:hideMark/>
          </w:tcPr>
          <w:p w14:paraId="3B77136D"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6231123D" w14:textId="77777777" w:rsidR="00CC73DD" w:rsidRPr="00361139" w:rsidRDefault="00CC73DD" w:rsidP="00AA7C84">
            <w:pPr>
              <w:pStyle w:val="Normal-pool-Table"/>
              <w:rPr>
                <w:lang w:val="en-GB"/>
              </w:rPr>
            </w:pPr>
            <w:r w:rsidRPr="00361139">
              <w:rPr>
                <w:lang w:val="en-GB"/>
              </w:rPr>
              <w:t>Cuba</w:t>
            </w:r>
          </w:p>
        </w:tc>
        <w:tc>
          <w:tcPr>
            <w:tcW w:w="2303" w:type="pct"/>
            <w:shd w:val="clear" w:color="auto" w:fill="auto"/>
            <w:hideMark/>
          </w:tcPr>
          <w:p w14:paraId="0F959F9B" w14:textId="77777777" w:rsidR="00CC73DD" w:rsidRPr="00361139" w:rsidRDefault="00CC73DD" w:rsidP="00AA7C84">
            <w:pPr>
              <w:pStyle w:val="Normal-pool-Table"/>
              <w:rPr>
                <w:lang w:val="en-GB"/>
              </w:rPr>
            </w:pPr>
            <w:r w:rsidRPr="00361139">
              <w:rPr>
                <w:lang w:val="en-GB"/>
              </w:rPr>
              <w:t>Improvement of information on inventories of mercury use and the environmental cycle in Cuba to support the implementation of the Minamata Convention</w:t>
            </w:r>
          </w:p>
        </w:tc>
        <w:tc>
          <w:tcPr>
            <w:tcW w:w="571" w:type="pct"/>
            <w:shd w:val="clear" w:color="auto" w:fill="auto"/>
            <w:hideMark/>
          </w:tcPr>
          <w:p w14:paraId="7A18B0EE"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2048A06F"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1D3F9379" w14:textId="77777777" w:rsidR="00CC73DD" w:rsidRPr="00361139" w:rsidRDefault="00CC73DD" w:rsidP="00AA7C84">
            <w:pPr>
              <w:pStyle w:val="Normal-pool-Table"/>
              <w:rPr>
                <w:lang w:val="en-GB"/>
              </w:rPr>
            </w:pPr>
            <w:r w:rsidRPr="00361139">
              <w:rPr>
                <w:lang w:val="en-GB"/>
              </w:rPr>
              <w:t>1,37</w:t>
            </w:r>
          </w:p>
        </w:tc>
      </w:tr>
      <w:tr w:rsidR="00CC73DD" w:rsidRPr="00361139" w14:paraId="55514A4A" w14:textId="77777777" w:rsidTr="00AA7C84">
        <w:trPr>
          <w:cantSplit/>
          <w:trHeight w:val="57"/>
          <w:jc w:val="right"/>
        </w:trPr>
        <w:tc>
          <w:tcPr>
            <w:tcW w:w="433" w:type="pct"/>
            <w:shd w:val="clear" w:color="auto" w:fill="auto"/>
            <w:hideMark/>
          </w:tcPr>
          <w:p w14:paraId="207F3089"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4A75C0E6" w14:textId="77777777" w:rsidR="00CC73DD" w:rsidRPr="00361139" w:rsidRDefault="00CC73DD" w:rsidP="00AA7C84">
            <w:pPr>
              <w:pStyle w:val="Normal-pool-Table"/>
              <w:rPr>
                <w:lang w:val="en-GB"/>
              </w:rPr>
            </w:pPr>
            <w:r w:rsidRPr="00361139">
              <w:rPr>
                <w:lang w:val="en-GB"/>
              </w:rPr>
              <w:t>Gabon</w:t>
            </w:r>
          </w:p>
        </w:tc>
        <w:tc>
          <w:tcPr>
            <w:tcW w:w="2303" w:type="pct"/>
            <w:shd w:val="clear" w:color="auto" w:fill="auto"/>
            <w:hideMark/>
          </w:tcPr>
          <w:p w14:paraId="22761C2F" w14:textId="77777777" w:rsidR="00CC73DD" w:rsidRPr="00361139" w:rsidRDefault="00CC73DD" w:rsidP="00AA7C84">
            <w:pPr>
              <w:pStyle w:val="Normal-pool-Table"/>
              <w:rPr>
                <w:lang w:val="en-GB"/>
              </w:rPr>
            </w:pPr>
            <w:r w:rsidRPr="00361139">
              <w:rPr>
                <w:lang w:val="en-GB"/>
              </w:rPr>
              <w:t>Facilitating capacity-building with technology assistance and technology transfer for monitoring and managing mercury in Central Africa</w:t>
            </w:r>
          </w:p>
        </w:tc>
        <w:tc>
          <w:tcPr>
            <w:tcW w:w="571" w:type="pct"/>
            <w:shd w:val="clear" w:color="auto" w:fill="auto"/>
            <w:hideMark/>
          </w:tcPr>
          <w:p w14:paraId="28240EBE"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0A56566F"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2D3E97C6" w14:textId="77777777" w:rsidR="00CC73DD" w:rsidRPr="00361139" w:rsidRDefault="00CC73DD" w:rsidP="00AA7C84">
            <w:pPr>
              <w:pStyle w:val="Normal-pool-Table"/>
              <w:rPr>
                <w:lang w:val="en-GB"/>
              </w:rPr>
            </w:pPr>
            <w:r w:rsidRPr="00361139">
              <w:rPr>
                <w:lang w:val="en-GB"/>
              </w:rPr>
              <w:t>0,05</w:t>
            </w:r>
          </w:p>
        </w:tc>
      </w:tr>
      <w:tr w:rsidR="00CC73DD" w:rsidRPr="00361139" w14:paraId="6F9B43A2" w14:textId="77777777" w:rsidTr="00AA7C84">
        <w:trPr>
          <w:cantSplit/>
          <w:trHeight w:val="57"/>
          <w:jc w:val="right"/>
        </w:trPr>
        <w:tc>
          <w:tcPr>
            <w:tcW w:w="433" w:type="pct"/>
            <w:shd w:val="clear" w:color="auto" w:fill="auto"/>
            <w:hideMark/>
          </w:tcPr>
          <w:p w14:paraId="2A9BDE0A"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38A1E15A" w14:textId="77777777" w:rsidR="00CC73DD" w:rsidRPr="00361139" w:rsidRDefault="00CC73DD" w:rsidP="00AA7C84">
            <w:pPr>
              <w:pStyle w:val="Normal-pool-Table"/>
              <w:rPr>
                <w:lang w:val="en-GB"/>
              </w:rPr>
            </w:pPr>
            <w:r w:rsidRPr="00361139">
              <w:rPr>
                <w:lang w:val="en-GB"/>
              </w:rPr>
              <w:t>India</w:t>
            </w:r>
          </w:p>
        </w:tc>
        <w:tc>
          <w:tcPr>
            <w:tcW w:w="2303" w:type="pct"/>
            <w:shd w:val="clear" w:color="auto" w:fill="auto"/>
            <w:hideMark/>
          </w:tcPr>
          <w:p w14:paraId="354F0A9E" w14:textId="77777777" w:rsidR="00CC73DD" w:rsidRPr="00361139" w:rsidRDefault="00CC73DD" w:rsidP="00AA7C84">
            <w:pPr>
              <w:pStyle w:val="Normal-pool-Table"/>
              <w:rPr>
                <w:lang w:val="en-GB"/>
              </w:rPr>
            </w:pPr>
            <w:r w:rsidRPr="00361139">
              <w:rPr>
                <w:lang w:val="en-GB"/>
              </w:rPr>
              <w:t>Development of Institutional and Regulatory Framework for Implementation of Minamata Convention in India</w:t>
            </w:r>
          </w:p>
        </w:tc>
        <w:tc>
          <w:tcPr>
            <w:tcW w:w="571" w:type="pct"/>
            <w:shd w:val="clear" w:color="auto" w:fill="auto"/>
            <w:hideMark/>
          </w:tcPr>
          <w:p w14:paraId="34572FD5" w14:textId="77777777" w:rsidR="00CC73DD" w:rsidRPr="00361139" w:rsidRDefault="00CC73DD" w:rsidP="00AA7C84">
            <w:pPr>
              <w:pStyle w:val="Normal-pool-Table"/>
              <w:rPr>
                <w:lang w:val="en-GB"/>
              </w:rPr>
            </w:pPr>
            <w:r w:rsidRPr="00361139">
              <w:rPr>
                <w:lang w:val="en-GB"/>
              </w:rPr>
              <w:t>Approved</w:t>
            </w:r>
          </w:p>
        </w:tc>
        <w:tc>
          <w:tcPr>
            <w:tcW w:w="558" w:type="pct"/>
            <w:shd w:val="clear" w:color="auto" w:fill="auto"/>
            <w:hideMark/>
          </w:tcPr>
          <w:p w14:paraId="0FD2CF74" w14:textId="77777777" w:rsidR="00CC73DD" w:rsidRPr="00361139" w:rsidRDefault="00CC73DD" w:rsidP="00AA7C84">
            <w:pPr>
              <w:pStyle w:val="Normal-pool-Table"/>
              <w:rPr>
                <w:lang w:val="en-GB"/>
              </w:rPr>
            </w:pPr>
            <w:r w:rsidRPr="00361139">
              <w:rPr>
                <w:lang w:val="en-GB"/>
              </w:rPr>
              <w:t>0,24</w:t>
            </w:r>
          </w:p>
        </w:tc>
        <w:tc>
          <w:tcPr>
            <w:tcW w:w="557" w:type="pct"/>
            <w:shd w:val="clear" w:color="auto" w:fill="auto"/>
            <w:hideMark/>
          </w:tcPr>
          <w:p w14:paraId="256D5D26" w14:textId="77777777" w:rsidR="00CC73DD" w:rsidRPr="00361139" w:rsidRDefault="00CC73DD" w:rsidP="00AA7C84">
            <w:pPr>
              <w:pStyle w:val="Normal-pool-Table"/>
              <w:rPr>
                <w:lang w:val="en-GB"/>
              </w:rPr>
            </w:pPr>
            <w:r w:rsidRPr="00361139">
              <w:rPr>
                <w:lang w:val="en-GB"/>
              </w:rPr>
              <w:t>N/A</w:t>
            </w:r>
          </w:p>
        </w:tc>
      </w:tr>
      <w:tr w:rsidR="00CC73DD" w:rsidRPr="00361139" w14:paraId="58136132" w14:textId="77777777" w:rsidTr="00AA7C84">
        <w:trPr>
          <w:cantSplit/>
          <w:trHeight w:val="57"/>
          <w:jc w:val="right"/>
        </w:trPr>
        <w:tc>
          <w:tcPr>
            <w:tcW w:w="433" w:type="pct"/>
            <w:shd w:val="clear" w:color="auto" w:fill="auto"/>
            <w:hideMark/>
          </w:tcPr>
          <w:p w14:paraId="327E8CF9"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3BF2EE52" w14:textId="77777777" w:rsidR="00CC73DD" w:rsidRPr="00361139" w:rsidRDefault="00CC73DD" w:rsidP="00AA7C84">
            <w:pPr>
              <w:pStyle w:val="Normal-pool-Table"/>
              <w:rPr>
                <w:lang w:val="en-GB"/>
              </w:rPr>
            </w:pPr>
            <w:r w:rsidRPr="00361139">
              <w:rPr>
                <w:lang w:val="en-GB"/>
              </w:rPr>
              <w:t>Iran</w:t>
            </w:r>
          </w:p>
        </w:tc>
        <w:tc>
          <w:tcPr>
            <w:tcW w:w="2303" w:type="pct"/>
            <w:shd w:val="clear" w:color="auto" w:fill="auto"/>
            <w:hideMark/>
          </w:tcPr>
          <w:p w14:paraId="71AD8CAA" w14:textId="77777777" w:rsidR="00CC73DD" w:rsidRPr="00361139" w:rsidRDefault="00CC73DD" w:rsidP="00AA7C84">
            <w:pPr>
              <w:pStyle w:val="Normal-pool-Table"/>
              <w:rPr>
                <w:lang w:val="en-GB"/>
              </w:rPr>
            </w:pPr>
            <w:r w:rsidRPr="00361139">
              <w:rPr>
                <w:lang w:val="en-GB"/>
              </w:rPr>
              <w:t xml:space="preserve">Improving capacity building program for the replacement of mercury containing lamps </w:t>
            </w:r>
            <w:proofErr w:type="gramStart"/>
            <w:r w:rsidRPr="00361139">
              <w:rPr>
                <w:lang w:val="en-GB"/>
              </w:rPr>
              <w:t>in order to</w:t>
            </w:r>
            <w:proofErr w:type="gramEnd"/>
            <w:r w:rsidRPr="00361139">
              <w:rPr>
                <w:lang w:val="en-GB"/>
              </w:rPr>
              <w:t xml:space="preserve"> implement Minamata Convention in Islamic Republic of Iran</w:t>
            </w:r>
          </w:p>
        </w:tc>
        <w:tc>
          <w:tcPr>
            <w:tcW w:w="571" w:type="pct"/>
            <w:shd w:val="clear" w:color="auto" w:fill="auto"/>
            <w:hideMark/>
          </w:tcPr>
          <w:p w14:paraId="29FA3D89" w14:textId="77777777" w:rsidR="00CC73DD" w:rsidRPr="00361139" w:rsidRDefault="00CC73DD" w:rsidP="00AA7C84">
            <w:pPr>
              <w:pStyle w:val="Normal-pool-Table"/>
              <w:rPr>
                <w:lang w:val="en-GB"/>
              </w:rPr>
            </w:pPr>
            <w:r w:rsidRPr="00361139">
              <w:rPr>
                <w:lang w:val="en-GB"/>
              </w:rPr>
              <w:t>Approved</w:t>
            </w:r>
          </w:p>
        </w:tc>
        <w:tc>
          <w:tcPr>
            <w:tcW w:w="558" w:type="pct"/>
            <w:shd w:val="clear" w:color="auto" w:fill="auto"/>
            <w:hideMark/>
          </w:tcPr>
          <w:p w14:paraId="00177A47" w14:textId="77777777" w:rsidR="00CC73DD" w:rsidRPr="00361139" w:rsidRDefault="00CC73DD" w:rsidP="00AA7C84">
            <w:pPr>
              <w:pStyle w:val="Normal-pool-Table"/>
              <w:rPr>
                <w:lang w:val="en-GB"/>
              </w:rPr>
            </w:pPr>
            <w:r w:rsidRPr="00361139">
              <w:rPr>
                <w:lang w:val="en-GB"/>
              </w:rPr>
              <w:t>0,24</w:t>
            </w:r>
          </w:p>
        </w:tc>
        <w:tc>
          <w:tcPr>
            <w:tcW w:w="557" w:type="pct"/>
            <w:shd w:val="clear" w:color="auto" w:fill="auto"/>
            <w:hideMark/>
          </w:tcPr>
          <w:p w14:paraId="1FBAB08A" w14:textId="77777777" w:rsidR="00CC73DD" w:rsidRPr="00361139" w:rsidRDefault="00CC73DD" w:rsidP="00AA7C84">
            <w:pPr>
              <w:pStyle w:val="Normal-pool-Table"/>
              <w:rPr>
                <w:lang w:val="en-GB"/>
              </w:rPr>
            </w:pPr>
            <w:r w:rsidRPr="00361139">
              <w:rPr>
                <w:lang w:val="en-GB"/>
              </w:rPr>
              <w:t>0,03</w:t>
            </w:r>
          </w:p>
        </w:tc>
      </w:tr>
      <w:tr w:rsidR="00CC73DD" w:rsidRPr="00361139" w14:paraId="57D2F6B0" w14:textId="77777777" w:rsidTr="00AA7C84">
        <w:trPr>
          <w:cantSplit/>
          <w:trHeight w:val="57"/>
          <w:jc w:val="right"/>
        </w:trPr>
        <w:tc>
          <w:tcPr>
            <w:tcW w:w="433" w:type="pct"/>
            <w:shd w:val="clear" w:color="auto" w:fill="auto"/>
            <w:hideMark/>
          </w:tcPr>
          <w:p w14:paraId="7A849214"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4AE4FE14" w14:textId="77777777" w:rsidR="00CC73DD" w:rsidRPr="00361139" w:rsidRDefault="00CC73DD" w:rsidP="00AA7C84">
            <w:pPr>
              <w:pStyle w:val="Normal-pool-Table"/>
              <w:rPr>
                <w:lang w:val="en-GB"/>
              </w:rPr>
            </w:pPr>
            <w:r w:rsidRPr="00361139">
              <w:rPr>
                <w:lang w:val="en-GB"/>
              </w:rPr>
              <w:t>Jordan</w:t>
            </w:r>
          </w:p>
        </w:tc>
        <w:tc>
          <w:tcPr>
            <w:tcW w:w="2303" w:type="pct"/>
            <w:shd w:val="clear" w:color="auto" w:fill="auto"/>
            <w:hideMark/>
          </w:tcPr>
          <w:p w14:paraId="4DF425FF" w14:textId="77777777" w:rsidR="00CC73DD" w:rsidRPr="00361139" w:rsidRDefault="00CC73DD" w:rsidP="00AA7C84">
            <w:pPr>
              <w:pStyle w:val="Normal-pool-Table"/>
              <w:rPr>
                <w:lang w:val="en-GB"/>
              </w:rPr>
            </w:pPr>
            <w:r w:rsidRPr="00361139">
              <w:rPr>
                <w:lang w:val="en-GB"/>
              </w:rPr>
              <w:t>Environmentally Sound Management of Mercury-Containing Wastes and Reduce the Use of Mercury-Containing Products in Jordan</w:t>
            </w:r>
          </w:p>
        </w:tc>
        <w:tc>
          <w:tcPr>
            <w:tcW w:w="571" w:type="pct"/>
            <w:shd w:val="clear" w:color="auto" w:fill="auto"/>
            <w:hideMark/>
          </w:tcPr>
          <w:p w14:paraId="2A629496"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22EAF604"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2AECC1C9" w14:textId="77777777" w:rsidR="00CC73DD" w:rsidRPr="00361139" w:rsidRDefault="00CC73DD" w:rsidP="00AA7C84">
            <w:pPr>
              <w:pStyle w:val="Normal-pool-Table"/>
              <w:rPr>
                <w:lang w:val="en-GB"/>
              </w:rPr>
            </w:pPr>
            <w:r w:rsidRPr="00361139">
              <w:rPr>
                <w:lang w:val="en-GB"/>
              </w:rPr>
              <w:t>0,06</w:t>
            </w:r>
          </w:p>
        </w:tc>
      </w:tr>
      <w:tr w:rsidR="00CC73DD" w:rsidRPr="00361139" w14:paraId="50CD4655" w14:textId="77777777" w:rsidTr="00AA7C84">
        <w:trPr>
          <w:cantSplit/>
          <w:trHeight w:val="57"/>
          <w:jc w:val="right"/>
        </w:trPr>
        <w:tc>
          <w:tcPr>
            <w:tcW w:w="433" w:type="pct"/>
            <w:shd w:val="clear" w:color="auto" w:fill="auto"/>
            <w:hideMark/>
          </w:tcPr>
          <w:p w14:paraId="534EA064" w14:textId="77777777" w:rsidR="00CC73DD" w:rsidRPr="00361139" w:rsidRDefault="00CC73DD" w:rsidP="00AA7C84">
            <w:pPr>
              <w:pStyle w:val="Normal-pool-Table"/>
              <w:rPr>
                <w:lang w:val="en-GB"/>
              </w:rPr>
            </w:pPr>
            <w:r w:rsidRPr="00361139">
              <w:rPr>
                <w:lang w:val="en-GB"/>
              </w:rPr>
              <w:lastRenderedPageBreak/>
              <w:t>3</w:t>
            </w:r>
          </w:p>
        </w:tc>
        <w:tc>
          <w:tcPr>
            <w:tcW w:w="578" w:type="pct"/>
            <w:shd w:val="clear" w:color="auto" w:fill="auto"/>
            <w:hideMark/>
          </w:tcPr>
          <w:p w14:paraId="0A6C1019" w14:textId="77777777" w:rsidR="00CC73DD" w:rsidRPr="00361139" w:rsidRDefault="00CC73DD" w:rsidP="00AA7C84">
            <w:pPr>
              <w:pStyle w:val="Normal-pool-Table"/>
              <w:rPr>
                <w:lang w:val="en-GB"/>
              </w:rPr>
            </w:pPr>
            <w:r w:rsidRPr="00361139">
              <w:rPr>
                <w:lang w:val="en-GB"/>
              </w:rPr>
              <w:t>North Macedonia</w:t>
            </w:r>
          </w:p>
        </w:tc>
        <w:tc>
          <w:tcPr>
            <w:tcW w:w="2303" w:type="pct"/>
            <w:shd w:val="clear" w:color="auto" w:fill="auto"/>
            <w:hideMark/>
          </w:tcPr>
          <w:p w14:paraId="6EB2348B" w14:textId="77777777" w:rsidR="00CC73DD" w:rsidRPr="00361139" w:rsidRDefault="00CC73DD" w:rsidP="00AA7C84">
            <w:pPr>
              <w:pStyle w:val="Normal-pool-Table"/>
              <w:rPr>
                <w:lang w:val="en-GB"/>
              </w:rPr>
            </w:pPr>
            <w:r w:rsidRPr="00361139">
              <w:rPr>
                <w:lang w:val="en-GB"/>
              </w:rPr>
              <w:t>Strengthening national capacities for Minamata Convention implementation with focus on development of strategy for assessing the sites contaminated with mercury</w:t>
            </w:r>
          </w:p>
        </w:tc>
        <w:tc>
          <w:tcPr>
            <w:tcW w:w="571" w:type="pct"/>
            <w:shd w:val="clear" w:color="auto" w:fill="auto"/>
            <w:hideMark/>
          </w:tcPr>
          <w:p w14:paraId="4596B1CE"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413008AC"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6AC98A58" w14:textId="77777777" w:rsidR="00CC73DD" w:rsidRPr="00361139" w:rsidRDefault="00CC73DD" w:rsidP="00AA7C84">
            <w:pPr>
              <w:pStyle w:val="Normal-pool-Table"/>
              <w:rPr>
                <w:lang w:val="en-GB"/>
              </w:rPr>
            </w:pPr>
            <w:r w:rsidRPr="00361139">
              <w:rPr>
                <w:lang w:val="en-GB"/>
              </w:rPr>
              <w:t>0,02</w:t>
            </w:r>
          </w:p>
        </w:tc>
      </w:tr>
      <w:tr w:rsidR="00CC73DD" w:rsidRPr="00361139" w14:paraId="274A4DD2" w14:textId="77777777" w:rsidTr="00AA7C84">
        <w:trPr>
          <w:cantSplit/>
          <w:trHeight w:val="57"/>
          <w:jc w:val="right"/>
        </w:trPr>
        <w:tc>
          <w:tcPr>
            <w:tcW w:w="433" w:type="pct"/>
            <w:shd w:val="clear" w:color="auto" w:fill="auto"/>
            <w:hideMark/>
          </w:tcPr>
          <w:p w14:paraId="6E10082A"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78161290" w14:textId="77777777" w:rsidR="00CC73DD" w:rsidRPr="00361139" w:rsidRDefault="00CC73DD" w:rsidP="00AA7C84">
            <w:pPr>
              <w:pStyle w:val="Normal-pool-Table"/>
              <w:rPr>
                <w:lang w:val="en-GB"/>
              </w:rPr>
            </w:pPr>
            <w:r w:rsidRPr="00361139">
              <w:rPr>
                <w:lang w:val="en-GB"/>
              </w:rPr>
              <w:t>Rwanda</w:t>
            </w:r>
          </w:p>
        </w:tc>
        <w:tc>
          <w:tcPr>
            <w:tcW w:w="2303" w:type="pct"/>
            <w:shd w:val="clear" w:color="auto" w:fill="auto"/>
            <w:hideMark/>
          </w:tcPr>
          <w:p w14:paraId="01D32051" w14:textId="77777777" w:rsidR="00CC73DD" w:rsidRPr="00361139" w:rsidRDefault="00CC73DD" w:rsidP="00AA7C84">
            <w:pPr>
              <w:pStyle w:val="Normal-pool-Table"/>
              <w:rPr>
                <w:lang w:val="en-GB"/>
              </w:rPr>
            </w:pPr>
            <w:r w:rsidRPr="00361139">
              <w:rPr>
                <w:lang w:val="en-GB"/>
              </w:rPr>
              <w:t>Strengthening the Institutional Capacities for Rwanda to implement Minamata Convention</w:t>
            </w:r>
          </w:p>
        </w:tc>
        <w:tc>
          <w:tcPr>
            <w:tcW w:w="571" w:type="pct"/>
            <w:shd w:val="clear" w:color="auto" w:fill="auto"/>
            <w:hideMark/>
          </w:tcPr>
          <w:p w14:paraId="1B8B7C99"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5137C3C3" w14:textId="77777777" w:rsidR="00CC73DD" w:rsidRPr="00361139" w:rsidRDefault="00CC73DD" w:rsidP="00AA7C84">
            <w:pPr>
              <w:pStyle w:val="Normal-pool-Table"/>
              <w:rPr>
                <w:lang w:val="en-GB"/>
              </w:rPr>
            </w:pPr>
            <w:r w:rsidRPr="00361139">
              <w:rPr>
                <w:lang w:val="en-GB"/>
              </w:rPr>
              <w:t>0,22</w:t>
            </w:r>
          </w:p>
        </w:tc>
        <w:tc>
          <w:tcPr>
            <w:tcW w:w="557" w:type="pct"/>
            <w:shd w:val="clear" w:color="auto" w:fill="auto"/>
            <w:hideMark/>
          </w:tcPr>
          <w:p w14:paraId="635DF9F0" w14:textId="77777777" w:rsidR="00CC73DD" w:rsidRPr="00361139" w:rsidRDefault="00CC73DD" w:rsidP="00AA7C84">
            <w:pPr>
              <w:pStyle w:val="Normal-pool-Table"/>
              <w:rPr>
                <w:lang w:val="en-GB"/>
              </w:rPr>
            </w:pPr>
            <w:r w:rsidRPr="00361139">
              <w:rPr>
                <w:lang w:val="en-GB"/>
              </w:rPr>
              <w:t>0,10</w:t>
            </w:r>
          </w:p>
        </w:tc>
      </w:tr>
      <w:tr w:rsidR="00CC73DD" w:rsidRPr="00361139" w14:paraId="1F8254FC" w14:textId="77777777" w:rsidTr="00AA7C84">
        <w:trPr>
          <w:cantSplit/>
          <w:trHeight w:val="57"/>
          <w:jc w:val="right"/>
        </w:trPr>
        <w:tc>
          <w:tcPr>
            <w:tcW w:w="433" w:type="pct"/>
            <w:shd w:val="clear" w:color="auto" w:fill="auto"/>
            <w:hideMark/>
          </w:tcPr>
          <w:p w14:paraId="68983EC3" w14:textId="77777777" w:rsidR="00CC73DD" w:rsidRPr="00361139" w:rsidRDefault="00CC73DD" w:rsidP="00AA7C84">
            <w:pPr>
              <w:pStyle w:val="Normal-pool-Table"/>
              <w:rPr>
                <w:lang w:val="en-GB"/>
              </w:rPr>
            </w:pPr>
            <w:r w:rsidRPr="00361139">
              <w:rPr>
                <w:lang w:val="en-GB"/>
              </w:rPr>
              <w:t>3</w:t>
            </w:r>
          </w:p>
        </w:tc>
        <w:tc>
          <w:tcPr>
            <w:tcW w:w="578" w:type="pct"/>
            <w:shd w:val="clear" w:color="auto" w:fill="auto"/>
            <w:hideMark/>
          </w:tcPr>
          <w:p w14:paraId="33ACB800" w14:textId="77777777" w:rsidR="00CC73DD" w:rsidRPr="00361139" w:rsidRDefault="00CC73DD" w:rsidP="00AA7C84">
            <w:pPr>
              <w:pStyle w:val="Normal-pool-Table"/>
              <w:rPr>
                <w:lang w:val="en-GB"/>
              </w:rPr>
            </w:pPr>
            <w:r w:rsidRPr="00361139">
              <w:rPr>
                <w:lang w:val="en-GB"/>
              </w:rPr>
              <w:t>Senegal, Togo, Burkina Faso</w:t>
            </w:r>
          </w:p>
        </w:tc>
        <w:tc>
          <w:tcPr>
            <w:tcW w:w="2303" w:type="pct"/>
            <w:shd w:val="clear" w:color="auto" w:fill="auto"/>
            <w:hideMark/>
          </w:tcPr>
          <w:p w14:paraId="041BA6D4" w14:textId="77777777" w:rsidR="00CC73DD" w:rsidRPr="00361139" w:rsidRDefault="00CC73DD" w:rsidP="00AA7C84">
            <w:pPr>
              <w:pStyle w:val="Normal-pool-Table"/>
              <w:rPr>
                <w:lang w:val="en-GB"/>
              </w:rPr>
            </w:pPr>
            <w:r w:rsidRPr="00361139">
              <w:rPr>
                <w:lang w:val="en-GB"/>
              </w:rPr>
              <w:t>Strengthening the legal framework and institutional capacities of ECOWAS countries (Senegal, Togo and Burkina Faso) for the implementation of Articles 3 and 4 of the Minamata Convention</w:t>
            </w:r>
          </w:p>
        </w:tc>
        <w:tc>
          <w:tcPr>
            <w:tcW w:w="571" w:type="pct"/>
            <w:shd w:val="clear" w:color="auto" w:fill="auto"/>
            <w:hideMark/>
          </w:tcPr>
          <w:p w14:paraId="33DBC9CA" w14:textId="77777777" w:rsidR="00CC73DD" w:rsidRPr="00361139" w:rsidRDefault="00CC73DD" w:rsidP="00AA7C84">
            <w:pPr>
              <w:pStyle w:val="Normal-pool-Table"/>
              <w:rPr>
                <w:lang w:val="en-GB"/>
              </w:rPr>
            </w:pPr>
            <w:r w:rsidRPr="00361139">
              <w:rPr>
                <w:lang w:val="en-GB"/>
              </w:rPr>
              <w:t xml:space="preserve">Under </w:t>
            </w:r>
            <w:proofErr w:type="spellStart"/>
            <w:r w:rsidRPr="00361139">
              <w:rPr>
                <w:lang w:val="en-GB"/>
              </w:rPr>
              <w:t>Implem</w:t>
            </w:r>
            <w:proofErr w:type="spellEnd"/>
            <w:r w:rsidRPr="00361139">
              <w:rPr>
                <w:lang w:val="en-GB"/>
              </w:rPr>
              <w:t>.</w:t>
            </w:r>
          </w:p>
        </w:tc>
        <w:tc>
          <w:tcPr>
            <w:tcW w:w="558" w:type="pct"/>
            <w:shd w:val="clear" w:color="auto" w:fill="auto"/>
            <w:hideMark/>
          </w:tcPr>
          <w:p w14:paraId="11D91BC2" w14:textId="77777777" w:rsidR="00CC73DD" w:rsidRPr="00361139" w:rsidRDefault="00CC73DD" w:rsidP="00AA7C84">
            <w:pPr>
              <w:pStyle w:val="Normal-pool-Table"/>
              <w:rPr>
                <w:lang w:val="en-GB"/>
              </w:rPr>
            </w:pPr>
            <w:r w:rsidRPr="00361139">
              <w:rPr>
                <w:lang w:val="en-GB"/>
              </w:rPr>
              <w:t>0,25</w:t>
            </w:r>
          </w:p>
        </w:tc>
        <w:tc>
          <w:tcPr>
            <w:tcW w:w="557" w:type="pct"/>
            <w:shd w:val="clear" w:color="auto" w:fill="auto"/>
            <w:hideMark/>
          </w:tcPr>
          <w:p w14:paraId="510A9EFE" w14:textId="77777777" w:rsidR="00CC73DD" w:rsidRPr="00361139" w:rsidRDefault="00CC73DD" w:rsidP="00AA7C84">
            <w:pPr>
              <w:pStyle w:val="Normal-pool-Table"/>
              <w:rPr>
                <w:lang w:val="en-GB"/>
              </w:rPr>
            </w:pPr>
            <w:r w:rsidRPr="00361139">
              <w:rPr>
                <w:lang w:val="en-GB"/>
              </w:rPr>
              <w:t>0,00</w:t>
            </w:r>
          </w:p>
        </w:tc>
      </w:tr>
    </w:tbl>
    <w:p w14:paraId="16DB1EBD" w14:textId="77777777" w:rsidR="003C3FF7" w:rsidRPr="00361139" w:rsidRDefault="003C3FF7" w:rsidP="003C3FF7">
      <w:pPr>
        <w:pStyle w:val="Normal-pool"/>
        <w:rPr>
          <w:rFonts w:eastAsia="Cambria"/>
          <w:lang w:val="en-GB"/>
        </w:rPr>
      </w:pPr>
    </w:p>
    <w:p w14:paraId="772740AE" w14:textId="16CF7B09" w:rsidR="00EF3C6F" w:rsidRPr="00361139" w:rsidRDefault="00EF3C6F" w:rsidP="00D83203">
      <w:pPr>
        <w:pStyle w:val="Normal-pool"/>
        <w:rPr>
          <w:rFonts w:eastAsia="Cambria"/>
          <w:lang w:val="en-GB"/>
        </w:rPr>
      </w:pPr>
      <w:r w:rsidRPr="00361139">
        <w:rPr>
          <w:rFonts w:eastAsia="Cambria"/>
          <w:lang w:val="en-GB"/>
        </w:rPr>
        <w:br w:type="page"/>
      </w:r>
    </w:p>
    <w:p w14:paraId="7C96D158" w14:textId="675DB4FC" w:rsidR="00CC73DD" w:rsidRPr="00361139" w:rsidRDefault="00EF3C6F" w:rsidP="00EF3C6F">
      <w:pPr>
        <w:pStyle w:val="CH1"/>
        <w:rPr>
          <w:lang w:val="en-GB"/>
        </w:rPr>
      </w:pPr>
      <w:bookmarkStart w:id="346" w:name="_Toc122452729"/>
      <w:bookmarkStart w:id="347" w:name="_Toc122452906"/>
      <w:bookmarkStart w:id="348" w:name="_Toc138845699"/>
      <w:bookmarkStart w:id="349" w:name="_Toc138845754"/>
      <w:bookmarkStart w:id="350" w:name="_Toc138847843"/>
      <w:r w:rsidRPr="00361139">
        <w:rPr>
          <w:lang w:val="en-GB"/>
        </w:rPr>
        <w:lastRenderedPageBreak/>
        <w:tab/>
      </w:r>
      <w:r w:rsidRPr="00361139">
        <w:rPr>
          <w:lang w:val="en-GB"/>
        </w:rPr>
        <w:tab/>
      </w:r>
      <w:bookmarkStart w:id="351" w:name="_Toc139975484"/>
      <w:bookmarkStart w:id="352" w:name="_Toc139976239"/>
      <w:bookmarkStart w:id="353" w:name="_Toc139982255"/>
      <w:bookmarkStart w:id="354" w:name="_Toc139983967"/>
      <w:bookmarkStart w:id="355" w:name="_Toc139984207"/>
      <w:r w:rsidR="00CC73DD" w:rsidRPr="00361139">
        <w:rPr>
          <w:lang w:val="en-GB"/>
        </w:rPr>
        <w:t>Annex 4</w:t>
      </w:r>
      <w:r w:rsidRPr="00361139">
        <w:rPr>
          <w:lang w:val="en-GB"/>
        </w:rPr>
        <w:t xml:space="preserve"> - </w:t>
      </w:r>
      <w:r w:rsidR="00CC73DD" w:rsidRPr="00361139">
        <w:rPr>
          <w:lang w:val="en-GB"/>
        </w:rPr>
        <w:t>Results of the survey</w:t>
      </w:r>
      <w:bookmarkEnd w:id="346"/>
      <w:bookmarkEnd w:id="347"/>
      <w:bookmarkEnd w:id="348"/>
      <w:bookmarkEnd w:id="349"/>
      <w:bookmarkEnd w:id="350"/>
      <w:bookmarkEnd w:id="351"/>
      <w:bookmarkEnd w:id="352"/>
      <w:bookmarkEnd w:id="353"/>
      <w:bookmarkEnd w:id="354"/>
      <w:bookmarkEnd w:id="355"/>
    </w:p>
    <w:p w14:paraId="40EA105C" w14:textId="77777777" w:rsidR="00CC73DD" w:rsidRPr="00361139" w:rsidRDefault="00CC73DD" w:rsidP="000A1C76">
      <w:pPr>
        <w:pStyle w:val="NormalNonumber"/>
        <w:rPr>
          <w:rFonts w:eastAsia="Cambria"/>
          <w:i/>
          <w:iCs/>
          <w:lang w:val="en-GB"/>
        </w:rPr>
      </w:pPr>
      <w:bookmarkStart w:id="356" w:name="_Toc122452730"/>
      <w:bookmarkStart w:id="357" w:name="_Toc122452907"/>
      <w:r w:rsidRPr="00361139">
        <w:rPr>
          <w:rFonts w:eastAsia="Cambria"/>
          <w:i/>
          <w:iCs/>
          <w:lang w:val="en-GB"/>
        </w:rPr>
        <w:t>Note: Questions marked with an asterisk were mandatory</w:t>
      </w:r>
    </w:p>
    <w:tbl>
      <w:tblPr>
        <w:tblW w:w="918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118"/>
        <w:gridCol w:w="1417"/>
        <w:gridCol w:w="1418"/>
      </w:tblGrid>
      <w:tr w:rsidR="0037512A" w:rsidRPr="00361139" w14:paraId="1B42D5B8" w14:textId="77777777" w:rsidTr="008144F7">
        <w:trPr>
          <w:cantSplit/>
          <w:trHeight w:val="20"/>
          <w:tblHeader/>
        </w:trPr>
        <w:tc>
          <w:tcPr>
            <w:tcW w:w="3227" w:type="dxa"/>
            <w:shd w:val="clear" w:color="auto" w:fill="B6DDE8"/>
            <w:vAlign w:val="center"/>
            <w:hideMark/>
          </w:tcPr>
          <w:p w14:paraId="2F29D702" w14:textId="77777777" w:rsidR="0037512A" w:rsidRPr="00361139" w:rsidRDefault="0037512A" w:rsidP="008144F7">
            <w:pPr>
              <w:spacing w:before="120" w:after="120"/>
              <w:rPr>
                <w:rFonts w:asciiTheme="majorBidi" w:hAnsiTheme="majorBidi" w:cstheme="majorBidi"/>
                <w:b/>
                <w:sz w:val="18"/>
                <w:szCs w:val="18"/>
              </w:rPr>
            </w:pPr>
            <w:r w:rsidRPr="00361139">
              <w:rPr>
                <w:rFonts w:asciiTheme="majorBidi" w:hAnsiTheme="majorBidi" w:cstheme="majorBidi"/>
                <w:b/>
                <w:sz w:val="18"/>
                <w:szCs w:val="18"/>
              </w:rPr>
              <w:t>Survey Questions</w:t>
            </w:r>
          </w:p>
        </w:tc>
        <w:tc>
          <w:tcPr>
            <w:tcW w:w="3118" w:type="dxa"/>
            <w:shd w:val="clear" w:color="auto" w:fill="B6DDE8"/>
            <w:vAlign w:val="center"/>
            <w:hideMark/>
          </w:tcPr>
          <w:p w14:paraId="732A4576" w14:textId="77777777" w:rsidR="0037512A" w:rsidRPr="00361139" w:rsidRDefault="0037512A" w:rsidP="008144F7">
            <w:pPr>
              <w:spacing w:before="120" w:after="120"/>
              <w:rPr>
                <w:rFonts w:asciiTheme="majorBidi" w:hAnsiTheme="majorBidi" w:cstheme="majorBidi"/>
                <w:b/>
                <w:sz w:val="18"/>
                <w:szCs w:val="18"/>
              </w:rPr>
            </w:pPr>
            <w:r w:rsidRPr="00361139">
              <w:rPr>
                <w:rFonts w:asciiTheme="majorBidi" w:hAnsiTheme="majorBidi" w:cstheme="majorBidi"/>
                <w:b/>
                <w:sz w:val="18"/>
                <w:szCs w:val="18"/>
              </w:rPr>
              <w:t>Responses / Options</w:t>
            </w:r>
          </w:p>
        </w:tc>
        <w:tc>
          <w:tcPr>
            <w:tcW w:w="1417" w:type="dxa"/>
            <w:shd w:val="clear" w:color="auto" w:fill="B6DDE8"/>
            <w:vAlign w:val="center"/>
          </w:tcPr>
          <w:p w14:paraId="37B7A2A0" w14:textId="77777777" w:rsidR="0037512A" w:rsidRPr="00361139" w:rsidRDefault="0037512A" w:rsidP="008144F7">
            <w:pPr>
              <w:spacing w:before="120" w:after="120"/>
              <w:rPr>
                <w:rFonts w:asciiTheme="majorBidi" w:hAnsiTheme="majorBidi" w:cstheme="majorBidi"/>
                <w:b/>
                <w:sz w:val="18"/>
                <w:szCs w:val="18"/>
              </w:rPr>
            </w:pPr>
            <w:r w:rsidRPr="00361139">
              <w:rPr>
                <w:rFonts w:asciiTheme="majorBidi" w:hAnsiTheme="majorBidi" w:cstheme="majorBidi"/>
                <w:b/>
                <w:sz w:val="18"/>
                <w:szCs w:val="18"/>
              </w:rPr>
              <w:t>Results</w:t>
            </w:r>
          </w:p>
        </w:tc>
        <w:tc>
          <w:tcPr>
            <w:tcW w:w="1418" w:type="dxa"/>
            <w:shd w:val="clear" w:color="auto" w:fill="B6DDE8"/>
            <w:vAlign w:val="center"/>
          </w:tcPr>
          <w:p w14:paraId="1AE69730" w14:textId="77777777" w:rsidR="0037512A" w:rsidRPr="00361139" w:rsidRDefault="0037512A" w:rsidP="008144F7">
            <w:pPr>
              <w:spacing w:before="120" w:after="120"/>
              <w:rPr>
                <w:rFonts w:asciiTheme="majorBidi" w:hAnsiTheme="majorBidi" w:cstheme="majorBidi"/>
                <w:b/>
                <w:sz w:val="18"/>
                <w:szCs w:val="18"/>
              </w:rPr>
            </w:pPr>
            <w:r w:rsidRPr="00361139">
              <w:rPr>
                <w:rFonts w:asciiTheme="majorBidi" w:hAnsiTheme="majorBidi" w:cstheme="majorBidi"/>
                <w:b/>
                <w:sz w:val="18"/>
                <w:szCs w:val="18"/>
              </w:rPr>
              <w:t>%</w:t>
            </w:r>
          </w:p>
        </w:tc>
      </w:tr>
      <w:tr w:rsidR="0037512A" w:rsidRPr="00361139" w14:paraId="281EF31E" w14:textId="77777777" w:rsidTr="008144F7">
        <w:trPr>
          <w:cantSplit/>
          <w:trHeight w:val="20"/>
        </w:trPr>
        <w:tc>
          <w:tcPr>
            <w:tcW w:w="9180" w:type="dxa"/>
            <w:gridSpan w:val="4"/>
            <w:shd w:val="clear" w:color="auto" w:fill="auto"/>
            <w:vAlign w:val="center"/>
            <w:hideMark/>
          </w:tcPr>
          <w:p w14:paraId="6E0DC00B"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1 – Your role in the Minamata Convention on Mercury</w:t>
            </w:r>
          </w:p>
          <w:p w14:paraId="208D5BC9" w14:textId="77777777" w:rsidR="0037512A" w:rsidRPr="00361139" w:rsidRDefault="0037512A" w:rsidP="008144F7">
            <w:pPr>
              <w:spacing w:before="120" w:after="120"/>
              <w:ind w:left="57" w:right="57"/>
              <w:rPr>
                <w:rFonts w:asciiTheme="majorBidi" w:hAnsiTheme="majorBidi" w:cstheme="majorBidi"/>
                <w:i/>
                <w:sz w:val="18"/>
                <w:szCs w:val="18"/>
              </w:rPr>
            </w:pPr>
            <w:r w:rsidRPr="00361139">
              <w:rPr>
                <w:rFonts w:asciiTheme="majorBidi" w:hAnsiTheme="majorBidi" w:cstheme="majorBidi"/>
                <w:i/>
                <w:sz w:val="18"/>
                <w:szCs w:val="18"/>
              </w:rPr>
              <w:t xml:space="preserve">This survey is part of the </w:t>
            </w:r>
            <w:r w:rsidRPr="00361139">
              <w:rPr>
                <w:rFonts w:asciiTheme="majorBidi" w:hAnsiTheme="majorBidi" w:cstheme="majorBidi"/>
                <w:b/>
                <w:i/>
                <w:sz w:val="18"/>
                <w:szCs w:val="18"/>
              </w:rPr>
              <w:t>Second Review of the Financial Mechanism (FM) of the Minamata Convention (MC) on Mercury</w:t>
            </w:r>
            <w:r w:rsidRPr="00361139">
              <w:rPr>
                <w:rFonts w:asciiTheme="majorBidi" w:hAnsiTheme="majorBidi" w:cstheme="majorBidi"/>
                <w:i/>
                <w:sz w:val="18"/>
                <w:szCs w:val="18"/>
              </w:rPr>
              <w:t xml:space="preserve"> (requested by the Parties in their decision MC-4/7), and it is addressed to all the National Focal Points of the Convention and to the GEF Operational Focal Points of all countries eligible for some or all types of funding under the Convention Financial Mechanism. </w:t>
            </w:r>
          </w:p>
          <w:p w14:paraId="6A06F62C"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i/>
                <w:sz w:val="18"/>
                <w:szCs w:val="18"/>
              </w:rPr>
              <w:t>According to countries eligibility for funding through the MC Financial Mechanism, respondents will be asked different sets of questions. Sections 1, 4 and 5 are for all participants; Section 2 is for Parties to the Convention which are eligible for funding through the Specific International Programme (SIP); and Section 3 is for Parties and Signatory Countries which are eligible for funding through the Global Environment Facility (GEF) Trust Fund.</w:t>
            </w:r>
          </w:p>
        </w:tc>
      </w:tr>
      <w:tr w:rsidR="0037512A" w:rsidRPr="00361139" w14:paraId="2B10686E" w14:textId="77777777" w:rsidTr="008144F7">
        <w:trPr>
          <w:cantSplit/>
          <w:trHeight w:val="20"/>
        </w:trPr>
        <w:tc>
          <w:tcPr>
            <w:tcW w:w="3227" w:type="dxa"/>
            <w:vMerge w:val="restart"/>
            <w:shd w:val="clear" w:color="auto" w:fill="auto"/>
            <w:vAlign w:val="center"/>
            <w:hideMark/>
          </w:tcPr>
          <w:p w14:paraId="4661866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which </w:t>
            </w:r>
            <w:r w:rsidRPr="00361139">
              <w:rPr>
                <w:rFonts w:asciiTheme="majorBidi" w:hAnsiTheme="majorBidi" w:cstheme="majorBidi"/>
                <w:b/>
                <w:sz w:val="18"/>
                <w:szCs w:val="18"/>
              </w:rPr>
              <w:t>capacity</w:t>
            </w:r>
            <w:r w:rsidRPr="00361139">
              <w:rPr>
                <w:rFonts w:asciiTheme="majorBidi" w:hAnsiTheme="majorBidi" w:cstheme="majorBidi"/>
                <w:sz w:val="18"/>
                <w:szCs w:val="18"/>
              </w:rPr>
              <w:t xml:space="preserve"> are you participating in this </w:t>
            </w:r>
            <w:proofErr w:type="gramStart"/>
            <w:r w:rsidRPr="00361139">
              <w:rPr>
                <w:rFonts w:asciiTheme="majorBidi" w:hAnsiTheme="majorBidi" w:cstheme="majorBidi"/>
                <w:sz w:val="18"/>
                <w:szCs w:val="18"/>
              </w:rPr>
              <w:t>survey?*</w:t>
            </w:r>
            <w:proofErr w:type="gramEnd"/>
          </w:p>
        </w:tc>
        <w:tc>
          <w:tcPr>
            <w:tcW w:w="3118" w:type="dxa"/>
            <w:shd w:val="clear" w:color="auto" w:fill="auto"/>
            <w:vAlign w:val="center"/>
            <w:hideMark/>
          </w:tcPr>
          <w:p w14:paraId="266E530C" w14:textId="77777777" w:rsidR="0037512A" w:rsidRPr="00361139" w:rsidRDefault="0037512A" w:rsidP="008144F7">
            <w:pPr>
              <w:spacing w:before="120" w:after="120"/>
              <w:ind w:left="18" w:right="57"/>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174B239"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42</w:t>
            </w:r>
          </w:p>
        </w:tc>
        <w:tc>
          <w:tcPr>
            <w:tcW w:w="1418" w:type="dxa"/>
            <w:vAlign w:val="center"/>
          </w:tcPr>
          <w:p w14:paraId="24E61DC2"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7B191915" w14:textId="77777777" w:rsidTr="008144F7">
        <w:trPr>
          <w:cantSplit/>
          <w:trHeight w:val="20"/>
        </w:trPr>
        <w:tc>
          <w:tcPr>
            <w:tcW w:w="3227" w:type="dxa"/>
            <w:vMerge/>
            <w:shd w:val="clear" w:color="auto" w:fill="auto"/>
            <w:vAlign w:val="center"/>
            <w:hideMark/>
          </w:tcPr>
          <w:p w14:paraId="2F830C5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17D5147" w14:textId="77777777" w:rsidR="0037512A" w:rsidRPr="00361139" w:rsidRDefault="0037512A" w:rsidP="008144F7">
            <w:pPr>
              <w:tabs>
                <w:tab w:val="left" w:pos="1134"/>
              </w:tabs>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National Focal Point of the Minamata Convention</w:t>
            </w:r>
          </w:p>
        </w:tc>
        <w:tc>
          <w:tcPr>
            <w:tcW w:w="1417" w:type="dxa"/>
            <w:shd w:val="clear" w:color="auto" w:fill="auto"/>
            <w:vAlign w:val="center"/>
          </w:tcPr>
          <w:p w14:paraId="4FA3EB4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w:t>
            </w:r>
          </w:p>
        </w:tc>
        <w:tc>
          <w:tcPr>
            <w:tcW w:w="1418" w:type="dxa"/>
            <w:vAlign w:val="center"/>
          </w:tcPr>
          <w:p w14:paraId="5E86F95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86%</w:t>
            </w:r>
          </w:p>
        </w:tc>
      </w:tr>
      <w:tr w:rsidR="0037512A" w:rsidRPr="00361139" w14:paraId="61A3CF34" w14:textId="77777777" w:rsidTr="008144F7">
        <w:trPr>
          <w:cantSplit/>
          <w:trHeight w:val="20"/>
        </w:trPr>
        <w:tc>
          <w:tcPr>
            <w:tcW w:w="3227" w:type="dxa"/>
            <w:vMerge/>
            <w:shd w:val="clear" w:color="auto" w:fill="auto"/>
            <w:vAlign w:val="center"/>
            <w:hideMark/>
          </w:tcPr>
          <w:p w14:paraId="0CE4329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9759D5A" w14:textId="77777777" w:rsidR="0037512A" w:rsidRPr="00361139" w:rsidRDefault="0037512A" w:rsidP="008144F7">
            <w:pPr>
              <w:tabs>
                <w:tab w:val="left" w:pos="1134"/>
              </w:tabs>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GEF Operational Focal Point</w:t>
            </w:r>
          </w:p>
        </w:tc>
        <w:tc>
          <w:tcPr>
            <w:tcW w:w="1417" w:type="dxa"/>
            <w:shd w:val="clear" w:color="auto" w:fill="auto"/>
            <w:vAlign w:val="center"/>
          </w:tcPr>
          <w:p w14:paraId="20225F0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w:t>
            </w:r>
          </w:p>
        </w:tc>
        <w:tc>
          <w:tcPr>
            <w:tcW w:w="1418" w:type="dxa"/>
            <w:vAlign w:val="center"/>
          </w:tcPr>
          <w:p w14:paraId="61A3BD5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12%</w:t>
            </w:r>
          </w:p>
        </w:tc>
      </w:tr>
      <w:tr w:rsidR="0037512A" w:rsidRPr="00361139" w14:paraId="404F902F" w14:textId="77777777" w:rsidTr="008144F7">
        <w:trPr>
          <w:cantSplit/>
          <w:trHeight w:val="20"/>
        </w:trPr>
        <w:tc>
          <w:tcPr>
            <w:tcW w:w="3227" w:type="dxa"/>
            <w:vMerge/>
            <w:shd w:val="clear" w:color="auto" w:fill="auto"/>
            <w:vAlign w:val="center"/>
            <w:hideMark/>
          </w:tcPr>
          <w:p w14:paraId="6450EFD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00E88F7" w14:textId="77777777" w:rsidR="0037512A" w:rsidRPr="00361139" w:rsidRDefault="0037512A" w:rsidP="008144F7">
            <w:pPr>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 xml:space="preserve">Delegated by one of the above authorities </w:t>
            </w:r>
            <w:r w:rsidRPr="00361139">
              <w:rPr>
                <w:rFonts w:asciiTheme="majorBidi" w:hAnsiTheme="majorBidi" w:cstheme="majorBidi"/>
                <w:i/>
                <w:sz w:val="18"/>
                <w:szCs w:val="18"/>
              </w:rPr>
              <w:t>(please specify)</w:t>
            </w:r>
          </w:p>
        </w:tc>
        <w:tc>
          <w:tcPr>
            <w:tcW w:w="1417" w:type="dxa"/>
            <w:shd w:val="clear" w:color="auto" w:fill="auto"/>
            <w:vAlign w:val="center"/>
          </w:tcPr>
          <w:p w14:paraId="18A92E7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2D696B8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w:t>
            </w:r>
          </w:p>
        </w:tc>
      </w:tr>
      <w:tr w:rsidR="0037512A" w:rsidRPr="00361139" w14:paraId="786EE410" w14:textId="77777777" w:rsidTr="008144F7">
        <w:trPr>
          <w:cantSplit/>
          <w:trHeight w:val="20"/>
        </w:trPr>
        <w:tc>
          <w:tcPr>
            <w:tcW w:w="3227" w:type="dxa"/>
            <w:vMerge w:val="restart"/>
            <w:shd w:val="clear" w:color="auto" w:fill="auto"/>
            <w:vAlign w:val="center"/>
            <w:hideMark/>
          </w:tcPr>
          <w:p w14:paraId="475B290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Which </w:t>
            </w:r>
            <w:r w:rsidRPr="00361139">
              <w:rPr>
                <w:rFonts w:asciiTheme="majorBidi" w:hAnsiTheme="majorBidi" w:cstheme="majorBidi"/>
                <w:b/>
                <w:sz w:val="18"/>
                <w:szCs w:val="18"/>
              </w:rPr>
              <w:t>Country</w:t>
            </w:r>
            <w:r w:rsidRPr="00361139">
              <w:rPr>
                <w:rFonts w:asciiTheme="majorBidi" w:hAnsiTheme="majorBidi" w:cstheme="majorBidi"/>
                <w:sz w:val="18"/>
                <w:szCs w:val="18"/>
              </w:rPr>
              <w:t xml:space="preserve"> do you </w:t>
            </w:r>
            <w:proofErr w:type="gramStart"/>
            <w:r w:rsidRPr="00361139">
              <w:rPr>
                <w:rFonts w:asciiTheme="majorBidi" w:hAnsiTheme="majorBidi" w:cstheme="majorBidi"/>
                <w:sz w:val="18"/>
                <w:szCs w:val="18"/>
              </w:rPr>
              <w:t>represent?*</w:t>
            </w:r>
            <w:proofErr w:type="gramEnd"/>
          </w:p>
        </w:tc>
        <w:tc>
          <w:tcPr>
            <w:tcW w:w="3118" w:type="dxa"/>
            <w:shd w:val="clear" w:color="auto" w:fill="auto"/>
            <w:vAlign w:val="center"/>
            <w:hideMark/>
          </w:tcPr>
          <w:p w14:paraId="0F40BB3F" w14:textId="77777777" w:rsidR="0037512A" w:rsidRPr="00361139" w:rsidRDefault="0037512A" w:rsidP="008144F7">
            <w:pPr>
              <w:spacing w:before="120" w:after="120"/>
              <w:ind w:left="18" w:right="57"/>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15C15FC"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42</w:t>
            </w:r>
          </w:p>
        </w:tc>
        <w:tc>
          <w:tcPr>
            <w:tcW w:w="1418" w:type="dxa"/>
            <w:vAlign w:val="center"/>
          </w:tcPr>
          <w:p w14:paraId="04C443EF"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7A686B8B" w14:textId="77777777" w:rsidTr="008144F7">
        <w:trPr>
          <w:cantSplit/>
          <w:trHeight w:val="20"/>
        </w:trPr>
        <w:tc>
          <w:tcPr>
            <w:tcW w:w="3227" w:type="dxa"/>
            <w:vMerge/>
            <w:shd w:val="clear" w:color="auto" w:fill="auto"/>
            <w:vAlign w:val="center"/>
            <w:hideMark/>
          </w:tcPr>
          <w:p w14:paraId="51303B8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267FA9D" w14:textId="77777777" w:rsidR="0037512A" w:rsidRPr="00361139" w:rsidRDefault="0037512A" w:rsidP="008144F7">
            <w:pPr>
              <w:spacing w:before="120" w:after="120"/>
              <w:ind w:left="302" w:right="57"/>
              <w:rPr>
                <w:rFonts w:asciiTheme="majorBidi" w:hAnsiTheme="majorBidi" w:cstheme="majorBidi"/>
                <w:b/>
                <w:i/>
                <w:sz w:val="18"/>
                <w:szCs w:val="18"/>
              </w:rPr>
            </w:pPr>
            <w:r w:rsidRPr="00361139">
              <w:rPr>
                <w:rFonts w:asciiTheme="majorBidi" w:hAnsiTheme="majorBidi" w:cstheme="majorBidi"/>
                <w:i/>
                <w:sz w:val="18"/>
                <w:szCs w:val="18"/>
              </w:rPr>
              <w:t>Number of Countries</w:t>
            </w:r>
          </w:p>
        </w:tc>
        <w:tc>
          <w:tcPr>
            <w:tcW w:w="1417" w:type="dxa"/>
            <w:shd w:val="clear" w:color="auto" w:fill="auto"/>
            <w:vAlign w:val="center"/>
          </w:tcPr>
          <w:p w14:paraId="2A0633B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40</w:t>
            </w:r>
          </w:p>
        </w:tc>
        <w:tc>
          <w:tcPr>
            <w:tcW w:w="1418" w:type="dxa"/>
            <w:vAlign w:val="center"/>
          </w:tcPr>
          <w:p w14:paraId="4AFA2BA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100%</w:t>
            </w:r>
          </w:p>
        </w:tc>
      </w:tr>
      <w:tr w:rsidR="0037512A" w:rsidRPr="00361139" w14:paraId="431E4F24" w14:textId="77777777" w:rsidTr="008144F7">
        <w:trPr>
          <w:cantSplit/>
          <w:trHeight w:val="20"/>
        </w:trPr>
        <w:tc>
          <w:tcPr>
            <w:tcW w:w="3227" w:type="dxa"/>
            <w:vMerge/>
            <w:shd w:val="clear" w:color="auto" w:fill="auto"/>
            <w:vAlign w:val="center"/>
            <w:hideMark/>
          </w:tcPr>
          <w:p w14:paraId="12F2AC3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2C538B6" w14:textId="77777777" w:rsidR="0037512A" w:rsidRPr="00361139" w:rsidRDefault="0037512A" w:rsidP="008144F7">
            <w:pPr>
              <w:spacing w:before="120" w:after="120"/>
              <w:ind w:left="302" w:right="57"/>
              <w:rPr>
                <w:rFonts w:asciiTheme="majorBidi" w:hAnsiTheme="majorBidi" w:cstheme="majorBidi"/>
                <w:i/>
                <w:sz w:val="18"/>
                <w:szCs w:val="18"/>
              </w:rPr>
            </w:pPr>
            <w:r w:rsidRPr="00361139">
              <w:rPr>
                <w:rFonts w:asciiTheme="majorBidi" w:hAnsiTheme="majorBidi" w:cstheme="majorBidi"/>
                <w:i/>
                <w:sz w:val="18"/>
                <w:szCs w:val="18"/>
              </w:rPr>
              <w:t>Number of MC Parties</w:t>
            </w:r>
          </w:p>
        </w:tc>
        <w:tc>
          <w:tcPr>
            <w:tcW w:w="1417" w:type="dxa"/>
            <w:shd w:val="clear" w:color="auto" w:fill="auto"/>
            <w:vAlign w:val="center"/>
          </w:tcPr>
          <w:p w14:paraId="631D4E3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w:t>
            </w:r>
          </w:p>
        </w:tc>
        <w:tc>
          <w:tcPr>
            <w:tcW w:w="1418" w:type="dxa"/>
            <w:vAlign w:val="center"/>
          </w:tcPr>
          <w:p w14:paraId="764EABB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88%</w:t>
            </w:r>
          </w:p>
        </w:tc>
      </w:tr>
      <w:tr w:rsidR="0037512A" w:rsidRPr="00361139" w14:paraId="2F9448C4" w14:textId="77777777" w:rsidTr="008144F7">
        <w:trPr>
          <w:cantSplit/>
          <w:trHeight w:val="20"/>
        </w:trPr>
        <w:tc>
          <w:tcPr>
            <w:tcW w:w="3227" w:type="dxa"/>
            <w:vMerge/>
            <w:shd w:val="clear" w:color="auto" w:fill="auto"/>
            <w:vAlign w:val="center"/>
            <w:hideMark/>
          </w:tcPr>
          <w:p w14:paraId="7CCEF2D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A46147E" w14:textId="77777777" w:rsidR="0037512A" w:rsidRPr="00361139" w:rsidRDefault="0037512A" w:rsidP="008144F7">
            <w:pPr>
              <w:spacing w:before="120" w:after="120"/>
              <w:ind w:left="302" w:right="57"/>
              <w:rPr>
                <w:rFonts w:asciiTheme="majorBidi" w:hAnsiTheme="majorBidi" w:cstheme="majorBidi"/>
                <w:i/>
                <w:sz w:val="18"/>
                <w:szCs w:val="18"/>
              </w:rPr>
            </w:pPr>
            <w:r w:rsidRPr="00361139">
              <w:rPr>
                <w:rFonts w:asciiTheme="majorBidi" w:hAnsiTheme="majorBidi" w:cstheme="majorBidi"/>
                <w:i/>
                <w:sz w:val="18"/>
                <w:szCs w:val="18"/>
              </w:rPr>
              <w:t xml:space="preserve">Number of MC Signatory Countries </w:t>
            </w:r>
          </w:p>
        </w:tc>
        <w:tc>
          <w:tcPr>
            <w:tcW w:w="1417" w:type="dxa"/>
            <w:shd w:val="clear" w:color="auto" w:fill="auto"/>
            <w:vAlign w:val="center"/>
          </w:tcPr>
          <w:p w14:paraId="5D8CF43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w:t>
            </w:r>
          </w:p>
        </w:tc>
        <w:tc>
          <w:tcPr>
            <w:tcW w:w="1418" w:type="dxa"/>
            <w:vAlign w:val="center"/>
          </w:tcPr>
          <w:p w14:paraId="03820F5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12%</w:t>
            </w:r>
          </w:p>
        </w:tc>
      </w:tr>
      <w:tr w:rsidR="0037512A" w:rsidRPr="00361139" w14:paraId="6B93EBF8" w14:textId="77777777" w:rsidTr="008144F7">
        <w:trPr>
          <w:cantSplit/>
          <w:trHeight w:val="20"/>
        </w:trPr>
        <w:tc>
          <w:tcPr>
            <w:tcW w:w="3227" w:type="dxa"/>
            <w:vMerge w:val="restart"/>
            <w:shd w:val="clear" w:color="auto" w:fill="auto"/>
            <w:vAlign w:val="center"/>
            <w:hideMark/>
          </w:tcPr>
          <w:p w14:paraId="66B842D8"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Are you </w:t>
            </w:r>
            <w:r w:rsidRPr="00361139">
              <w:rPr>
                <w:rFonts w:asciiTheme="majorBidi" w:hAnsiTheme="majorBidi" w:cstheme="majorBidi"/>
                <w:b/>
                <w:sz w:val="18"/>
                <w:szCs w:val="18"/>
              </w:rPr>
              <w:t>familiar</w:t>
            </w:r>
            <w:r w:rsidRPr="00361139">
              <w:rPr>
                <w:rFonts w:asciiTheme="majorBidi" w:hAnsiTheme="majorBidi" w:cstheme="majorBidi"/>
                <w:sz w:val="18"/>
                <w:szCs w:val="18"/>
              </w:rPr>
              <w:t xml:space="preserve"> with the </w:t>
            </w:r>
            <w:r w:rsidRPr="00361139">
              <w:rPr>
                <w:rFonts w:asciiTheme="majorBidi" w:hAnsiTheme="majorBidi" w:cstheme="majorBidi"/>
                <w:b/>
                <w:sz w:val="18"/>
                <w:szCs w:val="18"/>
              </w:rPr>
              <w:t>Financial Mechanism</w:t>
            </w:r>
            <w:r w:rsidRPr="00361139">
              <w:rPr>
                <w:rFonts w:asciiTheme="majorBidi" w:hAnsiTheme="majorBidi" w:cstheme="majorBidi"/>
                <w:sz w:val="18"/>
                <w:szCs w:val="18"/>
              </w:rPr>
              <w:t>, as established by the Art. 13 of the Minamata Convention and further elaborated by COP decisions MC-1/5 and MC-1/</w:t>
            </w:r>
            <w:proofErr w:type="gramStart"/>
            <w:r w:rsidRPr="00361139">
              <w:rPr>
                <w:rFonts w:asciiTheme="majorBidi" w:hAnsiTheme="majorBidi" w:cstheme="majorBidi"/>
                <w:sz w:val="18"/>
                <w:szCs w:val="18"/>
              </w:rPr>
              <w:t>6?*</w:t>
            </w:r>
            <w:proofErr w:type="gramEnd"/>
          </w:p>
        </w:tc>
        <w:tc>
          <w:tcPr>
            <w:tcW w:w="3118" w:type="dxa"/>
            <w:shd w:val="clear" w:color="auto" w:fill="auto"/>
            <w:vAlign w:val="center"/>
            <w:hideMark/>
          </w:tcPr>
          <w:p w14:paraId="45E948C9" w14:textId="77777777" w:rsidR="0037512A" w:rsidRPr="00361139" w:rsidRDefault="0037512A" w:rsidP="008144F7">
            <w:pPr>
              <w:spacing w:before="120" w:after="120"/>
              <w:ind w:left="18" w:right="57"/>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219A2B93"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42</w:t>
            </w:r>
          </w:p>
        </w:tc>
        <w:tc>
          <w:tcPr>
            <w:tcW w:w="1418" w:type="dxa"/>
            <w:vAlign w:val="center"/>
          </w:tcPr>
          <w:p w14:paraId="3286771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46CC6B67" w14:textId="77777777" w:rsidTr="008144F7">
        <w:trPr>
          <w:cantSplit/>
          <w:trHeight w:val="20"/>
        </w:trPr>
        <w:tc>
          <w:tcPr>
            <w:tcW w:w="3227" w:type="dxa"/>
            <w:vMerge/>
            <w:shd w:val="clear" w:color="auto" w:fill="auto"/>
            <w:vAlign w:val="center"/>
            <w:hideMark/>
          </w:tcPr>
          <w:p w14:paraId="24D08CE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FB9F425" w14:textId="77777777" w:rsidR="0037512A" w:rsidRPr="00361139" w:rsidRDefault="0037512A" w:rsidP="008144F7">
            <w:pPr>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Yes</w:t>
            </w:r>
          </w:p>
        </w:tc>
        <w:tc>
          <w:tcPr>
            <w:tcW w:w="1417" w:type="dxa"/>
            <w:shd w:val="clear" w:color="auto" w:fill="auto"/>
            <w:vAlign w:val="center"/>
          </w:tcPr>
          <w:p w14:paraId="4BD8302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w:t>
            </w:r>
          </w:p>
        </w:tc>
        <w:tc>
          <w:tcPr>
            <w:tcW w:w="1418" w:type="dxa"/>
            <w:vAlign w:val="center"/>
          </w:tcPr>
          <w:p w14:paraId="3FBCBDD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79%</w:t>
            </w:r>
          </w:p>
        </w:tc>
      </w:tr>
      <w:tr w:rsidR="0037512A" w:rsidRPr="00361139" w14:paraId="0C7A1B96" w14:textId="77777777" w:rsidTr="008144F7">
        <w:trPr>
          <w:cantSplit/>
          <w:trHeight w:val="20"/>
        </w:trPr>
        <w:tc>
          <w:tcPr>
            <w:tcW w:w="3227" w:type="dxa"/>
            <w:vMerge/>
            <w:shd w:val="clear" w:color="auto" w:fill="auto"/>
            <w:vAlign w:val="center"/>
            <w:hideMark/>
          </w:tcPr>
          <w:p w14:paraId="2B41170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B1D1B64" w14:textId="77777777" w:rsidR="0037512A" w:rsidRPr="00361139" w:rsidRDefault="0037512A" w:rsidP="008144F7">
            <w:pPr>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26B0BFD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9</w:t>
            </w:r>
          </w:p>
        </w:tc>
        <w:tc>
          <w:tcPr>
            <w:tcW w:w="1418" w:type="dxa"/>
            <w:vAlign w:val="center"/>
          </w:tcPr>
          <w:p w14:paraId="65BC865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21%</w:t>
            </w:r>
          </w:p>
        </w:tc>
      </w:tr>
      <w:tr w:rsidR="0037512A" w:rsidRPr="00361139" w14:paraId="5EC737B6" w14:textId="77777777" w:rsidTr="008144F7">
        <w:trPr>
          <w:cantSplit/>
          <w:trHeight w:val="20"/>
        </w:trPr>
        <w:tc>
          <w:tcPr>
            <w:tcW w:w="3227" w:type="dxa"/>
            <w:vMerge/>
            <w:shd w:val="clear" w:color="auto" w:fill="auto"/>
            <w:vAlign w:val="center"/>
            <w:hideMark/>
          </w:tcPr>
          <w:p w14:paraId="4380FF8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6D7435E" w14:textId="77777777" w:rsidR="0037512A" w:rsidRPr="00361139" w:rsidRDefault="0037512A" w:rsidP="008144F7">
            <w:pPr>
              <w:spacing w:before="120" w:after="120"/>
              <w:ind w:left="302" w:right="57"/>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B4053E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7DDE9356" w14:textId="77777777" w:rsidR="0037512A" w:rsidRPr="00361139" w:rsidRDefault="0037512A" w:rsidP="008144F7">
            <w:pPr>
              <w:spacing w:before="120" w:after="120"/>
              <w:ind w:left="57" w:right="57"/>
              <w:jc w:val="right"/>
              <w:rPr>
                <w:rFonts w:asciiTheme="majorBidi" w:hAnsiTheme="majorBidi" w:cstheme="majorBidi"/>
                <w:i/>
                <w:sz w:val="18"/>
                <w:szCs w:val="18"/>
              </w:rPr>
            </w:pPr>
          </w:p>
        </w:tc>
      </w:tr>
      <w:tr w:rsidR="0037512A" w:rsidRPr="00361139" w14:paraId="7691A195" w14:textId="77777777" w:rsidTr="008144F7">
        <w:trPr>
          <w:cantSplit/>
          <w:trHeight w:val="20"/>
        </w:trPr>
        <w:tc>
          <w:tcPr>
            <w:tcW w:w="9180" w:type="dxa"/>
            <w:gridSpan w:val="4"/>
            <w:shd w:val="clear" w:color="auto" w:fill="B6DDE8"/>
            <w:vAlign w:val="center"/>
            <w:hideMark/>
          </w:tcPr>
          <w:p w14:paraId="1BB1297F"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Note on survey logic:</w:t>
            </w:r>
            <w:r w:rsidRPr="00361139">
              <w:rPr>
                <w:rFonts w:asciiTheme="majorBidi" w:hAnsiTheme="majorBidi" w:cstheme="majorBidi"/>
                <w:i/>
                <w:sz w:val="18"/>
                <w:szCs w:val="18"/>
              </w:rPr>
              <w:t xml:space="preserve"> from this point onward, depending from the COUNTRY indicated in Q2, respondents were sorted into three different sections according to the entities (GEF and/or SIP) of the Financial Mechanism (FM) for which they are (or not) eligible for receiving funding: Group 1 (Developing countries Parties and CET Parties, eligible for GEF and SIP funding under the FM) were asked questions about both GEF and SIP (sections 2 and 3); Group 2 (Developing or CET signatories countries but not Parties yet, eligible, under the FM, for GEF enabling activity support only) were asked questions just about GEF (section 3); and Group 3 (Non-developing country Parties, not eligible for FM support) were asked, together with groups 1 and 2, general questions about the Financial Mechanism (section 4). </w:t>
            </w:r>
          </w:p>
        </w:tc>
      </w:tr>
      <w:tr w:rsidR="0037512A" w:rsidRPr="00361139" w14:paraId="6368F3B6" w14:textId="77777777" w:rsidTr="008144F7">
        <w:trPr>
          <w:cantSplit/>
          <w:trHeight w:val="20"/>
        </w:trPr>
        <w:tc>
          <w:tcPr>
            <w:tcW w:w="9180" w:type="dxa"/>
            <w:gridSpan w:val="4"/>
            <w:tcBorders>
              <w:bottom w:val="single" w:sz="4" w:space="0" w:color="auto"/>
            </w:tcBorders>
            <w:shd w:val="clear" w:color="auto" w:fill="auto"/>
            <w:vAlign w:val="center"/>
            <w:hideMark/>
          </w:tcPr>
          <w:p w14:paraId="4BF0D706" w14:textId="77777777" w:rsidR="0037512A" w:rsidRPr="00361139" w:rsidRDefault="0037512A" w:rsidP="008144F7">
            <w:pPr>
              <w:spacing w:before="120" w:after="120"/>
              <w:rPr>
                <w:rFonts w:asciiTheme="majorBidi" w:hAnsiTheme="majorBidi" w:cstheme="majorBidi"/>
                <w:b/>
                <w:i/>
                <w:sz w:val="18"/>
                <w:szCs w:val="18"/>
              </w:rPr>
            </w:pPr>
            <w:r w:rsidRPr="00361139">
              <w:rPr>
                <w:rFonts w:asciiTheme="majorBidi" w:hAnsiTheme="majorBidi" w:cstheme="majorBidi"/>
                <w:b/>
                <w:i/>
                <w:sz w:val="18"/>
                <w:szCs w:val="18"/>
              </w:rPr>
              <w:t xml:space="preserve">Section 2(a) –Parties eligible for funding from the Specific International Programme (SIP) </w:t>
            </w:r>
          </w:p>
          <w:p w14:paraId="7175F1CB" w14:textId="77777777" w:rsidR="0037512A" w:rsidRPr="00361139" w:rsidRDefault="0037512A" w:rsidP="008144F7">
            <w:pPr>
              <w:spacing w:before="120" w:after="120"/>
              <w:rPr>
                <w:rFonts w:asciiTheme="majorBidi" w:hAnsiTheme="majorBidi" w:cstheme="majorBidi"/>
                <w:bCs/>
                <w:i/>
                <w:iCs/>
                <w:sz w:val="18"/>
                <w:szCs w:val="18"/>
              </w:rPr>
            </w:pPr>
            <w:r w:rsidRPr="00361139">
              <w:rPr>
                <w:rFonts w:asciiTheme="majorBidi" w:hAnsiTheme="majorBidi" w:cstheme="majorBidi"/>
                <w:bCs/>
                <w:i/>
                <w:iCs/>
                <w:sz w:val="18"/>
                <w:szCs w:val="18"/>
              </w:rPr>
              <w:t xml:space="preserve">The Minamata Convention (MC) sets up, in its Art. 13, a Financial Mechanism to support developing country Parties and Parties with economies in transition in implementing their obligations under the Convention. Accordingly, the Mechanism includes: (a) the Global Environment Facility Trust Fund; and (b) a Specific International Programme to support capacity-building and technical assistance. </w:t>
            </w:r>
          </w:p>
          <w:p w14:paraId="54C9F92C" w14:textId="77777777" w:rsidR="0037512A" w:rsidRPr="00361139" w:rsidRDefault="0037512A" w:rsidP="008144F7">
            <w:pPr>
              <w:spacing w:before="120" w:after="120"/>
              <w:rPr>
                <w:rFonts w:asciiTheme="majorBidi" w:hAnsiTheme="majorBidi" w:cstheme="majorBidi"/>
                <w:bCs/>
                <w:i/>
                <w:sz w:val="18"/>
                <w:szCs w:val="18"/>
              </w:rPr>
            </w:pPr>
            <w:r w:rsidRPr="00361139">
              <w:rPr>
                <w:rStyle w:val="Strong"/>
                <w:rFonts w:asciiTheme="majorBidi" w:hAnsiTheme="majorBidi" w:cstheme="majorBidi"/>
                <w:i/>
                <w:iCs/>
                <w:sz w:val="18"/>
                <w:szCs w:val="18"/>
              </w:rPr>
              <w:t>This section refers to the possibility for your country to apply for funding to the Specific International Programme (SIP)</w:t>
            </w:r>
            <w:r w:rsidRPr="00361139">
              <w:rPr>
                <w:rStyle w:val="Strong"/>
                <w:rFonts w:asciiTheme="majorBidi" w:hAnsiTheme="majorBidi" w:cstheme="majorBidi"/>
                <w:i/>
                <w:sz w:val="18"/>
                <w:szCs w:val="18"/>
              </w:rPr>
              <w:t xml:space="preserve"> through the Financial Mechanism of the Minamata Convention</w:t>
            </w:r>
          </w:p>
        </w:tc>
      </w:tr>
      <w:tr w:rsidR="0037512A" w:rsidRPr="00361139" w14:paraId="0A1B8E42" w14:textId="77777777" w:rsidTr="008144F7">
        <w:trPr>
          <w:cantSplit/>
          <w:trHeight w:val="20"/>
        </w:trPr>
        <w:tc>
          <w:tcPr>
            <w:tcW w:w="3227" w:type="dxa"/>
            <w:vMerge w:val="restart"/>
            <w:tcBorders>
              <w:left w:val="single" w:sz="4" w:space="0" w:color="auto"/>
            </w:tcBorders>
            <w:shd w:val="clear" w:color="auto" w:fill="auto"/>
            <w:vAlign w:val="center"/>
            <w:hideMark/>
          </w:tcPr>
          <w:p w14:paraId="4C5A6814"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Has your country ever </w:t>
            </w:r>
            <w:r w:rsidRPr="00361139">
              <w:rPr>
                <w:rStyle w:val="Strong"/>
                <w:rFonts w:asciiTheme="majorBidi" w:hAnsiTheme="majorBidi" w:cstheme="majorBidi"/>
                <w:iCs/>
                <w:sz w:val="18"/>
                <w:szCs w:val="18"/>
              </w:rPr>
              <w:t xml:space="preserve">requested </w:t>
            </w:r>
            <w:r w:rsidRPr="00361139">
              <w:rPr>
                <w:rFonts w:asciiTheme="majorBidi" w:hAnsiTheme="majorBidi" w:cstheme="majorBidi"/>
                <w:b/>
                <w:sz w:val="18"/>
                <w:szCs w:val="18"/>
              </w:rPr>
              <w:t>financial support from the</w:t>
            </w:r>
            <w:r w:rsidRPr="00361139">
              <w:rPr>
                <w:rStyle w:val="Strong"/>
                <w:rFonts w:asciiTheme="majorBidi" w:hAnsiTheme="majorBidi" w:cstheme="majorBidi"/>
                <w:iCs/>
                <w:sz w:val="18"/>
                <w:szCs w:val="18"/>
              </w:rPr>
              <w:t xml:space="preserve"> Specific International Programme (SIP)</w:t>
            </w:r>
            <w:r w:rsidRPr="00361139">
              <w:rPr>
                <w:rFonts w:asciiTheme="majorBidi" w:hAnsiTheme="majorBidi" w:cstheme="majorBidi"/>
                <w:sz w:val="18"/>
                <w:szCs w:val="18"/>
              </w:rPr>
              <w:t xml:space="preserve">, through the Financial Mechanism, for the implementation of the Minamata Convention? </w:t>
            </w:r>
            <w:r w:rsidRPr="00361139">
              <w:rPr>
                <w:rFonts w:asciiTheme="majorBidi" w:hAnsiTheme="majorBidi" w:cstheme="majorBidi"/>
                <w:i/>
                <w:sz w:val="18"/>
                <w:szCs w:val="18"/>
              </w:rPr>
              <w:t>(</w:t>
            </w:r>
            <w:proofErr w:type="gramStart"/>
            <w:r w:rsidRPr="00361139">
              <w:rPr>
                <w:rFonts w:asciiTheme="majorBidi" w:hAnsiTheme="majorBidi" w:cstheme="majorBidi"/>
                <w:i/>
                <w:sz w:val="18"/>
                <w:szCs w:val="18"/>
              </w:rPr>
              <w:t>please</w:t>
            </w:r>
            <w:proofErr w:type="gramEnd"/>
            <w:r w:rsidRPr="00361139">
              <w:rPr>
                <w:rFonts w:asciiTheme="majorBidi" w:hAnsiTheme="majorBidi" w:cstheme="majorBidi"/>
                <w:i/>
                <w:sz w:val="18"/>
                <w:szCs w:val="18"/>
              </w:rPr>
              <w:t xml:space="preserve"> check all sentences that are true)</w:t>
            </w:r>
            <w:r w:rsidRPr="00361139">
              <w:rPr>
                <w:rFonts w:asciiTheme="majorBidi" w:hAnsiTheme="majorBidi" w:cstheme="majorBidi"/>
                <w:sz w:val="18"/>
                <w:szCs w:val="18"/>
              </w:rPr>
              <w:t xml:space="preserve"> *</w:t>
            </w:r>
          </w:p>
        </w:tc>
        <w:tc>
          <w:tcPr>
            <w:tcW w:w="3118" w:type="dxa"/>
            <w:shd w:val="clear" w:color="auto" w:fill="auto"/>
            <w:vAlign w:val="center"/>
            <w:hideMark/>
          </w:tcPr>
          <w:p w14:paraId="4357B4BC" w14:textId="77777777" w:rsidR="0037512A" w:rsidRPr="00361139" w:rsidRDefault="0037512A" w:rsidP="008144F7">
            <w:pPr>
              <w:spacing w:before="120" w:after="120"/>
              <w:ind w:left="18" w:right="57"/>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16BD789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32</w:t>
            </w:r>
          </w:p>
        </w:tc>
        <w:tc>
          <w:tcPr>
            <w:tcW w:w="1418" w:type="dxa"/>
            <w:tcBorders>
              <w:right w:val="nil"/>
            </w:tcBorders>
            <w:vAlign w:val="center"/>
          </w:tcPr>
          <w:p w14:paraId="7DC8596C"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7BCDBC2C" w14:textId="77777777" w:rsidTr="008144F7">
        <w:trPr>
          <w:cantSplit/>
          <w:trHeight w:val="20"/>
        </w:trPr>
        <w:tc>
          <w:tcPr>
            <w:tcW w:w="3227" w:type="dxa"/>
            <w:vMerge/>
            <w:shd w:val="clear" w:color="auto" w:fill="auto"/>
            <w:vAlign w:val="center"/>
            <w:hideMark/>
          </w:tcPr>
          <w:p w14:paraId="5E2D1D9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3D4283C"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sz w:val="18"/>
                <w:szCs w:val="18"/>
              </w:rPr>
            </w:pPr>
            <w:r w:rsidRPr="00361139">
              <w:rPr>
                <w:rFonts w:asciiTheme="majorBidi" w:hAnsiTheme="majorBidi" w:cstheme="majorBidi"/>
                <w:sz w:val="18"/>
                <w:szCs w:val="18"/>
              </w:rPr>
              <w:t>Yes, we requested funds in SIP first round (2018)</w:t>
            </w:r>
          </w:p>
        </w:tc>
        <w:tc>
          <w:tcPr>
            <w:tcW w:w="1417" w:type="dxa"/>
            <w:shd w:val="clear" w:color="auto" w:fill="auto"/>
            <w:vAlign w:val="center"/>
          </w:tcPr>
          <w:p w14:paraId="7D18302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8</w:t>
            </w:r>
          </w:p>
        </w:tc>
        <w:tc>
          <w:tcPr>
            <w:tcW w:w="1418" w:type="dxa"/>
            <w:vAlign w:val="center"/>
          </w:tcPr>
          <w:p w14:paraId="23FB53E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30B9B1F0" w14:textId="77777777" w:rsidTr="008144F7">
        <w:trPr>
          <w:cantSplit/>
          <w:trHeight w:val="20"/>
        </w:trPr>
        <w:tc>
          <w:tcPr>
            <w:tcW w:w="3227" w:type="dxa"/>
            <w:vMerge/>
            <w:shd w:val="clear" w:color="auto" w:fill="auto"/>
            <w:vAlign w:val="center"/>
            <w:hideMark/>
          </w:tcPr>
          <w:p w14:paraId="1EB8D13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33F97FB"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b/>
                <w:i/>
                <w:sz w:val="18"/>
                <w:szCs w:val="18"/>
              </w:rPr>
            </w:pPr>
            <w:r w:rsidRPr="00361139">
              <w:rPr>
                <w:rFonts w:asciiTheme="majorBidi" w:hAnsiTheme="majorBidi" w:cstheme="majorBidi"/>
                <w:sz w:val="18"/>
                <w:szCs w:val="18"/>
              </w:rPr>
              <w:t>Yes, we requested funds in SIP second round (2019)</w:t>
            </w:r>
          </w:p>
        </w:tc>
        <w:tc>
          <w:tcPr>
            <w:tcW w:w="1417" w:type="dxa"/>
            <w:shd w:val="clear" w:color="auto" w:fill="auto"/>
            <w:vAlign w:val="center"/>
          </w:tcPr>
          <w:p w14:paraId="29B63FF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4FC0C1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w:t>
            </w:r>
          </w:p>
        </w:tc>
      </w:tr>
      <w:tr w:rsidR="0037512A" w:rsidRPr="00361139" w14:paraId="5872F76E" w14:textId="77777777" w:rsidTr="008144F7">
        <w:trPr>
          <w:cantSplit/>
          <w:trHeight w:val="20"/>
        </w:trPr>
        <w:tc>
          <w:tcPr>
            <w:tcW w:w="3227" w:type="dxa"/>
            <w:vMerge/>
            <w:shd w:val="clear" w:color="auto" w:fill="auto"/>
            <w:vAlign w:val="center"/>
            <w:hideMark/>
          </w:tcPr>
          <w:p w14:paraId="5EEC04D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F82EFAC"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b/>
                <w:i/>
                <w:sz w:val="18"/>
                <w:szCs w:val="18"/>
              </w:rPr>
            </w:pPr>
            <w:r w:rsidRPr="00361139">
              <w:rPr>
                <w:rFonts w:asciiTheme="majorBidi" w:hAnsiTheme="majorBidi" w:cstheme="majorBidi"/>
                <w:sz w:val="18"/>
                <w:szCs w:val="18"/>
              </w:rPr>
              <w:t>Yes, we requested funds in SIP third round (2020-21)</w:t>
            </w:r>
          </w:p>
        </w:tc>
        <w:tc>
          <w:tcPr>
            <w:tcW w:w="1417" w:type="dxa"/>
            <w:shd w:val="clear" w:color="auto" w:fill="auto"/>
            <w:vAlign w:val="center"/>
          </w:tcPr>
          <w:p w14:paraId="7D31501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11</w:t>
            </w:r>
          </w:p>
        </w:tc>
        <w:tc>
          <w:tcPr>
            <w:tcW w:w="1418" w:type="dxa"/>
            <w:vAlign w:val="center"/>
          </w:tcPr>
          <w:p w14:paraId="67DB059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34%</w:t>
            </w:r>
          </w:p>
        </w:tc>
      </w:tr>
      <w:tr w:rsidR="0037512A" w:rsidRPr="00361139" w14:paraId="074DC65C" w14:textId="77777777" w:rsidTr="008144F7">
        <w:trPr>
          <w:cantSplit/>
          <w:trHeight w:val="20"/>
        </w:trPr>
        <w:tc>
          <w:tcPr>
            <w:tcW w:w="3227" w:type="dxa"/>
            <w:vMerge/>
            <w:shd w:val="clear" w:color="auto" w:fill="auto"/>
            <w:vAlign w:val="center"/>
            <w:hideMark/>
          </w:tcPr>
          <w:p w14:paraId="4D8B14E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BAE7307"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b/>
                <w:i/>
                <w:sz w:val="18"/>
                <w:szCs w:val="18"/>
              </w:rPr>
            </w:pPr>
            <w:r w:rsidRPr="00361139">
              <w:rPr>
                <w:rFonts w:asciiTheme="majorBidi" w:hAnsiTheme="majorBidi" w:cstheme="majorBidi"/>
                <w:sz w:val="18"/>
                <w:szCs w:val="18"/>
              </w:rPr>
              <w:t>No, we never requested funds to SIP.</w:t>
            </w:r>
          </w:p>
        </w:tc>
        <w:tc>
          <w:tcPr>
            <w:tcW w:w="1417" w:type="dxa"/>
            <w:shd w:val="clear" w:color="auto" w:fill="auto"/>
            <w:vAlign w:val="center"/>
          </w:tcPr>
          <w:p w14:paraId="1E7FD6D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w:t>
            </w:r>
          </w:p>
        </w:tc>
        <w:tc>
          <w:tcPr>
            <w:tcW w:w="1418" w:type="dxa"/>
            <w:vAlign w:val="center"/>
          </w:tcPr>
          <w:p w14:paraId="2960F2C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38%</w:t>
            </w:r>
          </w:p>
        </w:tc>
      </w:tr>
      <w:tr w:rsidR="0037512A" w:rsidRPr="00361139" w14:paraId="48C72F12" w14:textId="77777777" w:rsidTr="008144F7">
        <w:trPr>
          <w:cantSplit/>
          <w:trHeight w:val="20"/>
        </w:trPr>
        <w:tc>
          <w:tcPr>
            <w:tcW w:w="3227" w:type="dxa"/>
            <w:vMerge/>
            <w:shd w:val="clear" w:color="auto" w:fill="auto"/>
            <w:vAlign w:val="center"/>
            <w:hideMark/>
          </w:tcPr>
          <w:p w14:paraId="4DBF6EA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40484C3"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C65F7F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9 comments</w:t>
            </w:r>
          </w:p>
        </w:tc>
        <w:tc>
          <w:tcPr>
            <w:tcW w:w="1418" w:type="dxa"/>
            <w:vAlign w:val="center"/>
          </w:tcPr>
          <w:p w14:paraId="6EE7AC3A" w14:textId="77777777" w:rsidR="0037512A" w:rsidRPr="00361139" w:rsidRDefault="0037512A" w:rsidP="008144F7">
            <w:pPr>
              <w:spacing w:before="120" w:after="120"/>
              <w:ind w:left="57" w:right="57"/>
              <w:jc w:val="right"/>
              <w:rPr>
                <w:rFonts w:asciiTheme="majorBidi" w:hAnsiTheme="majorBidi" w:cstheme="majorBidi"/>
                <w:i/>
                <w:sz w:val="18"/>
                <w:szCs w:val="18"/>
              </w:rPr>
            </w:pPr>
          </w:p>
        </w:tc>
      </w:tr>
      <w:tr w:rsidR="0037512A" w:rsidRPr="00361139" w14:paraId="5ECB7AEF" w14:textId="77777777" w:rsidTr="008144F7">
        <w:trPr>
          <w:cantSplit/>
          <w:trHeight w:val="20"/>
        </w:trPr>
        <w:tc>
          <w:tcPr>
            <w:tcW w:w="3227" w:type="dxa"/>
            <w:vMerge w:val="restart"/>
            <w:shd w:val="clear" w:color="auto" w:fill="auto"/>
            <w:vAlign w:val="center"/>
            <w:hideMark/>
          </w:tcPr>
          <w:p w14:paraId="1C65A513"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Is your country </w:t>
            </w:r>
            <w:r w:rsidRPr="00361139">
              <w:rPr>
                <w:rFonts w:asciiTheme="majorBidi" w:hAnsiTheme="majorBidi" w:cstheme="majorBidi"/>
                <w:b/>
                <w:sz w:val="18"/>
                <w:szCs w:val="18"/>
              </w:rPr>
              <w:t>currently planning</w:t>
            </w:r>
            <w:r w:rsidRPr="00361139">
              <w:rPr>
                <w:rFonts w:asciiTheme="majorBidi" w:hAnsiTheme="majorBidi" w:cstheme="majorBidi"/>
                <w:sz w:val="18"/>
                <w:szCs w:val="18"/>
              </w:rPr>
              <w:t xml:space="preserve"> on requesting (additional) funds to the </w:t>
            </w:r>
            <w:r w:rsidRPr="00361139">
              <w:rPr>
                <w:rFonts w:asciiTheme="majorBidi" w:hAnsiTheme="majorBidi" w:cstheme="majorBidi"/>
                <w:b/>
                <w:sz w:val="18"/>
                <w:szCs w:val="18"/>
              </w:rPr>
              <w:t>Specific International Programme (SIP</w:t>
            </w:r>
            <w:proofErr w:type="gramStart"/>
            <w:r w:rsidRPr="00361139">
              <w:rPr>
                <w:rFonts w:asciiTheme="majorBidi" w:hAnsiTheme="majorBidi" w:cstheme="majorBidi"/>
                <w:b/>
                <w:sz w:val="18"/>
                <w:szCs w:val="18"/>
              </w:rPr>
              <w:t>)</w:t>
            </w:r>
            <w:r w:rsidRPr="00361139">
              <w:rPr>
                <w:rFonts w:asciiTheme="majorBidi" w:hAnsiTheme="majorBidi" w:cstheme="majorBidi"/>
                <w:sz w:val="18"/>
                <w:szCs w:val="18"/>
              </w:rPr>
              <w:t>?*</w:t>
            </w:r>
            <w:proofErr w:type="gramEnd"/>
          </w:p>
        </w:tc>
        <w:tc>
          <w:tcPr>
            <w:tcW w:w="3118" w:type="dxa"/>
            <w:shd w:val="clear" w:color="auto" w:fill="auto"/>
            <w:vAlign w:val="center"/>
            <w:hideMark/>
          </w:tcPr>
          <w:p w14:paraId="027A9416" w14:textId="77777777" w:rsidR="0037512A" w:rsidRPr="00361139" w:rsidRDefault="0037512A" w:rsidP="008144F7">
            <w:pPr>
              <w:spacing w:before="120" w:after="120"/>
              <w:ind w:left="18" w:right="57"/>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38FBCB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32</w:t>
            </w:r>
          </w:p>
        </w:tc>
        <w:tc>
          <w:tcPr>
            <w:tcW w:w="1418" w:type="dxa"/>
            <w:vAlign w:val="center"/>
          </w:tcPr>
          <w:p w14:paraId="2C47EFE9"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552CAF73" w14:textId="77777777" w:rsidTr="008144F7">
        <w:trPr>
          <w:cantSplit/>
          <w:trHeight w:val="20"/>
        </w:trPr>
        <w:tc>
          <w:tcPr>
            <w:tcW w:w="3227" w:type="dxa"/>
            <w:vMerge/>
            <w:shd w:val="clear" w:color="auto" w:fill="auto"/>
            <w:vAlign w:val="center"/>
            <w:hideMark/>
          </w:tcPr>
          <w:p w14:paraId="3F3812F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53D70E3" w14:textId="77777777" w:rsidR="0037512A" w:rsidRPr="00361139" w:rsidRDefault="0037512A" w:rsidP="008144F7">
            <w:pPr>
              <w:spacing w:before="120" w:after="120"/>
              <w:ind w:left="318" w:right="57" w:hanging="16"/>
              <w:rPr>
                <w:rFonts w:asciiTheme="majorBidi" w:hAnsiTheme="majorBidi" w:cstheme="majorBidi"/>
                <w:sz w:val="18"/>
                <w:szCs w:val="18"/>
              </w:rPr>
            </w:pPr>
            <w:r w:rsidRPr="00361139">
              <w:rPr>
                <w:rFonts w:asciiTheme="majorBidi" w:hAnsiTheme="majorBidi" w:cstheme="majorBidi"/>
                <w:sz w:val="18"/>
                <w:szCs w:val="18"/>
              </w:rPr>
              <w:t xml:space="preserve">Yes </w:t>
            </w:r>
          </w:p>
        </w:tc>
        <w:tc>
          <w:tcPr>
            <w:tcW w:w="1417" w:type="dxa"/>
            <w:shd w:val="clear" w:color="auto" w:fill="auto"/>
            <w:vAlign w:val="center"/>
          </w:tcPr>
          <w:p w14:paraId="0120B3C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16</w:t>
            </w:r>
          </w:p>
        </w:tc>
        <w:tc>
          <w:tcPr>
            <w:tcW w:w="1418" w:type="dxa"/>
            <w:vAlign w:val="center"/>
          </w:tcPr>
          <w:p w14:paraId="5E9D575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52%</w:t>
            </w:r>
          </w:p>
        </w:tc>
      </w:tr>
      <w:tr w:rsidR="0037512A" w:rsidRPr="00361139" w14:paraId="334460D0" w14:textId="77777777" w:rsidTr="008144F7">
        <w:trPr>
          <w:cantSplit/>
          <w:trHeight w:val="20"/>
        </w:trPr>
        <w:tc>
          <w:tcPr>
            <w:tcW w:w="3227" w:type="dxa"/>
            <w:vMerge/>
            <w:shd w:val="clear" w:color="auto" w:fill="auto"/>
            <w:vAlign w:val="center"/>
            <w:hideMark/>
          </w:tcPr>
          <w:p w14:paraId="2E53A3F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9C64F16" w14:textId="77777777" w:rsidR="0037512A" w:rsidRPr="00361139" w:rsidRDefault="0037512A" w:rsidP="008144F7">
            <w:pPr>
              <w:spacing w:before="120" w:after="120"/>
              <w:ind w:left="318" w:right="57" w:hanging="16"/>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27D4F1B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15</w:t>
            </w:r>
          </w:p>
        </w:tc>
        <w:tc>
          <w:tcPr>
            <w:tcW w:w="1418" w:type="dxa"/>
            <w:vAlign w:val="center"/>
          </w:tcPr>
          <w:p w14:paraId="2F498A1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48%</w:t>
            </w:r>
          </w:p>
        </w:tc>
      </w:tr>
      <w:tr w:rsidR="0037512A" w:rsidRPr="00361139" w14:paraId="2D23F45A" w14:textId="77777777" w:rsidTr="008144F7">
        <w:trPr>
          <w:cantSplit/>
          <w:trHeight w:val="20"/>
        </w:trPr>
        <w:tc>
          <w:tcPr>
            <w:tcW w:w="3227" w:type="dxa"/>
            <w:vMerge/>
            <w:shd w:val="clear" w:color="auto" w:fill="auto"/>
            <w:vAlign w:val="center"/>
            <w:hideMark/>
          </w:tcPr>
          <w:p w14:paraId="6142E31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E0E5619" w14:textId="77777777" w:rsidR="0037512A" w:rsidRPr="00361139" w:rsidRDefault="0037512A" w:rsidP="008144F7">
            <w:pPr>
              <w:spacing w:before="120" w:after="120"/>
              <w:ind w:left="318" w:right="57" w:hanging="16"/>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6709E32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8 comments</w:t>
            </w:r>
          </w:p>
        </w:tc>
        <w:tc>
          <w:tcPr>
            <w:tcW w:w="1418" w:type="dxa"/>
            <w:vAlign w:val="center"/>
          </w:tcPr>
          <w:p w14:paraId="015B7855"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60BEE604" w14:textId="77777777" w:rsidTr="008144F7">
        <w:trPr>
          <w:cantSplit/>
          <w:trHeight w:val="20"/>
        </w:trPr>
        <w:tc>
          <w:tcPr>
            <w:tcW w:w="9180" w:type="dxa"/>
            <w:gridSpan w:val="4"/>
            <w:tcBorders>
              <w:bottom w:val="single" w:sz="4" w:space="0" w:color="auto"/>
            </w:tcBorders>
            <w:shd w:val="clear" w:color="auto" w:fill="B6DDE8"/>
            <w:vAlign w:val="center"/>
            <w:hideMark/>
          </w:tcPr>
          <w:p w14:paraId="5761DF43"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from this point onward, depending from the answer to Q4, respondents in the current section were moved to Section 2(b) (those checking any “Yes” answer), or Section 3a (the “No” answer).</w:t>
            </w:r>
          </w:p>
        </w:tc>
      </w:tr>
      <w:tr w:rsidR="0037512A" w:rsidRPr="00361139" w14:paraId="672B9F69" w14:textId="77777777" w:rsidTr="008144F7">
        <w:trPr>
          <w:cantSplit/>
          <w:trHeight w:val="20"/>
        </w:trPr>
        <w:tc>
          <w:tcPr>
            <w:tcW w:w="9180" w:type="dxa"/>
            <w:gridSpan w:val="4"/>
            <w:tcBorders>
              <w:top w:val="nil"/>
            </w:tcBorders>
            <w:shd w:val="clear" w:color="auto" w:fill="auto"/>
            <w:vAlign w:val="center"/>
            <w:hideMark/>
          </w:tcPr>
          <w:p w14:paraId="168B135A" w14:textId="77777777" w:rsidR="0037512A" w:rsidRPr="00361139" w:rsidRDefault="0037512A" w:rsidP="008144F7">
            <w:pPr>
              <w:spacing w:before="120" w:after="120"/>
              <w:rPr>
                <w:rFonts w:asciiTheme="majorBidi" w:hAnsiTheme="majorBidi" w:cstheme="majorBidi"/>
                <w:b/>
                <w:i/>
                <w:sz w:val="18"/>
                <w:szCs w:val="18"/>
              </w:rPr>
            </w:pPr>
            <w:r w:rsidRPr="00361139">
              <w:rPr>
                <w:rFonts w:asciiTheme="majorBidi" w:hAnsiTheme="majorBidi" w:cstheme="majorBidi"/>
                <w:b/>
                <w:i/>
                <w:sz w:val="18"/>
                <w:szCs w:val="18"/>
              </w:rPr>
              <w:t>Section 2(b) – Parties having requested funding from the Specific International Programme (SIP)</w:t>
            </w:r>
          </w:p>
          <w:p w14:paraId="70722CBF" w14:textId="77777777" w:rsidR="0037512A" w:rsidRPr="00361139" w:rsidRDefault="0037512A" w:rsidP="008144F7">
            <w:pPr>
              <w:spacing w:before="120" w:after="120"/>
              <w:rPr>
                <w:rFonts w:asciiTheme="majorBidi" w:hAnsiTheme="majorBidi" w:cstheme="majorBidi"/>
                <w:b/>
                <w:i/>
                <w:sz w:val="18"/>
                <w:szCs w:val="18"/>
              </w:rPr>
            </w:pPr>
            <w:r w:rsidRPr="00361139">
              <w:rPr>
                <w:rFonts w:asciiTheme="majorBidi" w:hAnsiTheme="majorBidi" w:cstheme="majorBidi"/>
                <w:b/>
                <w:bCs/>
                <w:i/>
                <w:sz w:val="18"/>
                <w:szCs w:val="18"/>
              </w:rPr>
              <w:t>This section refers to the possibility for your country of having received funding under the Specific International Programme (SIP) of the MC Financial Mechanism.</w:t>
            </w:r>
          </w:p>
        </w:tc>
      </w:tr>
      <w:tr w:rsidR="0037512A" w:rsidRPr="00361139" w14:paraId="7840E6C3" w14:textId="77777777" w:rsidTr="008144F7">
        <w:trPr>
          <w:cantSplit/>
          <w:trHeight w:val="20"/>
        </w:trPr>
        <w:tc>
          <w:tcPr>
            <w:tcW w:w="3227" w:type="dxa"/>
            <w:vMerge w:val="restart"/>
            <w:shd w:val="clear" w:color="auto" w:fill="auto"/>
            <w:vAlign w:val="center"/>
            <w:hideMark/>
          </w:tcPr>
          <w:p w14:paraId="0F8F5B16"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Has your country ever </w:t>
            </w:r>
            <w:r w:rsidRPr="00361139">
              <w:rPr>
                <w:rStyle w:val="Strong"/>
                <w:rFonts w:asciiTheme="majorBidi" w:hAnsiTheme="majorBidi" w:cstheme="majorBidi"/>
                <w:iCs/>
                <w:sz w:val="18"/>
                <w:szCs w:val="18"/>
              </w:rPr>
              <w:t xml:space="preserve">received </w:t>
            </w:r>
            <w:r w:rsidRPr="00361139">
              <w:rPr>
                <w:rFonts w:asciiTheme="majorBidi" w:hAnsiTheme="majorBidi" w:cstheme="majorBidi"/>
                <w:b/>
                <w:sz w:val="18"/>
                <w:szCs w:val="18"/>
              </w:rPr>
              <w:t>financial support from the</w:t>
            </w:r>
            <w:r w:rsidRPr="00361139">
              <w:rPr>
                <w:rStyle w:val="Strong"/>
                <w:rFonts w:asciiTheme="majorBidi" w:hAnsiTheme="majorBidi" w:cstheme="majorBidi"/>
                <w:iCs/>
                <w:sz w:val="18"/>
                <w:szCs w:val="18"/>
              </w:rPr>
              <w:t xml:space="preserve"> Specific International Programme (SIP)</w:t>
            </w:r>
            <w:r w:rsidRPr="00361139">
              <w:rPr>
                <w:rFonts w:asciiTheme="majorBidi" w:hAnsiTheme="majorBidi" w:cstheme="majorBidi"/>
                <w:sz w:val="18"/>
                <w:szCs w:val="18"/>
              </w:rPr>
              <w:t xml:space="preserve">, through the Financial Mechanism, for the implementation of the Minamata Convention? </w:t>
            </w:r>
            <w:r w:rsidRPr="00361139">
              <w:rPr>
                <w:rFonts w:asciiTheme="majorBidi" w:hAnsiTheme="majorBidi" w:cstheme="majorBidi"/>
                <w:i/>
                <w:sz w:val="18"/>
                <w:szCs w:val="18"/>
              </w:rPr>
              <w:t xml:space="preserve">(please check all sentences that are </w:t>
            </w:r>
            <w:proofErr w:type="gramStart"/>
            <w:r w:rsidRPr="00361139">
              <w:rPr>
                <w:rFonts w:asciiTheme="majorBidi" w:hAnsiTheme="majorBidi" w:cstheme="majorBidi"/>
                <w:i/>
                <w:sz w:val="18"/>
                <w:szCs w:val="18"/>
              </w:rPr>
              <w:t>true)*</w:t>
            </w:r>
            <w:proofErr w:type="gramEnd"/>
          </w:p>
        </w:tc>
        <w:tc>
          <w:tcPr>
            <w:tcW w:w="3118" w:type="dxa"/>
            <w:shd w:val="clear" w:color="auto" w:fill="auto"/>
            <w:vAlign w:val="center"/>
            <w:hideMark/>
          </w:tcPr>
          <w:p w14:paraId="09A6099A" w14:textId="77777777" w:rsidR="0037512A" w:rsidRPr="00361139" w:rsidRDefault="0037512A" w:rsidP="008144F7">
            <w:pPr>
              <w:spacing w:before="120" w:after="120"/>
              <w:ind w:left="57" w:right="57" w:hanging="39"/>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1CB0BAC"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20</w:t>
            </w:r>
          </w:p>
        </w:tc>
        <w:tc>
          <w:tcPr>
            <w:tcW w:w="1418" w:type="dxa"/>
            <w:vAlign w:val="center"/>
          </w:tcPr>
          <w:p w14:paraId="258B9E34"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70AFCF7A" w14:textId="77777777" w:rsidTr="008144F7">
        <w:trPr>
          <w:cantSplit/>
          <w:trHeight w:val="20"/>
        </w:trPr>
        <w:tc>
          <w:tcPr>
            <w:tcW w:w="3227" w:type="dxa"/>
            <w:vMerge/>
            <w:shd w:val="clear" w:color="auto" w:fill="auto"/>
            <w:vAlign w:val="center"/>
            <w:hideMark/>
          </w:tcPr>
          <w:p w14:paraId="6CE1B7A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A507D55"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sz w:val="18"/>
                <w:szCs w:val="18"/>
              </w:rPr>
            </w:pPr>
            <w:r w:rsidRPr="00361139">
              <w:rPr>
                <w:rFonts w:asciiTheme="majorBidi" w:hAnsiTheme="majorBidi" w:cstheme="majorBidi"/>
                <w:sz w:val="18"/>
                <w:szCs w:val="18"/>
              </w:rPr>
              <w:t>Yes, we received funds in SIP first round (2018)</w:t>
            </w:r>
          </w:p>
        </w:tc>
        <w:tc>
          <w:tcPr>
            <w:tcW w:w="1417" w:type="dxa"/>
            <w:shd w:val="clear" w:color="auto" w:fill="auto"/>
            <w:vAlign w:val="center"/>
          </w:tcPr>
          <w:p w14:paraId="6CE4E7B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w:t>
            </w:r>
          </w:p>
        </w:tc>
        <w:tc>
          <w:tcPr>
            <w:tcW w:w="1418" w:type="dxa"/>
            <w:vAlign w:val="center"/>
          </w:tcPr>
          <w:p w14:paraId="249B30E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0B6FEE54" w14:textId="77777777" w:rsidTr="008144F7">
        <w:trPr>
          <w:cantSplit/>
          <w:trHeight w:val="20"/>
        </w:trPr>
        <w:tc>
          <w:tcPr>
            <w:tcW w:w="3227" w:type="dxa"/>
            <w:vMerge/>
            <w:shd w:val="clear" w:color="auto" w:fill="auto"/>
            <w:vAlign w:val="center"/>
            <w:hideMark/>
          </w:tcPr>
          <w:p w14:paraId="23B7790D" w14:textId="77777777" w:rsidR="0037512A" w:rsidRPr="00361139" w:rsidRDefault="0037512A" w:rsidP="008144F7">
            <w:pPr>
              <w:spacing w:before="120" w:after="120"/>
              <w:ind w:left="57" w:right="57"/>
              <w:rPr>
                <w:rFonts w:asciiTheme="majorBidi" w:hAnsiTheme="majorBidi" w:cstheme="majorBidi"/>
                <w:b/>
                <w:i/>
                <w:sz w:val="18"/>
                <w:szCs w:val="18"/>
                <w:highlight w:val="cyan"/>
              </w:rPr>
            </w:pPr>
          </w:p>
        </w:tc>
        <w:tc>
          <w:tcPr>
            <w:tcW w:w="3118" w:type="dxa"/>
            <w:shd w:val="clear" w:color="auto" w:fill="auto"/>
            <w:vAlign w:val="center"/>
            <w:hideMark/>
          </w:tcPr>
          <w:p w14:paraId="50ABB9C5"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sz w:val="18"/>
                <w:szCs w:val="18"/>
              </w:rPr>
            </w:pPr>
            <w:r w:rsidRPr="00361139">
              <w:rPr>
                <w:rFonts w:asciiTheme="majorBidi" w:hAnsiTheme="majorBidi" w:cstheme="majorBidi"/>
                <w:sz w:val="18"/>
                <w:szCs w:val="18"/>
              </w:rPr>
              <w:t>Yes, we received funds in SIP second round (2019)</w:t>
            </w:r>
          </w:p>
        </w:tc>
        <w:tc>
          <w:tcPr>
            <w:tcW w:w="1417" w:type="dxa"/>
            <w:shd w:val="clear" w:color="auto" w:fill="auto"/>
            <w:vAlign w:val="center"/>
          </w:tcPr>
          <w:p w14:paraId="6702906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686BD24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6AB3A503" w14:textId="77777777" w:rsidTr="008144F7">
        <w:trPr>
          <w:cantSplit/>
          <w:trHeight w:val="20"/>
        </w:trPr>
        <w:tc>
          <w:tcPr>
            <w:tcW w:w="3227" w:type="dxa"/>
            <w:vMerge/>
            <w:shd w:val="clear" w:color="auto" w:fill="auto"/>
            <w:vAlign w:val="center"/>
            <w:hideMark/>
          </w:tcPr>
          <w:p w14:paraId="6016C6E2" w14:textId="77777777" w:rsidR="0037512A" w:rsidRPr="00361139" w:rsidRDefault="0037512A" w:rsidP="008144F7">
            <w:pPr>
              <w:spacing w:before="120" w:after="120"/>
              <w:ind w:left="57" w:right="57"/>
              <w:rPr>
                <w:rFonts w:asciiTheme="majorBidi" w:hAnsiTheme="majorBidi" w:cstheme="majorBidi"/>
                <w:b/>
                <w:i/>
                <w:sz w:val="18"/>
                <w:szCs w:val="18"/>
                <w:highlight w:val="cyan"/>
              </w:rPr>
            </w:pPr>
          </w:p>
        </w:tc>
        <w:tc>
          <w:tcPr>
            <w:tcW w:w="3118" w:type="dxa"/>
            <w:shd w:val="clear" w:color="auto" w:fill="auto"/>
            <w:vAlign w:val="center"/>
            <w:hideMark/>
          </w:tcPr>
          <w:p w14:paraId="64D8B90C" w14:textId="77777777" w:rsidR="0037512A" w:rsidRPr="00361139" w:rsidRDefault="0037512A" w:rsidP="008144F7">
            <w:pPr>
              <w:pStyle w:val="ListParagraph"/>
              <w:tabs>
                <w:tab w:val="left" w:pos="1134"/>
              </w:tabs>
              <w:spacing w:before="120" w:after="120"/>
              <w:ind w:left="318" w:right="57"/>
              <w:contextualSpacing w:val="0"/>
              <w:rPr>
                <w:rFonts w:asciiTheme="majorBidi" w:hAnsiTheme="majorBidi" w:cstheme="majorBidi"/>
                <w:sz w:val="18"/>
                <w:szCs w:val="18"/>
              </w:rPr>
            </w:pPr>
            <w:r w:rsidRPr="00361139">
              <w:rPr>
                <w:rFonts w:asciiTheme="majorBidi" w:hAnsiTheme="majorBidi" w:cstheme="majorBidi"/>
                <w:sz w:val="18"/>
                <w:szCs w:val="18"/>
              </w:rPr>
              <w:t>Yes, we received funds in SIP third round (2020-21)</w:t>
            </w:r>
          </w:p>
        </w:tc>
        <w:tc>
          <w:tcPr>
            <w:tcW w:w="1417" w:type="dxa"/>
            <w:shd w:val="clear" w:color="auto" w:fill="auto"/>
            <w:vAlign w:val="center"/>
          </w:tcPr>
          <w:p w14:paraId="693FDF3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w:t>
            </w:r>
          </w:p>
        </w:tc>
        <w:tc>
          <w:tcPr>
            <w:tcW w:w="1418" w:type="dxa"/>
            <w:vAlign w:val="center"/>
          </w:tcPr>
          <w:p w14:paraId="52643E3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30%</w:t>
            </w:r>
          </w:p>
        </w:tc>
      </w:tr>
      <w:tr w:rsidR="0037512A" w:rsidRPr="00361139" w14:paraId="4AA05F70" w14:textId="77777777" w:rsidTr="008144F7">
        <w:trPr>
          <w:cantSplit/>
          <w:trHeight w:val="20"/>
        </w:trPr>
        <w:tc>
          <w:tcPr>
            <w:tcW w:w="3227" w:type="dxa"/>
            <w:vMerge/>
            <w:shd w:val="clear" w:color="auto" w:fill="auto"/>
            <w:vAlign w:val="center"/>
            <w:hideMark/>
          </w:tcPr>
          <w:p w14:paraId="08CE468D" w14:textId="77777777" w:rsidR="0037512A" w:rsidRPr="00361139" w:rsidRDefault="0037512A" w:rsidP="008144F7">
            <w:pPr>
              <w:spacing w:before="120" w:after="120"/>
              <w:ind w:left="57" w:right="57"/>
              <w:rPr>
                <w:rFonts w:asciiTheme="majorBidi" w:hAnsiTheme="majorBidi" w:cstheme="majorBidi"/>
                <w:b/>
                <w:i/>
                <w:sz w:val="18"/>
                <w:szCs w:val="18"/>
                <w:highlight w:val="cyan"/>
              </w:rPr>
            </w:pPr>
          </w:p>
        </w:tc>
        <w:tc>
          <w:tcPr>
            <w:tcW w:w="3118" w:type="dxa"/>
            <w:shd w:val="clear" w:color="auto" w:fill="auto"/>
            <w:vAlign w:val="center"/>
            <w:hideMark/>
          </w:tcPr>
          <w:p w14:paraId="6C753642" w14:textId="77777777" w:rsidR="0037512A" w:rsidRPr="00361139" w:rsidRDefault="0037512A" w:rsidP="008144F7">
            <w:pPr>
              <w:spacing w:before="120" w:after="120"/>
              <w:ind w:left="318" w:right="57"/>
              <w:rPr>
                <w:rFonts w:asciiTheme="majorBidi" w:hAnsiTheme="majorBidi" w:cstheme="majorBidi"/>
                <w:sz w:val="18"/>
                <w:szCs w:val="18"/>
              </w:rPr>
            </w:pPr>
            <w:r w:rsidRPr="00361139">
              <w:rPr>
                <w:rFonts w:asciiTheme="majorBidi" w:hAnsiTheme="majorBidi" w:cstheme="majorBidi"/>
                <w:sz w:val="18"/>
                <w:szCs w:val="18"/>
              </w:rPr>
              <w:t>No, we never received funds from SIP.</w:t>
            </w:r>
          </w:p>
        </w:tc>
        <w:tc>
          <w:tcPr>
            <w:tcW w:w="1417" w:type="dxa"/>
            <w:shd w:val="clear" w:color="auto" w:fill="auto"/>
            <w:vAlign w:val="center"/>
          </w:tcPr>
          <w:p w14:paraId="67AF742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9</w:t>
            </w:r>
          </w:p>
        </w:tc>
        <w:tc>
          <w:tcPr>
            <w:tcW w:w="1418" w:type="dxa"/>
            <w:vAlign w:val="center"/>
          </w:tcPr>
          <w:p w14:paraId="5108689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45%</w:t>
            </w:r>
          </w:p>
        </w:tc>
      </w:tr>
      <w:tr w:rsidR="0037512A" w:rsidRPr="00361139" w14:paraId="250EBC90" w14:textId="77777777" w:rsidTr="008144F7">
        <w:trPr>
          <w:cantSplit/>
          <w:trHeight w:val="20"/>
        </w:trPr>
        <w:tc>
          <w:tcPr>
            <w:tcW w:w="3227" w:type="dxa"/>
            <w:vMerge/>
            <w:shd w:val="clear" w:color="auto" w:fill="auto"/>
            <w:vAlign w:val="center"/>
            <w:hideMark/>
          </w:tcPr>
          <w:p w14:paraId="057A209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940C640" w14:textId="77777777" w:rsidR="0037512A" w:rsidRPr="00361139" w:rsidRDefault="0037512A" w:rsidP="008144F7">
            <w:pPr>
              <w:spacing w:before="120" w:after="120"/>
              <w:ind w:left="318" w:right="57"/>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0502621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4779C1DB"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B07D83C" w14:textId="77777777" w:rsidTr="008144F7">
        <w:trPr>
          <w:cantSplit/>
          <w:trHeight w:val="20"/>
        </w:trPr>
        <w:tc>
          <w:tcPr>
            <w:tcW w:w="9180" w:type="dxa"/>
            <w:gridSpan w:val="4"/>
            <w:tcBorders>
              <w:bottom w:val="single" w:sz="4" w:space="0" w:color="auto"/>
            </w:tcBorders>
            <w:shd w:val="clear" w:color="auto" w:fill="B6DDE8"/>
            <w:vAlign w:val="center"/>
            <w:hideMark/>
          </w:tcPr>
          <w:p w14:paraId="41649729"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from this point onward, depending from the answer to Q6, respondents in the current section were moved to Section 2(c) (those checking any “Yes” answer), or Section 2(d) (the “No” answer).</w:t>
            </w:r>
          </w:p>
        </w:tc>
      </w:tr>
      <w:tr w:rsidR="0037512A" w:rsidRPr="00361139" w14:paraId="3B46E1CE" w14:textId="77777777" w:rsidTr="008144F7">
        <w:trPr>
          <w:cantSplit/>
          <w:trHeight w:val="20"/>
        </w:trPr>
        <w:tc>
          <w:tcPr>
            <w:tcW w:w="9180" w:type="dxa"/>
            <w:gridSpan w:val="4"/>
            <w:tcBorders>
              <w:top w:val="nil"/>
            </w:tcBorders>
            <w:shd w:val="clear" w:color="auto" w:fill="auto"/>
            <w:vAlign w:val="center"/>
            <w:hideMark/>
          </w:tcPr>
          <w:p w14:paraId="06FF558F" w14:textId="77777777" w:rsidR="0037512A" w:rsidRPr="00361139" w:rsidRDefault="0037512A" w:rsidP="008144F7">
            <w:pPr>
              <w:spacing w:before="120" w:after="120"/>
              <w:rPr>
                <w:rFonts w:asciiTheme="majorBidi" w:hAnsiTheme="majorBidi" w:cstheme="majorBidi"/>
                <w:b/>
                <w:i/>
                <w:sz w:val="18"/>
                <w:szCs w:val="18"/>
              </w:rPr>
            </w:pPr>
            <w:r w:rsidRPr="00361139">
              <w:rPr>
                <w:rFonts w:asciiTheme="majorBidi" w:hAnsiTheme="majorBidi" w:cstheme="majorBidi"/>
                <w:b/>
                <w:i/>
                <w:sz w:val="18"/>
                <w:szCs w:val="18"/>
              </w:rPr>
              <w:t>Section 2(c) – Parties recipient of funding from the Specific International Programme (SIP)</w:t>
            </w:r>
          </w:p>
          <w:p w14:paraId="0C8207AC" w14:textId="77777777" w:rsidR="0037512A" w:rsidRPr="00361139" w:rsidRDefault="0037512A" w:rsidP="008144F7">
            <w:pPr>
              <w:spacing w:before="120" w:after="120"/>
              <w:rPr>
                <w:rFonts w:asciiTheme="majorBidi" w:hAnsiTheme="majorBidi" w:cstheme="majorBidi"/>
                <w:b/>
                <w:i/>
                <w:sz w:val="18"/>
                <w:szCs w:val="18"/>
              </w:rPr>
            </w:pPr>
            <w:r w:rsidRPr="00361139">
              <w:rPr>
                <w:rFonts w:asciiTheme="majorBidi" w:hAnsiTheme="majorBidi" w:cstheme="majorBidi"/>
                <w:b/>
                <w:bCs/>
                <w:i/>
                <w:sz w:val="18"/>
                <w:szCs w:val="18"/>
              </w:rPr>
              <w:t>This section refers to the funding your country received from the Specific International Programme (SIP) through the Financial Mechanism of the Minamata Convention.</w:t>
            </w:r>
          </w:p>
          <w:p w14:paraId="736D1837" w14:textId="77777777" w:rsidR="0037512A" w:rsidRPr="00361139" w:rsidRDefault="0037512A" w:rsidP="008144F7">
            <w:pPr>
              <w:spacing w:before="120" w:after="120"/>
              <w:rPr>
                <w:rFonts w:asciiTheme="majorBidi" w:hAnsiTheme="majorBidi" w:cstheme="majorBidi"/>
                <w:i/>
                <w:sz w:val="18"/>
                <w:szCs w:val="18"/>
              </w:rPr>
            </w:pPr>
            <w:r w:rsidRPr="00361139">
              <w:rPr>
                <w:rFonts w:asciiTheme="majorBidi" w:hAnsiTheme="majorBidi" w:cstheme="majorBidi"/>
                <w:i/>
                <w:sz w:val="18"/>
                <w:szCs w:val="18"/>
              </w:rPr>
              <w:t xml:space="preserve">Art. 13 of the Minamata Convention defines a Mechanism for the provision of </w:t>
            </w:r>
            <w:r w:rsidRPr="00361139">
              <w:rPr>
                <w:rFonts w:asciiTheme="majorBidi" w:hAnsiTheme="majorBidi" w:cstheme="majorBidi"/>
                <w:b/>
                <w:i/>
                <w:sz w:val="18"/>
                <w:szCs w:val="18"/>
              </w:rPr>
              <w:t>adequate</w:t>
            </w:r>
            <w:r w:rsidRPr="00361139">
              <w:rPr>
                <w:rFonts w:asciiTheme="majorBidi" w:hAnsiTheme="majorBidi" w:cstheme="majorBidi"/>
                <w:i/>
                <w:sz w:val="18"/>
                <w:szCs w:val="18"/>
              </w:rPr>
              <w:t xml:space="preserve">, </w:t>
            </w:r>
            <w:r w:rsidRPr="00361139">
              <w:rPr>
                <w:rFonts w:asciiTheme="majorBidi" w:hAnsiTheme="majorBidi" w:cstheme="majorBidi"/>
                <w:b/>
                <w:i/>
                <w:sz w:val="18"/>
                <w:szCs w:val="18"/>
              </w:rPr>
              <w:t>predictable</w:t>
            </w:r>
            <w:r w:rsidRPr="00361139">
              <w:rPr>
                <w:rFonts w:asciiTheme="majorBidi" w:hAnsiTheme="majorBidi" w:cstheme="majorBidi"/>
                <w:i/>
                <w:sz w:val="18"/>
                <w:szCs w:val="18"/>
              </w:rPr>
              <w:t xml:space="preserve">, and </w:t>
            </w:r>
            <w:r w:rsidRPr="00361139">
              <w:rPr>
                <w:rFonts w:asciiTheme="majorBidi" w:hAnsiTheme="majorBidi" w:cstheme="majorBidi"/>
                <w:b/>
                <w:i/>
                <w:sz w:val="18"/>
                <w:szCs w:val="18"/>
              </w:rPr>
              <w:t>timely</w:t>
            </w:r>
            <w:r w:rsidRPr="00361139">
              <w:rPr>
                <w:rFonts w:asciiTheme="majorBidi" w:hAnsiTheme="majorBidi" w:cstheme="majorBidi"/>
                <w:i/>
                <w:sz w:val="18"/>
                <w:szCs w:val="18"/>
              </w:rPr>
              <w:t xml:space="preserve"> financial resources to support developing country Parties and Parties with economies in transition in implementing their obligations under this Convention.</w:t>
            </w:r>
          </w:p>
        </w:tc>
      </w:tr>
      <w:tr w:rsidR="0037512A" w:rsidRPr="00361139" w14:paraId="37C42356" w14:textId="77777777" w:rsidTr="008144F7">
        <w:trPr>
          <w:cantSplit/>
          <w:trHeight w:val="20"/>
        </w:trPr>
        <w:tc>
          <w:tcPr>
            <w:tcW w:w="3227" w:type="dxa"/>
            <w:vMerge w:val="restart"/>
            <w:shd w:val="clear" w:color="auto" w:fill="auto"/>
            <w:vAlign w:val="center"/>
            <w:hideMark/>
          </w:tcPr>
          <w:p w14:paraId="29515E0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lastRenderedPageBreak/>
              <w:t xml:space="preserve">On a scale from 0 (min) to 5 (max) and based on your country’s direct experience, </w:t>
            </w:r>
            <w:bookmarkStart w:id="358" w:name="_Hlk124088878"/>
            <w:r w:rsidRPr="00361139">
              <w:rPr>
                <w:rFonts w:asciiTheme="majorBidi" w:hAnsiTheme="majorBidi" w:cstheme="majorBidi"/>
                <w:sz w:val="18"/>
                <w:szCs w:val="18"/>
              </w:rPr>
              <w:t>during the time period covered by the 2nd Review of the Financial Mechanism (August 2019 to July 2022)</w:t>
            </w:r>
            <w:bookmarkEnd w:id="358"/>
            <w:r w:rsidRPr="00361139">
              <w:rPr>
                <w:rFonts w:asciiTheme="majorBidi" w:hAnsiTheme="majorBidi" w:cstheme="majorBidi"/>
                <w:sz w:val="18"/>
                <w:szCs w:val="18"/>
              </w:rPr>
              <w:t xml:space="preserve">, as a recipient of SIP funding, how much you would say the financial resources your country received from the </w:t>
            </w:r>
            <w:r w:rsidRPr="00361139">
              <w:rPr>
                <w:rFonts w:asciiTheme="majorBidi" w:hAnsiTheme="majorBidi" w:cstheme="majorBidi"/>
                <w:b/>
                <w:sz w:val="18"/>
                <w:szCs w:val="18"/>
              </w:rPr>
              <w:t>Specific International Programme (SIP)</w:t>
            </w:r>
            <w:r w:rsidRPr="00361139">
              <w:rPr>
                <w:rFonts w:asciiTheme="majorBidi" w:hAnsiTheme="majorBidi" w:cstheme="majorBidi"/>
                <w:sz w:val="18"/>
                <w:szCs w:val="18"/>
              </w:rPr>
              <w:t xml:space="preserve"> were </w:t>
            </w:r>
            <w:r w:rsidRPr="00361139">
              <w:rPr>
                <w:rFonts w:asciiTheme="majorBidi" w:hAnsiTheme="majorBidi" w:cstheme="majorBidi"/>
                <w:b/>
                <w:sz w:val="18"/>
                <w:szCs w:val="18"/>
              </w:rPr>
              <w:t>adequate</w:t>
            </w:r>
            <w:r w:rsidRPr="00361139">
              <w:rPr>
                <w:rFonts w:asciiTheme="majorBidi" w:hAnsiTheme="majorBidi" w:cstheme="majorBidi"/>
                <w:sz w:val="18"/>
                <w:szCs w:val="18"/>
              </w:rPr>
              <w:t xml:space="preserve">, </w:t>
            </w:r>
            <w:r w:rsidRPr="00361139">
              <w:rPr>
                <w:rFonts w:asciiTheme="majorBidi" w:hAnsiTheme="majorBidi" w:cstheme="majorBidi"/>
                <w:b/>
                <w:sz w:val="18"/>
                <w:szCs w:val="18"/>
              </w:rPr>
              <w:t>predictable</w:t>
            </w:r>
            <w:r w:rsidRPr="00361139">
              <w:rPr>
                <w:rFonts w:asciiTheme="majorBidi" w:hAnsiTheme="majorBidi" w:cstheme="majorBidi"/>
                <w:sz w:val="18"/>
                <w:szCs w:val="18"/>
              </w:rPr>
              <w:t xml:space="preserve">, and </w:t>
            </w:r>
            <w:r w:rsidRPr="00361139">
              <w:rPr>
                <w:rFonts w:asciiTheme="majorBidi" w:hAnsiTheme="majorBidi" w:cstheme="majorBidi"/>
                <w:b/>
                <w:sz w:val="18"/>
                <w:szCs w:val="18"/>
              </w:rPr>
              <w:t>timely</w:t>
            </w:r>
            <w:r w:rsidRPr="00361139">
              <w:rPr>
                <w:rFonts w:asciiTheme="majorBidi" w:hAnsiTheme="majorBidi" w:cstheme="majorBidi"/>
                <w:sz w:val="18"/>
                <w:szCs w:val="18"/>
              </w:rPr>
              <w:t xml:space="preserve"> in supporting the implementation of your country obligations under the Convention?*</w:t>
            </w:r>
          </w:p>
        </w:tc>
        <w:tc>
          <w:tcPr>
            <w:tcW w:w="3118" w:type="dxa"/>
            <w:shd w:val="clear" w:color="auto" w:fill="auto"/>
            <w:vAlign w:val="center"/>
            <w:hideMark/>
          </w:tcPr>
          <w:p w14:paraId="318FE863"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8D2F541"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11</w:t>
            </w:r>
          </w:p>
        </w:tc>
        <w:tc>
          <w:tcPr>
            <w:tcW w:w="1418" w:type="dxa"/>
            <w:vAlign w:val="center"/>
          </w:tcPr>
          <w:p w14:paraId="5017AFE7"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38EB65AE" w14:textId="77777777" w:rsidTr="008144F7">
        <w:trPr>
          <w:cantSplit/>
          <w:trHeight w:val="20"/>
        </w:trPr>
        <w:tc>
          <w:tcPr>
            <w:tcW w:w="3227" w:type="dxa"/>
            <w:vMerge/>
            <w:shd w:val="clear" w:color="auto" w:fill="auto"/>
            <w:vAlign w:val="center"/>
            <w:hideMark/>
          </w:tcPr>
          <w:p w14:paraId="7A8C5BBA"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5A7E554" w14:textId="77777777" w:rsidR="0037512A" w:rsidRPr="00361139" w:rsidRDefault="0037512A" w:rsidP="008144F7">
            <w:pPr>
              <w:tabs>
                <w:tab w:val="left" w:pos="1134"/>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Adequate</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4515C3F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4.08/5</w:t>
            </w:r>
          </w:p>
        </w:tc>
        <w:tc>
          <w:tcPr>
            <w:tcW w:w="1418" w:type="dxa"/>
            <w:vAlign w:val="center"/>
          </w:tcPr>
          <w:p w14:paraId="6F0BF60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82%</w:t>
            </w:r>
          </w:p>
        </w:tc>
      </w:tr>
      <w:tr w:rsidR="0037512A" w:rsidRPr="00361139" w14:paraId="6360517F" w14:textId="77777777" w:rsidTr="008144F7">
        <w:trPr>
          <w:cantSplit/>
          <w:trHeight w:val="20"/>
        </w:trPr>
        <w:tc>
          <w:tcPr>
            <w:tcW w:w="3227" w:type="dxa"/>
            <w:vMerge/>
            <w:shd w:val="clear" w:color="auto" w:fill="auto"/>
            <w:vAlign w:val="center"/>
            <w:hideMark/>
          </w:tcPr>
          <w:p w14:paraId="39A8A1F2" w14:textId="77777777" w:rsidR="0037512A" w:rsidRPr="00361139" w:rsidRDefault="0037512A" w:rsidP="008144F7">
            <w:pPr>
              <w:spacing w:before="120" w:after="120"/>
              <w:ind w:left="57" w:right="57"/>
              <w:rPr>
                <w:rFonts w:asciiTheme="majorBidi" w:hAnsiTheme="majorBidi" w:cstheme="majorBidi"/>
                <w:i/>
                <w:sz w:val="18"/>
                <w:szCs w:val="18"/>
              </w:rPr>
            </w:pPr>
          </w:p>
        </w:tc>
        <w:tc>
          <w:tcPr>
            <w:tcW w:w="3118" w:type="dxa"/>
            <w:shd w:val="clear" w:color="auto" w:fill="auto"/>
            <w:vAlign w:val="center"/>
            <w:hideMark/>
          </w:tcPr>
          <w:p w14:paraId="1559A3AC"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Predictable</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2AE8C06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4.08/5</w:t>
            </w:r>
          </w:p>
        </w:tc>
        <w:tc>
          <w:tcPr>
            <w:tcW w:w="1418" w:type="dxa"/>
            <w:vAlign w:val="center"/>
          </w:tcPr>
          <w:p w14:paraId="3E29C46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82%</w:t>
            </w:r>
          </w:p>
        </w:tc>
      </w:tr>
      <w:tr w:rsidR="0037512A" w:rsidRPr="00361139" w14:paraId="76F78DF4" w14:textId="77777777" w:rsidTr="008144F7">
        <w:trPr>
          <w:cantSplit/>
          <w:trHeight w:val="20"/>
        </w:trPr>
        <w:tc>
          <w:tcPr>
            <w:tcW w:w="3227" w:type="dxa"/>
            <w:vMerge/>
            <w:shd w:val="clear" w:color="auto" w:fill="auto"/>
            <w:vAlign w:val="center"/>
            <w:hideMark/>
          </w:tcPr>
          <w:p w14:paraId="01236A2E" w14:textId="77777777" w:rsidR="0037512A" w:rsidRPr="00361139" w:rsidRDefault="0037512A" w:rsidP="008144F7">
            <w:pPr>
              <w:spacing w:before="120" w:after="120"/>
              <w:ind w:left="57" w:right="57"/>
              <w:rPr>
                <w:rFonts w:asciiTheme="majorBidi" w:hAnsiTheme="majorBidi" w:cstheme="majorBidi"/>
                <w:i/>
                <w:sz w:val="18"/>
                <w:szCs w:val="18"/>
              </w:rPr>
            </w:pPr>
          </w:p>
        </w:tc>
        <w:tc>
          <w:tcPr>
            <w:tcW w:w="3118" w:type="dxa"/>
            <w:shd w:val="clear" w:color="auto" w:fill="auto"/>
            <w:vAlign w:val="center"/>
            <w:hideMark/>
          </w:tcPr>
          <w:p w14:paraId="46AD0F8C"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Timely</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783A477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4.17/5</w:t>
            </w:r>
          </w:p>
        </w:tc>
        <w:tc>
          <w:tcPr>
            <w:tcW w:w="1418" w:type="dxa"/>
            <w:vAlign w:val="center"/>
          </w:tcPr>
          <w:p w14:paraId="6ED4DB8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83%</w:t>
            </w:r>
          </w:p>
        </w:tc>
      </w:tr>
      <w:tr w:rsidR="0037512A" w:rsidRPr="00361139" w14:paraId="6F7D4485" w14:textId="77777777" w:rsidTr="008144F7">
        <w:trPr>
          <w:cantSplit/>
          <w:trHeight w:val="20"/>
        </w:trPr>
        <w:tc>
          <w:tcPr>
            <w:tcW w:w="3227" w:type="dxa"/>
            <w:vMerge/>
            <w:shd w:val="clear" w:color="auto" w:fill="auto"/>
            <w:vAlign w:val="center"/>
            <w:hideMark/>
          </w:tcPr>
          <w:p w14:paraId="120DD2D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75E25B3"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1D9023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6D36EF0A"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1A8393DC" w14:textId="77777777" w:rsidTr="008144F7">
        <w:trPr>
          <w:cantSplit/>
          <w:trHeight w:val="20"/>
        </w:trPr>
        <w:tc>
          <w:tcPr>
            <w:tcW w:w="9180" w:type="dxa"/>
            <w:gridSpan w:val="4"/>
            <w:tcBorders>
              <w:bottom w:val="single" w:sz="4" w:space="0" w:color="auto"/>
            </w:tcBorders>
            <w:shd w:val="clear" w:color="auto" w:fill="auto"/>
            <w:vAlign w:val="center"/>
            <w:hideMark/>
          </w:tcPr>
          <w:p w14:paraId="33BAA61E"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i/>
                <w:sz w:val="18"/>
                <w:szCs w:val="18"/>
              </w:rPr>
              <w:t xml:space="preserve">According to the SIP terms of reference, as defined in decision MC-1/6, “the support for capacity-building and technical assistance provided by the Specific International Programme is expected to </w:t>
            </w:r>
            <w:r w:rsidRPr="00361139">
              <w:rPr>
                <w:rFonts w:asciiTheme="majorBidi" w:hAnsiTheme="majorBidi" w:cstheme="majorBidi"/>
                <w:b/>
                <w:i/>
                <w:sz w:val="18"/>
                <w:szCs w:val="18"/>
              </w:rPr>
              <w:t>improve the capacity</w:t>
            </w:r>
            <w:r w:rsidRPr="00361139">
              <w:rPr>
                <w:rFonts w:asciiTheme="majorBidi" w:hAnsiTheme="majorBidi" w:cstheme="majorBidi"/>
                <w:i/>
                <w:sz w:val="18"/>
                <w:szCs w:val="18"/>
              </w:rPr>
              <w:t xml:space="preserve"> of developing-country Parties and Parties with economies in transition </w:t>
            </w:r>
            <w:r w:rsidRPr="00361139">
              <w:rPr>
                <w:rFonts w:asciiTheme="majorBidi" w:hAnsiTheme="majorBidi" w:cstheme="majorBidi"/>
                <w:b/>
                <w:i/>
                <w:sz w:val="18"/>
                <w:szCs w:val="18"/>
              </w:rPr>
              <w:t>in implementing</w:t>
            </w:r>
            <w:r w:rsidRPr="00361139">
              <w:rPr>
                <w:rFonts w:asciiTheme="majorBidi" w:hAnsiTheme="majorBidi" w:cstheme="majorBidi"/>
                <w:i/>
                <w:sz w:val="18"/>
                <w:szCs w:val="18"/>
              </w:rPr>
              <w:t xml:space="preserve"> their </w:t>
            </w:r>
            <w:r w:rsidRPr="00361139">
              <w:rPr>
                <w:rFonts w:asciiTheme="majorBidi" w:hAnsiTheme="majorBidi" w:cstheme="majorBidi"/>
                <w:b/>
                <w:i/>
                <w:sz w:val="18"/>
                <w:szCs w:val="18"/>
              </w:rPr>
              <w:t>obligations under the Convention</w:t>
            </w:r>
            <w:r w:rsidRPr="00361139">
              <w:rPr>
                <w:rFonts w:asciiTheme="majorBidi" w:hAnsiTheme="majorBidi" w:cstheme="majorBidi"/>
                <w:i/>
                <w:sz w:val="18"/>
                <w:szCs w:val="18"/>
              </w:rPr>
              <w:t>”.</w:t>
            </w:r>
          </w:p>
        </w:tc>
      </w:tr>
      <w:tr w:rsidR="0037512A" w:rsidRPr="00361139" w14:paraId="247C418E" w14:textId="77777777" w:rsidTr="008144F7">
        <w:trPr>
          <w:cantSplit/>
          <w:trHeight w:val="20"/>
        </w:trPr>
        <w:tc>
          <w:tcPr>
            <w:tcW w:w="3227" w:type="dxa"/>
            <w:vMerge w:val="restart"/>
            <w:shd w:val="clear" w:color="auto" w:fill="auto"/>
            <w:vAlign w:val="center"/>
            <w:hideMark/>
          </w:tcPr>
          <w:p w14:paraId="44CC12EC"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and based on your country’s direct experience as a recipient of SIP funding during the time period covered by the 2nd Review of the Financial Mechanism (August 2019 to July 2022), how much you would say the financial resources your country received from the </w:t>
            </w:r>
            <w:r w:rsidRPr="00361139">
              <w:rPr>
                <w:rFonts w:asciiTheme="majorBidi" w:hAnsiTheme="majorBidi" w:cstheme="majorBidi"/>
                <w:b/>
                <w:sz w:val="18"/>
                <w:szCs w:val="18"/>
              </w:rPr>
              <w:t>Specific International Programme (SIP)</w:t>
            </w:r>
            <w:r w:rsidRPr="00361139">
              <w:rPr>
                <w:rFonts w:asciiTheme="majorBidi" w:hAnsiTheme="majorBidi" w:cstheme="majorBidi"/>
                <w:sz w:val="18"/>
                <w:szCs w:val="18"/>
              </w:rPr>
              <w:t xml:space="preserve"> contributed in </w:t>
            </w:r>
            <w:r w:rsidRPr="00361139">
              <w:rPr>
                <w:rFonts w:asciiTheme="majorBidi" w:hAnsiTheme="majorBidi" w:cstheme="majorBidi"/>
                <w:b/>
                <w:sz w:val="18"/>
                <w:szCs w:val="18"/>
              </w:rPr>
              <w:t>improving the capacity of your country in implementing its obligations under the Convention</w:t>
            </w:r>
            <w:r w:rsidRPr="00361139">
              <w:rPr>
                <w:rFonts w:asciiTheme="majorBidi" w:hAnsiTheme="majorBidi" w:cstheme="majorBidi"/>
                <w:sz w:val="18"/>
                <w:szCs w:val="18"/>
              </w:rPr>
              <w:t>?*</w:t>
            </w:r>
          </w:p>
        </w:tc>
        <w:tc>
          <w:tcPr>
            <w:tcW w:w="3118" w:type="dxa"/>
            <w:shd w:val="clear" w:color="auto" w:fill="auto"/>
            <w:vAlign w:val="center"/>
            <w:hideMark/>
          </w:tcPr>
          <w:p w14:paraId="63FEC3D2"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FAB3232"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w:t>
            </w:r>
          </w:p>
        </w:tc>
        <w:tc>
          <w:tcPr>
            <w:tcW w:w="1418" w:type="dxa"/>
            <w:vAlign w:val="center"/>
          </w:tcPr>
          <w:p w14:paraId="25B17903"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389477CF" w14:textId="77777777" w:rsidTr="008144F7">
        <w:trPr>
          <w:cantSplit/>
          <w:trHeight w:val="20"/>
        </w:trPr>
        <w:tc>
          <w:tcPr>
            <w:tcW w:w="3227" w:type="dxa"/>
            <w:vMerge/>
            <w:shd w:val="clear" w:color="auto" w:fill="auto"/>
            <w:vAlign w:val="center"/>
            <w:hideMark/>
          </w:tcPr>
          <w:p w14:paraId="4DEBB9C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42F549"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i/>
                <w:sz w:val="18"/>
                <w:szCs w:val="18"/>
              </w:rPr>
              <w:t>Weighted average</w:t>
            </w:r>
          </w:p>
        </w:tc>
        <w:tc>
          <w:tcPr>
            <w:tcW w:w="1417" w:type="dxa"/>
            <w:shd w:val="clear" w:color="auto" w:fill="auto"/>
            <w:vAlign w:val="center"/>
          </w:tcPr>
          <w:p w14:paraId="0EC8E43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4.10/5</w:t>
            </w:r>
          </w:p>
        </w:tc>
        <w:tc>
          <w:tcPr>
            <w:tcW w:w="1418" w:type="dxa"/>
            <w:vAlign w:val="center"/>
          </w:tcPr>
          <w:p w14:paraId="4BE8AF28" w14:textId="77777777" w:rsidR="0037512A" w:rsidRPr="00361139" w:rsidRDefault="0037512A" w:rsidP="008144F7">
            <w:pPr>
              <w:spacing w:before="120" w:after="120"/>
              <w:ind w:left="57" w:right="57"/>
              <w:jc w:val="right"/>
              <w:rPr>
                <w:rFonts w:asciiTheme="majorBidi" w:hAnsiTheme="majorBidi" w:cstheme="majorBidi"/>
                <w:i/>
                <w:iCs/>
                <w:sz w:val="18"/>
                <w:szCs w:val="18"/>
              </w:rPr>
            </w:pPr>
            <w:r w:rsidRPr="00361139">
              <w:rPr>
                <w:rFonts w:asciiTheme="majorBidi" w:hAnsiTheme="majorBidi" w:cstheme="majorBidi"/>
                <w:i/>
                <w:sz w:val="18"/>
                <w:szCs w:val="18"/>
              </w:rPr>
              <w:t>82%</w:t>
            </w:r>
          </w:p>
        </w:tc>
      </w:tr>
      <w:tr w:rsidR="0037512A" w:rsidRPr="00361139" w14:paraId="497E827F" w14:textId="77777777" w:rsidTr="008144F7">
        <w:trPr>
          <w:cantSplit/>
          <w:trHeight w:val="20"/>
        </w:trPr>
        <w:tc>
          <w:tcPr>
            <w:tcW w:w="3227" w:type="dxa"/>
            <w:vMerge/>
            <w:shd w:val="clear" w:color="auto" w:fill="auto"/>
            <w:vAlign w:val="center"/>
            <w:hideMark/>
          </w:tcPr>
          <w:p w14:paraId="32C517B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E2BA750"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BBE8E1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585ED782"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50887BBA" w14:textId="77777777" w:rsidTr="008144F7">
        <w:trPr>
          <w:cantSplit/>
          <w:trHeight w:val="20"/>
        </w:trPr>
        <w:tc>
          <w:tcPr>
            <w:tcW w:w="3227" w:type="dxa"/>
            <w:vMerge w:val="restart"/>
            <w:shd w:val="clear" w:color="auto" w:fill="auto"/>
            <w:vAlign w:val="center"/>
            <w:hideMark/>
          </w:tcPr>
          <w:p w14:paraId="15612E0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Based on your country experience as a recipient of </w:t>
            </w:r>
            <w:r w:rsidRPr="00361139">
              <w:rPr>
                <w:rFonts w:asciiTheme="majorBidi" w:hAnsiTheme="majorBidi" w:cstheme="majorBidi"/>
                <w:b/>
                <w:sz w:val="18"/>
                <w:szCs w:val="18"/>
              </w:rPr>
              <w:t>SIP funding</w:t>
            </w:r>
            <w:r w:rsidRPr="00361139">
              <w:rPr>
                <w:rFonts w:asciiTheme="majorBidi" w:hAnsiTheme="majorBidi" w:cstheme="majorBidi"/>
                <w:sz w:val="18"/>
                <w:szCs w:val="18"/>
              </w:rPr>
              <w:t xml:space="preserve">, for which </w:t>
            </w:r>
            <w:r w:rsidRPr="00361139">
              <w:rPr>
                <w:rFonts w:asciiTheme="majorBidi" w:hAnsiTheme="majorBidi" w:cstheme="majorBidi"/>
                <w:b/>
                <w:sz w:val="18"/>
                <w:szCs w:val="18"/>
              </w:rPr>
              <w:t>article(s) of the Convention</w:t>
            </w:r>
            <w:r w:rsidRPr="00361139">
              <w:rPr>
                <w:rFonts w:asciiTheme="majorBidi" w:hAnsiTheme="majorBidi" w:cstheme="majorBidi"/>
                <w:sz w:val="18"/>
                <w:szCs w:val="18"/>
              </w:rPr>
              <w:t xml:space="preserve"> these funding improved your capacity in implementing its obligations? </w:t>
            </w:r>
            <w:r w:rsidRPr="00361139">
              <w:rPr>
                <w:rFonts w:asciiTheme="majorBidi" w:hAnsiTheme="majorBidi" w:cstheme="majorBidi"/>
                <w:i/>
                <w:sz w:val="18"/>
                <w:szCs w:val="18"/>
              </w:rPr>
              <w:t xml:space="preserve">(please, check all articles for which the capacity was </w:t>
            </w:r>
            <w:proofErr w:type="gramStart"/>
            <w:r w:rsidRPr="00361139">
              <w:rPr>
                <w:rFonts w:asciiTheme="majorBidi" w:hAnsiTheme="majorBidi" w:cstheme="majorBidi"/>
                <w:i/>
                <w:sz w:val="18"/>
                <w:szCs w:val="18"/>
              </w:rPr>
              <w:t>improved)*</w:t>
            </w:r>
            <w:proofErr w:type="gramEnd"/>
          </w:p>
        </w:tc>
        <w:tc>
          <w:tcPr>
            <w:tcW w:w="3118" w:type="dxa"/>
            <w:shd w:val="clear" w:color="auto" w:fill="auto"/>
            <w:vAlign w:val="center"/>
            <w:hideMark/>
          </w:tcPr>
          <w:p w14:paraId="4C2FD853"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628AC5D0"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12</w:t>
            </w:r>
          </w:p>
        </w:tc>
        <w:tc>
          <w:tcPr>
            <w:tcW w:w="1418" w:type="dxa"/>
            <w:vAlign w:val="center"/>
          </w:tcPr>
          <w:p w14:paraId="00D3985B"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5AEADB58" w14:textId="77777777" w:rsidTr="008144F7">
        <w:trPr>
          <w:cantSplit/>
          <w:trHeight w:val="20"/>
        </w:trPr>
        <w:tc>
          <w:tcPr>
            <w:tcW w:w="3227" w:type="dxa"/>
            <w:vMerge/>
            <w:shd w:val="clear" w:color="auto" w:fill="auto"/>
            <w:vAlign w:val="center"/>
            <w:hideMark/>
          </w:tcPr>
          <w:p w14:paraId="1EFF6FE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4874D459"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3 (Mercury supply sources and trade)</w:t>
            </w:r>
          </w:p>
        </w:tc>
        <w:tc>
          <w:tcPr>
            <w:tcW w:w="1417" w:type="dxa"/>
            <w:shd w:val="clear" w:color="auto" w:fill="auto"/>
            <w:vAlign w:val="center"/>
          </w:tcPr>
          <w:p w14:paraId="4503359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272BEB3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33%</w:t>
            </w:r>
          </w:p>
        </w:tc>
      </w:tr>
      <w:tr w:rsidR="0037512A" w:rsidRPr="00361139" w14:paraId="11069236" w14:textId="77777777" w:rsidTr="008144F7">
        <w:trPr>
          <w:cantSplit/>
          <w:trHeight w:val="20"/>
        </w:trPr>
        <w:tc>
          <w:tcPr>
            <w:tcW w:w="3227" w:type="dxa"/>
            <w:vMerge/>
            <w:shd w:val="clear" w:color="auto" w:fill="auto"/>
            <w:vAlign w:val="center"/>
            <w:hideMark/>
          </w:tcPr>
          <w:p w14:paraId="7EED944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7B5F96A1"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4 (Mercury-added products)</w:t>
            </w:r>
          </w:p>
        </w:tc>
        <w:tc>
          <w:tcPr>
            <w:tcW w:w="1417" w:type="dxa"/>
            <w:shd w:val="clear" w:color="auto" w:fill="auto"/>
            <w:vAlign w:val="center"/>
          </w:tcPr>
          <w:p w14:paraId="1D22891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w:t>
            </w:r>
          </w:p>
        </w:tc>
        <w:tc>
          <w:tcPr>
            <w:tcW w:w="1418" w:type="dxa"/>
            <w:vAlign w:val="center"/>
          </w:tcPr>
          <w:p w14:paraId="50F2E34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27B2073A" w14:textId="77777777" w:rsidTr="008144F7">
        <w:trPr>
          <w:cantSplit/>
          <w:trHeight w:val="20"/>
        </w:trPr>
        <w:tc>
          <w:tcPr>
            <w:tcW w:w="3227" w:type="dxa"/>
            <w:vMerge/>
            <w:shd w:val="clear" w:color="auto" w:fill="auto"/>
            <w:vAlign w:val="center"/>
            <w:hideMark/>
          </w:tcPr>
          <w:p w14:paraId="4423CC8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C6B1A23"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5 (Manufacturing processes in which mercury or mercury compounds are used)</w:t>
            </w:r>
          </w:p>
        </w:tc>
        <w:tc>
          <w:tcPr>
            <w:tcW w:w="1417" w:type="dxa"/>
            <w:shd w:val="clear" w:color="auto" w:fill="auto"/>
            <w:vAlign w:val="center"/>
          </w:tcPr>
          <w:p w14:paraId="23D66D2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74276DF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w:t>
            </w:r>
          </w:p>
        </w:tc>
      </w:tr>
      <w:tr w:rsidR="0037512A" w:rsidRPr="00361139" w14:paraId="1AEE4A71" w14:textId="77777777" w:rsidTr="008144F7">
        <w:trPr>
          <w:cantSplit/>
          <w:trHeight w:val="20"/>
        </w:trPr>
        <w:tc>
          <w:tcPr>
            <w:tcW w:w="3227" w:type="dxa"/>
            <w:vMerge/>
            <w:shd w:val="clear" w:color="auto" w:fill="auto"/>
            <w:vAlign w:val="center"/>
            <w:hideMark/>
          </w:tcPr>
          <w:p w14:paraId="73CC10F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76B3A5D9"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7 (Artisanal and small-scale gold mining)</w:t>
            </w:r>
          </w:p>
        </w:tc>
        <w:tc>
          <w:tcPr>
            <w:tcW w:w="1417" w:type="dxa"/>
            <w:shd w:val="clear" w:color="auto" w:fill="auto"/>
            <w:vAlign w:val="center"/>
          </w:tcPr>
          <w:p w14:paraId="64EE790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2BA603D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62F46839" w14:textId="77777777" w:rsidTr="008144F7">
        <w:trPr>
          <w:cantSplit/>
          <w:trHeight w:val="20"/>
        </w:trPr>
        <w:tc>
          <w:tcPr>
            <w:tcW w:w="3227" w:type="dxa"/>
            <w:vMerge/>
            <w:shd w:val="clear" w:color="auto" w:fill="auto"/>
            <w:vAlign w:val="center"/>
            <w:hideMark/>
          </w:tcPr>
          <w:p w14:paraId="42AA83C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28E4203"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8 (Emissions)</w:t>
            </w:r>
          </w:p>
        </w:tc>
        <w:tc>
          <w:tcPr>
            <w:tcW w:w="1417" w:type="dxa"/>
            <w:shd w:val="clear" w:color="auto" w:fill="auto"/>
            <w:vAlign w:val="center"/>
          </w:tcPr>
          <w:p w14:paraId="468722F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4955283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33%</w:t>
            </w:r>
          </w:p>
        </w:tc>
      </w:tr>
      <w:tr w:rsidR="0037512A" w:rsidRPr="00361139" w14:paraId="398835D7" w14:textId="77777777" w:rsidTr="008144F7">
        <w:trPr>
          <w:cantSplit/>
          <w:trHeight w:val="20"/>
        </w:trPr>
        <w:tc>
          <w:tcPr>
            <w:tcW w:w="3227" w:type="dxa"/>
            <w:vMerge/>
            <w:shd w:val="clear" w:color="auto" w:fill="auto"/>
            <w:vAlign w:val="center"/>
            <w:hideMark/>
          </w:tcPr>
          <w:p w14:paraId="554F2CE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597B27E2"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9 (Releases)</w:t>
            </w:r>
          </w:p>
        </w:tc>
        <w:tc>
          <w:tcPr>
            <w:tcW w:w="1417" w:type="dxa"/>
            <w:shd w:val="clear" w:color="auto" w:fill="auto"/>
            <w:vAlign w:val="center"/>
          </w:tcPr>
          <w:p w14:paraId="64B5F43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33680B5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33%</w:t>
            </w:r>
          </w:p>
        </w:tc>
      </w:tr>
      <w:tr w:rsidR="0037512A" w:rsidRPr="00361139" w14:paraId="0A8C135D" w14:textId="77777777" w:rsidTr="008144F7">
        <w:trPr>
          <w:cantSplit/>
          <w:trHeight w:val="20"/>
        </w:trPr>
        <w:tc>
          <w:tcPr>
            <w:tcW w:w="3227" w:type="dxa"/>
            <w:vMerge/>
            <w:shd w:val="clear" w:color="auto" w:fill="auto"/>
            <w:vAlign w:val="center"/>
            <w:hideMark/>
          </w:tcPr>
          <w:p w14:paraId="3986512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70E3E2B0"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10 (Environmentally sound interim storage of mercury, other than waste mercury)</w:t>
            </w:r>
          </w:p>
        </w:tc>
        <w:tc>
          <w:tcPr>
            <w:tcW w:w="1417" w:type="dxa"/>
            <w:shd w:val="clear" w:color="auto" w:fill="auto"/>
            <w:vAlign w:val="center"/>
          </w:tcPr>
          <w:p w14:paraId="717C698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4CE8658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14BA5C7E" w14:textId="77777777" w:rsidTr="008144F7">
        <w:trPr>
          <w:cantSplit/>
          <w:trHeight w:val="20"/>
        </w:trPr>
        <w:tc>
          <w:tcPr>
            <w:tcW w:w="3227" w:type="dxa"/>
            <w:vMerge/>
            <w:shd w:val="clear" w:color="auto" w:fill="auto"/>
            <w:vAlign w:val="center"/>
            <w:hideMark/>
          </w:tcPr>
          <w:p w14:paraId="3ACF7B0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44B07844"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11 (Mercury wastes)</w:t>
            </w:r>
          </w:p>
        </w:tc>
        <w:tc>
          <w:tcPr>
            <w:tcW w:w="1417" w:type="dxa"/>
            <w:shd w:val="clear" w:color="auto" w:fill="auto"/>
            <w:vAlign w:val="center"/>
          </w:tcPr>
          <w:p w14:paraId="41029AA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1BF4ADC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33%</w:t>
            </w:r>
          </w:p>
        </w:tc>
      </w:tr>
      <w:tr w:rsidR="0037512A" w:rsidRPr="00361139" w14:paraId="3E627AE2" w14:textId="77777777" w:rsidTr="008144F7">
        <w:trPr>
          <w:cantSplit/>
          <w:trHeight w:val="20"/>
        </w:trPr>
        <w:tc>
          <w:tcPr>
            <w:tcW w:w="3227" w:type="dxa"/>
            <w:vMerge/>
            <w:shd w:val="clear" w:color="auto" w:fill="auto"/>
            <w:vAlign w:val="center"/>
            <w:hideMark/>
          </w:tcPr>
          <w:p w14:paraId="4C7B1B0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9C8996F"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12 (Contaminated sites)</w:t>
            </w:r>
          </w:p>
        </w:tc>
        <w:tc>
          <w:tcPr>
            <w:tcW w:w="1417" w:type="dxa"/>
            <w:shd w:val="clear" w:color="auto" w:fill="auto"/>
            <w:vAlign w:val="center"/>
          </w:tcPr>
          <w:p w14:paraId="0FB3128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63DA079A"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7C06B477" w14:textId="77777777" w:rsidTr="008144F7">
        <w:trPr>
          <w:cantSplit/>
          <w:trHeight w:val="20"/>
        </w:trPr>
        <w:tc>
          <w:tcPr>
            <w:tcW w:w="3227" w:type="dxa"/>
            <w:vMerge/>
            <w:shd w:val="clear" w:color="auto" w:fill="auto"/>
            <w:vAlign w:val="center"/>
            <w:hideMark/>
          </w:tcPr>
          <w:p w14:paraId="63110512"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1EFC5CA2"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16 (Health aspects)</w:t>
            </w:r>
          </w:p>
        </w:tc>
        <w:tc>
          <w:tcPr>
            <w:tcW w:w="1417" w:type="dxa"/>
            <w:shd w:val="clear" w:color="auto" w:fill="auto"/>
            <w:vAlign w:val="center"/>
          </w:tcPr>
          <w:p w14:paraId="527A653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3C89582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17%</w:t>
            </w:r>
          </w:p>
        </w:tc>
      </w:tr>
      <w:tr w:rsidR="0037512A" w:rsidRPr="00361139" w14:paraId="1EEFACA8" w14:textId="77777777" w:rsidTr="008144F7">
        <w:trPr>
          <w:cantSplit/>
          <w:trHeight w:val="20"/>
        </w:trPr>
        <w:tc>
          <w:tcPr>
            <w:tcW w:w="3227" w:type="dxa"/>
            <w:vMerge/>
            <w:shd w:val="clear" w:color="auto" w:fill="auto"/>
            <w:vAlign w:val="center"/>
            <w:hideMark/>
          </w:tcPr>
          <w:p w14:paraId="2846283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68106D1"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17 (Information exchange)</w:t>
            </w:r>
          </w:p>
        </w:tc>
        <w:tc>
          <w:tcPr>
            <w:tcW w:w="1417" w:type="dxa"/>
            <w:shd w:val="clear" w:color="auto" w:fill="auto"/>
            <w:vAlign w:val="center"/>
          </w:tcPr>
          <w:p w14:paraId="3EEF550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w:t>
            </w:r>
          </w:p>
        </w:tc>
        <w:tc>
          <w:tcPr>
            <w:tcW w:w="1418" w:type="dxa"/>
            <w:vAlign w:val="center"/>
          </w:tcPr>
          <w:p w14:paraId="7E9E6E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42%</w:t>
            </w:r>
          </w:p>
        </w:tc>
      </w:tr>
      <w:tr w:rsidR="0037512A" w:rsidRPr="00361139" w14:paraId="1738FADA" w14:textId="77777777" w:rsidTr="008144F7">
        <w:trPr>
          <w:cantSplit/>
          <w:trHeight w:val="20"/>
        </w:trPr>
        <w:tc>
          <w:tcPr>
            <w:tcW w:w="3227" w:type="dxa"/>
            <w:vMerge/>
            <w:shd w:val="clear" w:color="auto" w:fill="auto"/>
            <w:vAlign w:val="center"/>
            <w:hideMark/>
          </w:tcPr>
          <w:p w14:paraId="6BBF5FC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7CB3336"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18 (Public information, awareness and education)</w:t>
            </w:r>
          </w:p>
        </w:tc>
        <w:tc>
          <w:tcPr>
            <w:tcW w:w="1417" w:type="dxa"/>
            <w:shd w:val="clear" w:color="auto" w:fill="auto"/>
            <w:vAlign w:val="center"/>
          </w:tcPr>
          <w:p w14:paraId="39785C4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7</w:t>
            </w:r>
          </w:p>
        </w:tc>
        <w:tc>
          <w:tcPr>
            <w:tcW w:w="1418" w:type="dxa"/>
            <w:vAlign w:val="center"/>
          </w:tcPr>
          <w:p w14:paraId="597922C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58%</w:t>
            </w:r>
          </w:p>
        </w:tc>
      </w:tr>
      <w:tr w:rsidR="0037512A" w:rsidRPr="00361139" w14:paraId="64BE98CE" w14:textId="77777777" w:rsidTr="008144F7">
        <w:trPr>
          <w:cantSplit/>
          <w:trHeight w:val="20"/>
        </w:trPr>
        <w:tc>
          <w:tcPr>
            <w:tcW w:w="3227" w:type="dxa"/>
            <w:vMerge/>
            <w:shd w:val="clear" w:color="auto" w:fill="auto"/>
            <w:vAlign w:val="center"/>
            <w:hideMark/>
          </w:tcPr>
          <w:p w14:paraId="7FFC31A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0909667B"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19 (Research, development and monitoring)</w:t>
            </w:r>
          </w:p>
        </w:tc>
        <w:tc>
          <w:tcPr>
            <w:tcW w:w="1417" w:type="dxa"/>
            <w:shd w:val="clear" w:color="auto" w:fill="auto"/>
            <w:vAlign w:val="center"/>
          </w:tcPr>
          <w:p w14:paraId="48AD209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34C7817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33%</w:t>
            </w:r>
          </w:p>
        </w:tc>
      </w:tr>
      <w:tr w:rsidR="0037512A" w:rsidRPr="00361139" w14:paraId="590BB1A7" w14:textId="77777777" w:rsidTr="008144F7">
        <w:trPr>
          <w:cantSplit/>
          <w:trHeight w:val="20"/>
        </w:trPr>
        <w:tc>
          <w:tcPr>
            <w:tcW w:w="3227" w:type="dxa"/>
            <w:vMerge/>
            <w:shd w:val="clear" w:color="auto" w:fill="auto"/>
            <w:vAlign w:val="center"/>
            <w:hideMark/>
          </w:tcPr>
          <w:p w14:paraId="7EF90A3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330A226C"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20 (Implementation plans)</w:t>
            </w:r>
          </w:p>
        </w:tc>
        <w:tc>
          <w:tcPr>
            <w:tcW w:w="1417" w:type="dxa"/>
            <w:shd w:val="clear" w:color="auto" w:fill="auto"/>
            <w:vAlign w:val="center"/>
          </w:tcPr>
          <w:p w14:paraId="26D74A8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2C51CBF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17%</w:t>
            </w:r>
          </w:p>
        </w:tc>
      </w:tr>
      <w:tr w:rsidR="0037512A" w:rsidRPr="00361139" w14:paraId="69989C2F" w14:textId="77777777" w:rsidTr="008144F7">
        <w:trPr>
          <w:cantSplit/>
          <w:trHeight w:val="20"/>
        </w:trPr>
        <w:tc>
          <w:tcPr>
            <w:tcW w:w="3227" w:type="dxa"/>
            <w:vMerge/>
            <w:shd w:val="clear" w:color="auto" w:fill="auto"/>
            <w:vAlign w:val="center"/>
            <w:hideMark/>
          </w:tcPr>
          <w:p w14:paraId="30AB407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34D4E52E"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Article 21 (Reporting)</w:t>
            </w:r>
          </w:p>
        </w:tc>
        <w:tc>
          <w:tcPr>
            <w:tcW w:w="1417" w:type="dxa"/>
            <w:shd w:val="clear" w:color="auto" w:fill="auto"/>
            <w:vAlign w:val="center"/>
          </w:tcPr>
          <w:p w14:paraId="6668E84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61A3F27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25%</w:t>
            </w:r>
          </w:p>
        </w:tc>
      </w:tr>
      <w:tr w:rsidR="0037512A" w:rsidRPr="00361139" w14:paraId="0D07D16F" w14:textId="77777777" w:rsidTr="008144F7">
        <w:trPr>
          <w:cantSplit/>
          <w:trHeight w:val="20"/>
        </w:trPr>
        <w:tc>
          <w:tcPr>
            <w:tcW w:w="3227" w:type="dxa"/>
            <w:vMerge/>
            <w:shd w:val="clear" w:color="auto" w:fill="auto"/>
            <w:vAlign w:val="center"/>
            <w:hideMark/>
          </w:tcPr>
          <w:p w14:paraId="1EACADB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61900104"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None of the above</w:t>
            </w:r>
          </w:p>
        </w:tc>
        <w:tc>
          <w:tcPr>
            <w:tcW w:w="1417" w:type="dxa"/>
            <w:shd w:val="clear" w:color="auto" w:fill="auto"/>
            <w:vAlign w:val="center"/>
          </w:tcPr>
          <w:p w14:paraId="6C83EC9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1C192E0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w:t>
            </w:r>
          </w:p>
        </w:tc>
      </w:tr>
      <w:tr w:rsidR="0037512A" w:rsidRPr="00361139" w14:paraId="59F32761" w14:textId="77777777" w:rsidTr="008144F7">
        <w:trPr>
          <w:cantSplit/>
          <w:trHeight w:val="20"/>
        </w:trPr>
        <w:tc>
          <w:tcPr>
            <w:tcW w:w="3227" w:type="dxa"/>
            <w:vMerge/>
            <w:shd w:val="clear" w:color="auto" w:fill="auto"/>
            <w:vAlign w:val="center"/>
            <w:hideMark/>
          </w:tcPr>
          <w:p w14:paraId="7FFA51B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11D8A69"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2553A92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158CE9D4" w14:textId="77777777" w:rsidR="0037512A" w:rsidRPr="00361139" w:rsidRDefault="0037512A" w:rsidP="008144F7">
            <w:pPr>
              <w:spacing w:before="120" w:after="120"/>
              <w:ind w:left="57" w:right="57"/>
              <w:jc w:val="right"/>
              <w:rPr>
                <w:rFonts w:asciiTheme="majorBidi" w:hAnsiTheme="majorBidi" w:cstheme="majorBidi"/>
                <w:i/>
                <w:sz w:val="18"/>
                <w:szCs w:val="18"/>
              </w:rPr>
            </w:pPr>
          </w:p>
        </w:tc>
      </w:tr>
      <w:tr w:rsidR="0037512A" w:rsidRPr="00361139" w14:paraId="0B754A62" w14:textId="77777777" w:rsidTr="008144F7">
        <w:trPr>
          <w:cantSplit/>
          <w:trHeight w:val="20"/>
        </w:trPr>
        <w:tc>
          <w:tcPr>
            <w:tcW w:w="3227" w:type="dxa"/>
            <w:vMerge w:val="restart"/>
            <w:shd w:val="clear" w:color="auto" w:fill="auto"/>
            <w:vAlign w:val="center"/>
            <w:hideMark/>
          </w:tcPr>
          <w:p w14:paraId="603AAB5F"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Did the </w:t>
            </w:r>
            <w:r w:rsidRPr="00361139">
              <w:rPr>
                <w:rFonts w:asciiTheme="majorBidi" w:hAnsiTheme="majorBidi" w:cstheme="majorBidi"/>
                <w:b/>
                <w:sz w:val="18"/>
                <w:szCs w:val="18"/>
              </w:rPr>
              <w:t>SIP funded project(s)</w:t>
            </w:r>
            <w:r w:rsidRPr="00361139">
              <w:rPr>
                <w:rFonts w:asciiTheme="majorBidi" w:hAnsiTheme="majorBidi" w:cstheme="majorBidi"/>
                <w:sz w:val="18"/>
                <w:szCs w:val="18"/>
              </w:rPr>
              <w:t xml:space="preserve"> contribute to </w:t>
            </w:r>
            <w:r w:rsidRPr="00361139">
              <w:rPr>
                <w:rFonts w:asciiTheme="majorBidi" w:hAnsiTheme="majorBidi" w:cstheme="majorBidi"/>
                <w:b/>
                <w:sz w:val="18"/>
                <w:szCs w:val="18"/>
              </w:rPr>
              <w:t>mobilize additional financial resources</w:t>
            </w:r>
            <w:r w:rsidRPr="00361139">
              <w:rPr>
                <w:rFonts w:asciiTheme="majorBidi" w:hAnsiTheme="majorBidi" w:cstheme="majorBidi"/>
                <w:sz w:val="18"/>
                <w:szCs w:val="18"/>
              </w:rPr>
              <w:t xml:space="preserve"> toward implementing the Convention? In case of a positive answer, what was their </w:t>
            </w:r>
            <w:proofErr w:type="gramStart"/>
            <w:r w:rsidRPr="00361139">
              <w:rPr>
                <w:rFonts w:asciiTheme="majorBidi" w:hAnsiTheme="majorBidi" w:cstheme="majorBidi"/>
                <w:sz w:val="18"/>
                <w:szCs w:val="18"/>
              </w:rPr>
              <w:t>amount?*</w:t>
            </w:r>
            <w:proofErr w:type="gramEnd"/>
          </w:p>
        </w:tc>
        <w:tc>
          <w:tcPr>
            <w:tcW w:w="3118" w:type="dxa"/>
            <w:shd w:val="clear" w:color="auto" w:fill="auto"/>
            <w:vAlign w:val="center"/>
            <w:hideMark/>
          </w:tcPr>
          <w:p w14:paraId="45CD545F"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12A99D3"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11</w:t>
            </w:r>
          </w:p>
        </w:tc>
        <w:tc>
          <w:tcPr>
            <w:tcW w:w="1418" w:type="dxa"/>
            <w:vAlign w:val="center"/>
          </w:tcPr>
          <w:p w14:paraId="0A5C2147"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1A09253C" w14:textId="77777777" w:rsidTr="008144F7">
        <w:trPr>
          <w:cantSplit/>
          <w:trHeight w:val="20"/>
        </w:trPr>
        <w:tc>
          <w:tcPr>
            <w:tcW w:w="3227" w:type="dxa"/>
            <w:vMerge/>
            <w:shd w:val="clear" w:color="auto" w:fill="auto"/>
            <w:vAlign w:val="center"/>
            <w:hideMark/>
          </w:tcPr>
          <w:p w14:paraId="2DB33DD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0570E7B"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36D36E2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6836D15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18%</w:t>
            </w:r>
          </w:p>
        </w:tc>
      </w:tr>
      <w:tr w:rsidR="0037512A" w:rsidRPr="00361139" w14:paraId="14415533" w14:textId="77777777" w:rsidTr="008144F7">
        <w:trPr>
          <w:cantSplit/>
          <w:trHeight w:val="20"/>
        </w:trPr>
        <w:tc>
          <w:tcPr>
            <w:tcW w:w="3227" w:type="dxa"/>
            <w:vMerge/>
            <w:shd w:val="clear" w:color="auto" w:fill="auto"/>
            <w:vAlign w:val="center"/>
            <w:hideMark/>
          </w:tcPr>
          <w:p w14:paraId="6BE63E9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AFC3837"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39057E8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9</w:t>
            </w:r>
          </w:p>
        </w:tc>
        <w:tc>
          <w:tcPr>
            <w:tcW w:w="1418" w:type="dxa"/>
            <w:vAlign w:val="center"/>
          </w:tcPr>
          <w:p w14:paraId="22D303B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82%</w:t>
            </w:r>
          </w:p>
        </w:tc>
      </w:tr>
      <w:tr w:rsidR="0037512A" w:rsidRPr="00361139" w14:paraId="07734BAC" w14:textId="77777777" w:rsidTr="008144F7">
        <w:trPr>
          <w:cantSplit/>
          <w:trHeight w:val="20"/>
        </w:trPr>
        <w:tc>
          <w:tcPr>
            <w:tcW w:w="9180" w:type="dxa"/>
            <w:gridSpan w:val="4"/>
            <w:shd w:val="clear" w:color="auto" w:fill="B6DDE8"/>
            <w:vAlign w:val="center"/>
            <w:hideMark/>
          </w:tcPr>
          <w:p w14:paraId="296E4C56"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all respondents in this section continued to section 2d.</w:t>
            </w:r>
          </w:p>
        </w:tc>
      </w:tr>
      <w:tr w:rsidR="0037512A" w:rsidRPr="00361139" w14:paraId="2106A489" w14:textId="77777777" w:rsidTr="008144F7">
        <w:trPr>
          <w:cantSplit/>
          <w:trHeight w:val="20"/>
        </w:trPr>
        <w:tc>
          <w:tcPr>
            <w:tcW w:w="9180" w:type="dxa"/>
            <w:gridSpan w:val="4"/>
            <w:shd w:val="clear" w:color="auto" w:fill="auto"/>
            <w:vAlign w:val="center"/>
            <w:hideMark/>
          </w:tcPr>
          <w:p w14:paraId="6D2AC373"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2(d) – All Parties having requested the support of the Specific International Programme (SIP)</w:t>
            </w:r>
          </w:p>
          <w:p w14:paraId="1C98F4F0" w14:textId="77777777" w:rsidR="0037512A" w:rsidRPr="00361139" w:rsidRDefault="0037512A" w:rsidP="008144F7">
            <w:pPr>
              <w:spacing w:before="120" w:after="120"/>
              <w:ind w:left="57" w:right="57"/>
              <w:rPr>
                <w:rFonts w:asciiTheme="majorBidi" w:hAnsiTheme="majorBidi" w:cstheme="majorBidi"/>
                <w:b/>
                <w:bCs/>
                <w:iCs/>
                <w:sz w:val="18"/>
                <w:szCs w:val="18"/>
              </w:rPr>
            </w:pPr>
            <w:r w:rsidRPr="00361139">
              <w:rPr>
                <w:rFonts w:asciiTheme="majorBidi" w:hAnsiTheme="majorBidi" w:cstheme="majorBidi"/>
                <w:b/>
                <w:bCs/>
                <w:iCs/>
                <w:sz w:val="18"/>
                <w:szCs w:val="18"/>
              </w:rPr>
              <w:t xml:space="preserve">Please help us to better understand your experience in requesting funding through the </w:t>
            </w:r>
            <w:r w:rsidRPr="00361139">
              <w:rPr>
                <w:rFonts w:asciiTheme="majorBidi" w:hAnsiTheme="majorBidi" w:cstheme="majorBidi"/>
                <w:b/>
                <w:bCs/>
                <w:sz w:val="18"/>
                <w:szCs w:val="18"/>
              </w:rPr>
              <w:t>Specific International Programme (SIP)</w:t>
            </w:r>
            <w:r w:rsidRPr="00361139">
              <w:rPr>
                <w:rFonts w:asciiTheme="majorBidi" w:hAnsiTheme="majorBidi" w:cstheme="majorBidi"/>
                <w:b/>
                <w:bCs/>
                <w:iCs/>
                <w:sz w:val="18"/>
                <w:szCs w:val="18"/>
              </w:rPr>
              <w:t xml:space="preserve"> of the Financial Mechanism</w:t>
            </w:r>
          </w:p>
          <w:p w14:paraId="32F94CDE" w14:textId="77777777" w:rsidR="0037512A" w:rsidRPr="00361139" w:rsidRDefault="0037512A" w:rsidP="008144F7">
            <w:pPr>
              <w:spacing w:before="120" w:after="120"/>
              <w:ind w:left="57" w:right="57"/>
              <w:rPr>
                <w:rFonts w:asciiTheme="majorBidi" w:hAnsiTheme="majorBidi" w:cstheme="majorBidi"/>
                <w:i/>
                <w:sz w:val="18"/>
                <w:szCs w:val="18"/>
              </w:rPr>
            </w:pPr>
            <w:r w:rsidRPr="00361139">
              <w:rPr>
                <w:rFonts w:asciiTheme="majorBidi" w:hAnsiTheme="majorBidi" w:cstheme="majorBidi"/>
                <w:i/>
                <w:sz w:val="18"/>
                <w:szCs w:val="18"/>
              </w:rPr>
              <w:t xml:space="preserve">According to the Terms of reference for the second review of the financial mechanism (as detailed in the Annex to decision MC-4/7), the review will include, inter alia, an analysis of the </w:t>
            </w:r>
            <w:r w:rsidRPr="00361139">
              <w:rPr>
                <w:rFonts w:asciiTheme="majorBidi" w:hAnsiTheme="majorBidi" w:cstheme="majorBidi"/>
                <w:b/>
                <w:i/>
                <w:sz w:val="18"/>
                <w:szCs w:val="18"/>
              </w:rPr>
              <w:t>efficiency and effectiveness of the Specific International Programme (SIP)</w:t>
            </w:r>
            <w:r w:rsidRPr="00361139">
              <w:rPr>
                <w:rFonts w:asciiTheme="majorBidi" w:hAnsiTheme="majorBidi" w:cstheme="majorBidi"/>
                <w:i/>
                <w:sz w:val="18"/>
                <w:szCs w:val="18"/>
              </w:rPr>
              <w:t xml:space="preserve"> in its capacity as one of the entities entrusted with the operation of the financial mechanism.</w:t>
            </w:r>
          </w:p>
        </w:tc>
      </w:tr>
      <w:tr w:rsidR="0037512A" w:rsidRPr="00361139" w14:paraId="0275D325" w14:textId="77777777" w:rsidTr="008144F7">
        <w:trPr>
          <w:cantSplit/>
          <w:trHeight w:val="20"/>
        </w:trPr>
        <w:tc>
          <w:tcPr>
            <w:tcW w:w="3227" w:type="dxa"/>
            <w:vMerge w:val="restart"/>
            <w:shd w:val="clear" w:color="auto" w:fill="auto"/>
            <w:vAlign w:val="center"/>
            <w:hideMark/>
          </w:tcPr>
          <w:p w14:paraId="16E2E4FA"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efficiency</w:t>
            </w:r>
            <w:r w:rsidRPr="00361139">
              <w:rPr>
                <w:rFonts w:asciiTheme="majorBidi" w:hAnsiTheme="majorBidi" w:cstheme="majorBidi"/>
                <w:sz w:val="18"/>
                <w:szCs w:val="18"/>
              </w:rPr>
              <w:t xml:space="preserve"> and the </w:t>
            </w:r>
            <w:r w:rsidRPr="00361139">
              <w:rPr>
                <w:rStyle w:val="Emphasis"/>
                <w:rFonts w:asciiTheme="majorBidi" w:hAnsiTheme="majorBidi" w:cstheme="majorBidi"/>
                <w:sz w:val="18"/>
                <w:szCs w:val="18"/>
              </w:rPr>
              <w:t>effectiveness</w:t>
            </w:r>
            <w:r w:rsidRPr="00361139">
              <w:rPr>
                <w:rFonts w:asciiTheme="majorBidi" w:hAnsiTheme="majorBidi" w:cstheme="majorBidi"/>
                <w:sz w:val="18"/>
                <w:szCs w:val="18"/>
              </w:rPr>
              <w:t xml:space="preserve"> of the </w:t>
            </w:r>
            <w:r w:rsidRPr="00361139">
              <w:rPr>
                <w:rStyle w:val="Strong"/>
                <w:rFonts w:asciiTheme="majorBidi" w:hAnsiTheme="majorBidi" w:cstheme="majorBidi"/>
                <w:iCs/>
                <w:sz w:val="18"/>
                <w:szCs w:val="18"/>
              </w:rPr>
              <w:t>SIP</w:t>
            </w:r>
            <w:r w:rsidRPr="00361139">
              <w:rPr>
                <w:rFonts w:asciiTheme="majorBidi" w:hAnsiTheme="majorBidi" w:cstheme="majorBidi"/>
                <w:sz w:val="18"/>
                <w:szCs w:val="18"/>
              </w:rPr>
              <w:t xml:space="preserve"> during the time period covered by the 2nd Review of the Financial Mechanism (August 2019 to July 2022) in its capacity as one of the entities entrusted with the operation of the financial </w:t>
            </w:r>
            <w:proofErr w:type="gramStart"/>
            <w:r w:rsidRPr="00361139">
              <w:rPr>
                <w:rFonts w:asciiTheme="majorBidi" w:hAnsiTheme="majorBidi" w:cstheme="majorBidi"/>
                <w:sz w:val="18"/>
                <w:szCs w:val="18"/>
              </w:rPr>
              <w:t>mechanism?*</w:t>
            </w:r>
            <w:proofErr w:type="gramEnd"/>
          </w:p>
        </w:tc>
        <w:tc>
          <w:tcPr>
            <w:tcW w:w="3118" w:type="dxa"/>
            <w:shd w:val="clear" w:color="auto" w:fill="auto"/>
            <w:vAlign w:val="center"/>
            <w:hideMark/>
          </w:tcPr>
          <w:p w14:paraId="1977100F"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07AFBCA2"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17</w:t>
            </w:r>
          </w:p>
        </w:tc>
        <w:tc>
          <w:tcPr>
            <w:tcW w:w="1418" w:type="dxa"/>
            <w:vAlign w:val="center"/>
          </w:tcPr>
          <w:p w14:paraId="7BE45AA1"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3638ADDF" w14:textId="77777777" w:rsidTr="008144F7">
        <w:trPr>
          <w:cantSplit/>
          <w:trHeight w:val="20"/>
        </w:trPr>
        <w:tc>
          <w:tcPr>
            <w:tcW w:w="3227" w:type="dxa"/>
            <w:vMerge/>
            <w:shd w:val="clear" w:color="auto" w:fill="auto"/>
            <w:vAlign w:val="center"/>
            <w:hideMark/>
          </w:tcPr>
          <w:p w14:paraId="7D31E14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D9C020F" w14:textId="77777777" w:rsidR="0037512A" w:rsidRPr="00361139" w:rsidRDefault="0037512A" w:rsidP="008144F7">
            <w:pPr>
              <w:tabs>
                <w:tab w:val="left" w:pos="1134"/>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Efficiency</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6508033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3.71/5</w:t>
            </w:r>
          </w:p>
        </w:tc>
        <w:tc>
          <w:tcPr>
            <w:tcW w:w="1418" w:type="dxa"/>
            <w:vAlign w:val="center"/>
          </w:tcPr>
          <w:p w14:paraId="7F713CD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74%</w:t>
            </w:r>
          </w:p>
        </w:tc>
      </w:tr>
      <w:tr w:rsidR="0037512A" w:rsidRPr="00361139" w14:paraId="3C4F1628" w14:textId="77777777" w:rsidTr="008144F7">
        <w:trPr>
          <w:cantSplit/>
          <w:trHeight w:val="20"/>
        </w:trPr>
        <w:tc>
          <w:tcPr>
            <w:tcW w:w="3227" w:type="dxa"/>
            <w:vMerge/>
            <w:shd w:val="clear" w:color="auto" w:fill="auto"/>
            <w:vAlign w:val="center"/>
            <w:hideMark/>
          </w:tcPr>
          <w:p w14:paraId="377317D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5671036"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Effectiveness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6DE5D7C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3.71/5</w:t>
            </w:r>
          </w:p>
        </w:tc>
        <w:tc>
          <w:tcPr>
            <w:tcW w:w="1418" w:type="dxa"/>
            <w:vAlign w:val="center"/>
          </w:tcPr>
          <w:p w14:paraId="259410A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74%</w:t>
            </w:r>
          </w:p>
        </w:tc>
      </w:tr>
      <w:tr w:rsidR="0037512A" w:rsidRPr="00361139" w14:paraId="1C3B7217" w14:textId="77777777" w:rsidTr="008144F7">
        <w:trPr>
          <w:cantSplit/>
          <w:trHeight w:val="20"/>
        </w:trPr>
        <w:tc>
          <w:tcPr>
            <w:tcW w:w="3227" w:type="dxa"/>
            <w:vMerge/>
            <w:shd w:val="clear" w:color="auto" w:fill="auto"/>
            <w:vAlign w:val="center"/>
            <w:hideMark/>
          </w:tcPr>
          <w:p w14:paraId="4111C74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218062D"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EB1DC7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1862AAB4"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74CE4879" w14:textId="77777777" w:rsidTr="008144F7">
        <w:trPr>
          <w:cantSplit/>
          <w:trHeight w:val="20"/>
        </w:trPr>
        <w:tc>
          <w:tcPr>
            <w:tcW w:w="9180" w:type="dxa"/>
            <w:gridSpan w:val="4"/>
            <w:tcBorders>
              <w:bottom w:val="single" w:sz="4" w:space="0" w:color="auto"/>
            </w:tcBorders>
            <w:shd w:val="clear" w:color="auto" w:fill="auto"/>
            <w:vAlign w:val="center"/>
            <w:hideMark/>
          </w:tcPr>
          <w:p w14:paraId="2F94A6C3" w14:textId="77777777" w:rsidR="0037512A" w:rsidRPr="00361139" w:rsidRDefault="0037512A" w:rsidP="008144F7">
            <w:pPr>
              <w:spacing w:before="120" w:after="120"/>
              <w:ind w:left="57" w:right="57"/>
              <w:rPr>
                <w:rFonts w:asciiTheme="majorBidi" w:hAnsiTheme="majorBidi" w:cstheme="majorBidi"/>
                <w:b/>
                <w:sz w:val="18"/>
                <w:szCs w:val="18"/>
              </w:rPr>
            </w:pPr>
            <w:r w:rsidRPr="00361139">
              <w:rPr>
                <w:rStyle w:val="Emphasis"/>
                <w:rFonts w:asciiTheme="majorBidi" w:hAnsiTheme="majorBidi" w:cstheme="majorBidi"/>
                <w:sz w:val="18"/>
                <w:szCs w:val="18"/>
              </w:rPr>
              <w:t>According to the same Terms of reference, the review will include, inter alia, an analysis of the “simplicity, flexibility and expeditiousness of the procedures for accessing funds and for implementing and reporting on projects</w:t>
            </w:r>
            <w:proofErr w:type="gramStart"/>
            <w:r w:rsidRPr="00361139">
              <w:rPr>
                <w:rStyle w:val="Emphasis"/>
                <w:rFonts w:asciiTheme="majorBidi" w:hAnsiTheme="majorBidi" w:cstheme="majorBidi"/>
                <w:sz w:val="18"/>
                <w:szCs w:val="18"/>
              </w:rPr>
              <w:t>” .</w:t>
            </w:r>
            <w:proofErr w:type="gramEnd"/>
          </w:p>
        </w:tc>
      </w:tr>
      <w:tr w:rsidR="0037512A" w:rsidRPr="00361139" w14:paraId="1DF52384" w14:textId="77777777" w:rsidTr="008144F7">
        <w:trPr>
          <w:cantSplit/>
          <w:trHeight w:val="20"/>
        </w:trPr>
        <w:tc>
          <w:tcPr>
            <w:tcW w:w="3227" w:type="dxa"/>
            <w:vMerge w:val="restart"/>
            <w:tcBorders>
              <w:top w:val="nil"/>
            </w:tcBorders>
            <w:shd w:val="clear" w:color="auto" w:fill="auto"/>
            <w:vAlign w:val="center"/>
            <w:hideMark/>
          </w:tcPr>
          <w:p w14:paraId="28BF4EA8"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Fonts w:asciiTheme="majorBidi" w:hAnsiTheme="majorBidi" w:cstheme="majorBidi"/>
                <w:b/>
                <w:sz w:val="18"/>
                <w:szCs w:val="18"/>
              </w:rPr>
              <w:t>simplicity</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Specific International Programme (SIP</w:t>
            </w:r>
            <w:proofErr w:type="gramStart"/>
            <w:r w:rsidRPr="00361139">
              <w:rPr>
                <w:rFonts w:asciiTheme="majorBidi" w:hAnsiTheme="majorBidi" w:cstheme="majorBidi"/>
                <w:b/>
                <w:sz w:val="18"/>
                <w:szCs w:val="18"/>
              </w:rPr>
              <w:t>)</w:t>
            </w:r>
            <w:r w:rsidRPr="00361139">
              <w:rPr>
                <w:rFonts w:asciiTheme="majorBidi" w:hAnsiTheme="majorBidi" w:cstheme="majorBidi"/>
                <w:sz w:val="18"/>
                <w:szCs w:val="18"/>
              </w:rPr>
              <w:t>?*</w:t>
            </w:r>
            <w:proofErr w:type="gramEnd"/>
          </w:p>
        </w:tc>
        <w:tc>
          <w:tcPr>
            <w:tcW w:w="3118" w:type="dxa"/>
            <w:tcBorders>
              <w:top w:val="nil"/>
            </w:tcBorders>
            <w:shd w:val="clear" w:color="auto" w:fill="auto"/>
            <w:vAlign w:val="center"/>
            <w:hideMark/>
          </w:tcPr>
          <w:p w14:paraId="4E3950E2"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tcBorders>
              <w:top w:val="nil"/>
            </w:tcBorders>
            <w:shd w:val="clear" w:color="auto" w:fill="auto"/>
            <w:vAlign w:val="center"/>
          </w:tcPr>
          <w:p w14:paraId="07E0BD61"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17</w:t>
            </w:r>
          </w:p>
        </w:tc>
        <w:tc>
          <w:tcPr>
            <w:tcW w:w="1418" w:type="dxa"/>
            <w:tcBorders>
              <w:top w:val="nil"/>
            </w:tcBorders>
            <w:vAlign w:val="center"/>
          </w:tcPr>
          <w:p w14:paraId="53CDEC75"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16F1B505" w14:textId="77777777" w:rsidTr="008144F7">
        <w:trPr>
          <w:cantSplit/>
          <w:trHeight w:val="20"/>
        </w:trPr>
        <w:tc>
          <w:tcPr>
            <w:tcW w:w="3227" w:type="dxa"/>
            <w:vMerge/>
            <w:shd w:val="clear" w:color="auto" w:fill="auto"/>
            <w:vAlign w:val="center"/>
            <w:hideMark/>
          </w:tcPr>
          <w:p w14:paraId="60603EB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52E26C"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Simplicity of accessing project(s) funds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71C5314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3.12/5</w:t>
            </w:r>
          </w:p>
        </w:tc>
        <w:tc>
          <w:tcPr>
            <w:tcW w:w="1418" w:type="dxa"/>
            <w:vAlign w:val="center"/>
          </w:tcPr>
          <w:p w14:paraId="3501890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62%</w:t>
            </w:r>
          </w:p>
        </w:tc>
      </w:tr>
      <w:tr w:rsidR="0037512A" w:rsidRPr="00361139" w14:paraId="4F11425A" w14:textId="77777777" w:rsidTr="008144F7">
        <w:trPr>
          <w:cantSplit/>
          <w:trHeight w:val="20"/>
        </w:trPr>
        <w:tc>
          <w:tcPr>
            <w:tcW w:w="3227" w:type="dxa"/>
            <w:vMerge/>
            <w:shd w:val="clear" w:color="auto" w:fill="auto"/>
            <w:vAlign w:val="center"/>
            <w:hideMark/>
          </w:tcPr>
          <w:p w14:paraId="51BA497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2A26E51"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Simplicity of implementing the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C6F09D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3.50/5</w:t>
            </w:r>
          </w:p>
        </w:tc>
        <w:tc>
          <w:tcPr>
            <w:tcW w:w="1418" w:type="dxa"/>
            <w:vAlign w:val="center"/>
          </w:tcPr>
          <w:p w14:paraId="2AD8827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70%</w:t>
            </w:r>
          </w:p>
        </w:tc>
      </w:tr>
      <w:tr w:rsidR="0037512A" w:rsidRPr="00361139" w14:paraId="738D4FB5" w14:textId="77777777" w:rsidTr="008144F7">
        <w:trPr>
          <w:cantSplit/>
          <w:trHeight w:val="20"/>
        </w:trPr>
        <w:tc>
          <w:tcPr>
            <w:tcW w:w="3227" w:type="dxa"/>
            <w:vMerge/>
            <w:shd w:val="clear" w:color="auto" w:fill="auto"/>
            <w:vAlign w:val="center"/>
            <w:hideMark/>
          </w:tcPr>
          <w:p w14:paraId="642B68F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0667F47"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Simplicity of reporting on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272DC5C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3.36/5</w:t>
            </w:r>
          </w:p>
        </w:tc>
        <w:tc>
          <w:tcPr>
            <w:tcW w:w="1418" w:type="dxa"/>
            <w:vAlign w:val="center"/>
          </w:tcPr>
          <w:p w14:paraId="2209F874"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67%</w:t>
            </w:r>
          </w:p>
        </w:tc>
      </w:tr>
      <w:tr w:rsidR="0037512A" w:rsidRPr="00361139" w14:paraId="550072E9" w14:textId="77777777" w:rsidTr="008144F7">
        <w:trPr>
          <w:cantSplit/>
          <w:trHeight w:val="20"/>
        </w:trPr>
        <w:tc>
          <w:tcPr>
            <w:tcW w:w="3227" w:type="dxa"/>
            <w:vMerge/>
            <w:shd w:val="clear" w:color="auto" w:fill="auto"/>
            <w:vAlign w:val="center"/>
            <w:hideMark/>
          </w:tcPr>
          <w:p w14:paraId="0F37BD3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8633841"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171FBD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7 comments</w:t>
            </w:r>
          </w:p>
        </w:tc>
        <w:tc>
          <w:tcPr>
            <w:tcW w:w="1418" w:type="dxa"/>
            <w:vAlign w:val="center"/>
          </w:tcPr>
          <w:p w14:paraId="4CD65179"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10481263" w14:textId="77777777" w:rsidTr="008144F7">
        <w:trPr>
          <w:cantSplit/>
          <w:trHeight w:val="20"/>
        </w:trPr>
        <w:tc>
          <w:tcPr>
            <w:tcW w:w="3227" w:type="dxa"/>
            <w:vMerge w:val="restart"/>
            <w:shd w:val="clear" w:color="auto" w:fill="auto"/>
            <w:vAlign w:val="center"/>
            <w:hideMark/>
          </w:tcPr>
          <w:p w14:paraId="0D453A53"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Specific International Programme (SIP</w:t>
            </w:r>
            <w:proofErr w:type="gramStart"/>
            <w:r w:rsidRPr="00361139">
              <w:rPr>
                <w:rFonts w:asciiTheme="majorBidi" w:hAnsiTheme="majorBidi" w:cstheme="majorBidi"/>
                <w:b/>
                <w:sz w:val="18"/>
                <w:szCs w:val="18"/>
              </w:rPr>
              <w:t>)</w:t>
            </w:r>
            <w:r w:rsidRPr="00361139">
              <w:rPr>
                <w:rFonts w:asciiTheme="majorBidi" w:hAnsiTheme="majorBidi" w:cstheme="majorBidi"/>
                <w:sz w:val="18"/>
                <w:szCs w:val="18"/>
              </w:rPr>
              <w:t>?*</w:t>
            </w:r>
            <w:proofErr w:type="gramEnd"/>
          </w:p>
        </w:tc>
        <w:tc>
          <w:tcPr>
            <w:tcW w:w="3118" w:type="dxa"/>
            <w:shd w:val="clear" w:color="auto" w:fill="auto"/>
            <w:vAlign w:val="center"/>
            <w:hideMark/>
          </w:tcPr>
          <w:p w14:paraId="33DB4849"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E70F2F4"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18</w:t>
            </w:r>
          </w:p>
        </w:tc>
        <w:tc>
          <w:tcPr>
            <w:tcW w:w="1418" w:type="dxa"/>
            <w:vAlign w:val="center"/>
          </w:tcPr>
          <w:p w14:paraId="4E25840F"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67486026" w14:textId="77777777" w:rsidTr="008144F7">
        <w:trPr>
          <w:cantSplit/>
          <w:trHeight w:val="20"/>
        </w:trPr>
        <w:tc>
          <w:tcPr>
            <w:tcW w:w="3227" w:type="dxa"/>
            <w:vMerge/>
            <w:shd w:val="clear" w:color="auto" w:fill="auto"/>
            <w:vAlign w:val="center"/>
            <w:hideMark/>
          </w:tcPr>
          <w:p w14:paraId="37F618C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720BE8A"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of accessing project(s) funds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3E3A9BD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3.39/5</w:t>
            </w:r>
          </w:p>
        </w:tc>
        <w:tc>
          <w:tcPr>
            <w:tcW w:w="1418" w:type="dxa"/>
            <w:vAlign w:val="center"/>
          </w:tcPr>
          <w:p w14:paraId="69792334"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68%</w:t>
            </w:r>
          </w:p>
        </w:tc>
      </w:tr>
      <w:tr w:rsidR="0037512A" w:rsidRPr="00361139" w14:paraId="2261A09C" w14:textId="77777777" w:rsidTr="008144F7">
        <w:trPr>
          <w:cantSplit/>
          <w:trHeight w:val="20"/>
        </w:trPr>
        <w:tc>
          <w:tcPr>
            <w:tcW w:w="3227" w:type="dxa"/>
            <w:vMerge/>
            <w:shd w:val="clear" w:color="auto" w:fill="auto"/>
            <w:vAlign w:val="center"/>
            <w:hideMark/>
          </w:tcPr>
          <w:p w14:paraId="5E9D7EF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B1D093F"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in implementing the project(</w:t>
            </w:r>
            <w:proofErr w:type="gramStart"/>
            <w:r w:rsidRPr="00361139">
              <w:rPr>
                <w:rFonts w:asciiTheme="majorBidi" w:hAnsiTheme="majorBidi" w:cstheme="majorBidi"/>
                <w:sz w:val="18"/>
                <w:szCs w:val="18"/>
              </w:rPr>
              <w:t xml:space="preserve">s)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03F89A3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3.62/5</w:t>
            </w:r>
          </w:p>
        </w:tc>
        <w:tc>
          <w:tcPr>
            <w:tcW w:w="1418" w:type="dxa"/>
            <w:vAlign w:val="center"/>
          </w:tcPr>
          <w:p w14:paraId="7341122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72%</w:t>
            </w:r>
          </w:p>
        </w:tc>
      </w:tr>
      <w:tr w:rsidR="0037512A" w:rsidRPr="00361139" w14:paraId="1BE1C645" w14:textId="77777777" w:rsidTr="008144F7">
        <w:trPr>
          <w:cantSplit/>
          <w:trHeight w:val="20"/>
        </w:trPr>
        <w:tc>
          <w:tcPr>
            <w:tcW w:w="3227" w:type="dxa"/>
            <w:vMerge/>
            <w:shd w:val="clear" w:color="auto" w:fill="auto"/>
            <w:vAlign w:val="center"/>
            <w:hideMark/>
          </w:tcPr>
          <w:p w14:paraId="165B36B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44E2314"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in reporting on project(</w:t>
            </w:r>
            <w:proofErr w:type="gramStart"/>
            <w:r w:rsidRPr="00361139">
              <w:rPr>
                <w:rFonts w:asciiTheme="majorBidi" w:hAnsiTheme="majorBidi" w:cstheme="majorBidi"/>
                <w:sz w:val="18"/>
                <w:szCs w:val="18"/>
              </w:rPr>
              <w:t xml:space="preserve">s)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04A49CF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3.62/5</w:t>
            </w:r>
          </w:p>
        </w:tc>
        <w:tc>
          <w:tcPr>
            <w:tcW w:w="1418" w:type="dxa"/>
            <w:vAlign w:val="center"/>
          </w:tcPr>
          <w:p w14:paraId="3A27973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72%</w:t>
            </w:r>
          </w:p>
        </w:tc>
      </w:tr>
      <w:tr w:rsidR="0037512A" w:rsidRPr="00361139" w14:paraId="52F08378" w14:textId="77777777" w:rsidTr="008144F7">
        <w:trPr>
          <w:cantSplit/>
          <w:trHeight w:val="20"/>
        </w:trPr>
        <w:tc>
          <w:tcPr>
            <w:tcW w:w="3227" w:type="dxa"/>
            <w:vMerge/>
            <w:shd w:val="clear" w:color="auto" w:fill="auto"/>
            <w:vAlign w:val="center"/>
            <w:hideMark/>
          </w:tcPr>
          <w:p w14:paraId="3F80070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D998536" w14:textId="77777777" w:rsidR="0037512A" w:rsidRPr="00361139" w:rsidRDefault="0037512A" w:rsidP="008144F7">
            <w:pPr>
              <w:spacing w:before="120" w:after="120"/>
              <w:ind w:left="318" w:right="57" w:hanging="1"/>
              <w:rPr>
                <w:rFonts w:asciiTheme="majorBidi" w:hAnsiTheme="majorBidi" w:cstheme="majorBidi"/>
                <w:b/>
                <w:i/>
                <w:sz w:val="18"/>
                <w:szCs w:val="18"/>
              </w:rPr>
            </w:pPr>
            <w:r w:rsidRPr="00361139">
              <w:rPr>
                <w:rFonts w:asciiTheme="majorBidi" w:hAnsiTheme="majorBidi" w:cstheme="majorBidi"/>
                <w:sz w:val="18"/>
                <w:szCs w:val="18"/>
              </w:rPr>
              <w:t>Please, feel free to add your comment to the above question</w:t>
            </w:r>
            <w:r w:rsidRPr="00361139">
              <w:rPr>
                <w:rFonts w:asciiTheme="majorBidi" w:hAnsiTheme="majorBidi" w:cstheme="majorBidi"/>
                <w:i/>
                <w:sz w:val="18"/>
                <w:szCs w:val="18"/>
              </w:rPr>
              <w:t xml:space="preserve"> (optional)</w:t>
            </w:r>
          </w:p>
        </w:tc>
        <w:tc>
          <w:tcPr>
            <w:tcW w:w="1417" w:type="dxa"/>
            <w:shd w:val="clear" w:color="auto" w:fill="auto"/>
            <w:vAlign w:val="center"/>
          </w:tcPr>
          <w:p w14:paraId="759825E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 comments</w:t>
            </w:r>
          </w:p>
        </w:tc>
        <w:tc>
          <w:tcPr>
            <w:tcW w:w="1418" w:type="dxa"/>
            <w:vAlign w:val="center"/>
          </w:tcPr>
          <w:p w14:paraId="68F32572"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73CAECF7" w14:textId="77777777" w:rsidTr="008144F7">
        <w:trPr>
          <w:cantSplit/>
          <w:trHeight w:val="20"/>
        </w:trPr>
        <w:tc>
          <w:tcPr>
            <w:tcW w:w="3227" w:type="dxa"/>
            <w:vMerge w:val="restart"/>
            <w:shd w:val="clear" w:color="auto" w:fill="auto"/>
            <w:vAlign w:val="center"/>
            <w:hideMark/>
          </w:tcPr>
          <w:p w14:paraId="6FF0728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Specific International Programme (SIP</w:t>
            </w:r>
            <w:proofErr w:type="gramStart"/>
            <w:r w:rsidRPr="00361139">
              <w:rPr>
                <w:rFonts w:asciiTheme="majorBidi" w:hAnsiTheme="majorBidi" w:cstheme="majorBidi"/>
                <w:b/>
                <w:sz w:val="18"/>
                <w:szCs w:val="18"/>
              </w:rPr>
              <w:t>)</w:t>
            </w:r>
            <w:r w:rsidRPr="00361139">
              <w:rPr>
                <w:rFonts w:asciiTheme="majorBidi" w:hAnsiTheme="majorBidi" w:cstheme="majorBidi"/>
                <w:sz w:val="18"/>
                <w:szCs w:val="18"/>
              </w:rPr>
              <w:t>?*</w:t>
            </w:r>
            <w:proofErr w:type="gramEnd"/>
          </w:p>
        </w:tc>
        <w:tc>
          <w:tcPr>
            <w:tcW w:w="3118" w:type="dxa"/>
            <w:shd w:val="clear" w:color="auto" w:fill="auto"/>
            <w:vAlign w:val="center"/>
            <w:hideMark/>
          </w:tcPr>
          <w:p w14:paraId="76658585" w14:textId="77777777" w:rsidR="0037512A" w:rsidRPr="00361139" w:rsidRDefault="0037512A" w:rsidP="008144F7">
            <w:pPr>
              <w:spacing w:before="120" w:after="120"/>
              <w:ind w:left="57" w:right="57" w:hanging="23"/>
              <w:rPr>
                <w:rFonts w:asciiTheme="majorBidi" w:hAnsiTheme="majorBidi" w:cstheme="majorBidi"/>
                <w:b/>
                <w: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2FC0243F"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18</w:t>
            </w:r>
          </w:p>
        </w:tc>
        <w:tc>
          <w:tcPr>
            <w:tcW w:w="1418" w:type="dxa"/>
            <w:vAlign w:val="center"/>
          </w:tcPr>
          <w:p w14:paraId="793B5222"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79284D66" w14:textId="77777777" w:rsidTr="008144F7">
        <w:trPr>
          <w:cantSplit/>
          <w:trHeight w:val="20"/>
        </w:trPr>
        <w:tc>
          <w:tcPr>
            <w:tcW w:w="3227" w:type="dxa"/>
            <w:vMerge/>
            <w:shd w:val="clear" w:color="auto" w:fill="auto"/>
            <w:vAlign w:val="center"/>
            <w:hideMark/>
          </w:tcPr>
          <w:p w14:paraId="4AF1C16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79682FC"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of accessing project(s) funds</w:t>
            </w:r>
            <w:proofErr w:type="gramStart"/>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242BD83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3.17/5</w:t>
            </w:r>
          </w:p>
        </w:tc>
        <w:tc>
          <w:tcPr>
            <w:tcW w:w="1418" w:type="dxa"/>
            <w:vAlign w:val="center"/>
          </w:tcPr>
          <w:p w14:paraId="4112613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63%</w:t>
            </w:r>
          </w:p>
        </w:tc>
      </w:tr>
      <w:tr w:rsidR="0037512A" w:rsidRPr="00361139" w14:paraId="227EE3A1" w14:textId="77777777" w:rsidTr="008144F7">
        <w:trPr>
          <w:cantSplit/>
          <w:trHeight w:val="20"/>
        </w:trPr>
        <w:tc>
          <w:tcPr>
            <w:tcW w:w="3227" w:type="dxa"/>
            <w:vMerge/>
            <w:shd w:val="clear" w:color="auto" w:fill="auto"/>
            <w:vAlign w:val="center"/>
            <w:hideMark/>
          </w:tcPr>
          <w:p w14:paraId="1A2E3AC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A913CA7"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in implementing the project(</w:t>
            </w:r>
            <w:proofErr w:type="gramStart"/>
            <w:r w:rsidRPr="00361139">
              <w:rPr>
                <w:rFonts w:asciiTheme="majorBidi" w:hAnsiTheme="majorBidi" w:cstheme="majorBidi"/>
                <w:sz w:val="18"/>
                <w:szCs w:val="18"/>
              </w:rPr>
              <w:t>s)</w:t>
            </w:r>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30D0CF8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3.46/5</w:t>
            </w:r>
          </w:p>
        </w:tc>
        <w:tc>
          <w:tcPr>
            <w:tcW w:w="1418" w:type="dxa"/>
            <w:vAlign w:val="center"/>
          </w:tcPr>
          <w:p w14:paraId="55B52CA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69%</w:t>
            </w:r>
          </w:p>
        </w:tc>
      </w:tr>
      <w:tr w:rsidR="0037512A" w:rsidRPr="00361139" w14:paraId="370C6578" w14:textId="77777777" w:rsidTr="008144F7">
        <w:trPr>
          <w:cantSplit/>
          <w:trHeight w:val="20"/>
        </w:trPr>
        <w:tc>
          <w:tcPr>
            <w:tcW w:w="3227" w:type="dxa"/>
            <w:vMerge/>
            <w:shd w:val="clear" w:color="auto" w:fill="auto"/>
            <w:vAlign w:val="center"/>
            <w:hideMark/>
          </w:tcPr>
          <w:p w14:paraId="78EF4C9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F5AF48F"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in reporting on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2F64DD6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3.46/5</w:t>
            </w:r>
          </w:p>
        </w:tc>
        <w:tc>
          <w:tcPr>
            <w:tcW w:w="1418" w:type="dxa"/>
            <w:vAlign w:val="center"/>
          </w:tcPr>
          <w:p w14:paraId="4B8E8EE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69%</w:t>
            </w:r>
          </w:p>
        </w:tc>
      </w:tr>
      <w:tr w:rsidR="0037512A" w:rsidRPr="00361139" w14:paraId="437F93A2" w14:textId="77777777" w:rsidTr="008144F7">
        <w:trPr>
          <w:cantSplit/>
          <w:trHeight w:val="20"/>
        </w:trPr>
        <w:tc>
          <w:tcPr>
            <w:tcW w:w="3227" w:type="dxa"/>
            <w:vMerge/>
            <w:tcBorders>
              <w:bottom w:val="single" w:sz="4" w:space="0" w:color="auto"/>
            </w:tcBorders>
            <w:shd w:val="clear" w:color="auto" w:fill="auto"/>
            <w:vAlign w:val="center"/>
            <w:hideMark/>
          </w:tcPr>
          <w:p w14:paraId="719D7F9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tcBorders>
              <w:bottom w:val="single" w:sz="4" w:space="0" w:color="auto"/>
            </w:tcBorders>
            <w:shd w:val="clear" w:color="auto" w:fill="auto"/>
            <w:vAlign w:val="center"/>
            <w:hideMark/>
          </w:tcPr>
          <w:p w14:paraId="42358DC4"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Please, feel free to add your comment to the above question (optional)</w:t>
            </w:r>
          </w:p>
        </w:tc>
        <w:tc>
          <w:tcPr>
            <w:tcW w:w="1417" w:type="dxa"/>
            <w:tcBorders>
              <w:bottom w:val="single" w:sz="4" w:space="0" w:color="auto"/>
            </w:tcBorders>
            <w:shd w:val="clear" w:color="auto" w:fill="auto"/>
            <w:vAlign w:val="center"/>
          </w:tcPr>
          <w:p w14:paraId="1B8C690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7 comments</w:t>
            </w:r>
          </w:p>
        </w:tc>
        <w:tc>
          <w:tcPr>
            <w:tcW w:w="1418" w:type="dxa"/>
            <w:tcBorders>
              <w:bottom w:val="single" w:sz="4" w:space="0" w:color="auto"/>
            </w:tcBorders>
            <w:vAlign w:val="center"/>
          </w:tcPr>
          <w:p w14:paraId="74A6F12F"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19455083" w14:textId="77777777" w:rsidTr="008144F7">
        <w:trPr>
          <w:cantSplit/>
          <w:trHeight w:val="20"/>
        </w:trPr>
        <w:tc>
          <w:tcPr>
            <w:tcW w:w="3227" w:type="dxa"/>
            <w:vMerge w:val="restart"/>
            <w:tcBorders>
              <w:top w:val="nil"/>
            </w:tcBorders>
            <w:shd w:val="clear" w:color="auto" w:fill="auto"/>
            <w:vAlign w:val="center"/>
            <w:hideMark/>
          </w:tcPr>
          <w:p w14:paraId="104F759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how </w:t>
            </w:r>
            <w:r w:rsidRPr="00361139">
              <w:rPr>
                <w:rStyle w:val="Emphasis"/>
                <w:rFonts w:asciiTheme="majorBidi" w:hAnsiTheme="majorBidi" w:cstheme="majorBidi"/>
                <w:sz w:val="18"/>
                <w:szCs w:val="18"/>
              </w:rPr>
              <w:t>user-friendly</w:t>
            </w:r>
            <w:r w:rsidRPr="00361139">
              <w:rPr>
                <w:rFonts w:asciiTheme="majorBidi" w:hAnsiTheme="majorBidi" w:cstheme="majorBidi"/>
                <w:sz w:val="18"/>
                <w:szCs w:val="18"/>
              </w:rPr>
              <w:t xml:space="preserve"> would you say were the different components of the </w:t>
            </w:r>
            <w:r w:rsidRPr="00361139">
              <w:rPr>
                <w:rFonts w:asciiTheme="majorBidi" w:hAnsiTheme="majorBidi" w:cstheme="majorBidi"/>
                <w:b/>
                <w:sz w:val="18"/>
                <w:szCs w:val="18"/>
              </w:rPr>
              <w:t>Specific International Programme (SIP) application forms</w:t>
            </w:r>
            <w:r w:rsidRPr="00361139">
              <w:rPr>
                <w:rFonts w:asciiTheme="majorBidi" w:hAnsiTheme="majorBidi" w:cstheme="majorBidi"/>
                <w:sz w:val="18"/>
                <w:szCs w:val="18"/>
              </w:rPr>
              <w:t>?</w:t>
            </w:r>
          </w:p>
          <w:p w14:paraId="535DC245" w14:textId="77777777" w:rsidR="0037512A" w:rsidRPr="00361139" w:rsidRDefault="0037512A" w:rsidP="008144F7">
            <w:pPr>
              <w:pStyle w:val="ListParagraph"/>
              <w:tabs>
                <w:tab w:val="left" w:pos="567"/>
              </w:tabs>
              <w:spacing w:before="120" w:after="120"/>
              <w:ind w:left="57" w:right="57"/>
              <w:contextualSpacing w:val="0"/>
              <w:rPr>
                <w:rFonts w:asciiTheme="majorBidi" w:hAnsiTheme="majorBidi" w:cstheme="majorBidi"/>
                <w:b/>
                <w:sz w:val="18"/>
                <w:szCs w:val="18"/>
              </w:rPr>
            </w:pPr>
            <w:r w:rsidRPr="00361139">
              <w:rPr>
                <w:rStyle w:val="Emphasis"/>
                <w:rFonts w:asciiTheme="majorBidi" w:hAnsiTheme="majorBidi" w:cstheme="majorBidi"/>
                <w:sz w:val="18"/>
                <w:szCs w:val="18"/>
              </w:rPr>
              <w:t xml:space="preserve">The answer(s) to this question are optional, please feel free to provide answers </w:t>
            </w:r>
            <w:r w:rsidRPr="00361139">
              <w:rPr>
                <w:rStyle w:val="Emphasis"/>
                <w:rFonts w:asciiTheme="majorBidi" w:hAnsiTheme="majorBidi" w:cstheme="majorBidi"/>
                <w:sz w:val="18"/>
                <w:szCs w:val="18"/>
                <w:u w:val="single"/>
              </w:rPr>
              <w:t>only if you have a defined opinion and/or a direct experience.</w:t>
            </w:r>
          </w:p>
        </w:tc>
        <w:tc>
          <w:tcPr>
            <w:tcW w:w="3118" w:type="dxa"/>
            <w:tcBorders>
              <w:top w:val="nil"/>
            </w:tcBorders>
            <w:shd w:val="clear" w:color="auto" w:fill="auto"/>
            <w:vAlign w:val="center"/>
            <w:hideMark/>
          </w:tcPr>
          <w:p w14:paraId="4EF2AA4E" w14:textId="77777777" w:rsidR="0037512A" w:rsidRPr="00361139" w:rsidRDefault="0037512A" w:rsidP="008144F7">
            <w:pPr>
              <w:spacing w:before="120" w:after="120"/>
              <w:ind w:left="57" w:right="57" w:hanging="1"/>
              <w:rPr>
                <w:rFonts w:asciiTheme="majorBidi" w:hAnsiTheme="majorBidi" w:cstheme="majorBidi"/>
                <w:b/>
                <w:i/>
                <w:sz w:val="18"/>
                <w:szCs w:val="18"/>
              </w:rPr>
            </w:pPr>
            <w:r w:rsidRPr="00361139">
              <w:rPr>
                <w:rFonts w:asciiTheme="majorBidi" w:hAnsiTheme="majorBidi" w:cstheme="majorBidi"/>
                <w:b/>
                <w:i/>
                <w:sz w:val="18"/>
                <w:szCs w:val="18"/>
              </w:rPr>
              <w:t>Number of Responses:</w:t>
            </w:r>
          </w:p>
        </w:tc>
        <w:tc>
          <w:tcPr>
            <w:tcW w:w="1417" w:type="dxa"/>
            <w:tcBorders>
              <w:top w:val="nil"/>
            </w:tcBorders>
            <w:shd w:val="clear" w:color="auto" w:fill="auto"/>
            <w:vAlign w:val="center"/>
          </w:tcPr>
          <w:p w14:paraId="4E7C58FD"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17</w:t>
            </w:r>
          </w:p>
        </w:tc>
        <w:tc>
          <w:tcPr>
            <w:tcW w:w="1418" w:type="dxa"/>
            <w:tcBorders>
              <w:top w:val="nil"/>
            </w:tcBorders>
            <w:vAlign w:val="center"/>
          </w:tcPr>
          <w:p w14:paraId="136EB5E8"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149FB1D2" w14:textId="77777777" w:rsidTr="008144F7">
        <w:trPr>
          <w:cantSplit/>
          <w:trHeight w:val="20"/>
        </w:trPr>
        <w:tc>
          <w:tcPr>
            <w:tcW w:w="3227" w:type="dxa"/>
            <w:vMerge/>
            <w:shd w:val="clear" w:color="auto" w:fill="auto"/>
            <w:vAlign w:val="center"/>
            <w:hideMark/>
          </w:tcPr>
          <w:p w14:paraId="132E732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8047688"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Form A: Project Application (weighted average)</w:t>
            </w:r>
          </w:p>
        </w:tc>
        <w:tc>
          <w:tcPr>
            <w:tcW w:w="1417" w:type="dxa"/>
            <w:shd w:val="clear" w:color="auto" w:fill="auto"/>
            <w:vAlign w:val="center"/>
          </w:tcPr>
          <w:p w14:paraId="5E4437A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3.24/5</w:t>
            </w:r>
          </w:p>
        </w:tc>
        <w:tc>
          <w:tcPr>
            <w:tcW w:w="1418" w:type="dxa"/>
            <w:vAlign w:val="center"/>
          </w:tcPr>
          <w:p w14:paraId="7A18632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65%</w:t>
            </w:r>
          </w:p>
        </w:tc>
      </w:tr>
      <w:tr w:rsidR="0037512A" w:rsidRPr="00361139" w14:paraId="55C1AF82" w14:textId="77777777" w:rsidTr="008144F7">
        <w:trPr>
          <w:cantSplit/>
          <w:trHeight w:val="20"/>
        </w:trPr>
        <w:tc>
          <w:tcPr>
            <w:tcW w:w="3227" w:type="dxa"/>
            <w:vMerge/>
            <w:shd w:val="clear" w:color="auto" w:fill="auto"/>
            <w:vAlign w:val="center"/>
            <w:hideMark/>
          </w:tcPr>
          <w:p w14:paraId="4D758E0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1D72426"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Form B: Project Budget (weighted average)</w:t>
            </w:r>
          </w:p>
        </w:tc>
        <w:tc>
          <w:tcPr>
            <w:tcW w:w="1417" w:type="dxa"/>
            <w:shd w:val="clear" w:color="auto" w:fill="auto"/>
            <w:vAlign w:val="center"/>
          </w:tcPr>
          <w:p w14:paraId="25928BB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3.00/5</w:t>
            </w:r>
          </w:p>
        </w:tc>
        <w:tc>
          <w:tcPr>
            <w:tcW w:w="1418" w:type="dxa"/>
            <w:vAlign w:val="center"/>
          </w:tcPr>
          <w:p w14:paraId="0206B1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60%</w:t>
            </w:r>
          </w:p>
        </w:tc>
      </w:tr>
      <w:tr w:rsidR="0037512A" w:rsidRPr="00361139" w14:paraId="676829F1" w14:textId="77777777" w:rsidTr="008144F7">
        <w:trPr>
          <w:cantSplit/>
          <w:trHeight w:val="20"/>
        </w:trPr>
        <w:tc>
          <w:tcPr>
            <w:tcW w:w="3227" w:type="dxa"/>
            <w:vMerge/>
            <w:shd w:val="clear" w:color="auto" w:fill="auto"/>
            <w:vAlign w:val="center"/>
            <w:hideMark/>
          </w:tcPr>
          <w:p w14:paraId="0276EBE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7445642"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Form C: Letter </w:t>
            </w:r>
            <w:proofErr w:type="gramStart"/>
            <w:r w:rsidRPr="00361139">
              <w:rPr>
                <w:rFonts w:asciiTheme="majorBidi" w:hAnsiTheme="majorBidi" w:cstheme="majorBidi"/>
                <w:sz w:val="18"/>
                <w:szCs w:val="18"/>
              </w:rPr>
              <w:t>Of</w:t>
            </w:r>
            <w:proofErr w:type="gramEnd"/>
            <w:r w:rsidRPr="00361139">
              <w:rPr>
                <w:rFonts w:asciiTheme="majorBidi" w:hAnsiTheme="majorBidi" w:cstheme="majorBidi"/>
                <w:sz w:val="18"/>
                <w:szCs w:val="18"/>
              </w:rPr>
              <w:t xml:space="preserve"> Transmittal (weighted average)</w:t>
            </w:r>
          </w:p>
        </w:tc>
        <w:tc>
          <w:tcPr>
            <w:tcW w:w="1417" w:type="dxa"/>
            <w:shd w:val="clear" w:color="auto" w:fill="auto"/>
            <w:vAlign w:val="center"/>
          </w:tcPr>
          <w:p w14:paraId="03ADDFF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3.65/5</w:t>
            </w:r>
          </w:p>
        </w:tc>
        <w:tc>
          <w:tcPr>
            <w:tcW w:w="1418" w:type="dxa"/>
            <w:vAlign w:val="center"/>
          </w:tcPr>
          <w:p w14:paraId="407519B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73%</w:t>
            </w:r>
          </w:p>
        </w:tc>
      </w:tr>
      <w:tr w:rsidR="0037512A" w:rsidRPr="00361139" w14:paraId="40895C73" w14:textId="77777777" w:rsidTr="008144F7">
        <w:trPr>
          <w:cantSplit/>
          <w:trHeight w:val="20"/>
        </w:trPr>
        <w:tc>
          <w:tcPr>
            <w:tcW w:w="3227" w:type="dxa"/>
            <w:vMerge/>
            <w:shd w:val="clear" w:color="auto" w:fill="auto"/>
            <w:vAlign w:val="center"/>
            <w:hideMark/>
          </w:tcPr>
          <w:p w14:paraId="221DDFB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F1B344F"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01B29E9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 comments</w:t>
            </w:r>
          </w:p>
        </w:tc>
        <w:tc>
          <w:tcPr>
            <w:tcW w:w="1418" w:type="dxa"/>
            <w:vAlign w:val="center"/>
          </w:tcPr>
          <w:p w14:paraId="3C7A728D"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1EDEE6C0" w14:textId="77777777" w:rsidTr="008144F7">
        <w:trPr>
          <w:cantSplit/>
          <w:trHeight w:val="20"/>
        </w:trPr>
        <w:tc>
          <w:tcPr>
            <w:tcW w:w="3227" w:type="dxa"/>
            <w:vMerge w:val="restart"/>
            <w:shd w:val="clear" w:color="auto" w:fill="auto"/>
            <w:vAlign w:val="center"/>
            <w:hideMark/>
          </w:tcPr>
          <w:p w14:paraId="70AC6E5B"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how much you would say the </w:t>
            </w:r>
            <w:r w:rsidRPr="00361139">
              <w:rPr>
                <w:rStyle w:val="Emphasis"/>
                <w:rFonts w:asciiTheme="majorBidi" w:hAnsiTheme="majorBidi" w:cstheme="majorBidi"/>
                <w:sz w:val="18"/>
                <w:szCs w:val="18"/>
              </w:rPr>
              <w:t>guidance and support,</w:t>
            </w:r>
            <w:r w:rsidRPr="00361139">
              <w:rPr>
                <w:rFonts w:asciiTheme="majorBidi" w:hAnsiTheme="majorBidi" w:cstheme="majorBidi"/>
                <w:sz w:val="18"/>
                <w:szCs w:val="18"/>
              </w:rPr>
              <w:t xml:space="preserve"> provided by the Secretariat of the Minamata Convention for requesting funding through the </w:t>
            </w:r>
            <w:r w:rsidRPr="00361139">
              <w:rPr>
                <w:rFonts w:asciiTheme="majorBidi" w:hAnsiTheme="majorBidi" w:cstheme="majorBidi"/>
                <w:b/>
                <w:sz w:val="18"/>
                <w:szCs w:val="18"/>
              </w:rPr>
              <w:t xml:space="preserve">Specific International Programme (SIP) </w:t>
            </w:r>
            <w:r w:rsidRPr="00361139">
              <w:rPr>
                <w:rFonts w:asciiTheme="majorBidi" w:hAnsiTheme="majorBidi" w:cstheme="majorBidi"/>
                <w:sz w:val="18"/>
                <w:szCs w:val="18"/>
              </w:rPr>
              <w:t xml:space="preserve">were </w:t>
            </w:r>
            <w:r w:rsidRPr="00361139">
              <w:rPr>
                <w:rStyle w:val="Emphasis"/>
                <w:rFonts w:asciiTheme="majorBidi" w:hAnsiTheme="majorBidi" w:cstheme="majorBidi"/>
                <w:sz w:val="18"/>
                <w:szCs w:val="18"/>
              </w:rPr>
              <w:t>adequate</w:t>
            </w:r>
            <w:r w:rsidRPr="00361139">
              <w:rPr>
                <w:rFonts w:asciiTheme="majorBidi" w:hAnsiTheme="majorBidi" w:cstheme="majorBidi"/>
                <w:sz w:val="18"/>
                <w:szCs w:val="18"/>
              </w:rPr>
              <w:t xml:space="preserve"> to develop the project </w:t>
            </w:r>
            <w:proofErr w:type="gramStart"/>
            <w:r w:rsidRPr="00361139">
              <w:rPr>
                <w:rFonts w:asciiTheme="majorBidi" w:hAnsiTheme="majorBidi" w:cstheme="majorBidi"/>
                <w:sz w:val="18"/>
                <w:szCs w:val="18"/>
              </w:rPr>
              <w:t>proposal?*</w:t>
            </w:r>
            <w:proofErr w:type="gramEnd"/>
          </w:p>
        </w:tc>
        <w:tc>
          <w:tcPr>
            <w:tcW w:w="3118" w:type="dxa"/>
            <w:shd w:val="clear" w:color="auto" w:fill="auto"/>
            <w:vAlign w:val="center"/>
            <w:hideMark/>
          </w:tcPr>
          <w:p w14:paraId="22129D4F"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F29AA1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19</w:t>
            </w:r>
          </w:p>
        </w:tc>
        <w:tc>
          <w:tcPr>
            <w:tcW w:w="1418" w:type="dxa"/>
            <w:vAlign w:val="center"/>
          </w:tcPr>
          <w:p w14:paraId="3C6F8F72"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6100D591" w14:textId="77777777" w:rsidTr="008144F7">
        <w:trPr>
          <w:cantSplit/>
          <w:trHeight w:val="20"/>
        </w:trPr>
        <w:tc>
          <w:tcPr>
            <w:tcW w:w="3227" w:type="dxa"/>
            <w:vMerge/>
            <w:shd w:val="clear" w:color="auto" w:fill="auto"/>
            <w:vAlign w:val="center"/>
            <w:hideMark/>
          </w:tcPr>
          <w:p w14:paraId="6847218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BDE005A"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iCs/>
                <w:sz w:val="18"/>
                <w:szCs w:val="18"/>
              </w:rPr>
              <w:t>Guidance</w:t>
            </w:r>
            <w:r w:rsidRPr="00361139">
              <w:rPr>
                <w:rFonts w:asciiTheme="majorBidi" w:hAnsiTheme="majorBidi" w:cstheme="majorBidi"/>
                <w:i/>
                <w:iCs/>
                <w:sz w:val="18"/>
                <w:szCs w:val="18"/>
              </w:rPr>
              <w:t xml:space="preserve"> (weighted average)</w:t>
            </w:r>
          </w:p>
        </w:tc>
        <w:tc>
          <w:tcPr>
            <w:tcW w:w="1417" w:type="dxa"/>
            <w:shd w:val="clear" w:color="auto" w:fill="auto"/>
            <w:vAlign w:val="center"/>
          </w:tcPr>
          <w:p w14:paraId="5EC03B0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3.79/5</w:t>
            </w:r>
          </w:p>
        </w:tc>
        <w:tc>
          <w:tcPr>
            <w:tcW w:w="1418" w:type="dxa"/>
            <w:vAlign w:val="center"/>
          </w:tcPr>
          <w:p w14:paraId="0FA5A6E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76%</w:t>
            </w:r>
          </w:p>
        </w:tc>
      </w:tr>
      <w:tr w:rsidR="0037512A" w:rsidRPr="00361139" w14:paraId="1472A6DE" w14:textId="77777777" w:rsidTr="008144F7">
        <w:trPr>
          <w:cantSplit/>
          <w:trHeight w:val="20"/>
        </w:trPr>
        <w:tc>
          <w:tcPr>
            <w:tcW w:w="3227" w:type="dxa"/>
            <w:vMerge/>
            <w:shd w:val="clear" w:color="auto" w:fill="auto"/>
            <w:vAlign w:val="center"/>
            <w:hideMark/>
          </w:tcPr>
          <w:p w14:paraId="780DF9D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B375320"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iCs/>
                <w:sz w:val="18"/>
                <w:szCs w:val="18"/>
              </w:rPr>
              <w:t>Support</w:t>
            </w:r>
            <w:r w:rsidRPr="00361139">
              <w:rPr>
                <w:rFonts w:asciiTheme="majorBidi" w:hAnsiTheme="majorBidi" w:cstheme="majorBidi"/>
                <w:i/>
                <w:iCs/>
                <w:sz w:val="18"/>
                <w:szCs w:val="18"/>
              </w:rPr>
              <w:t xml:space="preserve"> (weighted average)</w:t>
            </w:r>
          </w:p>
        </w:tc>
        <w:tc>
          <w:tcPr>
            <w:tcW w:w="1417" w:type="dxa"/>
            <w:shd w:val="clear" w:color="auto" w:fill="auto"/>
            <w:vAlign w:val="center"/>
          </w:tcPr>
          <w:p w14:paraId="247CC32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3.84/5</w:t>
            </w:r>
          </w:p>
        </w:tc>
        <w:tc>
          <w:tcPr>
            <w:tcW w:w="1418" w:type="dxa"/>
            <w:vAlign w:val="center"/>
          </w:tcPr>
          <w:p w14:paraId="615852F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77%</w:t>
            </w:r>
          </w:p>
        </w:tc>
      </w:tr>
      <w:tr w:rsidR="0037512A" w:rsidRPr="00361139" w14:paraId="4A2DE9B4" w14:textId="77777777" w:rsidTr="008144F7">
        <w:trPr>
          <w:cantSplit/>
          <w:trHeight w:val="20"/>
        </w:trPr>
        <w:tc>
          <w:tcPr>
            <w:tcW w:w="3227" w:type="dxa"/>
            <w:vMerge/>
            <w:shd w:val="clear" w:color="auto" w:fill="auto"/>
            <w:vAlign w:val="center"/>
            <w:hideMark/>
          </w:tcPr>
          <w:p w14:paraId="0D7858C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CF2CB18"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69663AC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11E99CB8"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7A574AE" w14:textId="77777777" w:rsidTr="008144F7">
        <w:trPr>
          <w:cantSplit/>
          <w:trHeight w:val="20"/>
        </w:trPr>
        <w:tc>
          <w:tcPr>
            <w:tcW w:w="3227" w:type="dxa"/>
            <w:vMerge w:val="restart"/>
            <w:shd w:val="clear" w:color="auto" w:fill="auto"/>
            <w:vAlign w:val="center"/>
            <w:hideMark/>
          </w:tcPr>
          <w:p w14:paraId="5E6B7455"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broad terms, how long did it take for your country to prepare a workable project proposal to be submitted to the </w:t>
            </w:r>
            <w:r w:rsidRPr="00361139">
              <w:rPr>
                <w:rFonts w:asciiTheme="majorBidi" w:hAnsiTheme="majorBidi" w:cstheme="majorBidi"/>
                <w:b/>
                <w:sz w:val="18"/>
                <w:szCs w:val="18"/>
              </w:rPr>
              <w:t>Specific International Programme (SIP</w:t>
            </w:r>
            <w:proofErr w:type="gramStart"/>
            <w:r w:rsidRPr="00361139">
              <w:rPr>
                <w:rFonts w:asciiTheme="majorBidi" w:hAnsiTheme="majorBidi" w:cstheme="majorBidi"/>
                <w:b/>
                <w:sz w:val="18"/>
                <w:szCs w:val="18"/>
              </w:rPr>
              <w:t>)</w:t>
            </w:r>
            <w:r w:rsidRPr="00361139">
              <w:rPr>
                <w:rStyle w:val="Strong"/>
                <w:rFonts w:asciiTheme="majorBidi" w:hAnsiTheme="majorBidi" w:cstheme="majorBidi"/>
                <w:iCs/>
                <w:sz w:val="18"/>
                <w:szCs w:val="18"/>
              </w:rPr>
              <w:t>?*</w:t>
            </w:r>
            <w:proofErr w:type="gramEnd"/>
          </w:p>
        </w:tc>
        <w:tc>
          <w:tcPr>
            <w:tcW w:w="3118" w:type="dxa"/>
            <w:shd w:val="clear" w:color="auto" w:fill="auto"/>
            <w:vAlign w:val="center"/>
            <w:hideMark/>
          </w:tcPr>
          <w:p w14:paraId="5B5AC7D4"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4B0FFE2"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19</w:t>
            </w:r>
          </w:p>
        </w:tc>
        <w:tc>
          <w:tcPr>
            <w:tcW w:w="1418" w:type="dxa"/>
            <w:vAlign w:val="center"/>
          </w:tcPr>
          <w:p w14:paraId="55556235"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491E88C3" w14:textId="77777777" w:rsidTr="008144F7">
        <w:trPr>
          <w:cantSplit/>
          <w:trHeight w:val="20"/>
        </w:trPr>
        <w:tc>
          <w:tcPr>
            <w:tcW w:w="3227" w:type="dxa"/>
            <w:vMerge/>
            <w:shd w:val="clear" w:color="auto" w:fill="auto"/>
            <w:vAlign w:val="center"/>
            <w:hideMark/>
          </w:tcPr>
          <w:p w14:paraId="317A007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071ADFA"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i/>
                <w:sz w:val="18"/>
                <w:szCs w:val="18"/>
              </w:rPr>
              <w:t xml:space="preserve">Months </w:t>
            </w:r>
            <w:proofErr w:type="gramStart"/>
            <w:r w:rsidRPr="00361139">
              <w:rPr>
                <w:rFonts w:asciiTheme="majorBidi" w:hAnsiTheme="majorBidi" w:cstheme="majorBidi"/>
                <w:i/>
                <w:sz w:val="18"/>
                <w:szCs w:val="18"/>
              </w:rPr>
              <w:t>-  Weighted</w:t>
            </w:r>
            <w:proofErr w:type="gramEnd"/>
            <w:r w:rsidRPr="00361139">
              <w:rPr>
                <w:rFonts w:asciiTheme="majorBidi" w:hAnsiTheme="majorBidi" w:cstheme="majorBidi"/>
                <w:i/>
                <w:sz w:val="18"/>
                <w:szCs w:val="18"/>
              </w:rPr>
              <w:t xml:space="preserve"> average</w:t>
            </w:r>
          </w:p>
        </w:tc>
        <w:tc>
          <w:tcPr>
            <w:tcW w:w="1417" w:type="dxa"/>
            <w:shd w:val="clear" w:color="auto" w:fill="auto"/>
            <w:vAlign w:val="center"/>
          </w:tcPr>
          <w:p w14:paraId="142C1F3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5-6 months</w:t>
            </w:r>
          </w:p>
        </w:tc>
        <w:tc>
          <w:tcPr>
            <w:tcW w:w="1418" w:type="dxa"/>
            <w:vAlign w:val="center"/>
          </w:tcPr>
          <w:p w14:paraId="7BB77C0A"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53A989B2" w14:textId="77777777" w:rsidTr="008144F7">
        <w:trPr>
          <w:cantSplit/>
          <w:trHeight w:val="20"/>
        </w:trPr>
        <w:tc>
          <w:tcPr>
            <w:tcW w:w="3227" w:type="dxa"/>
            <w:vMerge/>
            <w:shd w:val="clear" w:color="auto" w:fill="auto"/>
            <w:vAlign w:val="center"/>
            <w:hideMark/>
          </w:tcPr>
          <w:p w14:paraId="337187D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5762020"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FBB224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 comments</w:t>
            </w:r>
          </w:p>
        </w:tc>
        <w:tc>
          <w:tcPr>
            <w:tcW w:w="1418" w:type="dxa"/>
            <w:vAlign w:val="center"/>
          </w:tcPr>
          <w:p w14:paraId="091DB4B0"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5A751F4F" w14:textId="77777777" w:rsidTr="008144F7">
        <w:trPr>
          <w:cantSplit/>
          <w:trHeight w:val="20"/>
        </w:trPr>
        <w:tc>
          <w:tcPr>
            <w:tcW w:w="3227" w:type="dxa"/>
            <w:vMerge w:val="restart"/>
            <w:shd w:val="clear" w:color="auto" w:fill="auto"/>
            <w:vAlign w:val="center"/>
            <w:hideMark/>
          </w:tcPr>
          <w:p w14:paraId="2A144FA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lastRenderedPageBreak/>
              <w:t xml:space="preserve">Would you like to briefly comment on the </w:t>
            </w:r>
            <w:r w:rsidRPr="00361139">
              <w:rPr>
                <w:rFonts w:asciiTheme="majorBidi" w:hAnsiTheme="majorBidi" w:cstheme="majorBidi"/>
                <w:b/>
                <w:sz w:val="18"/>
                <w:szCs w:val="18"/>
              </w:rPr>
              <w:t>main challenges</w:t>
            </w:r>
            <w:r w:rsidRPr="00361139">
              <w:rPr>
                <w:rFonts w:asciiTheme="majorBidi" w:hAnsiTheme="majorBidi" w:cstheme="majorBidi"/>
                <w:sz w:val="18"/>
                <w:szCs w:val="18"/>
              </w:rPr>
              <w:t xml:space="preserve"> you met in preparing a project proposal for the </w:t>
            </w:r>
            <w:r w:rsidRPr="00361139">
              <w:rPr>
                <w:rFonts w:asciiTheme="majorBidi" w:hAnsiTheme="majorBidi" w:cstheme="majorBidi"/>
                <w:b/>
                <w:sz w:val="18"/>
                <w:szCs w:val="18"/>
              </w:rPr>
              <w:t xml:space="preserve">Specific International Programme (SIP) </w:t>
            </w:r>
            <w:r w:rsidRPr="00361139">
              <w:rPr>
                <w:rFonts w:asciiTheme="majorBidi" w:hAnsiTheme="majorBidi" w:cstheme="majorBidi"/>
                <w:sz w:val="18"/>
                <w:szCs w:val="18"/>
              </w:rPr>
              <w:t xml:space="preserve">and how were they </w:t>
            </w:r>
            <w:proofErr w:type="gramStart"/>
            <w:r w:rsidRPr="00361139">
              <w:rPr>
                <w:rFonts w:asciiTheme="majorBidi" w:hAnsiTheme="majorBidi" w:cstheme="majorBidi"/>
                <w:sz w:val="18"/>
                <w:szCs w:val="18"/>
              </w:rPr>
              <w:t>overcome?*</w:t>
            </w:r>
            <w:proofErr w:type="gramEnd"/>
          </w:p>
        </w:tc>
        <w:tc>
          <w:tcPr>
            <w:tcW w:w="3118" w:type="dxa"/>
            <w:shd w:val="clear" w:color="auto" w:fill="auto"/>
            <w:vAlign w:val="center"/>
            <w:hideMark/>
          </w:tcPr>
          <w:p w14:paraId="683F7E6C"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66E1D22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20</w:t>
            </w:r>
          </w:p>
        </w:tc>
        <w:tc>
          <w:tcPr>
            <w:tcW w:w="1418" w:type="dxa"/>
            <w:vAlign w:val="center"/>
          </w:tcPr>
          <w:p w14:paraId="0047B847"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0C9BDFBF" w14:textId="77777777" w:rsidTr="008144F7">
        <w:trPr>
          <w:cantSplit/>
          <w:trHeight w:val="20"/>
        </w:trPr>
        <w:tc>
          <w:tcPr>
            <w:tcW w:w="3227" w:type="dxa"/>
            <w:vMerge/>
            <w:shd w:val="clear" w:color="auto" w:fill="auto"/>
            <w:vAlign w:val="center"/>
            <w:hideMark/>
          </w:tcPr>
          <w:p w14:paraId="5A3EF749" w14:textId="77777777" w:rsidR="0037512A" w:rsidRPr="00361139" w:rsidRDefault="0037512A" w:rsidP="004221D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CA18EBA"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1CED3BE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10</w:t>
            </w:r>
          </w:p>
        </w:tc>
        <w:tc>
          <w:tcPr>
            <w:tcW w:w="1418" w:type="dxa"/>
            <w:vAlign w:val="center"/>
          </w:tcPr>
          <w:p w14:paraId="5420E27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3E8337C1" w14:textId="77777777" w:rsidTr="008144F7">
        <w:trPr>
          <w:cantSplit/>
          <w:trHeight w:val="20"/>
        </w:trPr>
        <w:tc>
          <w:tcPr>
            <w:tcW w:w="3227" w:type="dxa"/>
            <w:vMerge/>
            <w:shd w:val="clear" w:color="auto" w:fill="auto"/>
            <w:vAlign w:val="center"/>
            <w:hideMark/>
          </w:tcPr>
          <w:p w14:paraId="52E35BEE" w14:textId="77777777" w:rsidR="0037512A" w:rsidRPr="00361139" w:rsidRDefault="0037512A" w:rsidP="004221D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74AA67B"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05E1A18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10</w:t>
            </w:r>
          </w:p>
        </w:tc>
        <w:tc>
          <w:tcPr>
            <w:tcW w:w="1418" w:type="dxa"/>
            <w:vAlign w:val="center"/>
          </w:tcPr>
          <w:p w14:paraId="3BFEF17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3C0EAC8E" w14:textId="77777777" w:rsidTr="008144F7">
        <w:trPr>
          <w:cantSplit/>
          <w:trHeight w:val="20"/>
        </w:trPr>
        <w:tc>
          <w:tcPr>
            <w:tcW w:w="3227" w:type="dxa"/>
            <w:vMerge w:val="restart"/>
            <w:shd w:val="clear" w:color="auto" w:fill="auto"/>
            <w:vAlign w:val="center"/>
            <w:hideMark/>
          </w:tcPr>
          <w:p w14:paraId="4AFEBDCE"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Would you like to suggest any</w:t>
            </w:r>
            <w:r w:rsidRPr="00361139">
              <w:rPr>
                <w:rFonts w:asciiTheme="majorBidi" w:hAnsiTheme="majorBidi" w:cstheme="majorBidi"/>
                <w:b/>
                <w:sz w:val="18"/>
                <w:szCs w:val="18"/>
              </w:rPr>
              <w:t xml:space="preserve"> action to improve the effectiveness and the efficiency</w:t>
            </w:r>
            <w:r w:rsidRPr="00361139">
              <w:rPr>
                <w:rFonts w:asciiTheme="majorBidi" w:hAnsiTheme="majorBidi" w:cstheme="majorBidi"/>
                <w:sz w:val="18"/>
                <w:szCs w:val="18"/>
              </w:rPr>
              <w:t xml:space="preserve"> of the </w:t>
            </w:r>
            <w:r w:rsidRPr="00361139">
              <w:rPr>
                <w:rFonts w:asciiTheme="majorBidi" w:hAnsiTheme="majorBidi" w:cstheme="majorBidi"/>
                <w:b/>
                <w:sz w:val="18"/>
                <w:szCs w:val="18"/>
              </w:rPr>
              <w:t>Specific International Programme (SIP)</w:t>
            </w:r>
            <w:r w:rsidRPr="00361139">
              <w:rPr>
                <w:rFonts w:asciiTheme="majorBidi" w:hAnsiTheme="majorBidi" w:cstheme="majorBidi"/>
                <w:sz w:val="18"/>
                <w:szCs w:val="18"/>
              </w:rPr>
              <w:t xml:space="preserve"> in meeting the objective of the </w:t>
            </w:r>
            <w:proofErr w:type="gramStart"/>
            <w:r w:rsidRPr="00361139">
              <w:rPr>
                <w:rFonts w:asciiTheme="majorBidi" w:hAnsiTheme="majorBidi" w:cstheme="majorBidi"/>
                <w:sz w:val="18"/>
                <w:szCs w:val="18"/>
              </w:rPr>
              <w:t>Convention?*</w:t>
            </w:r>
            <w:proofErr w:type="gramEnd"/>
          </w:p>
        </w:tc>
        <w:tc>
          <w:tcPr>
            <w:tcW w:w="3118" w:type="dxa"/>
            <w:shd w:val="clear" w:color="auto" w:fill="auto"/>
            <w:vAlign w:val="center"/>
            <w:hideMark/>
          </w:tcPr>
          <w:p w14:paraId="29C467BF"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6ECCD10B"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20</w:t>
            </w:r>
          </w:p>
        </w:tc>
        <w:tc>
          <w:tcPr>
            <w:tcW w:w="1418" w:type="dxa"/>
            <w:vAlign w:val="center"/>
          </w:tcPr>
          <w:p w14:paraId="427C77D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134C65AA" w14:textId="77777777" w:rsidTr="008144F7">
        <w:trPr>
          <w:cantSplit/>
          <w:trHeight w:val="20"/>
        </w:trPr>
        <w:tc>
          <w:tcPr>
            <w:tcW w:w="3227" w:type="dxa"/>
            <w:vMerge/>
            <w:shd w:val="clear" w:color="auto" w:fill="auto"/>
            <w:vAlign w:val="center"/>
            <w:hideMark/>
          </w:tcPr>
          <w:p w14:paraId="19FE8C92" w14:textId="77777777" w:rsidR="0037512A" w:rsidRPr="00361139" w:rsidRDefault="0037512A" w:rsidP="004221D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5636D5E"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62678F0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8</w:t>
            </w:r>
          </w:p>
        </w:tc>
        <w:tc>
          <w:tcPr>
            <w:tcW w:w="1418" w:type="dxa"/>
            <w:vAlign w:val="center"/>
          </w:tcPr>
          <w:p w14:paraId="39E7F91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40%</w:t>
            </w:r>
          </w:p>
        </w:tc>
      </w:tr>
      <w:tr w:rsidR="0037512A" w:rsidRPr="00361139" w14:paraId="232A33EF" w14:textId="77777777" w:rsidTr="008144F7">
        <w:trPr>
          <w:cantSplit/>
          <w:trHeight w:val="20"/>
        </w:trPr>
        <w:tc>
          <w:tcPr>
            <w:tcW w:w="3227" w:type="dxa"/>
            <w:vMerge/>
            <w:tcBorders>
              <w:bottom w:val="single" w:sz="4" w:space="0" w:color="auto"/>
            </w:tcBorders>
            <w:shd w:val="clear" w:color="auto" w:fill="auto"/>
            <w:vAlign w:val="center"/>
            <w:hideMark/>
          </w:tcPr>
          <w:p w14:paraId="74E4F0F6" w14:textId="77777777" w:rsidR="0037512A" w:rsidRPr="00361139" w:rsidRDefault="0037512A" w:rsidP="004221D7">
            <w:pPr>
              <w:tabs>
                <w:tab w:val="left" w:pos="459"/>
              </w:tabs>
              <w:spacing w:before="120" w:after="120"/>
              <w:ind w:left="57" w:right="57"/>
              <w:rPr>
                <w:rFonts w:asciiTheme="majorBidi" w:hAnsiTheme="majorBidi" w:cstheme="majorBidi"/>
                <w:sz w:val="18"/>
                <w:szCs w:val="18"/>
              </w:rPr>
            </w:pPr>
          </w:p>
        </w:tc>
        <w:tc>
          <w:tcPr>
            <w:tcW w:w="3118" w:type="dxa"/>
            <w:tcBorders>
              <w:bottom w:val="single" w:sz="4" w:space="0" w:color="auto"/>
            </w:tcBorders>
            <w:shd w:val="clear" w:color="auto" w:fill="auto"/>
            <w:vAlign w:val="center"/>
            <w:hideMark/>
          </w:tcPr>
          <w:p w14:paraId="0DFD1524"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tcBorders>
              <w:bottom w:val="single" w:sz="4" w:space="0" w:color="auto"/>
            </w:tcBorders>
            <w:shd w:val="clear" w:color="auto" w:fill="auto"/>
            <w:vAlign w:val="center"/>
          </w:tcPr>
          <w:p w14:paraId="4120BEA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w:t>
            </w:r>
          </w:p>
        </w:tc>
        <w:tc>
          <w:tcPr>
            <w:tcW w:w="1418" w:type="dxa"/>
            <w:tcBorders>
              <w:bottom w:val="single" w:sz="4" w:space="0" w:color="auto"/>
            </w:tcBorders>
            <w:vAlign w:val="center"/>
          </w:tcPr>
          <w:p w14:paraId="203EC57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60%</w:t>
            </w:r>
          </w:p>
        </w:tc>
      </w:tr>
      <w:tr w:rsidR="0037512A" w:rsidRPr="00361139" w14:paraId="400C3DD4" w14:textId="77777777" w:rsidTr="008144F7">
        <w:trPr>
          <w:cantSplit/>
          <w:trHeight w:val="20"/>
        </w:trPr>
        <w:tc>
          <w:tcPr>
            <w:tcW w:w="3227" w:type="dxa"/>
            <w:vMerge w:val="restart"/>
            <w:tcBorders>
              <w:top w:val="single" w:sz="4" w:space="0" w:color="auto"/>
            </w:tcBorders>
            <w:shd w:val="clear" w:color="auto" w:fill="auto"/>
            <w:vAlign w:val="center"/>
            <w:hideMark/>
          </w:tcPr>
          <w:p w14:paraId="2517192A"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Would you like to summarize your country </w:t>
            </w:r>
            <w:r w:rsidRPr="00361139">
              <w:rPr>
                <w:rFonts w:asciiTheme="majorBidi" w:hAnsiTheme="majorBidi" w:cstheme="majorBidi"/>
                <w:b/>
                <w:sz w:val="18"/>
                <w:szCs w:val="18"/>
              </w:rPr>
              <w:t>main considerations for choosing to request funding to the Specific International Programme (SIP)</w:t>
            </w:r>
            <w:r w:rsidRPr="00361139">
              <w:rPr>
                <w:rFonts w:asciiTheme="majorBidi" w:hAnsiTheme="majorBidi" w:cstheme="majorBidi"/>
                <w:sz w:val="18"/>
                <w:szCs w:val="18"/>
              </w:rPr>
              <w:t xml:space="preserve"> rather to (or together with) the </w:t>
            </w:r>
            <w:r w:rsidRPr="00361139">
              <w:rPr>
                <w:rFonts w:asciiTheme="majorBidi" w:hAnsiTheme="majorBidi" w:cstheme="majorBidi"/>
                <w:bCs/>
                <w:sz w:val="18"/>
                <w:szCs w:val="18"/>
              </w:rPr>
              <w:t xml:space="preserve">Global Environment Facility (GEF) Trust Fund through the Financial Mechanism of the </w:t>
            </w:r>
            <w:proofErr w:type="gramStart"/>
            <w:r w:rsidRPr="00361139">
              <w:rPr>
                <w:rFonts w:asciiTheme="majorBidi" w:hAnsiTheme="majorBidi" w:cstheme="majorBidi"/>
                <w:bCs/>
                <w:sz w:val="18"/>
                <w:szCs w:val="18"/>
              </w:rPr>
              <w:t>Convention</w:t>
            </w:r>
            <w:r w:rsidRPr="00361139">
              <w:rPr>
                <w:rFonts w:asciiTheme="majorBidi" w:hAnsiTheme="majorBidi" w:cstheme="majorBidi"/>
                <w:sz w:val="18"/>
                <w:szCs w:val="18"/>
              </w:rPr>
              <w:t>?*</w:t>
            </w:r>
            <w:proofErr w:type="gramEnd"/>
          </w:p>
        </w:tc>
        <w:tc>
          <w:tcPr>
            <w:tcW w:w="3118" w:type="dxa"/>
            <w:tcBorders>
              <w:top w:val="single" w:sz="4" w:space="0" w:color="auto"/>
            </w:tcBorders>
            <w:shd w:val="clear" w:color="auto" w:fill="auto"/>
            <w:vAlign w:val="center"/>
            <w:hideMark/>
          </w:tcPr>
          <w:p w14:paraId="022D22B9"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tcBorders>
              <w:top w:val="single" w:sz="4" w:space="0" w:color="auto"/>
            </w:tcBorders>
            <w:shd w:val="clear" w:color="auto" w:fill="auto"/>
            <w:vAlign w:val="center"/>
          </w:tcPr>
          <w:p w14:paraId="1899CB1B"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19</w:t>
            </w:r>
          </w:p>
        </w:tc>
        <w:tc>
          <w:tcPr>
            <w:tcW w:w="1418" w:type="dxa"/>
            <w:tcBorders>
              <w:top w:val="single" w:sz="4" w:space="0" w:color="auto"/>
            </w:tcBorders>
            <w:vAlign w:val="center"/>
          </w:tcPr>
          <w:p w14:paraId="5F11919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509C9180" w14:textId="77777777" w:rsidTr="008144F7">
        <w:trPr>
          <w:cantSplit/>
          <w:trHeight w:val="20"/>
        </w:trPr>
        <w:tc>
          <w:tcPr>
            <w:tcW w:w="3227" w:type="dxa"/>
            <w:vMerge/>
            <w:shd w:val="clear" w:color="auto" w:fill="auto"/>
            <w:vAlign w:val="center"/>
            <w:hideMark/>
          </w:tcPr>
          <w:p w14:paraId="30ACC94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FB28BC5"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2FA902B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8</w:t>
            </w:r>
          </w:p>
        </w:tc>
        <w:tc>
          <w:tcPr>
            <w:tcW w:w="1418" w:type="dxa"/>
            <w:vAlign w:val="center"/>
          </w:tcPr>
          <w:p w14:paraId="01DB2EB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40%</w:t>
            </w:r>
          </w:p>
        </w:tc>
      </w:tr>
      <w:tr w:rsidR="0037512A" w:rsidRPr="00361139" w14:paraId="64A34DE4" w14:textId="77777777" w:rsidTr="008144F7">
        <w:trPr>
          <w:cantSplit/>
          <w:trHeight w:val="20"/>
        </w:trPr>
        <w:tc>
          <w:tcPr>
            <w:tcW w:w="3227" w:type="dxa"/>
            <w:vMerge/>
            <w:shd w:val="clear" w:color="auto" w:fill="auto"/>
            <w:vAlign w:val="center"/>
            <w:hideMark/>
          </w:tcPr>
          <w:p w14:paraId="2186C5FA"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A65D692"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3FE5753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w:t>
            </w:r>
          </w:p>
        </w:tc>
        <w:tc>
          <w:tcPr>
            <w:tcW w:w="1418" w:type="dxa"/>
            <w:vAlign w:val="center"/>
          </w:tcPr>
          <w:p w14:paraId="60CE47B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60%</w:t>
            </w:r>
          </w:p>
        </w:tc>
      </w:tr>
      <w:tr w:rsidR="0037512A" w:rsidRPr="00361139" w14:paraId="7E254C4E" w14:textId="77777777" w:rsidTr="008144F7">
        <w:trPr>
          <w:cantSplit/>
          <w:trHeight w:val="20"/>
        </w:trPr>
        <w:tc>
          <w:tcPr>
            <w:tcW w:w="9180" w:type="dxa"/>
            <w:gridSpan w:val="4"/>
            <w:shd w:val="clear" w:color="auto" w:fill="B6DDE8"/>
            <w:vAlign w:val="center"/>
            <w:hideMark/>
          </w:tcPr>
          <w:p w14:paraId="67F0060F"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all respondents in this section continued to section 3a.</w:t>
            </w:r>
          </w:p>
        </w:tc>
      </w:tr>
      <w:tr w:rsidR="0037512A" w:rsidRPr="00361139" w14:paraId="28DB8957" w14:textId="77777777" w:rsidTr="008144F7">
        <w:trPr>
          <w:cantSplit/>
          <w:trHeight w:val="20"/>
        </w:trPr>
        <w:tc>
          <w:tcPr>
            <w:tcW w:w="9180" w:type="dxa"/>
            <w:gridSpan w:val="4"/>
            <w:shd w:val="clear" w:color="auto" w:fill="auto"/>
            <w:vAlign w:val="center"/>
            <w:hideMark/>
          </w:tcPr>
          <w:p w14:paraId="77ED4AE3"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3(a) – Parties and Signatory Countries eligible for GEF funding under the Financial Mechanism</w:t>
            </w:r>
          </w:p>
          <w:p w14:paraId="655EDEB9" w14:textId="77777777" w:rsidR="0037512A" w:rsidRPr="00361139" w:rsidRDefault="0037512A" w:rsidP="008144F7">
            <w:pPr>
              <w:spacing w:before="120" w:after="120"/>
              <w:ind w:left="57" w:right="57"/>
              <w:rPr>
                <w:rFonts w:asciiTheme="majorBidi" w:hAnsiTheme="majorBidi" w:cstheme="majorBidi"/>
                <w:bCs/>
                <w:i/>
                <w:iCs/>
                <w:sz w:val="18"/>
                <w:szCs w:val="18"/>
              </w:rPr>
            </w:pPr>
            <w:r w:rsidRPr="00361139">
              <w:rPr>
                <w:rFonts w:asciiTheme="majorBidi" w:hAnsiTheme="majorBidi" w:cstheme="majorBidi"/>
                <w:bCs/>
                <w:i/>
                <w:iCs/>
                <w:sz w:val="18"/>
                <w:szCs w:val="18"/>
              </w:rPr>
              <w:t xml:space="preserve">The Minamata Convention (MC) sets up, in its Art. 13, a Financial Mechanism to support developing country Parties and Parties with economies in transition in implementing their obligations under the Convention. Accordingly, the Mechanism includes: (a) the Global Environment Facility Trust Fund; and (b) a Specific International Programme to support capacity-building and technical assistance. </w:t>
            </w:r>
          </w:p>
          <w:p w14:paraId="03934D95" w14:textId="77777777" w:rsidR="0037512A" w:rsidRPr="00361139" w:rsidRDefault="0037512A" w:rsidP="008144F7">
            <w:pPr>
              <w:spacing w:before="120" w:after="120"/>
              <w:ind w:left="57" w:right="57"/>
              <w:rPr>
                <w:rFonts w:asciiTheme="majorBidi" w:hAnsiTheme="majorBidi" w:cstheme="majorBidi"/>
                <w:bCs/>
                <w:i/>
                <w:iCs/>
                <w:sz w:val="18"/>
                <w:szCs w:val="18"/>
              </w:rPr>
            </w:pPr>
            <w:r w:rsidRPr="00361139">
              <w:rPr>
                <w:rFonts w:asciiTheme="majorBidi" w:hAnsiTheme="majorBidi" w:cstheme="majorBidi"/>
                <w:bCs/>
                <w:i/>
                <w:iCs/>
                <w:sz w:val="18"/>
                <w:szCs w:val="18"/>
              </w:rPr>
              <w:t>According to COP Guidance to the GEF (decision MC-1/5), also Signatories to the Convention are eligible for funding from GEF for enabling activities, provided that any such signatory is taking meaningful steps towards becoming a Party.</w:t>
            </w:r>
          </w:p>
          <w:p w14:paraId="4513EF99"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bCs/>
                <w:i/>
                <w:sz w:val="18"/>
                <w:szCs w:val="18"/>
              </w:rPr>
              <w:t>This section refers to the possibility for your country to apply for funding under the Global Environment Facility (GEF) Trust Fund through the Financial Mechanism of the Convention</w:t>
            </w:r>
          </w:p>
        </w:tc>
      </w:tr>
      <w:tr w:rsidR="0037512A" w:rsidRPr="00361139" w14:paraId="5C65A452" w14:textId="77777777" w:rsidTr="008144F7">
        <w:trPr>
          <w:cantSplit/>
          <w:trHeight w:val="20"/>
        </w:trPr>
        <w:tc>
          <w:tcPr>
            <w:tcW w:w="3227" w:type="dxa"/>
            <w:vMerge w:val="restart"/>
            <w:shd w:val="clear" w:color="auto" w:fill="auto"/>
            <w:vAlign w:val="center"/>
            <w:hideMark/>
          </w:tcPr>
          <w:p w14:paraId="09309065"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Has your country ever </w:t>
            </w:r>
            <w:r w:rsidRPr="00361139">
              <w:rPr>
                <w:rFonts w:asciiTheme="majorBidi" w:hAnsiTheme="majorBidi" w:cstheme="majorBidi"/>
                <w:b/>
                <w:sz w:val="18"/>
                <w:szCs w:val="18"/>
              </w:rPr>
              <w:t>requested and/or received financial support from the Global Environment Facility (GEF) Trust Fund</w:t>
            </w:r>
            <w:r w:rsidRPr="00361139">
              <w:rPr>
                <w:rFonts w:asciiTheme="majorBidi" w:hAnsiTheme="majorBidi" w:cstheme="majorBidi"/>
                <w:sz w:val="18"/>
                <w:szCs w:val="18"/>
              </w:rPr>
              <w:t xml:space="preserve">, through the Financial Mechanism, for the implementation of the Minamata </w:t>
            </w:r>
            <w:proofErr w:type="gramStart"/>
            <w:r w:rsidRPr="00361139">
              <w:rPr>
                <w:rFonts w:asciiTheme="majorBidi" w:hAnsiTheme="majorBidi" w:cstheme="majorBidi"/>
                <w:sz w:val="18"/>
                <w:szCs w:val="18"/>
              </w:rPr>
              <w:t>Convention?*</w:t>
            </w:r>
            <w:proofErr w:type="gramEnd"/>
          </w:p>
        </w:tc>
        <w:tc>
          <w:tcPr>
            <w:tcW w:w="3118" w:type="dxa"/>
            <w:shd w:val="clear" w:color="auto" w:fill="auto"/>
            <w:vAlign w:val="center"/>
            <w:hideMark/>
          </w:tcPr>
          <w:p w14:paraId="2720389A"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1A28317B"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37</w:t>
            </w:r>
          </w:p>
        </w:tc>
        <w:tc>
          <w:tcPr>
            <w:tcW w:w="1418" w:type="dxa"/>
            <w:vAlign w:val="center"/>
          </w:tcPr>
          <w:p w14:paraId="12FF04B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0CAEDFE3" w14:textId="77777777" w:rsidTr="008144F7">
        <w:trPr>
          <w:cantSplit/>
          <w:trHeight w:val="20"/>
        </w:trPr>
        <w:tc>
          <w:tcPr>
            <w:tcW w:w="3227" w:type="dxa"/>
            <w:vMerge/>
            <w:shd w:val="clear" w:color="auto" w:fill="auto"/>
            <w:vAlign w:val="center"/>
            <w:hideMark/>
          </w:tcPr>
          <w:p w14:paraId="425DB99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0A529CD"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Yes, we </w:t>
            </w:r>
            <w:r w:rsidRPr="00361139">
              <w:rPr>
                <w:rFonts w:asciiTheme="majorBidi" w:hAnsiTheme="majorBidi" w:cstheme="majorBidi"/>
                <w:b/>
                <w:sz w:val="18"/>
                <w:szCs w:val="18"/>
              </w:rPr>
              <w:t>requested and received</w:t>
            </w:r>
            <w:r w:rsidRPr="00361139">
              <w:rPr>
                <w:rFonts w:asciiTheme="majorBidi" w:hAnsiTheme="majorBidi" w:cstheme="majorBidi"/>
                <w:sz w:val="18"/>
                <w:szCs w:val="18"/>
              </w:rPr>
              <w:t xml:space="preserve"> funding to the GEF through the MC Financial Mechanism;</w:t>
            </w:r>
          </w:p>
        </w:tc>
        <w:tc>
          <w:tcPr>
            <w:tcW w:w="1417" w:type="dxa"/>
            <w:shd w:val="clear" w:color="auto" w:fill="auto"/>
            <w:vAlign w:val="center"/>
          </w:tcPr>
          <w:p w14:paraId="7B41587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18</w:t>
            </w:r>
          </w:p>
        </w:tc>
        <w:tc>
          <w:tcPr>
            <w:tcW w:w="1418" w:type="dxa"/>
            <w:vAlign w:val="center"/>
          </w:tcPr>
          <w:p w14:paraId="14EABF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49%</w:t>
            </w:r>
          </w:p>
        </w:tc>
      </w:tr>
      <w:tr w:rsidR="0037512A" w:rsidRPr="00361139" w14:paraId="65B2E089" w14:textId="77777777" w:rsidTr="008144F7">
        <w:trPr>
          <w:cantSplit/>
          <w:trHeight w:val="20"/>
        </w:trPr>
        <w:tc>
          <w:tcPr>
            <w:tcW w:w="3227" w:type="dxa"/>
            <w:vMerge/>
            <w:shd w:val="clear" w:color="auto" w:fill="auto"/>
            <w:vAlign w:val="center"/>
            <w:hideMark/>
          </w:tcPr>
          <w:p w14:paraId="2BCFBC5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B7A1EC4"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Yes, we </w:t>
            </w:r>
            <w:r w:rsidRPr="00361139">
              <w:rPr>
                <w:rFonts w:asciiTheme="majorBidi" w:hAnsiTheme="majorBidi" w:cstheme="majorBidi"/>
                <w:b/>
                <w:sz w:val="18"/>
                <w:szCs w:val="18"/>
              </w:rPr>
              <w:t>requested</w:t>
            </w:r>
            <w:r w:rsidRPr="00361139">
              <w:rPr>
                <w:rFonts w:asciiTheme="majorBidi" w:hAnsiTheme="majorBidi" w:cstheme="majorBidi"/>
                <w:sz w:val="18"/>
                <w:szCs w:val="18"/>
              </w:rPr>
              <w:t xml:space="preserve"> funding to the GEF through the MC Financial Mechanism </w:t>
            </w:r>
            <w:r w:rsidRPr="00361139">
              <w:rPr>
                <w:rFonts w:asciiTheme="majorBidi" w:hAnsiTheme="majorBidi" w:cstheme="majorBidi"/>
                <w:b/>
                <w:sz w:val="18"/>
                <w:szCs w:val="18"/>
              </w:rPr>
              <w:t>and are currently waiting for the response;</w:t>
            </w:r>
          </w:p>
        </w:tc>
        <w:tc>
          <w:tcPr>
            <w:tcW w:w="1417" w:type="dxa"/>
            <w:shd w:val="clear" w:color="auto" w:fill="auto"/>
            <w:vAlign w:val="center"/>
          </w:tcPr>
          <w:p w14:paraId="76FB1D0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1A951E2A"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w:t>
            </w:r>
          </w:p>
        </w:tc>
      </w:tr>
      <w:tr w:rsidR="0037512A" w:rsidRPr="00361139" w14:paraId="415D244B" w14:textId="77777777" w:rsidTr="008144F7">
        <w:trPr>
          <w:cantSplit/>
          <w:trHeight w:val="20"/>
        </w:trPr>
        <w:tc>
          <w:tcPr>
            <w:tcW w:w="3227" w:type="dxa"/>
            <w:vMerge/>
            <w:shd w:val="clear" w:color="auto" w:fill="auto"/>
            <w:vAlign w:val="center"/>
            <w:hideMark/>
          </w:tcPr>
          <w:p w14:paraId="1A5CD93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705C69A"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Yes, we </w:t>
            </w:r>
            <w:r w:rsidRPr="00361139">
              <w:rPr>
                <w:rFonts w:asciiTheme="majorBidi" w:hAnsiTheme="majorBidi" w:cstheme="majorBidi"/>
                <w:b/>
                <w:sz w:val="18"/>
                <w:szCs w:val="18"/>
              </w:rPr>
              <w:t>requested</w:t>
            </w:r>
            <w:r w:rsidRPr="00361139">
              <w:rPr>
                <w:rFonts w:asciiTheme="majorBidi" w:hAnsiTheme="majorBidi" w:cstheme="majorBidi"/>
                <w:sz w:val="18"/>
                <w:szCs w:val="18"/>
              </w:rPr>
              <w:t xml:space="preserve"> funding to the GEF through the MC Financial Mechanism, </w:t>
            </w:r>
            <w:r w:rsidRPr="00361139">
              <w:rPr>
                <w:rFonts w:asciiTheme="majorBidi" w:hAnsiTheme="majorBidi" w:cstheme="majorBidi"/>
                <w:b/>
                <w:sz w:val="18"/>
                <w:szCs w:val="18"/>
              </w:rPr>
              <w:t>but our request was not approved;</w:t>
            </w:r>
          </w:p>
        </w:tc>
        <w:tc>
          <w:tcPr>
            <w:tcW w:w="1417" w:type="dxa"/>
            <w:shd w:val="clear" w:color="auto" w:fill="auto"/>
            <w:vAlign w:val="center"/>
          </w:tcPr>
          <w:p w14:paraId="33A107E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43B9938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w:t>
            </w:r>
          </w:p>
        </w:tc>
      </w:tr>
      <w:tr w:rsidR="0037512A" w:rsidRPr="00361139" w14:paraId="0288F77A" w14:textId="77777777" w:rsidTr="008144F7">
        <w:trPr>
          <w:cantSplit/>
          <w:trHeight w:val="20"/>
        </w:trPr>
        <w:tc>
          <w:tcPr>
            <w:tcW w:w="3227" w:type="dxa"/>
            <w:vMerge/>
            <w:shd w:val="clear" w:color="auto" w:fill="auto"/>
            <w:vAlign w:val="center"/>
            <w:hideMark/>
          </w:tcPr>
          <w:p w14:paraId="2D4615F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4C52122"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No, we </w:t>
            </w:r>
            <w:r w:rsidRPr="00361139">
              <w:rPr>
                <w:rFonts w:asciiTheme="majorBidi" w:hAnsiTheme="majorBidi" w:cstheme="majorBidi"/>
                <w:b/>
                <w:sz w:val="18"/>
                <w:szCs w:val="18"/>
              </w:rPr>
              <w:t>never requested and/or received</w:t>
            </w:r>
            <w:r w:rsidRPr="00361139">
              <w:rPr>
                <w:rFonts w:asciiTheme="majorBidi" w:hAnsiTheme="majorBidi" w:cstheme="majorBidi"/>
                <w:sz w:val="18"/>
                <w:szCs w:val="18"/>
              </w:rPr>
              <w:t xml:space="preserve"> funding to the GEF through the MC Financial Mechanism.</w:t>
            </w:r>
          </w:p>
        </w:tc>
        <w:tc>
          <w:tcPr>
            <w:tcW w:w="1417" w:type="dxa"/>
            <w:shd w:val="clear" w:color="auto" w:fill="auto"/>
            <w:vAlign w:val="center"/>
          </w:tcPr>
          <w:p w14:paraId="4994F9F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14</w:t>
            </w:r>
          </w:p>
        </w:tc>
        <w:tc>
          <w:tcPr>
            <w:tcW w:w="1418" w:type="dxa"/>
            <w:vAlign w:val="center"/>
          </w:tcPr>
          <w:p w14:paraId="7346E9E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38%</w:t>
            </w:r>
          </w:p>
        </w:tc>
      </w:tr>
      <w:tr w:rsidR="0037512A" w:rsidRPr="00361139" w14:paraId="7A340DFB" w14:textId="77777777" w:rsidTr="008144F7">
        <w:trPr>
          <w:cantSplit/>
          <w:trHeight w:val="20"/>
        </w:trPr>
        <w:tc>
          <w:tcPr>
            <w:tcW w:w="3227" w:type="dxa"/>
            <w:vMerge/>
            <w:tcBorders>
              <w:bottom w:val="single" w:sz="4" w:space="0" w:color="auto"/>
            </w:tcBorders>
            <w:shd w:val="clear" w:color="auto" w:fill="auto"/>
            <w:vAlign w:val="center"/>
            <w:hideMark/>
          </w:tcPr>
          <w:p w14:paraId="5B8AB6C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tcBorders>
              <w:bottom w:val="single" w:sz="4" w:space="0" w:color="auto"/>
            </w:tcBorders>
            <w:shd w:val="clear" w:color="auto" w:fill="auto"/>
            <w:vAlign w:val="center"/>
            <w:hideMark/>
          </w:tcPr>
          <w:p w14:paraId="739381C8"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p w14:paraId="7CE6C60C" w14:textId="77777777" w:rsidR="0037512A" w:rsidRPr="00361139" w:rsidRDefault="0037512A" w:rsidP="008144F7">
            <w:pPr>
              <w:spacing w:before="120" w:after="120"/>
              <w:ind w:left="318" w:right="57" w:hanging="23"/>
              <w:rPr>
                <w:rFonts w:asciiTheme="majorBidi" w:hAnsiTheme="majorBidi" w:cstheme="majorBidi"/>
                <w:sz w:val="18"/>
                <w:szCs w:val="18"/>
              </w:rPr>
            </w:pPr>
          </w:p>
        </w:tc>
        <w:tc>
          <w:tcPr>
            <w:tcW w:w="1417" w:type="dxa"/>
            <w:tcBorders>
              <w:bottom w:val="single" w:sz="4" w:space="0" w:color="auto"/>
            </w:tcBorders>
            <w:shd w:val="clear" w:color="auto" w:fill="auto"/>
            <w:vAlign w:val="center"/>
          </w:tcPr>
          <w:p w14:paraId="3C48A5E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 comments</w:t>
            </w:r>
          </w:p>
        </w:tc>
        <w:tc>
          <w:tcPr>
            <w:tcW w:w="1418" w:type="dxa"/>
            <w:tcBorders>
              <w:bottom w:val="single" w:sz="4" w:space="0" w:color="auto"/>
            </w:tcBorders>
            <w:vAlign w:val="center"/>
          </w:tcPr>
          <w:p w14:paraId="4A109BC1" w14:textId="77777777" w:rsidR="0037512A" w:rsidRPr="00361139" w:rsidRDefault="0037512A" w:rsidP="008144F7">
            <w:pPr>
              <w:spacing w:before="120" w:after="120"/>
              <w:ind w:left="57" w:right="57"/>
              <w:jc w:val="right"/>
              <w:rPr>
                <w:rFonts w:asciiTheme="majorBidi" w:hAnsiTheme="majorBidi" w:cstheme="majorBidi"/>
                <w:i/>
                <w:sz w:val="18"/>
                <w:szCs w:val="18"/>
              </w:rPr>
            </w:pPr>
          </w:p>
        </w:tc>
      </w:tr>
      <w:tr w:rsidR="0037512A" w:rsidRPr="00361139" w14:paraId="26F48CE0" w14:textId="77777777" w:rsidTr="008144F7">
        <w:trPr>
          <w:cantSplit/>
          <w:trHeight w:val="20"/>
        </w:trPr>
        <w:tc>
          <w:tcPr>
            <w:tcW w:w="3227" w:type="dxa"/>
            <w:vMerge w:val="restart"/>
            <w:tcBorders>
              <w:top w:val="single" w:sz="4" w:space="0" w:color="auto"/>
            </w:tcBorders>
            <w:shd w:val="clear" w:color="auto" w:fill="auto"/>
            <w:vAlign w:val="center"/>
            <w:hideMark/>
          </w:tcPr>
          <w:p w14:paraId="3A095257"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Is your country </w:t>
            </w:r>
            <w:r w:rsidRPr="00361139">
              <w:rPr>
                <w:rFonts w:asciiTheme="majorBidi" w:hAnsiTheme="majorBidi" w:cstheme="majorBidi"/>
                <w:b/>
                <w:sz w:val="18"/>
                <w:szCs w:val="18"/>
              </w:rPr>
              <w:t>currently planning on requesting</w:t>
            </w:r>
            <w:r w:rsidRPr="00361139">
              <w:rPr>
                <w:rFonts w:asciiTheme="majorBidi" w:hAnsiTheme="majorBidi" w:cstheme="majorBidi"/>
                <w:sz w:val="18"/>
                <w:szCs w:val="18"/>
              </w:rPr>
              <w:t xml:space="preserve"> (additional) </w:t>
            </w:r>
            <w:r w:rsidRPr="00361139">
              <w:rPr>
                <w:rFonts w:asciiTheme="majorBidi" w:hAnsiTheme="majorBidi" w:cstheme="majorBidi"/>
                <w:b/>
                <w:sz w:val="18"/>
                <w:szCs w:val="18"/>
              </w:rPr>
              <w:lastRenderedPageBreak/>
              <w:t xml:space="preserve">funds to the Global Environment Facility (GEF) Trust </w:t>
            </w:r>
            <w:proofErr w:type="gramStart"/>
            <w:r w:rsidRPr="00361139">
              <w:rPr>
                <w:rFonts w:asciiTheme="majorBidi" w:hAnsiTheme="majorBidi" w:cstheme="majorBidi"/>
                <w:b/>
                <w:sz w:val="18"/>
                <w:szCs w:val="18"/>
              </w:rPr>
              <w:t>Fund</w:t>
            </w:r>
            <w:r w:rsidRPr="00361139">
              <w:rPr>
                <w:rFonts w:asciiTheme="majorBidi" w:hAnsiTheme="majorBidi" w:cstheme="majorBidi"/>
                <w:sz w:val="18"/>
                <w:szCs w:val="18"/>
              </w:rPr>
              <w:t>?*</w:t>
            </w:r>
            <w:proofErr w:type="gramEnd"/>
          </w:p>
        </w:tc>
        <w:tc>
          <w:tcPr>
            <w:tcW w:w="3118" w:type="dxa"/>
            <w:tcBorders>
              <w:top w:val="single" w:sz="4" w:space="0" w:color="auto"/>
            </w:tcBorders>
            <w:shd w:val="clear" w:color="auto" w:fill="auto"/>
            <w:vAlign w:val="center"/>
            <w:hideMark/>
          </w:tcPr>
          <w:p w14:paraId="12A8ACB3"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lastRenderedPageBreak/>
              <w:t>Number of Responses:</w:t>
            </w:r>
          </w:p>
        </w:tc>
        <w:tc>
          <w:tcPr>
            <w:tcW w:w="1417" w:type="dxa"/>
            <w:tcBorders>
              <w:top w:val="single" w:sz="4" w:space="0" w:color="auto"/>
            </w:tcBorders>
            <w:shd w:val="clear" w:color="auto" w:fill="auto"/>
            <w:vAlign w:val="center"/>
          </w:tcPr>
          <w:p w14:paraId="6BF60160"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37</w:t>
            </w:r>
          </w:p>
        </w:tc>
        <w:tc>
          <w:tcPr>
            <w:tcW w:w="1418" w:type="dxa"/>
            <w:tcBorders>
              <w:top w:val="single" w:sz="4" w:space="0" w:color="auto"/>
            </w:tcBorders>
            <w:vAlign w:val="center"/>
          </w:tcPr>
          <w:p w14:paraId="579FC279"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6BDF520C" w14:textId="77777777" w:rsidTr="008144F7">
        <w:trPr>
          <w:cantSplit/>
          <w:trHeight w:val="20"/>
        </w:trPr>
        <w:tc>
          <w:tcPr>
            <w:tcW w:w="3227" w:type="dxa"/>
            <w:vMerge/>
            <w:shd w:val="clear" w:color="auto" w:fill="auto"/>
            <w:vAlign w:val="center"/>
            <w:hideMark/>
          </w:tcPr>
          <w:p w14:paraId="0ECD3CF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2A80C5E"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Yes </w:t>
            </w:r>
          </w:p>
        </w:tc>
        <w:tc>
          <w:tcPr>
            <w:tcW w:w="1417" w:type="dxa"/>
            <w:shd w:val="clear" w:color="auto" w:fill="auto"/>
            <w:vAlign w:val="center"/>
          </w:tcPr>
          <w:p w14:paraId="33EF670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23</w:t>
            </w:r>
          </w:p>
        </w:tc>
        <w:tc>
          <w:tcPr>
            <w:tcW w:w="1418" w:type="dxa"/>
            <w:vAlign w:val="center"/>
          </w:tcPr>
          <w:p w14:paraId="0250ABE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62%</w:t>
            </w:r>
          </w:p>
        </w:tc>
      </w:tr>
      <w:tr w:rsidR="0037512A" w:rsidRPr="00361139" w14:paraId="3469ED8B" w14:textId="77777777" w:rsidTr="008144F7">
        <w:trPr>
          <w:cantSplit/>
          <w:trHeight w:val="20"/>
        </w:trPr>
        <w:tc>
          <w:tcPr>
            <w:tcW w:w="3227" w:type="dxa"/>
            <w:vMerge/>
            <w:shd w:val="clear" w:color="auto" w:fill="auto"/>
            <w:vAlign w:val="center"/>
            <w:hideMark/>
          </w:tcPr>
          <w:p w14:paraId="715B78B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D33EE75"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2C4FEBD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14</w:t>
            </w:r>
          </w:p>
        </w:tc>
        <w:tc>
          <w:tcPr>
            <w:tcW w:w="1418" w:type="dxa"/>
            <w:vAlign w:val="center"/>
          </w:tcPr>
          <w:p w14:paraId="1116D8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38%</w:t>
            </w:r>
          </w:p>
        </w:tc>
      </w:tr>
      <w:tr w:rsidR="0037512A" w:rsidRPr="00361139" w14:paraId="202BB4B5" w14:textId="77777777" w:rsidTr="008144F7">
        <w:trPr>
          <w:cantSplit/>
          <w:trHeight w:val="20"/>
        </w:trPr>
        <w:tc>
          <w:tcPr>
            <w:tcW w:w="3227" w:type="dxa"/>
            <w:vMerge/>
            <w:shd w:val="clear" w:color="auto" w:fill="auto"/>
            <w:vAlign w:val="center"/>
            <w:hideMark/>
          </w:tcPr>
          <w:p w14:paraId="5ECAAA0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FEA127C"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1D3D22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xml:space="preserve"> 7 comments</w:t>
            </w:r>
          </w:p>
        </w:tc>
        <w:tc>
          <w:tcPr>
            <w:tcW w:w="1418" w:type="dxa"/>
            <w:vAlign w:val="center"/>
          </w:tcPr>
          <w:p w14:paraId="6631D0FF"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38D94D25" w14:textId="77777777" w:rsidTr="008144F7">
        <w:trPr>
          <w:cantSplit/>
          <w:trHeight w:val="20"/>
        </w:trPr>
        <w:tc>
          <w:tcPr>
            <w:tcW w:w="9180" w:type="dxa"/>
            <w:gridSpan w:val="4"/>
            <w:shd w:val="clear" w:color="auto" w:fill="B6DDE8"/>
            <w:vAlign w:val="center"/>
            <w:hideMark/>
          </w:tcPr>
          <w:p w14:paraId="47C05713"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from this point onward, depending from the answer to Q17, respondents were moved to Section 3b (those answering “a”), Section 3d (answers “b”), Section 3c (answers “c”), or Section 4 (answer “d”).</w:t>
            </w:r>
          </w:p>
        </w:tc>
      </w:tr>
      <w:tr w:rsidR="0037512A" w:rsidRPr="00361139" w14:paraId="185FAEB1" w14:textId="77777777" w:rsidTr="008144F7">
        <w:trPr>
          <w:cantSplit/>
          <w:trHeight w:val="20"/>
        </w:trPr>
        <w:tc>
          <w:tcPr>
            <w:tcW w:w="9180" w:type="dxa"/>
            <w:gridSpan w:val="4"/>
            <w:shd w:val="clear" w:color="auto" w:fill="auto"/>
            <w:vAlign w:val="center"/>
            <w:hideMark/>
          </w:tcPr>
          <w:p w14:paraId="037144BC"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3b – Recipients of GEF funding under the MC Financial Mechanism</w:t>
            </w:r>
          </w:p>
          <w:p w14:paraId="2B668DEE"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bCs/>
                <w:i/>
                <w:sz w:val="18"/>
                <w:szCs w:val="18"/>
              </w:rPr>
              <w:t>This section refers to the funding your country received from the Global Environment Facility (GEF) Trust Fund through the Financial Mechanism of the Minamata Convention.</w:t>
            </w:r>
          </w:p>
        </w:tc>
      </w:tr>
      <w:tr w:rsidR="0037512A" w:rsidRPr="00361139" w14:paraId="4E73CA89" w14:textId="77777777" w:rsidTr="008144F7">
        <w:trPr>
          <w:cantSplit/>
          <w:trHeight w:val="20"/>
        </w:trPr>
        <w:tc>
          <w:tcPr>
            <w:tcW w:w="3227" w:type="dxa"/>
            <w:vMerge w:val="restart"/>
            <w:shd w:val="clear" w:color="auto" w:fill="auto"/>
            <w:vAlign w:val="center"/>
            <w:hideMark/>
          </w:tcPr>
          <w:p w14:paraId="29BD7DDD"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which year did you start </w:t>
            </w:r>
            <w:r w:rsidRPr="00361139">
              <w:rPr>
                <w:rFonts w:asciiTheme="majorBidi" w:hAnsiTheme="majorBidi" w:cstheme="majorBidi"/>
                <w:b/>
                <w:sz w:val="18"/>
                <w:szCs w:val="18"/>
              </w:rPr>
              <w:t>receiving funding from the GEF</w:t>
            </w:r>
            <w:r w:rsidRPr="00361139">
              <w:rPr>
                <w:rFonts w:asciiTheme="majorBidi" w:hAnsiTheme="majorBidi" w:cstheme="majorBidi"/>
                <w:sz w:val="18"/>
                <w:szCs w:val="18"/>
              </w:rPr>
              <w:t xml:space="preserve"> through the Financial Mechanism of the Minamata Convention? </w:t>
            </w:r>
            <w:r w:rsidRPr="00361139">
              <w:rPr>
                <w:rFonts w:asciiTheme="majorBidi" w:hAnsiTheme="majorBidi" w:cstheme="majorBidi"/>
                <w:i/>
                <w:sz w:val="18"/>
                <w:szCs w:val="18"/>
              </w:rPr>
              <w:t>(optional)</w:t>
            </w:r>
          </w:p>
        </w:tc>
        <w:tc>
          <w:tcPr>
            <w:tcW w:w="3118" w:type="dxa"/>
            <w:shd w:val="clear" w:color="auto" w:fill="auto"/>
            <w:vAlign w:val="center"/>
            <w:hideMark/>
          </w:tcPr>
          <w:p w14:paraId="65925EA6"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B45FE91"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7</w:t>
            </w:r>
          </w:p>
        </w:tc>
        <w:tc>
          <w:tcPr>
            <w:tcW w:w="1418" w:type="dxa"/>
            <w:vAlign w:val="center"/>
          </w:tcPr>
          <w:p w14:paraId="0743C89C"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51333A38" w14:textId="77777777" w:rsidTr="008144F7">
        <w:trPr>
          <w:cantSplit/>
          <w:trHeight w:val="20"/>
        </w:trPr>
        <w:tc>
          <w:tcPr>
            <w:tcW w:w="3227" w:type="dxa"/>
            <w:vMerge/>
            <w:shd w:val="clear" w:color="auto" w:fill="auto"/>
            <w:vAlign w:val="center"/>
            <w:hideMark/>
          </w:tcPr>
          <w:p w14:paraId="4B2DB6A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3C4BFB8"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2018</w:t>
            </w:r>
          </w:p>
        </w:tc>
        <w:tc>
          <w:tcPr>
            <w:tcW w:w="1417" w:type="dxa"/>
            <w:shd w:val="clear" w:color="auto" w:fill="auto"/>
            <w:vAlign w:val="center"/>
          </w:tcPr>
          <w:p w14:paraId="1DFBBF4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5DE5BA9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57%</w:t>
            </w:r>
          </w:p>
        </w:tc>
      </w:tr>
      <w:tr w:rsidR="0037512A" w:rsidRPr="00361139" w14:paraId="2CC92979" w14:textId="77777777" w:rsidTr="008144F7">
        <w:trPr>
          <w:cantSplit/>
          <w:trHeight w:val="20"/>
        </w:trPr>
        <w:tc>
          <w:tcPr>
            <w:tcW w:w="3227" w:type="dxa"/>
            <w:vMerge/>
            <w:shd w:val="clear" w:color="auto" w:fill="auto"/>
            <w:vAlign w:val="center"/>
            <w:hideMark/>
          </w:tcPr>
          <w:p w14:paraId="354D659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54007C2"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2019</w:t>
            </w:r>
          </w:p>
        </w:tc>
        <w:tc>
          <w:tcPr>
            <w:tcW w:w="1417" w:type="dxa"/>
            <w:shd w:val="clear" w:color="auto" w:fill="auto"/>
            <w:vAlign w:val="center"/>
          </w:tcPr>
          <w:p w14:paraId="3476818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41531E9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336293BF" w14:textId="77777777" w:rsidTr="008144F7">
        <w:trPr>
          <w:cantSplit/>
          <w:trHeight w:val="20"/>
        </w:trPr>
        <w:tc>
          <w:tcPr>
            <w:tcW w:w="3227" w:type="dxa"/>
            <w:vMerge/>
            <w:shd w:val="clear" w:color="auto" w:fill="auto"/>
            <w:vAlign w:val="center"/>
            <w:hideMark/>
          </w:tcPr>
          <w:p w14:paraId="3C48DDA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26C0936"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2020</w:t>
            </w:r>
          </w:p>
        </w:tc>
        <w:tc>
          <w:tcPr>
            <w:tcW w:w="1417" w:type="dxa"/>
            <w:shd w:val="clear" w:color="auto" w:fill="auto"/>
            <w:vAlign w:val="center"/>
          </w:tcPr>
          <w:p w14:paraId="15AA49A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40D7D71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2EE76C10" w14:textId="77777777" w:rsidTr="008144F7">
        <w:trPr>
          <w:cantSplit/>
          <w:trHeight w:val="20"/>
        </w:trPr>
        <w:tc>
          <w:tcPr>
            <w:tcW w:w="3227" w:type="dxa"/>
            <w:vMerge/>
            <w:shd w:val="clear" w:color="auto" w:fill="auto"/>
            <w:vAlign w:val="center"/>
            <w:hideMark/>
          </w:tcPr>
          <w:p w14:paraId="67CAE7C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E2B35AE"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2021</w:t>
            </w:r>
          </w:p>
        </w:tc>
        <w:tc>
          <w:tcPr>
            <w:tcW w:w="1417" w:type="dxa"/>
            <w:shd w:val="clear" w:color="auto" w:fill="auto"/>
            <w:vAlign w:val="center"/>
          </w:tcPr>
          <w:p w14:paraId="0AB7336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313A915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25324D32" w14:textId="77777777" w:rsidTr="008144F7">
        <w:trPr>
          <w:cantSplit/>
          <w:trHeight w:val="20"/>
        </w:trPr>
        <w:tc>
          <w:tcPr>
            <w:tcW w:w="3227" w:type="dxa"/>
            <w:vMerge/>
            <w:shd w:val="clear" w:color="auto" w:fill="auto"/>
            <w:vAlign w:val="center"/>
            <w:hideMark/>
          </w:tcPr>
          <w:p w14:paraId="7F295C0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0BC7DEA"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2022</w:t>
            </w:r>
          </w:p>
        </w:tc>
        <w:tc>
          <w:tcPr>
            <w:tcW w:w="1417" w:type="dxa"/>
            <w:shd w:val="clear" w:color="auto" w:fill="auto"/>
            <w:vAlign w:val="center"/>
          </w:tcPr>
          <w:p w14:paraId="0A37602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w:t>
            </w:r>
          </w:p>
        </w:tc>
        <w:tc>
          <w:tcPr>
            <w:tcW w:w="1418" w:type="dxa"/>
            <w:vAlign w:val="center"/>
          </w:tcPr>
          <w:p w14:paraId="096FE85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43%</w:t>
            </w:r>
          </w:p>
        </w:tc>
      </w:tr>
      <w:tr w:rsidR="0037512A" w:rsidRPr="00361139" w14:paraId="01F98CE7" w14:textId="77777777" w:rsidTr="008144F7">
        <w:trPr>
          <w:cantSplit/>
          <w:trHeight w:val="20"/>
        </w:trPr>
        <w:tc>
          <w:tcPr>
            <w:tcW w:w="3227" w:type="dxa"/>
            <w:vMerge/>
            <w:shd w:val="clear" w:color="auto" w:fill="auto"/>
            <w:vAlign w:val="center"/>
            <w:hideMark/>
          </w:tcPr>
          <w:p w14:paraId="15C831F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C325A94"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2C9A4E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8 comments</w:t>
            </w:r>
          </w:p>
        </w:tc>
        <w:tc>
          <w:tcPr>
            <w:tcW w:w="1418" w:type="dxa"/>
            <w:vAlign w:val="center"/>
          </w:tcPr>
          <w:p w14:paraId="3CC8E4AD"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0B6D52F" w14:textId="77777777" w:rsidTr="008144F7">
        <w:trPr>
          <w:cantSplit/>
          <w:trHeight w:val="20"/>
        </w:trPr>
        <w:tc>
          <w:tcPr>
            <w:tcW w:w="9180" w:type="dxa"/>
            <w:gridSpan w:val="4"/>
            <w:shd w:val="clear" w:color="auto" w:fill="auto"/>
            <w:vAlign w:val="center"/>
            <w:hideMark/>
          </w:tcPr>
          <w:p w14:paraId="5D9F3B67"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i/>
                <w:sz w:val="18"/>
                <w:szCs w:val="18"/>
              </w:rPr>
              <w:t xml:space="preserve">Art. 13 of the Minamata Convention defines a Mechanism for the provision of </w:t>
            </w:r>
            <w:r w:rsidRPr="00361139">
              <w:rPr>
                <w:rFonts w:asciiTheme="majorBidi" w:hAnsiTheme="majorBidi" w:cstheme="majorBidi"/>
                <w:b/>
                <w:i/>
                <w:sz w:val="18"/>
                <w:szCs w:val="18"/>
              </w:rPr>
              <w:t>adequate</w:t>
            </w:r>
            <w:r w:rsidRPr="00361139">
              <w:rPr>
                <w:rFonts w:asciiTheme="majorBidi" w:hAnsiTheme="majorBidi" w:cstheme="majorBidi"/>
                <w:i/>
                <w:sz w:val="18"/>
                <w:szCs w:val="18"/>
              </w:rPr>
              <w:t xml:space="preserve">, </w:t>
            </w:r>
            <w:r w:rsidRPr="00361139">
              <w:rPr>
                <w:rFonts w:asciiTheme="majorBidi" w:hAnsiTheme="majorBidi" w:cstheme="majorBidi"/>
                <w:b/>
                <w:i/>
                <w:sz w:val="18"/>
                <w:szCs w:val="18"/>
              </w:rPr>
              <w:t>predictable</w:t>
            </w:r>
            <w:r w:rsidRPr="00361139">
              <w:rPr>
                <w:rFonts w:asciiTheme="majorBidi" w:hAnsiTheme="majorBidi" w:cstheme="majorBidi"/>
                <w:i/>
                <w:sz w:val="18"/>
                <w:szCs w:val="18"/>
              </w:rPr>
              <w:t xml:space="preserve">, and </w:t>
            </w:r>
            <w:r w:rsidRPr="00361139">
              <w:rPr>
                <w:rFonts w:asciiTheme="majorBidi" w:hAnsiTheme="majorBidi" w:cstheme="majorBidi"/>
                <w:b/>
                <w:i/>
                <w:sz w:val="18"/>
                <w:szCs w:val="18"/>
              </w:rPr>
              <w:t>timely</w:t>
            </w:r>
            <w:r w:rsidRPr="00361139">
              <w:rPr>
                <w:rFonts w:asciiTheme="majorBidi" w:hAnsiTheme="majorBidi" w:cstheme="majorBidi"/>
                <w:i/>
                <w:sz w:val="18"/>
                <w:szCs w:val="18"/>
              </w:rPr>
              <w:t xml:space="preserve"> financial resources to support developing country Parties and Parties with economies in transition in implementing their obligations under this Convention.</w:t>
            </w:r>
          </w:p>
        </w:tc>
      </w:tr>
      <w:tr w:rsidR="0037512A" w:rsidRPr="00361139" w14:paraId="11C42A47" w14:textId="77777777" w:rsidTr="008144F7">
        <w:trPr>
          <w:cantSplit/>
          <w:trHeight w:val="20"/>
        </w:trPr>
        <w:tc>
          <w:tcPr>
            <w:tcW w:w="3227" w:type="dxa"/>
            <w:vMerge w:val="restart"/>
            <w:shd w:val="clear" w:color="auto" w:fill="auto"/>
            <w:vAlign w:val="center"/>
            <w:hideMark/>
          </w:tcPr>
          <w:p w14:paraId="411D32BB"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and based on your country’s direct experience, during the time period covered by the 2nd Review of the Financial Mechanism (August 2019 to July 2022), as a recipient of GEF funding, how much you would say the financial resources your country received from the </w:t>
            </w:r>
            <w:r w:rsidRPr="00361139">
              <w:rPr>
                <w:rStyle w:val="Strong"/>
                <w:rFonts w:asciiTheme="majorBidi" w:hAnsiTheme="majorBidi" w:cstheme="majorBidi"/>
                <w:iCs/>
                <w:sz w:val="18"/>
                <w:szCs w:val="18"/>
              </w:rPr>
              <w:t>Global Environment Facility (GEF) Trust Fund</w:t>
            </w:r>
            <w:r w:rsidRPr="00361139">
              <w:rPr>
                <w:rFonts w:asciiTheme="majorBidi" w:hAnsiTheme="majorBidi" w:cstheme="majorBidi"/>
                <w:sz w:val="18"/>
                <w:szCs w:val="18"/>
              </w:rPr>
              <w:t xml:space="preserve"> were </w:t>
            </w:r>
            <w:r w:rsidRPr="00361139">
              <w:rPr>
                <w:rStyle w:val="Emphasis"/>
                <w:rFonts w:asciiTheme="majorBidi" w:hAnsiTheme="majorBidi" w:cstheme="majorBidi"/>
                <w:sz w:val="18"/>
                <w:szCs w:val="18"/>
              </w:rPr>
              <w:t xml:space="preserve">adequate, predictable, </w:t>
            </w:r>
            <w:r w:rsidRPr="00361139">
              <w:rPr>
                <w:rFonts w:asciiTheme="majorBidi" w:hAnsiTheme="majorBidi" w:cstheme="majorBidi"/>
                <w:sz w:val="18"/>
                <w:szCs w:val="18"/>
              </w:rPr>
              <w:t xml:space="preserve">and </w:t>
            </w:r>
            <w:r w:rsidRPr="00361139">
              <w:rPr>
                <w:rStyle w:val="Emphasis"/>
                <w:rFonts w:asciiTheme="majorBidi" w:hAnsiTheme="majorBidi" w:cstheme="majorBidi"/>
                <w:sz w:val="18"/>
                <w:szCs w:val="18"/>
              </w:rPr>
              <w:t xml:space="preserve">timely </w:t>
            </w:r>
            <w:r w:rsidRPr="00361139">
              <w:rPr>
                <w:rFonts w:asciiTheme="majorBidi" w:hAnsiTheme="majorBidi" w:cstheme="majorBidi"/>
                <w:sz w:val="18"/>
                <w:szCs w:val="18"/>
              </w:rPr>
              <w:t>in supporting the implementation of your country obligations under the Convention?*</w:t>
            </w:r>
          </w:p>
        </w:tc>
        <w:tc>
          <w:tcPr>
            <w:tcW w:w="3118" w:type="dxa"/>
            <w:shd w:val="clear" w:color="auto" w:fill="auto"/>
            <w:vAlign w:val="center"/>
            <w:hideMark/>
          </w:tcPr>
          <w:p w14:paraId="183014CA"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079A4F98"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15</w:t>
            </w:r>
          </w:p>
        </w:tc>
        <w:tc>
          <w:tcPr>
            <w:tcW w:w="1418" w:type="dxa"/>
            <w:vAlign w:val="center"/>
          </w:tcPr>
          <w:p w14:paraId="45EC3543"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09ADEE3B" w14:textId="77777777" w:rsidTr="008144F7">
        <w:trPr>
          <w:cantSplit/>
          <w:trHeight w:val="20"/>
        </w:trPr>
        <w:tc>
          <w:tcPr>
            <w:tcW w:w="3227" w:type="dxa"/>
            <w:vMerge/>
            <w:shd w:val="clear" w:color="auto" w:fill="auto"/>
            <w:vAlign w:val="center"/>
            <w:hideMark/>
          </w:tcPr>
          <w:p w14:paraId="2D969E9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64ED48F"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Adequate</w:t>
            </w:r>
            <w:r w:rsidRPr="00361139">
              <w:rPr>
                <w:rFonts w:asciiTheme="majorBidi" w:hAnsiTheme="majorBidi" w:cstheme="majorBidi"/>
                <w:i/>
                <w:iCs/>
                <w:sz w:val="18"/>
                <w:szCs w:val="18"/>
              </w:rPr>
              <w:t xml:space="preserve"> (weighted average)</w:t>
            </w:r>
          </w:p>
        </w:tc>
        <w:tc>
          <w:tcPr>
            <w:tcW w:w="1417" w:type="dxa"/>
            <w:shd w:val="clear" w:color="auto" w:fill="auto"/>
            <w:vAlign w:val="center"/>
          </w:tcPr>
          <w:p w14:paraId="193D334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3.60/5</w:t>
            </w:r>
          </w:p>
        </w:tc>
        <w:tc>
          <w:tcPr>
            <w:tcW w:w="1418" w:type="dxa"/>
            <w:vAlign w:val="center"/>
          </w:tcPr>
          <w:p w14:paraId="5BE5605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72%</w:t>
            </w:r>
          </w:p>
        </w:tc>
      </w:tr>
      <w:tr w:rsidR="0037512A" w:rsidRPr="00361139" w14:paraId="3454D91F" w14:textId="77777777" w:rsidTr="008144F7">
        <w:trPr>
          <w:cantSplit/>
          <w:trHeight w:val="20"/>
        </w:trPr>
        <w:tc>
          <w:tcPr>
            <w:tcW w:w="3227" w:type="dxa"/>
            <w:vMerge/>
            <w:shd w:val="clear" w:color="auto" w:fill="auto"/>
            <w:vAlign w:val="center"/>
            <w:hideMark/>
          </w:tcPr>
          <w:p w14:paraId="7099143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BAA5AF3"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Predictable</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1170009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3.60/5</w:t>
            </w:r>
          </w:p>
        </w:tc>
        <w:tc>
          <w:tcPr>
            <w:tcW w:w="1418" w:type="dxa"/>
            <w:vAlign w:val="center"/>
          </w:tcPr>
          <w:p w14:paraId="10D41C78"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72%</w:t>
            </w:r>
          </w:p>
        </w:tc>
      </w:tr>
      <w:tr w:rsidR="0037512A" w:rsidRPr="00361139" w14:paraId="3EA5311A" w14:textId="77777777" w:rsidTr="008144F7">
        <w:trPr>
          <w:cantSplit/>
          <w:trHeight w:val="20"/>
        </w:trPr>
        <w:tc>
          <w:tcPr>
            <w:tcW w:w="3227" w:type="dxa"/>
            <w:vMerge/>
            <w:shd w:val="clear" w:color="auto" w:fill="auto"/>
            <w:vAlign w:val="center"/>
            <w:hideMark/>
          </w:tcPr>
          <w:p w14:paraId="361A569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B7816DA"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Timely</w:t>
            </w:r>
            <w:r w:rsidRPr="00361139">
              <w:rPr>
                <w:rFonts w:asciiTheme="majorBidi" w:hAnsiTheme="majorBidi" w:cstheme="majorBidi"/>
                <w:i/>
                <w:iCs/>
                <w:sz w:val="18"/>
                <w:szCs w:val="18"/>
              </w:rPr>
              <w:t xml:space="preserve"> (weighted average)</w:t>
            </w:r>
          </w:p>
        </w:tc>
        <w:tc>
          <w:tcPr>
            <w:tcW w:w="1417" w:type="dxa"/>
            <w:shd w:val="clear" w:color="auto" w:fill="auto"/>
            <w:vAlign w:val="center"/>
          </w:tcPr>
          <w:p w14:paraId="39116DA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3.53/5</w:t>
            </w:r>
          </w:p>
        </w:tc>
        <w:tc>
          <w:tcPr>
            <w:tcW w:w="1418" w:type="dxa"/>
            <w:vAlign w:val="center"/>
          </w:tcPr>
          <w:p w14:paraId="6CA986C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71%</w:t>
            </w:r>
          </w:p>
        </w:tc>
      </w:tr>
      <w:tr w:rsidR="0037512A" w:rsidRPr="00361139" w14:paraId="54DC310F" w14:textId="77777777" w:rsidTr="008144F7">
        <w:trPr>
          <w:cantSplit/>
          <w:trHeight w:val="20"/>
        </w:trPr>
        <w:tc>
          <w:tcPr>
            <w:tcW w:w="3227" w:type="dxa"/>
            <w:vMerge/>
            <w:shd w:val="clear" w:color="auto" w:fill="auto"/>
            <w:vAlign w:val="center"/>
            <w:hideMark/>
          </w:tcPr>
          <w:p w14:paraId="625988F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FE923E2"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E12640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3293381B"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6EE90493" w14:textId="77777777" w:rsidTr="008144F7">
        <w:trPr>
          <w:cantSplit/>
          <w:trHeight w:val="20"/>
        </w:trPr>
        <w:tc>
          <w:tcPr>
            <w:tcW w:w="9180" w:type="dxa"/>
            <w:gridSpan w:val="4"/>
            <w:shd w:val="clear" w:color="auto" w:fill="auto"/>
            <w:vAlign w:val="center"/>
            <w:hideMark/>
          </w:tcPr>
          <w:p w14:paraId="1E52F0B5" w14:textId="77777777" w:rsidR="0037512A" w:rsidRPr="00361139" w:rsidRDefault="0037512A" w:rsidP="008144F7">
            <w:pPr>
              <w:spacing w:before="120" w:after="120"/>
              <w:ind w:left="57" w:right="57"/>
              <w:rPr>
                <w:rFonts w:asciiTheme="majorBidi" w:hAnsiTheme="majorBidi" w:cstheme="majorBidi"/>
                <w:b/>
                <w:sz w:val="18"/>
                <w:szCs w:val="18"/>
              </w:rPr>
            </w:pPr>
            <w:r w:rsidRPr="00361139">
              <w:rPr>
                <w:rStyle w:val="Emphasis"/>
                <w:rFonts w:asciiTheme="majorBidi" w:hAnsiTheme="majorBidi" w:cstheme="majorBidi"/>
                <w:sz w:val="18"/>
                <w:szCs w:val="18"/>
              </w:rPr>
              <w:t>According to the COP Guidance to the GEF, as defined in decision MC-1/5, the GEF Trust Fund shall provide financial resources to meet costs in support of implementation of the Convention.</w:t>
            </w:r>
          </w:p>
        </w:tc>
      </w:tr>
      <w:tr w:rsidR="0037512A" w:rsidRPr="00361139" w14:paraId="5C0464D5" w14:textId="77777777" w:rsidTr="008144F7">
        <w:trPr>
          <w:cantSplit/>
          <w:trHeight w:val="20"/>
        </w:trPr>
        <w:tc>
          <w:tcPr>
            <w:tcW w:w="3227" w:type="dxa"/>
            <w:vMerge w:val="restart"/>
            <w:shd w:val="clear" w:color="auto" w:fill="auto"/>
            <w:vAlign w:val="center"/>
            <w:hideMark/>
          </w:tcPr>
          <w:p w14:paraId="7C617DC6"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and based on your country direct experience as a recipient of GEF </w:t>
            </w:r>
            <w:r w:rsidRPr="00361139">
              <w:rPr>
                <w:rFonts w:asciiTheme="majorBidi" w:hAnsiTheme="majorBidi" w:cstheme="majorBidi"/>
                <w:sz w:val="18"/>
                <w:szCs w:val="18"/>
              </w:rPr>
              <w:lastRenderedPageBreak/>
              <w:t xml:space="preserve">funding during the time period covered by the 2nd Review of the Financial Mechanism (August 2019 to July 2022), how much you would say the financial resources your country received from the </w:t>
            </w:r>
            <w:r w:rsidRPr="00361139">
              <w:rPr>
                <w:rFonts w:asciiTheme="majorBidi" w:hAnsiTheme="majorBidi" w:cstheme="majorBidi"/>
                <w:b/>
                <w:bCs/>
                <w:sz w:val="18"/>
                <w:szCs w:val="18"/>
              </w:rPr>
              <w:t xml:space="preserve">Global Environment Facility (GEF) Trust Fund </w:t>
            </w:r>
            <w:r w:rsidRPr="00361139">
              <w:rPr>
                <w:rFonts w:asciiTheme="majorBidi" w:hAnsiTheme="majorBidi" w:cstheme="majorBidi"/>
                <w:sz w:val="18"/>
                <w:szCs w:val="18"/>
              </w:rPr>
              <w:t xml:space="preserve">contributed in </w:t>
            </w:r>
            <w:r w:rsidRPr="00361139">
              <w:rPr>
                <w:rFonts w:asciiTheme="majorBidi" w:hAnsiTheme="majorBidi" w:cstheme="majorBidi"/>
                <w:b/>
                <w:iCs/>
                <w:sz w:val="18"/>
                <w:szCs w:val="18"/>
              </w:rPr>
              <w:t>meeting costs in support of implementation of the Convention</w:t>
            </w:r>
            <w:r w:rsidRPr="00361139">
              <w:rPr>
                <w:rFonts w:asciiTheme="majorBidi" w:hAnsiTheme="majorBidi" w:cstheme="majorBidi"/>
                <w:b/>
                <w:sz w:val="18"/>
                <w:szCs w:val="18"/>
              </w:rPr>
              <w:t>?*</w:t>
            </w:r>
          </w:p>
        </w:tc>
        <w:tc>
          <w:tcPr>
            <w:tcW w:w="3118" w:type="dxa"/>
            <w:shd w:val="clear" w:color="auto" w:fill="auto"/>
            <w:vAlign w:val="center"/>
            <w:hideMark/>
          </w:tcPr>
          <w:p w14:paraId="4323173B"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lastRenderedPageBreak/>
              <w:t>Number of Responses:</w:t>
            </w:r>
          </w:p>
        </w:tc>
        <w:tc>
          <w:tcPr>
            <w:tcW w:w="1417" w:type="dxa"/>
            <w:shd w:val="clear" w:color="auto" w:fill="auto"/>
            <w:vAlign w:val="center"/>
          </w:tcPr>
          <w:p w14:paraId="343F077A"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15</w:t>
            </w:r>
          </w:p>
        </w:tc>
        <w:tc>
          <w:tcPr>
            <w:tcW w:w="1418" w:type="dxa"/>
            <w:vAlign w:val="center"/>
          </w:tcPr>
          <w:p w14:paraId="710EB360"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339B6597" w14:textId="77777777" w:rsidTr="008144F7">
        <w:trPr>
          <w:cantSplit/>
          <w:trHeight w:val="20"/>
        </w:trPr>
        <w:tc>
          <w:tcPr>
            <w:tcW w:w="3227" w:type="dxa"/>
            <w:vMerge/>
            <w:shd w:val="clear" w:color="auto" w:fill="auto"/>
            <w:vAlign w:val="center"/>
            <w:hideMark/>
          </w:tcPr>
          <w:p w14:paraId="2F9D1C1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94A861A"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i/>
                <w:sz w:val="18"/>
                <w:szCs w:val="18"/>
              </w:rPr>
              <w:t>Weighted average</w:t>
            </w:r>
          </w:p>
        </w:tc>
        <w:tc>
          <w:tcPr>
            <w:tcW w:w="1417" w:type="dxa"/>
            <w:shd w:val="clear" w:color="auto" w:fill="auto"/>
            <w:vAlign w:val="center"/>
          </w:tcPr>
          <w:p w14:paraId="7B0769A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3.33/5</w:t>
            </w:r>
          </w:p>
        </w:tc>
        <w:tc>
          <w:tcPr>
            <w:tcW w:w="1418" w:type="dxa"/>
            <w:vAlign w:val="center"/>
          </w:tcPr>
          <w:p w14:paraId="666E616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67%</w:t>
            </w:r>
          </w:p>
        </w:tc>
      </w:tr>
      <w:tr w:rsidR="0037512A" w:rsidRPr="00361139" w14:paraId="7DE82EC9" w14:textId="77777777" w:rsidTr="008144F7">
        <w:trPr>
          <w:cantSplit/>
          <w:trHeight w:val="20"/>
        </w:trPr>
        <w:tc>
          <w:tcPr>
            <w:tcW w:w="3227" w:type="dxa"/>
            <w:vMerge/>
            <w:shd w:val="clear" w:color="auto" w:fill="auto"/>
            <w:vAlign w:val="center"/>
            <w:hideMark/>
          </w:tcPr>
          <w:p w14:paraId="6B951C0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261585D"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B87D28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7 comments</w:t>
            </w:r>
          </w:p>
        </w:tc>
        <w:tc>
          <w:tcPr>
            <w:tcW w:w="1418" w:type="dxa"/>
            <w:vAlign w:val="center"/>
          </w:tcPr>
          <w:p w14:paraId="24A58B92"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770EE3DD" w14:textId="77777777" w:rsidTr="008144F7">
        <w:trPr>
          <w:cantSplit/>
          <w:trHeight w:val="20"/>
        </w:trPr>
        <w:tc>
          <w:tcPr>
            <w:tcW w:w="9180" w:type="dxa"/>
            <w:gridSpan w:val="4"/>
            <w:shd w:val="clear" w:color="auto" w:fill="B6DDE8"/>
            <w:vAlign w:val="center"/>
            <w:hideMark/>
          </w:tcPr>
          <w:p w14:paraId="4F57D18D"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all </w:t>
            </w:r>
            <w:r w:rsidRPr="00361139">
              <w:rPr>
                <w:rFonts w:asciiTheme="majorBidi" w:hAnsiTheme="majorBidi" w:cstheme="majorBidi"/>
                <w:i/>
                <w:sz w:val="18"/>
                <w:szCs w:val="18"/>
              </w:rPr>
              <w:t>respondents in this section continued to section 3d</w:t>
            </w:r>
          </w:p>
        </w:tc>
      </w:tr>
      <w:tr w:rsidR="0037512A" w:rsidRPr="00361139" w14:paraId="1B48784D" w14:textId="77777777" w:rsidTr="008144F7">
        <w:trPr>
          <w:cantSplit/>
          <w:trHeight w:val="20"/>
        </w:trPr>
        <w:tc>
          <w:tcPr>
            <w:tcW w:w="9180" w:type="dxa"/>
            <w:gridSpan w:val="4"/>
            <w:shd w:val="clear" w:color="auto" w:fill="auto"/>
            <w:vAlign w:val="center"/>
            <w:hideMark/>
          </w:tcPr>
          <w:p w14:paraId="114886BB"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3(c) – Countries having requested but not received funding from the GEF through the FM</w:t>
            </w:r>
          </w:p>
          <w:p w14:paraId="266567B6"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bCs/>
                <w:i/>
                <w:iCs/>
                <w:sz w:val="18"/>
                <w:szCs w:val="18"/>
              </w:rPr>
              <w:t xml:space="preserve">Please help us to better understand why your request for funding from the Global Environment Facility (GEF) Trust Fund through the Financial Mechanism of the Convention </w:t>
            </w:r>
            <w:r w:rsidRPr="00361139">
              <w:rPr>
                <w:rFonts w:asciiTheme="majorBidi" w:hAnsiTheme="majorBidi" w:cstheme="majorBidi"/>
                <w:b/>
                <w:i/>
                <w:sz w:val="18"/>
                <w:szCs w:val="18"/>
              </w:rPr>
              <w:t>has not been approved</w:t>
            </w:r>
            <w:r w:rsidRPr="00361139">
              <w:rPr>
                <w:rFonts w:asciiTheme="majorBidi" w:hAnsiTheme="majorBidi" w:cstheme="majorBidi"/>
                <w:b/>
                <w:bCs/>
                <w:i/>
                <w:iCs/>
                <w:sz w:val="18"/>
                <w:szCs w:val="18"/>
              </w:rPr>
              <w:t>.</w:t>
            </w:r>
          </w:p>
        </w:tc>
      </w:tr>
      <w:tr w:rsidR="0037512A" w:rsidRPr="00361139" w14:paraId="219F721F" w14:textId="77777777" w:rsidTr="008144F7">
        <w:trPr>
          <w:cantSplit/>
          <w:trHeight w:val="20"/>
        </w:trPr>
        <w:tc>
          <w:tcPr>
            <w:tcW w:w="3227" w:type="dxa"/>
            <w:vMerge w:val="restart"/>
            <w:shd w:val="clear" w:color="auto" w:fill="auto"/>
            <w:vAlign w:val="center"/>
            <w:hideMark/>
          </w:tcPr>
          <w:p w14:paraId="463BEAE1"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which ways did your country express interest in accessing funding for a GEF project that has </w:t>
            </w:r>
            <w:r w:rsidRPr="00361139">
              <w:rPr>
                <w:rFonts w:asciiTheme="majorBidi" w:hAnsiTheme="majorBidi" w:cstheme="majorBidi"/>
                <w:b/>
                <w:sz w:val="18"/>
                <w:szCs w:val="18"/>
              </w:rPr>
              <w:t>not been approved</w:t>
            </w:r>
            <w:r w:rsidRPr="00361139">
              <w:rPr>
                <w:rFonts w:asciiTheme="majorBidi" w:hAnsiTheme="majorBidi" w:cstheme="majorBidi"/>
                <w:sz w:val="18"/>
                <w:szCs w:val="18"/>
              </w:rPr>
              <w:t xml:space="preserve">? </w:t>
            </w:r>
            <w:r w:rsidRPr="00361139">
              <w:rPr>
                <w:rFonts w:asciiTheme="majorBidi" w:hAnsiTheme="majorBidi" w:cstheme="majorBidi"/>
                <w:i/>
                <w:sz w:val="18"/>
                <w:szCs w:val="18"/>
              </w:rPr>
              <w:t xml:space="preserve">(please check all sentences that are </w:t>
            </w:r>
            <w:proofErr w:type="gramStart"/>
            <w:r w:rsidRPr="00361139">
              <w:rPr>
                <w:rFonts w:asciiTheme="majorBidi" w:hAnsiTheme="majorBidi" w:cstheme="majorBidi"/>
                <w:i/>
                <w:sz w:val="18"/>
                <w:szCs w:val="18"/>
              </w:rPr>
              <w:t>true)*</w:t>
            </w:r>
            <w:proofErr w:type="gramEnd"/>
          </w:p>
        </w:tc>
        <w:tc>
          <w:tcPr>
            <w:tcW w:w="3118" w:type="dxa"/>
            <w:shd w:val="clear" w:color="auto" w:fill="auto"/>
            <w:vAlign w:val="center"/>
            <w:hideMark/>
          </w:tcPr>
          <w:p w14:paraId="03AE8977"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59DC57E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w:t>
            </w:r>
          </w:p>
        </w:tc>
        <w:tc>
          <w:tcPr>
            <w:tcW w:w="1418" w:type="dxa"/>
            <w:vAlign w:val="center"/>
          </w:tcPr>
          <w:p w14:paraId="7524D8D6"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73721D2A" w14:textId="77777777" w:rsidTr="008144F7">
        <w:trPr>
          <w:cantSplit/>
          <w:trHeight w:val="20"/>
        </w:trPr>
        <w:tc>
          <w:tcPr>
            <w:tcW w:w="3227" w:type="dxa"/>
            <w:vMerge/>
            <w:shd w:val="clear" w:color="auto" w:fill="auto"/>
            <w:vAlign w:val="center"/>
            <w:hideMark/>
          </w:tcPr>
          <w:p w14:paraId="7CE9C3C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2F08DC86"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We requested the assistance of the GEF Secretariat</w:t>
            </w:r>
          </w:p>
        </w:tc>
        <w:tc>
          <w:tcPr>
            <w:tcW w:w="1417" w:type="dxa"/>
            <w:shd w:val="clear" w:color="auto" w:fill="auto"/>
            <w:vAlign w:val="center"/>
          </w:tcPr>
          <w:p w14:paraId="0200C6B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72D5142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533BD1FE" w14:textId="77777777" w:rsidTr="008144F7">
        <w:trPr>
          <w:cantSplit/>
          <w:trHeight w:val="20"/>
        </w:trPr>
        <w:tc>
          <w:tcPr>
            <w:tcW w:w="3227" w:type="dxa"/>
            <w:vMerge/>
            <w:shd w:val="clear" w:color="auto" w:fill="auto"/>
            <w:vAlign w:val="center"/>
            <w:hideMark/>
          </w:tcPr>
          <w:p w14:paraId="7BD5C9A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53A6973C"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We requested the assistance of the Minamata Convention Secretariat</w:t>
            </w:r>
          </w:p>
        </w:tc>
        <w:tc>
          <w:tcPr>
            <w:tcW w:w="1417" w:type="dxa"/>
            <w:shd w:val="clear" w:color="auto" w:fill="auto"/>
            <w:vAlign w:val="center"/>
          </w:tcPr>
          <w:p w14:paraId="3904CB3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07F4BE7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130E704D" w14:textId="77777777" w:rsidTr="008144F7">
        <w:trPr>
          <w:cantSplit/>
          <w:trHeight w:val="20"/>
        </w:trPr>
        <w:tc>
          <w:tcPr>
            <w:tcW w:w="3227" w:type="dxa"/>
            <w:vMerge/>
            <w:shd w:val="clear" w:color="auto" w:fill="auto"/>
            <w:vAlign w:val="center"/>
            <w:hideMark/>
          </w:tcPr>
          <w:p w14:paraId="38F3D34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7CFDABCD"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We requested the assistance of a GEF implementing agency (UNEP, UNDP, etc)</w:t>
            </w:r>
          </w:p>
        </w:tc>
        <w:tc>
          <w:tcPr>
            <w:tcW w:w="1417" w:type="dxa"/>
            <w:shd w:val="clear" w:color="auto" w:fill="auto"/>
            <w:vAlign w:val="center"/>
          </w:tcPr>
          <w:p w14:paraId="2AB4C33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73B21CF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2C8808A3" w14:textId="77777777" w:rsidTr="008144F7">
        <w:trPr>
          <w:cantSplit/>
          <w:trHeight w:val="20"/>
        </w:trPr>
        <w:tc>
          <w:tcPr>
            <w:tcW w:w="3227" w:type="dxa"/>
            <w:vMerge/>
            <w:shd w:val="clear" w:color="auto" w:fill="auto"/>
            <w:vAlign w:val="center"/>
            <w:hideMark/>
          </w:tcPr>
          <w:p w14:paraId="2BF6E68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39F7B259"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The project was submitted to the GEF Council and not approved</w:t>
            </w:r>
          </w:p>
        </w:tc>
        <w:tc>
          <w:tcPr>
            <w:tcW w:w="1417" w:type="dxa"/>
            <w:shd w:val="clear" w:color="auto" w:fill="auto"/>
            <w:vAlign w:val="center"/>
          </w:tcPr>
          <w:p w14:paraId="6E81D53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05DDE43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33267BFB" w14:textId="77777777" w:rsidTr="008144F7">
        <w:trPr>
          <w:cantSplit/>
          <w:trHeight w:val="20"/>
        </w:trPr>
        <w:tc>
          <w:tcPr>
            <w:tcW w:w="3227" w:type="dxa"/>
            <w:vMerge/>
            <w:shd w:val="clear" w:color="auto" w:fill="auto"/>
            <w:vAlign w:val="center"/>
            <w:hideMark/>
          </w:tcPr>
          <w:p w14:paraId="79C0311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5D279A44"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The project was submitted for CEO endorsement (for GEF enabling activities or medium-sized projects) but was not approved</w:t>
            </w:r>
          </w:p>
        </w:tc>
        <w:tc>
          <w:tcPr>
            <w:tcW w:w="1417" w:type="dxa"/>
            <w:shd w:val="clear" w:color="auto" w:fill="auto"/>
            <w:vAlign w:val="center"/>
          </w:tcPr>
          <w:p w14:paraId="5355FFF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254A6C39"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3E3DDC45" w14:textId="77777777" w:rsidTr="008144F7">
        <w:trPr>
          <w:cantSplit/>
          <w:trHeight w:val="20"/>
        </w:trPr>
        <w:tc>
          <w:tcPr>
            <w:tcW w:w="3227" w:type="dxa"/>
            <w:vMerge/>
            <w:shd w:val="clear" w:color="auto" w:fill="auto"/>
            <w:vAlign w:val="center"/>
            <w:hideMark/>
          </w:tcPr>
          <w:p w14:paraId="666F2BA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hideMark/>
          </w:tcPr>
          <w:p w14:paraId="51EA1C27"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The project was NOT submitted to the GEF Council or for CEO endorsement</w:t>
            </w:r>
          </w:p>
        </w:tc>
        <w:tc>
          <w:tcPr>
            <w:tcW w:w="1417" w:type="dxa"/>
            <w:shd w:val="clear" w:color="auto" w:fill="auto"/>
            <w:vAlign w:val="center"/>
          </w:tcPr>
          <w:p w14:paraId="1D46DB6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w:t>
            </w:r>
          </w:p>
        </w:tc>
        <w:tc>
          <w:tcPr>
            <w:tcW w:w="1418" w:type="dxa"/>
            <w:vAlign w:val="center"/>
          </w:tcPr>
          <w:p w14:paraId="425B28E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0%</w:t>
            </w:r>
          </w:p>
        </w:tc>
      </w:tr>
      <w:tr w:rsidR="0037512A" w:rsidRPr="00361139" w14:paraId="2F1E5D43" w14:textId="77777777" w:rsidTr="008144F7">
        <w:trPr>
          <w:cantSplit/>
          <w:trHeight w:val="20"/>
        </w:trPr>
        <w:tc>
          <w:tcPr>
            <w:tcW w:w="3227" w:type="dxa"/>
            <w:vMerge/>
            <w:shd w:val="clear" w:color="auto" w:fill="auto"/>
            <w:vAlign w:val="center"/>
            <w:hideMark/>
          </w:tcPr>
          <w:p w14:paraId="66382A8A"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3C4EA6B"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0461CF2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0 comments</w:t>
            </w:r>
          </w:p>
        </w:tc>
        <w:tc>
          <w:tcPr>
            <w:tcW w:w="1418" w:type="dxa"/>
            <w:vAlign w:val="center"/>
          </w:tcPr>
          <w:p w14:paraId="37541109"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2412F704" w14:textId="77777777" w:rsidTr="008144F7">
        <w:trPr>
          <w:cantSplit/>
          <w:trHeight w:val="20"/>
        </w:trPr>
        <w:tc>
          <w:tcPr>
            <w:tcW w:w="9180" w:type="dxa"/>
            <w:gridSpan w:val="4"/>
            <w:shd w:val="clear" w:color="auto" w:fill="B6DDE8"/>
            <w:vAlign w:val="center"/>
            <w:hideMark/>
          </w:tcPr>
          <w:p w14:paraId="3AECA8C2"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Note on survey logic:</w:t>
            </w:r>
            <w:r w:rsidRPr="00361139">
              <w:rPr>
                <w:rFonts w:asciiTheme="majorBidi" w:hAnsiTheme="majorBidi" w:cstheme="majorBidi"/>
                <w:i/>
                <w:sz w:val="18"/>
                <w:szCs w:val="18"/>
              </w:rPr>
              <w:t xml:space="preserve"> all respondents in this section continued to section 3d</w:t>
            </w:r>
          </w:p>
        </w:tc>
      </w:tr>
      <w:tr w:rsidR="0037512A" w:rsidRPr="00361139" w14:paraId="7AE9907A" w14:textId="77777777" w:rsidTr="008144F7">
        <w:trPr>
          <w:cantSplit/>
          <w:trHeight w:val="20"/>
        </w:trPr>
        <w:tc>
          <w:tcPr>
            <w:tcW w:w="9180" w:type="dxa"/>
            <w:gridSpan w:val="4"/>
            <w:shd w:val="clear" w:color="auto" w:fill="auto"/>
            <w:vAlign w:val="center"/>
            <w:hideMark/>
          </w:tcPr>
          <w:p w14:paraId="069B1472"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3(d) – All countries having requested the support of the GEF Trust Fund through the FM</w:t>
            </w:r>
          </w:p>
          <w:p w14:paraId="066C118A"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bCs/>
                <w:i/>
                <w:iCs/>
                <w:sz w:val="18"/>
                <w:szCs w:val="18"/>
              </w:rPr>
              <w:t xml:space="preserve">Please help us to better understand your experience in requesting funding to the </w:t>
            </w:r>
            <w:r w:rsidRPr="00361139">
              <w:rPr>
                <w:rFonts w:asciiTheme="majorBidi" w:hAnsiTheme="majorBidi" w:cstheme="majorBidi"/>
                <w:b/>
                <w:bCs/>
                <w:i/>
                <w:sz w:val="18"/>
                <w:szCs w:val="18"/>
              </w:rPr>
              <w:t>Global Environment Facility (GEF) Trust Fund</w:t>
            </w:r>
            <w:r w:rsidRPr="00361139">
              <w:rPr>
                <w:rFonts w:asciiTheme="majorBidi" w:hAnsiTheme="majorBidi" w:cstheme="majorBidi"/>
                <w:b/>
                <w:bCs/>
                <w:i/>
                <w:iCs/>
                <w:sz w:val="18"/>
                <w:szCs w:val="18"/>
              </w:rPr>
              <w:t xml:space="preserve"> through the Financial Mechanism of the Convention.</w:t>
            </w:r>
          </w:p>
        </w:tc>
      </w:tr>
      <w:tr w:rsidR="0037512A" w:rsidRPr="00361139" w14:paraId="39E9AE0D" w14:textId="77777777" w:rsidTr="008144F7">
        <w:trPr>
          <w:cantSplit/>
          <w:trHeight w:val="20"/>
        </w:trPr>
        <w:tc>
          <w:tcPr>
            <w:tcW w:w="3227" w:type="dxa"/>
            <w:vMerge w:val="restart"/>
            <w:shd w:val="clear" w:color="auto" w:fill="auto"/>
            <w:vAlign w:val="center"/>
            <w:hideMark/>
          </w:tcPr>
          <w:p w14:paraId="6D58A51C"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567"/>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which year did you </w:t>
            </w:r>
            <w:r w:rsidRPr="00361139">
              <w:rPr>
                <w:rFonts w:asciiTheme="majorBidi" w:hAnsiTheme="majorBidi" w:cstheme="majorBidi"/>
                <w:b/>
                <w:sz w:val="18"/>
                <w:szCs w:val="18"/>
              </w:rPr>
              <w:t>apply for funding from the GEF</w:t>
            </w:r>
            <w:r w:rsidRPr="00361139">
              <w:rPr>
                <w:rFonts w:asciiTheme="majorBidi" w:hAnsiTheme="majorBidi" w:cstheme="majorBidi"/>
                <w:sz w:val="18"/>
                <w:szCs w:val="18"/>
              </w:rPr>
              <w:t xml:space="preserve"> through the Financial Mechanism of the Minamata </w:t>
            </w:r>
            <w:proofErr w:type="gramStart"/>
            <w:r w:rsidRPr="00361139">
              <w:rPr>
                <w:rFonts w:asciiTheme="majorBidi" w:hAnsiTheme="majorBidi" w:cstheme="majorBidi"/>
                <w:sz w:val="18"/>
                <w:szCs w:val="18"/>
              </w:rPr>
              <w:t>Convention?*</w:t>
            </w:r>
            <w:proofErr w:type="gramEnd"/>
          </w:p>
        </w:tc>
        <w:tc>
          <w:tcPr>
            <w:tcW w:w="3118" w:type="dxa"/>
            <w:shd w:val="clear" w:color="auto" w:fill="auto"/>
            <w:vAlign w:val="center"/>
            <w:hideMark/>
          </w:tcPr>
          <w:p w14:paraId="7CC308B2"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613199A9"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12</w:t>
            </w:r>
          </w:p>
        </w:tc>
        <w:tc>
          <w:tcPr>
            <w:tcW w:w="1418" w:type="dxa"/>
            <w:vAlign w:val="center"/>
          </w:tcPr>
          <w:p w14:paraId="46E0D21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5BF4C0CB" w14:textId="77777777" w:rsidTr="008144F7">
        <w:trPr>
          <w:cantSplit/>
          <w:trHeight w:val="20"/>
        </w:trPr>
        <w:tc>
          <w:tcPr>
            <w:tcW w:w="3227" w:type="dxa"/>
            <w:vMerge/>
            <w:shd w:val="clear" w:color="auto" w:fill="auto"/>
            <w:vAlign w:val="center"/>
            <w:hideMark/>
          </w:tcPr>
          <w:p w14:paraId="54C70AC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2F651C1"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2018</w:t>
            </w:r>
          </w:p>
        </w:tc>
        <w:tc>
          <w:tcPr>
            <w:tcW w:w="1417" w:type="dxa"/>
            <w:shd w:val="clear" w:color="auto" w:fill="auto"/>
            <w:vAlign w:val="center"/>
          </w:tcPr>
          <w:p w14:paraId="6EAB5FE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w:t>
            </w:r>
          </w:p>
        </w:tc>
        <w:tc>
          <w:tcPr>
            <w:tcW w:w="1418" w:type="dxa"/>
            <w:vAlign w:val="center"/>
          </w:tcPr>
          <w:p w14:paraId="3F8B3EC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45%</w:t>
            </w:r>
          </w:p>
        </w:tc>
      </w:tr>
      <w:tr w:rsidR="0037512A" w:rsidRPr="00361139" w14:paraId="00ECF459" w14:textId="77777777" w:rsidTr="008144F7">
        <w:trPr>
          <w:cantSplit/>
          <w:trHeight w:val="20"/>
        </w:trPr>
        <w:tc>
          <w:tcPr>
            <w:tcW w:w="3227" w:type="dxa"/>
            <w:vMerge/>
            <w:shd w:val="clear" w:color="auto" w:fill="auto"/>
            <w:vAlign w:val="center"/>
            <w:hideMark/>
          </w:tcPr>
          <w:p w14:paraId="57951DC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EA49365"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2019</w:t>
            </w:r>
          </w:p>
        </w:tc>
        <w:tc>
          <w:tcPr>
            <w:tcW w:w="1417" w:type="dxa"/>
            <w:shd w:val="clear" w:color="auto" w:fill="auto"/>
            <w:vAlign w:val="center"/>
          </w:tcPr>
          <w:p w14:paraId="5AB7485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445EB90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9%</w:t>
            </w:r>
          </w:p>
        </w:tc>
      </w:tr>
      <w:tr w:rsidR="0037512A" w:rsidRPr="00361139" w14:paraId="1EB09AB2" w14:textId="77777777" w:rsidTr="008144F7">
        <w:trPr>
          <w:cantSplit/>
          <w:trHeight w:val="20"/>
        </w:trPr>
        <w:tc>
          <w:tcPr>
            <w:tcW w:w="3227" w:type="dxa"/>
            <w:vMerge/>
            <w:shd w:val="clear" w:color="auto" w:fill="auto"/>
            <w:vAlign w:val="center"/>
            <w:hideMark/>
          </w:tcPr>
          <w:p w14:paraId="1D66B3A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806E5CA"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2020</w:t>
            </w:r>
          </w:p>
        </w:tc>
        <w:tc>
          <w:tcPr>
            <w:tcW w:w="1417" w:type="dxa"/>
            <w:shd w:val="clear" w:color="auto" w:fill="auto"/>
            <w:vAlign w:val="center"/>
          </w:tcPr>
          <w:p w14:paraId="0BAA266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198F049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18%</w:t>
            </w:r>
          </w:p>
        </w:tc>
      </w:tr>
      <w:tr w:rsidR="0037512A" w:rsidRPr="00361139" w14:paraId="3EE1365D" w14:textId="77777777" w:rsidTr="008144F7">
        <w:trPr>
          <w:cantSplit/>
          <w:trHeight w:val="20"/>
        </w:trPr>
        <w:tc>
          <w:tcPr>
            <w:tcW w:w="3227" w:type="dxa"/>
            <w:vMerge/>
            <w:shd w:val="clear" w:color="auto" w:fill="auto"/>
            <w:vAlign w:val="center"/>
            <w:hideMark/>
          </w:tcPr>
          <w:p w14:paraId="782B5B7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260E0A6"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2021</w:t>
            </w:r>
          </w:p>
        </w:tc>
        <w:tc>
          <w:tcPr>
            <w:tcW w:w="1417" w:type="dxa"/>
            <w:shd w:val="clear" w:color="auto" w:fill="auto"/>
            <w:vAlign w:val="center"/>
          </w:tcPr>
          <w:p w14:paraId="49971EA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w:t>
            </w:r>
          </w:p>
        </w:tc>
        <w:tc>
          <w:tcPr>
            <w:tcW w:w="1418" w:type="dxa"/>
            <w:vAlign w:val="center"/>
          </w:tcPr>
          <w:p w14:paraId="457F475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18%</w:t>
            </w:r>
          </w:p>
        </w:tc>
      </w:tr>
      <w:tr w:rsidR="0037512A" w:rsidRPr="00361139" w14:paraId="1B9344D4" w14:textId="77777777" w:rsidTr="008144F7">
        <w:trPr>
          <w:cantSplit/>
          <w:trHeight w:val="20"/>
        </w:trPr>
        <w:tc>
          <w:tcPr>
            <w:tcW w:w="3227" w:type="dxa"/>
            <w:vMerge/>
            <w:shd w:val="clear" w:color="auto" w:fill="auto"/>
            <w:vAlign w:val="center"/>
            <w:hideMark/>
          </w:tcPr>
          <w:p w14:paraId="60EF727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D08040B"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2022</w:t>
            </w:r>
          </w:p>
        </w:tc>
        <w:tc>
          <w:tcPr>
            <w:tcW w:w="1417" w:type="dxa"/>
            <w:shd w:val="clear" w:color="auto" w:fill="auto"/>
            <w:vAlign w:val="center"/>
          </w:tcPr>
          <w:p w14:paraId="179003A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w:t>
            </w:r>
          </w:p>
        </w:tc>
        <w:tc>
          <w:tcPr>
            <w:tcW w:w="1418" w:type="dxa"/>
            <w:vAlign w:val="center"/>
          </w:tcPr>
          <w:p w14:paraId="0AE8AF2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9%</w:t>
            </w:r>
          </w:p>
        </w:tc>
      </w:tr>
      <w:tr w:rsidR="0037512A" w:rsidRPr="00361139" w14:paraId="20769285" w14:textId="77777777" w:rsidTr="008144F7">
        <w:trPr>
          <w:cantSplit/>
          <w:trHeight w:val="20"/>
        </w:trPr>
        <w:tc>
          <w:tcPr>
            <w:tcW w:w="3227" w:type="dxa"/>
            <w:vMerge/>
            <w:shd w:val="clear" w:color="auto" w:fill="auto"/>
            <w:vAlign w:val="center"/>
            <w:hideMark/>
          </w:tcPr>
          <w:p w14:paraId="7BC4498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446FD45"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226EFF8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 comments</w:t>
            </w:r>
          </w:p>
        </w:tc>
        <w:tc>
          <w:tcPr>
            <w:tcW w:w="1418" w:type="dxa"/>
            <w:vAlign w:val="center"/>
          </w:tcPr>
          <w:p w14:paraId="174DD87B"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44CAB38" w14:textId="77777777" w:rsidTr="008144F7">
        <w:trPr>
          <w:cantSplit/>
          <w:trHeight w:val="20"/>
        </w:trPr>
        <w:tc>
          <w:tcPr>
            <w:tcW w:w="9180" w:type="dxa"/>
            <w:gridSpan w:val="4"/>
            <w:shd w:val="clear" w:color="auto" w:fill="auto"/>
            <w:vAlign w:val="center"/>
            <w:hideMark/>
          </w:tcPr>
          <w:p w14:paraId="7FDFB5C1"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i/>
                <w:iCs/>
                <w:sz w:val="18"/>
                <w:szCs w:val="18"/>
              </w:rPr>
              <w:t xml:space="preserve">According to the Terms of reference for the second review of the financial mechanism (as detailed in the Annex to decision MC-4/7), the review will include, inter alia, an analysis of the </w:t>
            </w:r>
            <w:r w:rsidRPr="00361139">
              <w:rPr>
                <w:rFonts w:asciiTheme="majorBidi" w:hAnsiTheme="majorBidi" w:cstheme="majorBidi"/>
                <w:b/>
                <w:bCs/>
                <w:sz w:val="18"/>
                <w:szCs w:val="18"/>
              </w:rPr>
              <w:t>efficiency and effectiveness of the Global Environment Facility (GEF) Trust Fund</w:t>
            </w:r>
            <w:r w:rsidRPr="00361139">
              <w:rPr>
                <w:rFonts w:asciiTheme="majorBidi" w:hAnsiTheme="majorBidi" w:cstheme="majorBidi"/>
                <w:i/>
                <w:iCs/>
                <w:sz w:val="18"/>
                <w:szCs w:val="18"/>
              </w:rPr>
              <w:t>, in its capacity as one of the entities entrusted with the operation of the financial mechanism.</w:t>
            </w:r>
          </w:p>
        </w:tc>
      </w:tr>
      <w:tr w:rsidR="0037512A" w:rsidRPr="00361139" w14:paraId="611F6AFB" w14:textId="77777777" w:rsidTr="008144F7">
        <w:trPr>
          <w:cantSplit/>
          <w:trHeight w:val="20"/>
        </w:trPr>
        <w:tc>
          <w:tcPr>
            <w:tcW w:w="3227" w:type="dxa"/>
            <w:vMerge w:val="restart"/>
            <w:shd w:val="clear" w:color="auto" w:fill="auto"/>
            <w:vAlign w:val="center"/>
            <w:hideMark/>
          </w:tcPr>
          <w:p w14:paraId="4C5151CB"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efficiency</w:t>
            </w:r>
            <w:r w:rsidRPr="00361139">
              <w:rPr>
                <w:rFonts w:asciiTheme="majorBidi" w:hAnsiTheme="majorBidi" w:cstheme="majorBidi"/>
                <w:sz w:val="18"/>
                <w:szCs w:val="18"/>
              </w:rPr>
              <w:t xml:space="preserve"> and the </w:t>
            </w:r>
            <w:r w:rsidRPr="00361139">
              <w:rPr>
                <w:rStyle w:val="Emphasis"/>
                <w:rFonts w:asciiTheme="majorBidi" w:hAnsiTheme="majorBidi" w:cstheme="majorBidi"/>
                <w:sz w:val="18"/>
                <w:szCs w:val="18"/>
              </w:rPr>
              <w:t>effectiveness</w:t>
            </w:r>
            <w:r w:rsidRPr="00361139">
              <w:rPr>
                <w:rFonts w:asciiTheme="majorBidi" w:hAnsiTheme="majorBidi" w:cstheme="majorBidi"/>
                <w:sz w:val="18"/>
                <w:szCs w:val="18"/>
              </w:rPr>
              <w:t xml:space="preserve"> of the </w:t>
            </w:r>
            <w:r w:rsidRPr="00361139">
              <w:rPr>
                <w:rFonts w:asciiTheme="majorBidi" w:hAnsiTheme="majorBidi" w:cstheme="majorBidi"/>
                <w:b/>
                <w:i/>
                <w:sz w:val="18"/>
                <w:szCs w:val="18"/>
              </w:rPr>
              <w:t>GEF</w:t>
            </w:r>
            <w:r w:rsidRPr="00361139">
              <w:rPr>
                <w:rFonts w:asciiTheme="majorBidi" w:hAnsiTheme="majorBidi" w:cstheme="majorBidi"/>
                <w:sz w:val="18"/>
                <w:szCs w:val="18"/>
              </w:rPr>
              <w:t xml:space="preserve"> during the time period covered by the 2nd Review of the Financial Mechanism (August 2019 to July 2022) in its capacity as one of the entities entrusted with the operation of the financial </w:t>
            </w:r>
            <w:proofErr w:type="gramStart"/>
            <w:r w:rsidRPr="00361139">
              <w:rPr>
                <w:rFonts w:asciiTheme="majorBidi" w:hAnsiTheme="majorBidi" w:cstheme="majorBidi"/>
                <w:sz w:val="18"/>
                <w:szCs w:val="18"/>
              </w:rPr>
              <w:t>mechanism?*</w:t>
            </w:r>
            <w:proofErr w:type="gramEnd"/>
          </w:p>
        </w:tc>
        <w:tc>
          <w:tcPr>
            <w:tcW w:w="3118" w:type="dxa"/>
            <w:shd w:val="clear" w:color="auto" w:fill="auto"/>
            <w:vAlign w:val="center"/>
            <w:hideMark/>
          </w:tcPr>
          <w:p w14:paraId="66BBB967"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AC48A6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20</w:t>
            </w:r>
          </w:p>
        </w:tc>
        <w:tc>
          <w:tcPr>
            <w:tcW w:w="1418" w:type="dxa"/>
            <w:vAlign w:val="center"/>
          </w:tcPr>
          <w:p w14:paraId="70FE26B2"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58912BBB" w14:textId="77777777" w:rsidTr="008144F7">
        <w:trPr>
          <w:cantSplit/>
          <w:trHeight w:val="20"/>
        </w:trPr>
        <w:tc>
          <w:tcPr>
            <w:tcW w:w="3227" w:type="dxa"/>
            <w:vMerge/>
            <w:shd w:val="clear" w:color="auto" w:fill="auto"/>
            <w:vAlign w:val="center"/>
            <w:hideMark/>
          </w:tcPr>
          <w:p w14:paraId="0D5803D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4971A3C"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Efficiency</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33D610D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3.50/5</w:t>
            </w:r>
          </w:p>
        </w:tc>
        <w:tc>
          <w:tcPr>
            <w:tcW w:w="1418" w:type="dxa"/>
            <w:vAlign w:val="center"/>
          </w:tcPr>
          <w:p w14:paraId="3650E5E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70%</w:t>
            </w:r>
          </w:p>
        </w:tc>
      </w:tr>
      <w:tr w:rsidR="0037512A" w:rsidRPr="00361139" w14:paraId="67538110" w14:textId="77777777" w:rsidTr="008144F7">
        <w:trPr>
          <w:cantSplit/>
          <w:trHeight w:val="20"/>
        </w:trPr>
        <w:tc>
          <w:tcPr>
            <w:tcW w:w="3227" w:type="dxa"/>
            <w:vMerge/>
            <w:shd w:val="clear" w:color="auto" w:fill="auto"/>
            <w:vAlign w:val="center"/>
            <w:hideMark/>
          </w:tcPr>
          <w:p w14:paraId="54478A1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7895012" w14:textId="77777777" w:rsidR="0037512A" w:rsidRPr="00361139" w:rsidRDefault="0037512A" w:rsidP="008144F7">
            <w:pPr>
              <w:spacing w:before="120" w:after="120"/>
              <w:ind w:left="318" w:right="57" w:hanging="23"/>
              <w:rPr>
                <w:rFonts w:asciiTheme="majorBidi" w:hAnsiTheme="majorBidi" w:cstheme="majorBidi"/>
                <w:i/>
                <w:sz w:val="18"/>
                <w:szCs w:val="18"/>
              </w:rPr>
            </w:pPr>
            <w:proofErr w:type="gramStart"/>
            <w:r w:rsidRPr="00361139">
              <w:rPr>
                <w:rFonts w:asciiTheme="majorBidi" w:hAnsiTheme="majorBidi" w:cstheme="majorBidi"/>
                <w:sz w:val="18"/>
                <w:szCs w:val="18"/>
              </w:rPr>
              <w:t>Effectiveness</w:t>
            </w:r>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49D1B9D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3.58/5</w:t>
            </w:r>
          </w:p>
        </w:tc>
        <w:tc>
          <w:tcPr>
            <w:tcW w:w="1418" w:type="dxa"/>
            <w:vAlign w:val="center"/>
          </w:tcPr>
          <w:p w14:paraId="0DD2B41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72%</w:t>
            </w:r>
          </w:p>
        </w:tc>
      </w:tr>
      <w:tr w:rsidR="0037512A" w:rsidRPr="00361139" w14:paraId="0BF46725" w14:textId="77777777" w:rsidTr="008144F7">
        <w:trPr>
          <w:cantSplit/>
          <w:trHeight w:val="20"/>
        </w:trPr>
        <w:tc>
          <w:tcPr>
            <w:tcW w:w="3227" w:type="dxa"/>
            <w:vMerge/>
            <w:tcBorders>
              <w:bottom w:val="single" w:sz="4" w:space="0" w:color="auto"/>
            </w:tcBorders>
            <w:shd w:val="clear" w:color="auto" w:fill="auto"/>
            <w:vAlign w:val="center"/>
            <w:hideMark/>
          </w:tcPr>
          <w:p w14:paraId="098B312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tcBorders>
              <w:bottom w:val="single" w:sz="4" w:space="0" w:color="auto"/>
            </w:tcBorders>
            <w:shd w:val="clear" w:color="auto" w:fill="auto"/>
            <w:vAlign w:val="center"/>
            <w:hideMark/>
          </w:tcPr>
          <w:p w14:paraId="3BEAA0E8"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tcBorders>
              <w:bottom w:val="single" w:sz="4" w:space="0" w:color="auto"/>
            </w:tcBorders>
            <w:shd w:val="clear" w:color="auto" w:fill="auto"/>
            <w:vAlign w:val="center"/>
          </w:tcPr>
          <w:p w14:paraId="332BAD0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 comments</w:t>
            </w:r>
          </w:p>
        </w:tc>
        <w:tc>
          <w:tcPr>
            <w:tcW w:w="1418" w:type="dxa"/>
            <w:tcBorders>
              <w:bottom w:val="single" w:sz="4" w:space="0" w:color="auto"/>
            </w:tcBorders>
            <w:vAlign w:val="center"/>
          </w:tcPr>
          <w:p w14:paraId="2D9A1A6C"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54A92EE0" w14:textId="77777777" w:rsidTr="008144F7">
        <w:trPr>
          <w:cantSplit/>
          <w:trHeight w:val="20"/>
        </w:trPr>
        <w:tc>
          <w:tcPr>
            <w:tcW w:w="9180" w:type="dxa"/>
            <w:gridSpan w:val="4"/>
            <w:tcBorders>
              <w:top w:val="nil"/>
              <w:bottom w:val="single" w:sz="4" w:space="0" w:color="auto"/>
            </w:tcBorders>
            <w:shd w:val="clear" w:color="auto" w:fill="auto"/>
            <w:vAlign w:val="center"/>
            <w:hideMark/>
          </w:tcPr>
          <w:p w14:paraId="3A25BBFA"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i/>
                <w:iCs/>
                <w:sz w:val="18"/>
                <w:szCs w:val="18"/>
              </w:rPr>
              <w:t>According to the same Terms of reference, the review will include, inter alia, an analysis of the “simplicity, flexibility and expeditiousness of the procedures for accessing funds and for implementing and reporting on projects</w:t>
            </w:r>
            <w:proofErr w:type="gramStart"/>
            <w:r w:rsidRPr="00361139">
              <w:rPr>
                <w:rFonts w:asciiTheme="majorBidi" w:hAnsiTheme="majorBidi" w:cstheme="majorBidi"/>
                <w:i/>
                <w:iCs/>
                <w:sz w:val="18"/>
                <w:szCs w:val="18"/>
              </w:rPr>
              <w:t>” .</w:t>
            </w:r>
            <w:proofErr w:type="gramEnd"/>
          </w:p>
        </w:tc>
      </w:tr>
      <w:tr w:rsidR="0037512A" w:rsidRPr="00361139" w14:paraId="4B75DF4F" w14:textId="77777777" w:rsidTr="008144F7">
        <w:trPr>
          <w:cantSplit/>
          <w:trHeight w:val="20"/>
        </w:trPr>
        <w:tc>
          <w:tcPr>
            <w:tcW w:w="3227" w:type="dxa"/>
            <w:vMerge w:val="restart"/>
            <w:shd w:val="clear" w:color="auto" w:fill="auto"/>
            <w:vAlign w:val="center"/>
            <w:hideMark/>
          </w:tcPr>
          <w:p w14:paraId="79782508"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Fonts w:asciiTheme="majorBidi" w:hAnsiTheme="majorBidi" w:cstheme="majorBidi"/>
                <w:b/>
                <w:sz w:val="18"/>
                <w:szCs w:val="18"/>
              </w:rPr>
              <w:t>simplicity</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 xml:space="preserve">Global Environment Facility (GEF) Trust </w:t>
            </w:r>
            <w:proofErr w:type="gramStart"/>
            <w:r w:rsidRPr="00361139">
              <w:rPr>
                <w:rFonts w:asciiTheme="majorBidi" w:hAnsiTheme="majorBidi" w:cstheme="majorBidi"/>
                <w:b/>
                <w:sz w:val="18"/>
                <w:szCs w:val="18"/>
              </w:rPr>
              <w:t>Fund</w:t>
            </w:r>
            <w:r w:rsidRPr="00361139">
              <w:rPr>
                <w:rFonts w:asciiTheme="majorBidi" w:hAnsiTheme="majorBidi" w:cstheme="majorBidi"/>
                <w:sz w:val="18"/>
                <w:szCs w:val="18"/>
              </w:rPr>
              <w:t>?*</w:t>
            </w:r>
            <w:proofErr w:type="gramEnd"/>
            <w:r w:rsidRPr="00361139">
              <w:rPr>
                <w:rFonts w:asciiTheme="majorBidi" w:hAnsiTheme="majorBidi" w:cstheme="majorBidi"/>
                <w:i/>
                <w:sz w:val="18"/>
                <w:szCs w:val="18"/>
              </w:rPr>
              <w:t>(answers in rows 2 and 3, on implementing and reporting, are optional)</w:t>
            </w:r>
          </w:p>
        </w:tc>
        <w:tc>
          <w:tcPr>
            <w:tcW w:w="3118" w:type="dxa"/>
            <w:shd w:val="clear" w:color="auto" w:fill="auto"/>
            <w:vAlign w:val="center"/>
            <w:hideMark/>
          </w:tcPr>
          <w:p w14:paraId="1131A60F"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8BC548F"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22</w:t>
            </w:r>
          </w:p>
        </w:tc>
        <w:tc>
          <w:tcPr>
            <w:tcW w:w="1418" w:type="dxa"/>
            <w:vAlign w:val="center"/>
          </w:tcPr>
          <w:p w14:paraId="2C04B3E3"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56F59DB3" w14:textId="77777777" w:rsidTr="008144F7">
        <w:trPr>
          <w:cantSplit/>
          <w:trHeight w:val="20"/>
        </w:trPr>
        <w:tc>
          <w:tcPr>
            <w:tcW w:w="3227" w:type="dxa"/>
            <w:vMerge/>
            <w:shd w:val="clear" w:color="auto" w:fill="auto"/>
            <w:vAlign w:val="center"/>
            <w:hideMark/>
          </w:tcPr>
          <w:p w14:paraId="0404BD5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4E115DD"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Simplicity of accessing project(s) funds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0A1095E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3.23/5</w:t>
            </w:r>
          </w:p>
        </w:tc>
        <w:tc>
          <w:tcPr>
            <w:tcW w:w="1418" w:type="dxa"/>
            <w:vAlign w:val="center"/>
          </w:tcPr>
          <w:p w14:paraId="395397D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65%</w:t>
            </w:r>
          </w:p>
        </w:tc>
      </w:tr>
      <w:tr w:rsidR="0037512A" w:rsidRPr="00361139" w14:paraId="60EB9156" w14:textId="77777777" w:rsidTr="008144F7">
        <w:trPr>
          <w:cantSplit/>
          <w:trHeight w:val="20"/>
        </w:trPr>
        <w:tc>
          <w:tcPr>
            <w:tcW w:w="3227" w:type="dxa"/>
            <w:vMerge/>
            <w:shd w:val="clear" w:color="auto" w:fill="auto"/>
            <w:vAlign w:val="center"/>
            <w:hideMark/>
          </w:tcPr>
          <w:p w14:paraId="27AFC082"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C7904F5"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Simplicity of implementing the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69BFFAA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3.28/5</w:t>
            </w:r>
          </w:p>
        </w:tc>
        <w:tc>
          <w:tcPr>
            <w:tcW w:w="1418" w:type="dxa"/>
            <w:vAlign w:val="center"/>
          </w:tcPr>
          <w:p w14:paraId="04FFB5B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66%</w:t>
            </w:r>
          </w:p>
        </w:tc>
      </w:tr>
      <w:tr w:rsidR="0037512A" w:rsidRPr="00361139" w14:paraId="6BE11D65" w14:textId="77777777" w:rsidTr="008144F7">
        <w:trPr>
          <w:cantSplit/>
          <w:trHeight w:val="20"/>
        </w:trPr>
        <w:tc>
          <w:tcPr>
            <w:tcW w:w="3227" w:type="dxa"/>
            <w:vMerge/>
            <w:shd w:val="clear" w:color="auto" w:fill="auto"/>
            <w:vAlign w:val="center"/>
            <w:hideMark/>
          </w:tcPr>
          <w:p w14:paraId="4833783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998C0DB"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Simplicity of reporting on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742B85B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3.28/5</w:t>
            </w:r>
          </w:p>
        </w:tc>
        <w:tc>
          <w:tcPr>
            <w:tcW w:w="1418" w:type="dxa"/>
            <w:vAlign w:val="center"/>
          </w:tcPr>
          <w:p w14:paraId="44B4EC7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66%</w:t>
            </w:r>
          </w:p>
        </w:tc>
      </w:tr>
      <w:tr w:rsidR="0037512A" w:rsidRPr="00361139" w14:paraId="004AF268" w14:textId="77777777" w:rsidTr="008144F7">
        <w:trPr>
          <w:cantSplit/>
          <w:trHeight w:val="20"/>
        </w:trPr>
        <w:tc>
          <w:tcPr>
            <w:tcW w:w="3227" w:type="dxa"/>
            <w:vMerge/>
            <w:shd w:val="clear" w:color="auto" w:fill="auto"/>
            <w:vAlign w:val="center"/>
            <w:hideMark/>
          </w:tcPr>
          <w:p w14:paraId="3631AF6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B235BF0"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068AC54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14BF0C63"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68E9FC70" w14:textId="77777777" w:rsidTr="008144F7">
        <w:trPr>
          <w:cantSplit/>
          <w:trHeight w:val="20"/>
        </w:trPr>
        <w:tc>
          <w:tcPr>
            <w:tcW w:w="3227" w:type="dxa"/>
            <w:vMerge w:val="restart"/>
            <w:shd w:val="clear" w:color="auto" w:fill="auto"/>
            <w:vAlign w:val="center"/>
            <w:hideMark/>
          </w:tcPr>
          <w:p w14:paraId="56423B5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 xml:space="preserve">Global Environment Facility (GEF) Trust </w:t>
            </w:r>
            <w:proofErr w:type="gramStart"/>
            <w:r w:rsidRPr="00361139">
              <w:rPr>
                <w:rFonts w:asciiTheme="majorBidi" w:hAnsiTheme="majorBidi" w:cstheme="majorBidi"/>
                <w:b/>
                <w:sz w:val="18"/>
                <w:szCs w:val="18"/>
              </w:rPr>
              <w:t>Fund</w:t>
            </w:r>
            <w:r w:rsidRPr="00361139">
              <w:rPr>
                <w:rFonts w:asciiTheme="majorBidi" w:hAnsiTheme="majorBidi" w:cstheme="majorBidi"/>
                <w:sz w:val="18"/>
                <w:szCs w:val="18"/>
              </w:rPr>
              <w:t>?*</w:t>
            </w:r>
            <w:proofErr w:type="gramEnd"/>
            <w:r w:rsidRPr="00361139">
              <w:rPr>
                <w:rFonts w:asciiTheme="majorBidi" w:hAnsiTheme="majorBidi" w:cstheme="majorBidi"/>
                <w:i/>
                <w:sz w:val="18"/>
                <w:szCs w:val="18"/>
              </w:rPr>
              <w:t>(answers in rows 2 and 3, on implementing and reporting, are optional)</w:t>
            </w:r>
          </w:p>
        </w:tc>
        <w:tc>
          <w:tcPr>
            <w:tcW w:w="3118" w:type="dxa"/>
            <w:shd w:val="clear" w:color="auto" w:fill="auto"/>
            <w:vAlign w:val="center"/>
            <w:hideMark/>
          </w:tcPr>
          <w:p w14:paraId="45EBAEAF"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D99404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21</w:t>
            </w:r>
          </w:p>
        </w:tc>
        <w:tc>
          <w:tcPr>
            <w:tcW w:w="1418" w:type="dxa"/>
            <w:vAlign w:val="center"/>
          </w:tcPr>
          <w:p w14:paraId="7B4388F4"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41E0372C" w14:textId="77777777" w:rsidTr="008144F7">
        <w:trPr>
          <w:cantSplit/>
          <w:trHeight w:val="20"/>
        </w:trPr>
        <w:tc>
          <w:tcPr>
            <w:tcW w:w="3227" w:type="dxa"/>
            <w:vMerge/>
            <w:shd w:val="clear" w:color="auto" w:fill="auto"/>
            <w:vAlign w:val="center"/>
            <w:hideMark/>
          </w:tcPr>
          <w:p w14:paraId="7386420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09F2118"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of accessing project(s) funds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73C54B9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3.19/5</w:t>
            </w:r>
          </w:p>
        </w:tc>
        <w:tc>
          <w:tcPr>
            <w:tcW w:w="1418" w:type="dxa"/>
            <w:vAlign w:val="center"/>
          </w:tcPr>
          <w:p w14:paraId="72F1D0B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64%</w:t>
            </w:r>
          </w:p>
        </w:tc>
      </w:tr>
      <w:tr w:rsidR="0037512A" w:rsidRPr="00361139" w14:paraId="4BD05102" w14:textId="77777777" w:rsidTr="008144F7">
        <w:trPr>
          <w:cantSplit/>
          <w:trHeight w:val="20"/>
        </w:trPr>
        <w:tc>
          <w:tcPr>
            <w:tcW w:w="3227" w:type="dxa"/>
            <w:vMerge/>
            <w:shd w:val="clear" w:color="auto" w:fill="auto"/>
            <w:vAlign w:val="center"/>
            <w:hideMark/>
          </w:tcPr>
          <w:p w14:paraId="51B16C3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E91AD5C"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in implementing the project(</w:t>
            </w:r>
            <w:proofErr w:type="gramStart"/>
            <w:r w:rsidRPr="00361139">
              <w:rPr>
                <w:rFonts w:asciiTheme="majorBidi" w:hAnsiTheme="majorBidi" w:cstheme="majorBidi"/>
                <w:sz w:val="18"/>
                <w:szCs w:val="18"/>
              </w:rPr>
              <w:t>s)</w:t>
            </w:r>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55B4766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3.50/5</w:t>
            </w:r>
          </w:p>
        </w:tc>
        <w:tc>
          <w:tcPr>
            <w:tcW w:w="1418" w:type="dxa"/>
            <w:vAlign w:val="center"/>
          </w:tcPr>
          <w:p w14:paraId="072FB21A"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70%</w:t>
            </w:r>
          </w:p>
        </w:tc>
      </w:tr>
      <w:tr w:rsidR="0037512A" w:rsidRPr="00361139" w14:paraId="11D05BE7" w14:textId="77777777" w:rsidTr="008144F7">
        <w:trPr>
          <w:cantSplit/>
          <w:trHeight w:val="20"/>
        </w:trPr>
        <w:tc>
          <w:tcPr>
            <w:tcW w:w="3227" w:type="dxa"/>
            <w:vMerge/>
            <w:shd w:val="clear" w:color="auto" w:fill="auto"/>
            <w:vAlign w:val="center"/>
            <w:hideMark/>
          </w:tcPr>
          <w:p w14:paraId="11C0911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38B179E"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Flexibility</w:t>
            </w:r>
            <w:r w:rsidRPr="00361139">
              <w:rPr>
                <w:rFonts w:asciiTheme="majorBidi" w:hAnsiTheme="majorBidi" w:cstheme="majorBidi"/>
                <w:sz w:val="18"/>
                <w:szCs w:val="18"/>
              </w:rPr>
              <w:t xml:space="preserve"> in reporting on project(</w:t>
            </w:r>
            <w:proofErr w:type="gramStart"/>
            <w:r w:rsidRPr="00361139">
              <w:rPr>
                <w:rFonts w:asciiTheme="majorBidi" w:hAnsiTheme="majorBidi" w:cstheme="majorBidi"/>
                <w:sz w:val="18"/>
                <w:szCs w:val="18"/>
              </w:rPr>
              <w:t>s)</w:t>
            </w:r>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2A15D05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3.19/5</w:t>
            </w:r>
          </w:p>
        </w:tc>
        <w:tc>
          <w:tcPr>
            <w:tcW w:w="1418" w:type="dxa"/>
            <w:vAlign w:val="center"/>
          </w:tcPr>
          <w:p w14:paraId="21E60EBE"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64%</w:t>
            </w:r>
          </w:p>
        </w:tc>
      </w:tr>
      <w:tr w:rsidR="0037512A" w:rsidRPr="00361139" w14:paraId="6021EB00" w14:textId="77777777" w:rsidTr="008144F7">
        <w:trPr>
          <w:cantSplit/>
          <w:trHeight w:val="20"/>
        </w:trPr>
        <w:tc>
          <w:tcPr>
            <w:tcW w:w="3227" w:type="dxa"/>
            <w:vMerge/>
            <w:shd w:val="clear" w:color="auto" w:fill="auto"/>
            <w:vAlign w:val="center"/>
            <w:hideMark/>
          </w:tcPr>
          <w:p w14:paraId="01626E5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82F7C4F"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10C0BCD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 comments</w:t>
            </w:r>
          </w:p>
        </w:tc>
        <w:tc>
          <w:tcPr>
            <w:tcW w:w="1418" w:type="dxa"/>
            <w:vAlign w:val="center"/>
          </w:tcPr>
          <w:p w14:paraId="4D1956C0"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E93C60D" w14:textId="77777777" w:rsidTr="008144F7">
        <w:trPr>
          <w:cantSplit/>
          <w:trHeight w:val="20"/>
        </w:trPr>
        <w:tc>
          <w:tcPr>
            <w:tcW w:w="3227" w:type="dxa"/>
            <w:vMerge w:val="restart"/>
            <w:shd w:val="clear" w:color="auto" w:fill="auto"/>
            <w:vAlign w:val="center"/>
            <w:hideMark/>
          </w:tcPr>
          <w:p w14:paraId="10414462"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in your experience and on a scale from 0 (min) to 5 (max), how would you rate the </w:t>
            </w: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for accessing funds and for implementing and reporting on projects funded by the </w:t>
            </w:r>
            <w:r w:rsidRPr="00361139">
              <w:rPr>
                <w:rFonts w:asciiTheme="majorBidi" w:hAnsiTheme="majorBidi" w:cstheme="majorBidi"/>
                <w:b/>
                <w:sz w:val="18"/>
                <w:szCs w:val="18"/>
              </w:rPr>
              <w:t xml:space="preserve">Global Environment Facility (GEF) Trust </w:t>
            </w:r>
            <w:proofErr w:type="gramStart"/>
            <w:r w:rsidRPr="00361139">
              <w:rPr>
                <w:rFonts w:asciiTheme="majorBidi" w:hAnsiTheme="majorBidi" w:cstheme="majorBidi"/>
                <w:b/>
                <w:sz w:val="18"/>
                <w:szCs w:val="18"/>
              </w:rPr>
              <w:t>Fund</w:t>
            </w:r>
            <w:r w:rsidRPr="00361139">
              <w:rPr>
                <w:rFonts w:asciiTheme="majorBidi" w:hAnsiTheme="majorBidi" w:cstheme="majorBidi"/>
                <w:sz w:val="18"/>
                <w:szCs w:val="18"/>
              </w:rPr>
              <w:t>?*</w:t>
            </w:r>
            <w:proofErr w:type="gramEnd"/>
            <w:r w:rsidRPr="00361139">
              <w:rPr>
                <w:rFonts w:asciiTheme="majorBidi" w:hAnsiTheme="majorBidi" w:cstheme="majorBidi"/>
                <w:i/>
                <w:sz w:val="18"/>
                <w:szCs w:val="18"/>
              </w:rPr>
              <w:t xml:space="preserve">(answers in rows 2 and </w:t>
            </w:r>
            <w:r w:rsidRPr="00361139">
              <w:rPr>
                <w:rFonts w:asciiTheme="majorBidi" w:hAnsiTheme="majorBidi" w:cstheme="majorBidi"/>
                <w:i/>
                <w:sz w:val="18"/>
                <w:szCs w:val="18"/>
              </w:rPr>
              <w:lastRenderedPageBreak/>
              <w:t>3, on implementing and reporting, are optional)</w:t>
            </w:r>
            <w:r w:rsidRPr="00361139">
              <w:rPr>
                <w:rFonts w:asciiTheme="majorBidi" w:hAnsiTheme="majorBidi" w:cstheme="majorBidi"/>
                <w:i/>
                <w:iCs/>
                <w:sz w:val="18"/>
                <w:szCs w:val="18"/>
              </w:rPr>
              <w:t>  </w:t>
            </w:r>
          </w:p>
        </w:tc>
        <w:tc>
          <w:tcPr>
            <w:tcW w:w="3118" w:type="dxa"/>
            <w:shd w:val="clear" w:color="auto" w:fill="auto"/>
            <w:vAlign w:val="center"/>
            <w:hideMark/>
          </w:tcPr>
          <w:p w14:paraId="32E90DDD"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lastRenderedPageBreak/>
              <w:t>Number of Responses:</w:t>
            </w:r>
          </w:p>
        </w:tc>
        <w:tc>
          <w:tcPr>
            <w:tcW w:w="1417" w:type="dxa"/>
            <w:shd w:val="clear" w:color="auto" w:fill="auto"/>
            <w:vAlign w:val="center"/>
          </w:tcPr>
          <w:p w14:paraId="31C59BD9"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21</w:t>
            </w:r>
          </w:p>
        </w:tc>
        <w:tc>
          <w:tcPr>
            <w:tcW w:w="1418" w:type="dxa"/>
            <w:vAlign w:val="center"/>
          </w:tcPr>
          <w:p w14:paraId="04F88F08"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5B6CBEDE" w14:textId="77777777" w:rsidTr="008144F7">
        <w:trPr>
          <w:cantSplit/>
          <w:trHeight w:val="20"/>
        </w:trPr>
        <w:tc>
          <w:tcPr>
            <w:tcW w:w="3227" w:type="dxa"/>
            <w:vMerge/>
            <w:shd w:val="clear" w:color="auto" w:fill="auto"/>
            <w:vAlign w:val="center"/>
            <w:hideMark/>
          </w:tcPr>
          <w:p w14:paraId="1621B7A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68EDD08"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of accessing project(s) </w:t>
            </w:r>
            <w:proofErr w:type="gramStart"/>
            <w:r w:rsidRPr="00361139">
              <w:rPr>
                <w:rFonts w:asciiTheme="majorBidi" w:hAnsiTheme="majorBidi" w:cstheme="majorBidi"/>
                <w:sz w:val="18"/>
                <w:szCs w:val="18"/>
              </w:rPr>
              <w:t>funds</w:t>
            </w:r>
            <w:r w:rsidRPr="00361139">
              <w:rPr>
                <w:rFonts w:asciiTheme="majorBidi" w:hAnsiTheme="majorBidi" w:cstheme="majorBidi"/>
                <w:i/>
                <w:sz w:val="18"/>
                <w:szCs w:val="18"/>
              </w:rPr>
              <w:t xml:space="preserve">  (</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51C23633"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3.14/5</w:t>
            </w:r>
          </w:p>
        </w:tc>
        <w:tc>
          <w:tcPr>
            <w:tcW w:w="1418" w:type="dxa"/>
            <w:vAlign w:val="center"/>
          </w:tcPr>
          <w:p w14:paraId="22A62882"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63%</w:t>
            </w:r>
          </w:p>
        </w:tc>
      </w:tr>
      <w:tr w:rsidR="0037512A" w:rsidRPr="00361139" w14:paraId="699C9A60" w14:textId="77777777" w:rsidTr="008144F7">
        <w:trPr>
          <w:cantSplit/>
          <w:trHeight w:val="20"/>
        </w:trPr>
        <w:tc>
          <w:tcPr>
            <w:tcW w:w="3227" w:type="dxa"/>
            <w:vMerge/>
            <w:shd w:val="clear" w:color="auto" w:fill="auto"/>
            <w:vAlign w:val="center"/>
            <w:hideMark/>
          </w:tcPr>
          <w:p w14:paraId="75E33AF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959FA49"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in implementing the project(s</w:t>
            </w:r>
            <w:proofErr w:type="gramStart"/>
            <w:r w:rsidRPr="00361139">
              <w:rPr>
                <w:rFonts w:asciiTheme="majorBidi" w:hAnsiTheme="majorBidi" w:cstheme="majorBidi"/>
                <w:sz w:val="18"/>
                <w:szCs w:val="18"/>
              </w:rPr>
              <w:t>)</w:t>
            </w:r>
            <w:r w:rsidRPr="00361139">
              <w:rPr>
                <w:rFonts w:asciiTheme="majorBidi" w:hAnsiTheme="majorBidi" w:cstheme="majorBidi"/>
                <w:i/>
                <w:sz w:val="18"/>
                <w:szCs w:val="18"/>
              </w:rPr>
              <w:t>(</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7BE3935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3.40/5</w:t>
            </w:r>
          </w:p>
        </w:tc>
        <w:tc>
          <w:tcPr>
            <w:tcW w:w="1418" w:type="dxa"/>
            <w:vAlign w:val="center"/>
          </w:tcPr>
          <w:p w14:paraId="6499569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68%</w:t>
            </w:r>
          </w:p>
        </w:tc>
      </w:tr>
      <w:tr w:rsidR="0037512A" w:rsidRPr="00361139" w14:paraId="0C4FDC12" w14:textId="77777777" w:rsidTr="008144F7">
        <w:trPr>
          <w:cantSplit/>
          <w:trHeight w:val="20"/>
        </w:trPr>
        <w:tc>
          <w:tcPr>
            <w:tcW w:w="3227" w:type="dxa"/>
            <w:vMerge/>
            <w:shd w:val="clear" w:color="auto" w:fill="auto"/>
            <w:vAlign w:val="center"/>
            <w:hideMark/>
          </w:tcPr>
          <w:p w14:paraId="37DB50C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3B7D94E"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Style w:val="Emphasis"/>
                <w:rFonts w:asciiTheme="majorBidi" w:hAnsiTheme="majorBidi" w:cstheme="majorBidi"/>
                <w:sz w:val="18"/>
                <w:szCs w:val="18"/>
              </w:rPr>
              <w:t>Expeditiousness</w:t>
            </w:r>
            <w:r w:rsidRPr="00361139">
              <w:rPr>
                <w:rFonts w:asciiTheme="majorBidi" w:hAnsiTheme="majorBidi" w:cstheme="majorBidi"/>
                <w:sz w:val="18"/>
                <w:szCs w:val="18"/>
              </w:rPr>
              <w:t xml:space="preserve"> in reporting on project(s</w:t>
            </w:r>
            <w:proofErr w:type="gramStart"/>
            <w:r w:rsidRPr="00361139">
              <w:rPr>
                <w:rFonts w:asciiTheme="majorBidi" w:hAnsiTheme="majorBidi" w:cstheme="majorBidi"/>
                <w:sz w:val="18"/>
                <w:szCs w:val="18"/>
              </w:rPr>
              <w:t>)</w:t>
            </w:r>
            <w:r w:rsidRPr="00361139">
              <w:rPr>
                <w:rFonts w:asciiTheme="majorBidi" w:hAnsiTheme="majorBidi" w:cstheme="majorBidi"/>
                <w:i/>
                <w:sz w:val="18"/>
                <w:szCs w:val="18"/>
              </w:rPr>
              <w:t>(</w:t>
            </w:r>
            <w:proofErr w:type="gramEnd"/>
            <w:r w:rsidRPr="00361139">
              <w:rPr>
                <w:rFonts w:asciiTheme="majorBidi" w:hAnsiTheme="majorBidi" w:cstheme="majorBidi"/>
                <w:i/>
                <w:sz w:val="18"/>
                <w:szCs w:val="18"/>
              </w:rPr>
              <w:t>weighted average)</w:t>
            </w:r>
          </w:p>
        </w:tc>
        <w:tc>
          <w:tcPr>
            <w:tcW w:w="1417" w:type="dxa"/>
            <w:shd w:val="clear" w:color="auto" w:fill="auto"/>
            <w:vAlign w:val="center"/>
          </w:tcPr>
          <w:p w14:paraId="6F1889C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3.20/5</w:t>
            </w:r>
          </w:p>
        </w:tc>
        <w:tc>
          <w:tcPr>
            <w:tcW w:w="1418" w:type="dxa"/>
            <w:vAlign w:val="center"/>
          </w:tcPr>
          <w:p w14:paraId="1B6BA97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64%</w:t>
            </w:r>
          </w:p>
        </w:tc>
      </w:tr>
      <w:tr w:rsidR="0037512A" w:rsidRPr="00361139" w14:paraId="5455C503" w14:textId="77777777" w:rsidTr="008144F7">
        <w:trPr>
          <w:cantSplit/>
          <w:trHeight w:val="20"/>
        </w:trPr>
        <w:tc>
          <w:tcPr>
            <w:tcW w:w="3227" w:type="dxa"/>
            <w:vMerge/>
            <w:shd w:val="clear" w:color="auto" w:fill="auto"/>
            <w:vAlign w:val="center"/>
            <w:hideMark/>
          </w:tcPr>
          <w:p w14:paraId="6EBA62B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F6A3848"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28FE23B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 comments</w:t>
            </w:r>
          </w:p>
        </w:tc>
        <w:tc>
          <w:tcPr>
            <w:tcW w:w="1418" w:type="dxa"/>
            <w:vAlign w:val="center"/>
          </w:tcPr>
          <w:p w14:paraId="38ACB2D7"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2C21FF60" w14:textId="77777777" w:rsidTr="008144F7">
        <w:trPr>
          <w:cantSplit/>
          <w:trHeight w:val="20"/>
        </w:trPr>
        <w:tc>
          <w:tcPr>
            <w:tcW w:w="3227" w:type="dxa"/>
            <w:vMerge w:val="restart"/>
            <w:shd w:val="clear" w:color="auto" w:fill="auto"/>
            <w:vAlign w:val="center"/>
            <w:hideMark/>
          </w:tcPr>
          <w:p w14:paraId="7973D4EF"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On a scale from 0 (min) to 5 (max), how much you would say the </w:t>
            </w:r>
            <w:r w:rsidRPr="00361139">
              <w:rPr>
                <w:rFonts w:asciiTheme="majorBidi" w:hAnsiTheme="majorBidi" w:cstheme="majorBidi"/>
                <w:b/>
                <w:sz w:val="18"/>
                <w:szCs w:val="18"/>
              </w:rPr>
              <w:t>guidance</w:t>
            </w:r>
            <w:r w:rsidRPr="00361139">
              <w:rPr>
                <w:rFonts w:asciiTheme="majorBidi" w:hAnsiTheme="majorBidi" w:cstheme="majorBidi"/>
                <w:sz w:val="18"/>
                <w:szCs w:val="18"/>
              </w:rPr>
              <w:t xml:space="preserve"> and </w:t>
            </w:r>
            <w:r w:rsidRPr="00361139">
              <w:rPr>
                <w:rFonts w:asciiTheme="majorBidi" w:hAnsiTheme="majorBidi" w:cstheme="majorBidi"/>
                <w:b/>
                <w:sz w:val="18"/>
                <w:szCs w:val="18"/>
              </w:rPr>
              <w:t>support</w:t>
            </w:r>
            <w:r w:rsidRPr="00361139">
              <w:rPr>
                <w:rFonts w:asciiTheme="majorBidi" w:hAnsiTheme="majorBidi" w:cstheme="majorBidi"/>
                <w:sz w:val="18"/>
                <w:szCs w:val="18"/>
              </w:rPr>
              <w:t xml:space="preserve"> provided by the </w:t>
            </w:r>
            <w:r w:rsidRPr="00361139">
              <w:rPr>
                <w:rFonts w:asciiTheme="majorBidi" w:hAnsiTheme="majorBidi" w:cstheme="majorBidi"/>
                <w:b/>
                <w:sz w:val="18"/>
                <w:szCs w:val="18"/>
              </w:rPr>
              <w:t>Secretariats</w:t>
            </w:r>
            <w:r w:rsidRPr="00361139">
              <w:rPr>
                <w:rFonts w:asciiTheme="majorBidi" w:hAnsiTheme="majorBidi" w:cstheme="majorBidi"/>
                <w:sz w:val="18"/>
                <w:szCs w:val="18"/>
              </w:rPr>
              <w:t xml:space="preserve"> of the GEF and the Minamata Convention for requesting funding through the </w:t>
            </w:r>
            <w:r w:rsidRPr="00361139">
              <w:rPr>
                <w:rStyle w:val="Strong"/>
                <w:rFonts w:asciiTheme="majorBidi" w:hAnsiTheme="majorBidi" w:cstheme="majorBidi"/>
                <w:iCs/>
                <w:sz w:val="18"/>
                <w:szCs w:val="18"/>
              </w:rPr>
              <w:t>Global Environment Facility (GEF) Trust Fund</w:t>
            </w:r>
            <w:r w:rsidRPr="00361139">
              <w:rPr>
                <w:rFonts w:asciiTheme="majorBidi" w:hAnsiTheme="majorBidi" w:cstheme="majorBidi"/>
                <w:sz w:val="18"/>
                <w:szCs w:val="18"/>
              </w:rPr>
              <w:t xml:space="preserve"> were</w:t>
            </w:r>
            <w:r w:rsidRPr="00361139">
              <w:rPr>
                <w:rFonts w:asciiTheme="majorBidi" w:hAnsiTheme="majorBidi" w:cstheme="majorBidi"/>
                <w:b/>
                <w:sz w:val="18"/>
                <w:szCs w:val="18"/>
              </w:rPr>
              <w:t xml:space="preserve"> adequate</w:t>
            </w:r>
            <w:r w:rsidRPr="00361139">
              <w:rPr>
                <w:rFonts w:asciiTheme="majorBidi" w:hAnsiTheme="majorBidi" w:cstheme="majorBidi"/>
                <w:sz w:val="18"/>
                <w:szCs w:val="18"/>
              </w:rPr>
              <w:t xml:space="preserve"> to develop the project </w:t>
            </w:r>
            <w:proofErr w:type="gramStart"/>
            <w:r w:rsidRPr="00361139">
              <w:rPr>
                <w:rFonts w:asciiTheme="majorBidi" w:hAnsiTheme="majorBidi" w:cstheme="majorBidi"/>
                <w:sz w:val="18"/>
                <w:szCs w:val="18"/>
              </w:rPr>
              <w:t>proposal?*</w:t>
            </w:r>
            <w:proofErr w:type="gramEnd"/>
          </w:p>
        </w:tc>
        <w:tc>
          <w:tcPr>
            <w:tcW w:w="3118" w:type="dxa"/>
            <w:shd w:val="clear" w:color="auto" w:fill="auto"/>
            <w:vAlign w:val="center"/>
            <w:hideMark/>
          </w:tcPr>
          <w:p w14:paraId="6BBCD4A6"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636E003"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21</w:t>
            </w:r>
          </w:p>
        </w:tc>
        <w:tc>
          <w:tcPr>
            <w:tcW w:w="1418" w:type="dxa"/>
            <w:vAlign w:val="center"/>
          </w:tcPr>
          <w:p w14:paraId="423CA8BC"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036022B6" w14:textId="77777777" w:rsidTr="008144F7">
        <w:trPr>
          <w:cantSplit/>
          <w:trHeight w:val="20"/>
        </w:trPr>
        <w:tc>
          <w:tcPr>
            <w:tcW w:w="3227" w:type="dxa"/>
            <w:vMerge/>
            <w:shd w:val="clear" w:color="auto" w:fill="auto"/>
            <w:vAlign w:val="center"/>
            <w:hideMark/>
          </w:tcPr>
          <w:p w14:paraId="2F4EDFD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FEF00E4"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iCs/>
                <w:sz w:val="18"/>
                <w:szCs w:val="18"/>
              </w:rPr>
              <w:t>Guidance</w:t>
            </w:r>
            <w:r w:rsidRPr="00361139">
              <w:rPr>
                <w:rFonts w:asciiTheme="majorBidi" w:hAnsiTheme="majorBidi" w:cstheme="majorBidi"/>
                <w:i/>
                <w:iCs/>
                <w:sz w:val="18"/>
                <w:szCs w:val="18"/>
              </w:rPr>
              <w:t xml:space="preserve"> (weighted average)</w:t>
            </w:r>
          </w:p>
        </w:tc>
        <w:tc>
          <w:tcPr>
            <w:tcW w:w="1417" w:type="dxa"/>
            <w:shd w:val="clear" w:color="auto" w:fill="auto"/>
            <w:vAlign w:val="center"/>
          </w:tcPr>
          <w:p w14:paraId="0F02225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3.81/5</w:t>
            </w:r>
          </w:p>
        </w:tc>
        <w:tc>
          <w:tcPr>
            <w:tcW w:w="1418" w:type="dxa"/>
            <w:vAlign w:val="center"/>
          </w:tcPr>
          <w:p w14:paraId="5FEC32A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76%</w:t>
            </w:r>
          </w:p>
        </w:tc>
      </w:tr>
      <w:tr w:rsidR="0037512A" w:rsidRPr="00361139" w14:paraId="045F9224" w14:textId="77777777" w:rsidTr="008144F7">
        <w:trPr>
          <w:cantSplit/>
          <w:trHeight w:val="20"/>
        </w:trPr>
        <w:tc>
          <w:tcPr>
            <w:tcW w:w="3227" w:type="dxa"/>
            <w:vMerge/>
            <w:shd w:val="clear" w:color="auto" w:fill="auto"/>
            <w:vAlign w:val="center"/>
            <w:hideMark/>
          </w:tcPr>
          <w:p w14:paraId="1A20652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D461A0"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iCs/>
                <w:sz w:val="18"/>
                <w:szCs w:val="18"/>
              </w:rPr>
              <w:t>Support</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9B231A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3.90/5</w:t>
            </w:r>
          </w:p>
        </w:tc>
        <w:tc>
          <w:tcPr>
            <w:tcW w:w="1418" w:type="dxa"/>
            <w:vAlign w:val="center"/>
          </w:tcPr>
          <w:p w14:paraId="2426ED05"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78%</w:t>
            </w:r>
          </w:p>
        </w:tc>
      </w:tr>
      <w:tr w:rsidR="0037512A" w:rsidRPr="00361139" w14:paraId="09FA4D25" w14:textId="77777777" w:rsidTr="008144F7">
        <w:trPr>
          <w:cantSplit/>
          <w:trHeight w:val="20"/>
        </w:trPr>
        <w:tc>
          <w:tcPr>
            <w:tcW w:w="3227" w:type="dxa"/>
            <w:vMerge/>
            <w:shd w:val="clear" w:color="auto" w:fill="auto"/>
            <w:vAlign w:val="center"/>
            <w:hideMark/>
          </w:tcPr>
          <w:p w14:paraId="617620D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BD6563C"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8B700E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 comments</w:t>
            </w:r>
          </w:p>
        </w:tc>
        <w:tc>
          <w:tcPr>
            <w:tcW w:w="1418" w:type="dxa"/>
            <w:vAlign w:val="center"/>
          </w:tcPr>
          <w:p w14:paraId="5FA9A3B5"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352C2514" w14:textId="77777777" w:rsidTr="008144F7">
        <w:trPr>
          <w:cantSplit/>
          <w:trHeight w:val="20"/>
        </w:trPr>
        <w:tc>
          <w:tcPr>
            <w:tcW w:w="3227" w:type="dxa"/>
            <w:vMerge w:val="restart"/>
            <w:shd w:val="clear" w:color="auto" w:fill="auto"/>
            <w:vAlign w:val="center"/>
            <w:hideMark/>
          </w:tcPr>
          <w:p w14:paraId="626E379E"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broad terms, how long it took for your country to prepare a workable project proposal to be submitted to the </w:t>
            </w:r>
            <w:r w:rsidRPr="00361139">
              <w:rPr>
                <w:rStyle w:val="Strong"/>
                <w:rFonts w:asciiTheme="majorBidi" w:hAnsiTheme="majorBidi" w:cstheme="majorBidi"/>
                <w:iCs/>
                <w:sz w:val="18"/>
                <w:szCs w:val="18"/>
              </w:rPr>
              <w:t xml:space="preserve">Global Environment Facility (GEF) Trust </w:t>
            </w:r>
            <w:proofErr w:type="gramStart"/>
            <w:r w:rsidRPr="00361139">
              <w:rPr>
                <w:rStyle w:val="Strong"/>
                <w:rFonts w:asciiTheme="majorBidi" w:hAnsiTheme="majorBidi" w:cstheme="majorBidi"/>
                <w:iCs/>
                <w:sz w:val="18"/>
                <w:szCs w:val="18"/>
              </w:rPr>
              <w:t>Fund?*</w:t>
            </w:r>
            <w:proofErr w:type="gramEnd"/>
          </w:p>
        </w:tc>
        <w:tc>
          <w:tcPr>
            <w:tcW w:w="3118" w:type="dxa"/>
            <w:shd w:val="clear" w:color="auto" w:fill="auto"/>
            <w:vAlign w:val="center"/>
            <w:hideMark/>
          </w:tcPr>
          <w:p w14:paraId="39588490"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13E24BD3"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22</w:t>
            </w:r>
          </w:p>
        </w:tc>
        <w:tc>
          <w:tcPr>
            <w:tcW w:w="1418" w:type="dxa"/>
            <w:vAlign w:val="center"/>
          </w:tcPr>
          <w:p w14:paraId="6B83AA60"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2D3AA3AC" w14:textId="77777777" w:rsidTr="008144F7">
        <w:trPr>
          <w:cantSplit/>
          <w:trHeight w:val="20"/>
        </w:trPr>
        <w:tc>
          <w:tcPr>
            <w:tcW w:w="3227" w:type="dxa"/>
            <w:vMerge/>
            <w:shd w:val="clear" w:color="auto" w:fill="auto"/>
            <w:vAlign w:val="center"/>
            <w:hideMark/>
          </w:tcPr>
          <w:p w14:paraId="79974202"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ACC4D73"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i/>
                <w:sz w:val="18"/>
                <w:szCs w:val="18"/>
              </w:rPr>
              <w:t>Weighted average</w:t>
            </w:r>
          </w:p>
        </w:tc>
        <w:tc>
          <w:tcPr>
            <w:tcW w:w="1417" w:type="dxa"/>
            <w:shd w:val="clear" w:color="auto" w:fill="auto"/>
            <w:vAlign w:val="center"/>
          </w:tcPr>
          <w:p w14:paraId="4AC3FF0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11 months</w:t>
            </w:r>
          </w:p>
        </w:tc>
        <w:tc>
          <w:tcPr>
            <w:tcW w:w="1418" w:type="dxa"/>
            <w:vAlign w:val="center"/>
          </w:tcPr>
          <w:p w14:paraId="5C1BAFF8"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1CCBA25D" w14:textId="77777777" w:rsidTr="008144F7">
        <w:trPr>
          <w:cantSplit/>
          <w:trHeight w:val="20"/>
        </w:trPr>
        <w:tc>
          <w:tcPr>
            <w:tcW w:w="3227" w:type="dxa"/>
            <w:vMerge/>
            <w:shd w:val="clear" w:color="auto" w:fill="auto"/>
            <w:vAlign w:val="center"/>
            <w:hideMark/>
          </w:tcPr>
          <w:p w14:paraId="3DA5CA8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C56D2F1"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i/>
                <w:sz w:val="18"/>
                <w:szCs w:val="18"/>
              </w:rPr>
              <w:t>More than 24 months</w:t>
            </w:r>
          </w:p>
        </w:tc>
        <w:tc>
          <w:tcPr>
            <w:tcW w:w="1417" w:type="dxa"/>
            <w:shd w:val="clear" w:color="auto" w:fill="auto"/>
            <w:vAlign w:val="center"/>
          </w:tcPr>
          <w:p w14:paraId="49E728B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respondent</w:t>
            </w:r>
          </w:p>
        </w:tc>
        <w:tc>
          <w:tcPr>
            <w:tcW w:w="1418" w:type="dxa"/>
            <w:vAlign w:val="center"/>
          </w:tcPr>
          <w:p w14:paraId="4412B58C"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05F12AE9" w14:textId="77777777" w:rsidTr="008144F7">
        <w:trPr>
          <w:cantSplit/>
          <w:trHeight w:val="20"/>
        </w:trPr>
        <w:tc>
          <w:tcPr>
            <w:tcW w:w="3227" w:type="dxa"/>
            <w:vMerge/>
            <w:shd w:val="clear" w:color="auto" w:fill="auto"/>
            <w:vAlign w:val="center"/>
            <w:hideMark/>
          </w:tcPr>
          <w:p w14:paraId="4B208FD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B3B24F1"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6704F25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 comments</w:t>
            </w:r>
          </w:p>
        </w:tc>
        <w:tc>
          <w:tcPr>
            <w:tcW w:w="1418" w:type="dxa"/>
            <w:vAlign w:val="center"/>
          </w:tcPr>
          <w:p w14:paraId="43D2B832"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236A5C4B" w14:textId="77777777" w:rsidTr="008144F7">
        <w:trPr>
          <w:cantSplit/>
          <w:trHeight w:val="20"/>
        </w:trPr>
        <w:tc>
          <w:tcPr>
            <w:tcW w:w="3227" w:type="dxa"/>
            <w:vMerge w:val="restart"/>
            <w:shd w:val="clear" w:color="auto" w:fill="auto"/>
            <w:vAlign w:val="center"/>
            <w:hideMark/>
          </w:tcPr>
          <w:p w14:paraId="1007F0D5"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Would you like to briefly comment on the </w:t>
            </w:r>
            <w:r w:rsidRPr="00361139">
              <w:rPr>
                <w:rFonts w:asciiTheme="majorBidi" w:hAnsiTheme="majorBidi" w:cstheme="majorBidi"/>
                <w:b/>
                <w:sz w:val="18"/>
                <w:szCs w:val="18"/>
              </w:rPr>
              <w:t>main challenges</w:t>
            </w:r>
            <w:r w:rsidRPr="00361139">
              <w:rPr>
                <w:rFonts w:asciiTheme="majorBidi" w:hAnsiTheme="majorBidi" w:cstheme="majorBidi"/>
                <w:sz w:val="18"/>
                <w:szCs w:val="18"/>
              </w:rPr>
              <w:t xml:space="preserve"> you met in preparing a </w:t>
            </w:r>
            <w:r w:rsidRPr="00361139">
              <w:rPr>
                <w:rStyle w:val="Strong"/>
                <w:rFonts w:asciiTheme="majorBidi" w:hAnsiTheme="majorBidi" w:cstheme="majorBidi"/>
                <w:iCs/>
                <w:sz w:val="18"/>
                <w:szCs w:val="18"/>
              </w:rPr>
              <w:t>Global Environment Facility (GEF) Trust Fund</w:t>
            </w:r>
            <w:r w:rsidRPr="00361139">
              <w:rPr>
                <w:rFonts w:asciiTheme="majorBidi" w:hAnsiTheme="majorBidi" w:cstheme="majorBidi"/>
                <w:sz w:val="18"/>
                <w:szCs w:val="18"/>
              </w:rPr>
              <w:t xml:space="preserve"> project proposal and how were they </w:t>
            </w:r>
            <w:proofErr w:type="gramStart"/>
            <w:r w:rsidRPr="00361139">
              <w:rPr>
                <w:rFonts w:asciiTheme="majorBidi" w:hAnsiTheme="majorBidi" w:cstheme="majorBidi"/>
                <w:sz w:val="18"/>
                <w:szCs w:val="18"/>
              </w:rPr>
              <w:t>overcome?*</w:t>
            </w:r>
            <w:proofErr w:type="gramEnd"/>
          </w:p>
        </w:tc>
        <w:tc>
          <w:tcPr>
            <w:tcW w:w="3118" w:type="dxa"/>
            <w:shd w:val="clear" w:color="auto" w:fill="auto"/>
            <w:vAlign w:val="center"/>
            <w:hideMark/>
          </w:tcPr>
          <w:p w14:paraId="1BAEDA19"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1DF1A5D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24</w:t>
            </w:r>
          </w:p>
        </w:tc>
        <w:tc>
          <w:tcPr>
            <w:tcW w:w="1418" w:type="dxa"/>
            <w:vAlign w:val="center"/>
          </w:tcPr>
          <w:p w14:paraId="5A73B16C"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0B1829B5" w14:textId="77777777" w:rsidTr="008144F7">
        <w:trPr>
          <w:cantSplit/>
          <w:trHeight w:val="20"/>
        </w:trPr>
        <w:tc>
          <w:tcPr>
            <w:tcW w:w="3227" w:type="dxa"/>
            <w:vMerge/>
            <w:shd w:val="clear" w:color="auto" w:fill="auto"/>
            <w:vAlign w:val="center"/>
            <w:hideMark/>
          </w:tcPr>
          <w:p w14:paraId="42637DD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DDF7DB7"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01E6C2C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w:t>
            </w:r>
          </w:p>
        </w:tc>
        <w:tc>
          <w:tcPr>
            <w:tcW w:w="1418" w:type="dxa"/>
            <w:vAlign w:val="center"/>
          </w:tcPr>
          <w:p w14:paraId="0CCC0CEA"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17%</w:t>
            </w:r>
          </w:p>
        </w:tc>
      </w:tr>
      <w:tr w:rsidR="0037512A" w:rsidRPr="00361139" w14:paraId="53CE35E4" w14:textId="77777777" w:rsidTr="008144F7">
        <w:trPr>
          <w:cantSplit/>
          <w:trHeight w:val="20"/>
        </w:trPr>
        <w:tc>
          <w:tcPr>
            <w:tcW w:w="3227" w:type="dxa"/>
            <w:vMerge/>
            <w:shd w:val="clear" w:color="auto" w:fill="auto"/>
            <w:vAlign w:val="center"/>
            <w:hideMark/>
          </w:tcPr>
          <w:p w14:paraId="3904ADC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38C971A"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438D762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20</w:t>
            </w:r>
          </w:p>
        </w:tc>
        <w:tc>
          <w:tcPr>
            <w:tcW w:w="1418" w:type="dxa"/>
            <w:vAlign w:val="center"/>
          </w:tcPr>
          <w:p w14:paraId="24FB328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83%</w:t>
            </w:r>
          </w:p>
        </w:tc>
      </w:tr>
      <w:tr w:rsidR="0037512A" w:rsidRPr="00361139" w14:paraId="1926C789" w14:textId="77777777" w:rsidTr="008144F7">
        <w:trPr>
          <w:cantSplit/>
          <w:trHeight w:val="20"/>
        </w:trPr>
        <w:tc>
          <w:tcPr>
            <w:tcW w:w="3227" w:type="dxa"/>
            <w:vMerge w:val="restart"/>
            <w:shd w:val="clear" w:color="auto" w:fill="auto"/>
            <w:vAlign w:val="center"/>
            <w:hideMark/>
          </w:tcPr>
          <w:p w14:paraId="28F6454B"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Would you like to suggest any action to improve the </w:t>
            </w:r>
            <w:r w:rsidRPr="00361139">
              <w:rPr>
                <w:rFonts w:asciiTheme="majorBidi" w:hAnsiTheme="majorBidi" w:cstheme="majorBidi"/>
                <w:b/>
                <w:sz w:val="18"/>
                <w:szCs w:val="18"/>
              </w:rPr>
              <w:t>effectiveness</w:t>
            </w:r>
            <w:r w:rsidRPr="00361139">
              <w:rPr>
                <w:rFonts w:asciiTheme="majorBidi" w:hAnsiTheme="majorBidi" w:cstheme="majorBidi"/>
                <w:sz w:val="18"/>
                <w:szCs w:val="18"/>
              </w:rPr>
              <w:t xml:space="preserve"> and the </w:t>
            </w:r>
            <w:r w:rsidRPr="00361139">
              <w:rPr>
                <w:rFonts w:asciiTheme="majorBidi" w:hAnsiTheme="majorBidi" w:cstheme="majorBidi"/>
                <w:b/>
                <w:sz w:val="18"/>
                <w:szCs w:val="18"/>
              </w:rPr>
              <w:t>efficiency</w:t>
            </w:r>
            <w:r w:rsidRPr="00361139">
              <w:rPr>
                <w:rFonts w:asciiTheme="majorBidi" w:hAnsiTheme="majorBidi" w:cstheme="majorBidi"/>
                <w:sz w:val="18"/>
                <w:szCs w:val="18"/>
              </w:rPr>
              <w:t xml:space="preserve"> of the </w:t>
            </w:r>
            <w:r w:rsidRPr="00361139">
              <w:rPr>
                <w:rFonts w:asciiTheme="majorBidi" w:hAnsiTheme="majorBidi" w:cstheme="majorBidi"/>
                <w:b/>
                <w:sz w:val="18"/>
                <w:szCs w:val="18"/>
              </w:rPr>
              <w:t>Global Environment Facility (GEF) Trust Fund</w:t>
            </w:r>
            <w:r w:rsidRPr="00361139">
              <w:rPr>
                <w:rFonts w:asciiTheme="majorBidi" w:hAnsiTheme="majorBidi" w:cstheme="majorBidi"/>
                <w:sz w:val="18"/>
                <w:szCs w:val="18"/>
              </w:rPr>
              <w:t xml:space="preserve"> in meeting the objective of the </w:t>
            </w:r>
            <w:proofErr w:type="gramStart"/>
            <w:r w:rsidRPr="00361139">
              <w:rPr>
                <w:rFonts w:asciiTheme="majorBidi" w:hAnsiTheme="majorBidi" w:cstheme="majorBidi"/>
                <w:sz w:val="18"/>
                <w:szCs w:val="18"/>
              </w:rPr>
              <w:t>Convention?*</w:t>
            </w:r>
            <w:proofErr w:type="gramEnd"/>
          </w:p>
        </w:tc>
        <w:tc>
          <w:tcPr>
            <w:tcW w:w="3118" w:type="dxa"/>
            <w:shd w:val="clear" w:color="auto" w:fill="auto"/>
            <w:vAlign w:val="center"/>
            <w:hideMark/>
          </w:tcPr>
          <w:p w14:paraId="0ACD2371"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AD56DA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24</w:t>
            </w:r>
          </w:p>
        </w:tc>
        <w:tc>
          <w:tcPr>
            <w:tcW w:w="1418" w:type="dxa"/>
            <w:vAlign w:val="center"/>
          </w:tcPr>
          <w:p w14:paraId="68DD9EED"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3CB68F98" w14:textId="77777777" w:rsidTr="008144F7">
        <w:trPr>
          <w:cantSplit/>
          <w:trHeight w:val="20"/>
        </w:trPr>
        <w:tc>
          <w:tcPr>
            <w:tcW w:w="3227" w:type="dxa"/>
            <w:vMerge/>
            <w:shd w:val="clear" w:color="auto" w:fill="auto"/>
            <w:vAlign w:val="center"/>
            <w:hideMark/>
          </w:tcPr>
          <w:p w14:paraId="7FC199A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1306F10" w14:textId="77777777" w:rsidR="0037512A" w:rsidRPr="00361139" w:rsidRDefault="0037512A" w:rsidP="008144F7">
            <w:pPr>
              <w:tabs>
                <w:tab w:val="left" w:pos="567"/>
              </w:tabs>
              <w:spacing w:before="120" w:after="120"/>
              <w:ind w:left="318" w:right="57" w:hanging="1"/>
              <w:rPr>
                <w:rFonts w:asciiTheme="majorBidi" w:hAnsiTheme="majorBidi" w:cstheme="majorBidi"/>
                <w:sz w:val="18"/>
                <w:szCs w:val="18"/>
              </w:rPr>
            </w:pPr>
            <w:r w:rsidRPr="00361139">
              <w:rPr>
                <w:rFonts w:asciiTheme="majorBidi" w:hAnsiTheme="majorBidi" w:cstheme="majorBidi"/>
                <w:i/>
                <w:sz w:val="18"/>
                <w:szCs w:val="18"/>
              </w:rPr>
              <w:t>Yes (please specify)</w:t>
            </w:r>
          </w:p>
        </w:tc>
        <w:tc>
          <w:tcPr>
            <w:tcW w:w="1417" w:type="dxa"/>
            <w:shd w:val="clear" w:color="auto" w:fill="auto"/>
            <w:vAlign w:val="center"/>
          </w:tcPr>
          <w:p w14:paraId="7A21991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5</w:t>
            </w:r>
          </w:p>
        </w:tc>
        <w:tc>
          <w:tcPr>
            <w:tcW w:w="1418" w:type="dxa"/>
            <w:vAlign w:val="center"/>
          </w:tcPr>
          <w:p w14:paraId="75FB173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21%</w:t>
            </w:r>
          </w:p>
        </w:tc>
      </w:tr>
      <w:tr w:rsidR="0037512A" w:rsidRPr="00361139" w14:paraId="0B57ACDD" w14:textId="77777777" w:rsidTr="008144F7">
        <w:trPr>
          <w:cantSplit/>
          <w:trHeight w:val="20"/>
        </w:trPr>
        <w:tc>
          <w:tcPr>
            <w:tcW w:w="3227" w:type="dxa"/>
            <w:vMerge/>
            <w:shd w:val="clear" w:color="auto" w:fill="auto"/>
            <w:vAlign w:val="center"/>
            <w:hideMark/>
          </w:tcPr>
          <w:p w14:paraId="42AF826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22973A4"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6B46417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19</w:t>
            </w:r>
          </w:p>
        </w:tc>
        <w:tc>
          <w:tcPr>
            <w:tcW w:w="1418" w:type="dxa"/>
            <w:vAlign w:val="center"/>
          </w:tcPr>
          <w:p w14:paraId="0149E80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79%</w:t>
            </w:r>
          </w:p>
        </w:tc>
      </w:tr>
      <w:tr w:rsidR="0037512A" w:rsidRPr="00361139" w14:paraId="1F6C53E0" w14:textId="77777777" w:rsidTr="008144F7">
        <w:trPr>
          <w:cantSplit/>
          <w:trHeight w:val="20"/>
        </w:trPr>
        <w:tc>
          <w:tcPr>
            <w:tcW w:w="3227" w:type="dxa"/>
            <w:vMerge w:val="restart"/>
            <w:shd w:val="clear" w:color="auto" w:fill="auto"/>
            <w:vAlign w:val="center"/>
            <w:hideMark/>
          </w:tcPr>
          <w:p w14:paraId="3D8F5CF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In case your country is eligible for both GEF and SIP funding, would you like to summarize your country </w:t>
            </w:r>
            <w:r w:rsidRPr="00361139">
              <w:rPr>
                <w:rFonts w:asciiTheme="majorBidi" w:hAnsiTheme="majorBidi" w:cstheme="majorBidi"/>
                <w:b/>
                <w:sz w:val="18"/>
                <w:szCs w:val="18"/>
              </w:rPr>
              <w:t>main considerations</w:t>
            </w:r>
            <w:r w:rsidRPr="00361139">
              <w:rPr>
                <w:rFonts w:asciiTheme="majorBidi" w:hAnsiTheme="majorBidi" w:cstheme="majorBidi"/>
                <w:sz w:val="18"/>
                <w:szCs w:val="18"/>
              </w:rPr>
              <w:t xml:space="preserve"> for choosing to request funding to the </w:t>
            </w:r>
            <w:r w:rsidRPr="00361139">
              <w:rPr>
                <w:rFonts w:asciiTheme="majorBidi" w:hAnsiTheme="majorBidi" w:cstheme="majorBidi"/>
                <w:b/>
                <w:bCs/>
                <w:sz w:val="18"/>
                <w:szCs w:val="18"/>
              </w:rPr>
              <w:t xml:space="preserve">Global Environment Facility (GEF) Trust Fund </w:t>
            </w:r>
            <w:r w:rsidRPr="00361139">
              <w:rPr>
                <w:rFonts w:asciiTheme="majorBidi" w:hAnsiTheme="majorBidi" w:cstheme="majorBidi"/>
                <w:sz w:val="18"/>
                <w:szCs w:val="18"/>
              </w:rPr>
              <w:t xml:space="preserve">rather to (or together with) the Specific International Programme (SIP) </w:t>
            </w:r>
            <w:r w:rsidRPr="00361139">
              <w:rPr>
                <w:rFonts w:asciiTheme="majorBidi" w:hAnsiTheme="majorBidi" w:cstheme="majorBidi"/>
                <w:bCs/>
                <w:sz w:val="18"/>
                <w:szCs w:val="18"/>
              </w:rPr>
              <w:t xml:space="preserve">through the Financial Mechanism of the </w:t>
            </w:r>
            <w:proofErr w:type="gramStart"/>
            <w:r w:rsidRPr="00361139">
              <w:rPr>
                <w:rFonts w:asciiTheme="majorBidi" w:hAnsiTheme="majorBidi" w:cstheme="majorBidi"/>
                <w:bCs/>
                <w:sz w:val="18"/>
                <w:szCs w:val="18"/>
              </w:rPr>
              <w:t>Convention</w:t>
            </w:r>
            <w:r w:rsidRPr="00361139">
              <w:rPr>
                <w:rFonts w:asciiTheme="majorBidi" w:hAnsiTheme="majorBidi" w:cstheme="majorBidi"/>
                <w:sz w:val="18"/>
                <w:szCs w:val="18"/>
              </w:rPr>
              <w:t>?*</w:t>
            </w:r>
            <w:proofErr w:type="gramEnd"/>
          </w:p>
        </w:tc>
        <w:tc>
          <w:tcPr>
            <w:tcW w:w="3118" w:type="dxa"/>
            <w:shd w:val="clear" w:color="auto" w:fill="auto"/>
            <w:vAlign w:val="center"/>
            <w:hideMark/>
          </w:tcPr>
          <w:p w14:paraId="3FEE94C3"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ECDC5F8"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24</w:t>
            </w:r>
          </w:p>
        </w:tc>
        <w:tc>
          <w:tcPr>
            <w:tcW w:w="1418" w:type="dxa"/>
            <w:vAlign w:val="center"/>
          </w:tcPr>
          <w:p w14:paraId="77309FB8"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65AF686F" w14:textId="77777777" w:rsidTr="008144F7">
        <w:trPr>
          <w:cantSplit/>
          <w:trHeight w:val="20"/>
        </w:trPr>
        <w:tc>
          <w:tcPr>
            <w:tcW w:w="3227" w:type="dxa"/>
            <w:vMerge/>
            <w:shd w:val="clear" w:color="auto" w:fill="auto"/>
            <w:vAlign w:val="center"/>
            <w:hideMark/>
          </w:tcPr>
          <w:p w14:paraId="19DA7FE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E6AB935"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0F5007B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w:t>
            </w:r>
          </w:p>
        </w:tc>
        <w:tc>
          <w:tcPr>
            <w:tcW w:w="1418" w:type="dxa"/>
            <w:vAlign w:val="center"/>
          </w:tcPr>
          <w:p w14:paraId="0C459D4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12DB3DB0" w14:textId="77777777" w:rsidTr="008144F7">
        <w:trPr>
          <w:cantSplit/>
          <w:trHeight w:val="20"/>
        </w:trPr>
        <w:tc>
          <w:tcPr>
            <w:tcW w:w="3227" w:type="dxa"/>
            <w:vMerge/>
            <w:shd w:val="clear" w:color="auto" w:fill="auto"/>
            <w:vAlign w:val="center"/>
            <w:hideMark/>
          </w:tcPr>
          <w:p w14:paraId="15465AA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7102A22"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522D2B0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12</w:t>
            </w:r>
          </w:p>
        </w:tc>
        <w:tc>
          <w:tcPr>
            <w:tcW w:w="1418" w:type="dxa"/>
            <w:vAlign w:val="center"/>
          </w:tcPr>
          <w:p w14:paraId="29D95D4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50%</w:t>
            </w:r>
          </w:p>
        </w:tc>
      </w:tr>
      <w:tr w:rsidR="0037512A" w:rsidRPr="00361139" w14:paraId="7534FEAE" w14:textId="77777777" w:rsidTr="008144F7">
        <w:trPr>
          <w:cantSplit/>
          <w:trHeight w:val="20"/>
        </w:trPr>
        <w:tc>
          <w:tcPr>
            <w:tcW w:w="9180" w:type="dxa"/>
            <w:gridSpan w:val="4"/>
            <w:shd w:val="clear" w:color="auto" w:fill="B6DDE8"/>
            <w:vAlign w:val="center"/>
            <w:hideMark/>
          </w:tcPr>
          <w:p w14:paraId="7FDA4FD1"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all respondents in this section continued to section 4.</w:t>
            </w:r>
          </w:p>
        </w:tc>
      </w:tr>
      <w:tr w:rsidR="0037512A" w:rsidRPr="00361139" w14:paraId="25117592" w14:textId="77777777" w:rsidTr="008144F7">
        <w:trPr>
          <w:cantSplit/>
          <w:trHeight w:val="20"/>
        </w:trPr>
        <w:tc>
          <w:tcPr>
            <w:tcW w:w="9180" w:type="dxa"/>
            <w:gridSpan w:val="4"/>
            <w:shd w:val="clear" w:color="auto" w:fill="auto"/>
            <w:vAlign w:val="center"/>
            <w:hideMark/>
          </w:tcPr>
          <w:p w14:paraId="0D1B5FDC" w14:textId="77777777" w:rsidR="0037512A" w:rsidRPr="00361139" w:rsidRDefault="0037512A" w:rsidP="008144F7">
            <w:pPr>
              <w:spacing w:before="120" w:after="120"/>
              <w:ind w:left="57" w:right="57"/>
              <w:rPr>
                <w:rFonts w:asciiTheme="majorBidi" w:hAnsiTheme="majorBidi" w:cstheme="majorBidi"/>
                <w:b/>
                <w:i/>
                <w:sz w:val="18"/>
                <w:szCs w:val="18"/>
              </w:rPr>
            </w:pPr>
            <w:r w:rsidRPr="00361139">
              <w:rPr>
                <w:rFonts w:asciiTheme="majorBidi" w:hAnsiTheme="majorBidi" w:cstheme="majorBidi"/>
                <w:b/>
                <w:i/>
                <w:sz w:val="18"/>
                <w:szCs w:val="18"/>
              </w:rPr>
              <w:t>Section 4 – All respondents</w:t>
            </w:r>
          </w:p>
          <w:p w14:paraId="6E393E21" w14:textId="77777777" w:rsidR="0037512A" w:rsidRPr="00361139" w:rsidRDefault="0037512A" w:rsidP="008144F7">
            <w:pPr>
              <w:spacing w:before="120" w:after="120"/>
              <w:ind w:left="57" w:right="57"/>
              <w:rPr>
                <w:rFonts w:asciiTheme="majorBidi" w:hAnsiTheme="majorBidi" w:cstheme="majorBidi"/>
                <w:i/>
                <w:sz w:val="18"/>
                <w:szCs w:val="18"/>
              </w:rPr>
            </w:pPr>
            <w:r w:rsidRPr="00361139">
              <w:rPr>
                <w:rFonts w:asciiTheme="majorBidi" w:hAnsiTheme="majorBidi" w:cstheme="majorBidi"/>
                <w:i/>
                <w:sz w:val="18"/>
                <w:szCs w:val="18"/>
              </w:rPr>
              <w:t xml:space="preserve">In this section you are asked general questions on the overall </w:t>
            </w:r>
            <w:r w:rsidRPr="00361139">
              <w:rPr>
                <w:rFonts w:asciiTheme="majorBidi" w:hAnsiTheme="majorBidi" w:cstheme="majorBidi"/>
                <w:b/>
                <w:bCs/>
                <w:i/>
                <w:sz w:val="18"/>
                <w:szCs w:val="18"/>
              </w:rPr>
              <w:t>Financial Mechanism of the Minamata Convention</w:t>
            </w:r>
            <w:r w:rsidRPr="00361139">
              <w:rPr>
                <w:rFonts w:asciiTheme="majorBidi" w:hAnsiTheme="majorBidi" w:cstheme="majorBidi"/>
                <w:b/>
                <w:i/>
                <w:sz w:val="18"/>
                <w:szCs w:val="18"/>
              </w:rPr>
              <w:t>,</w:t>
            </w:r>
            <w:r w:rsidRPr="00361139">
              <w:rPr>
                <w:rFonts w:asciiTheme="majorBidi" w:hAnsiTheme="majorBidi" w:cstheme="majorBidi"/>
                <w:i/>
                <w:sz w:val="18"/>
                <w:szCs w:val="18"/>
              </w:rPr>
              <w:t xml:space="preserve"> independently from your country being (or not) an eligible country or having requested (or not) funding through it.</w:t>
            </w:r>
          </w:p>
        </w:tc>
      </w:tr>
      <w:tr w:rsidR="0037512A" w:rsidRPr="00361139" w14:paraId="3F1F10A5" w14:textId="77777777" w:rsidTr="008144F7">
        <w:trPr>
          <w:cantSplit/>
          <w:trHeight w:val="20"/>
        </w:trPr>
        <w:tc>
          <w:tcPr>
            <w:tcW w:w="3227" w:type="dxa"/>
            <w:vMerge w:val="restart"/>
            <w:shd w:val="clear" w:color="auto" w:fill="auto"/>
            <w:vAlign w:val="center"/>
            <w:hideMark/>
          </w:tcPr>
          <w:p w14:paraId="29D8260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on a scale from 0 (min) to 5 (max), how would you rate the </w:t>
            </w:r>
            <w:r w:rsidRPr="00361139">
              <w:rPr>
                <w:rFonts w:asciiTheme="majorBidi" w:hAnsiTheme="majorBidi" w:cstheme="majorBidi"/>
                <w:b/>
                <w:sz w:val="18"/>
                <w:szCs w:val="18"/>
              </w:rPr>
              <w:t>efficiency</w:t>
            </w:r>
            <w:r w:rsidRPr="00361139">
              <w:rPr>
                <w:rFonts w:asciiTheme="majorBidi" w:hAnsiTheme="majorBidi" w:cstheme="majorBidi"/>
                <w:sz w:val="18"/>
                <w:szCs w:val="18"/>
              </w:rPr>
              <w:t xml:space="preserve"> and the </w:t>
            </w:r>
            <w:r w:rsidRPr="00361139">
              <w:rPr>
                <w:rFonts w:asciiTheme="majorBidi" w:hAnsiTheme="majorBidi" w:cstheme="majorBidi"/>
                <w:b/>
                <w:sz w:val="18"/>
                <w:szCs w:val="18"/>
              </w:rPr>
              <w:t>effectiveness</w:t>
            </w:r>
            <w:r w:rsidRPr="00361139">
              <w:rPr>
                <w:rFonts w:asciiTheme="majorBidi" w:hAnsiTheme="majorBidi" w:cstheme="majorBidi"/>
                <w:sz w:val="18"/>
                <w:szCs w:val="18"/>
              </w:rPr>
              <w:t xml:space="preserve"> of the </w:t>
            </w:r>
            <w:r w:rsidRPr="00361139">
              <w:rPr>
                <w:rFonts w:asciiTheme="majorBidi" w:hAnsiTheme="majorBidi" w:cstheme="majorBidi"/>
                <w:b/>
                <w:sz w:val="18"/>
                <w:szCs w:val="18"/>
              </w:rPr>
              <w:lastRenderedPageBreak/>
              <w:t>Financial Mechanism of the Minamata Convention</w:t>
            </w:r>
            <w:r w:rsidRPr="00361139">
              <w:rPr>
                <w:rFonts w:asciiTheme="majorBidi" w:hAnsiTheme="majorBidi" w:cstheme="majorBidi"/>
                <w:sz w:val="18"/>
                <w:szCs w:val="18"/>
              </w:rPr>
              <w:t xml:space="preserve"> during the time period covered by the 2nd Review of the Financial Mechanism (August 2019 to July 2022</w:t>
            </w:r>
            <w:proofErr w:type="gramStart"/>
            <w:r w:rsidRPr="00361139">
              <w:rPr>
                <w:rFonts w:asciiTheme="majorBidi" w:hAnsiTheme="majorBidi" w:cstheme="majorBidi"/>
                <w:sz w:val="18"/>
                <w:szCs w:val="18"/>
              </w:rPr>
              <w:t>)?*</w:t>
            </w:r>
            <w:proofErr w:type="gramEnd"/>
          </w:p>
        </w:tc>
        <w:tc>
          <w:tcPr>
            <w:tcW w:w="3118" w:type="dxa"/>
            <w:shd w:val="clear" w:color="auto" w:fill="auto"/>
            <w:vAlign w:val="center"/>
            <w:hideMark/>
          </w:tcPr>
          <w:p w14:paraId="64369E2C"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lastRenderedPageBreak/>
              <w:t>Number of Responses:</w:t>
            </w:r>
          </w:p>
        </w:tc>
        <w:tc>
          <w:tcPr>
            <w:tcW w:w="1417" w:type="dxa"/>
            <w:shd w:val="clear" w:color="auto" w:fill="auto"/>
            <w:vAlign w:val="center"/>
          </w:tcPr>
          <w:p w14:paraId="1E5EE576"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40</w:t>
            </w:r>
          </w:p>
        </w:tc>
        <w:tc>
          <w:tcPr>
            <w:tcW w:w="1418" w:type="dxa"/>
            <w:vAlign w:val="center"/>
          </w:tcPr>
          <w:p w14:paraId="3995B3CA"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2DF6EEB8" w14:textId="77777777" w:rsidTr="008144F7">
        <w:trPr>
          <w:cantSplit/>
          <w:trHeight w:val="20"/>
        </w:trPr>
        <w:tc>
          <w:tcPr>
            <w:tcW w:w="3227" w:type="dxa"/>
            <w:vMerge/>
            <w:shd w:val="clear" w:color="auto" w:fill="auto"/>
            <w:vAlign w:val="center"/>
            <w:hideMark/>
          </w:tcPr>
          <w:p w14:paraId="25CE4FA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6D1841D"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iCs/>
                <w:sz w:val="18"/>
                <w:szCs w:val="18"/>
              </w:rPr>
              <w:t>Efficiency</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EC6485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3.40/5</w:t>
            </w:r>
          </w:p>
        </w:tc>
        <w:tc>
          <w:tcPr>
            <w:tcW w:w="1418" w:type="dxa"/>
            <w:vAlign w:val="center"/>
          </w:tcPr>
          <w:p w14:paraId="77D127F6"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68%</w:t>
            </w:r>
          </w:p>
        </w:tc>
      </w:tr>
      <w:tr w:rsidR="0037512A" w:rsidRPr="00361139" w14:paraId="129753D7" w14:textId="77777777" w:rsidTr="008144F7">
        <w:trPr>
          <w:cantSplit/>
          <w:trHeight w:val="20"/>
        </w:trPr>
        <w:tc>
          <w:tcPr>
            <w:tcW w:w="3227" w:type="dxa"/>
            <w:vMerge/>
            <w:shd w:val="clear" w:color="auto" w:fill="auto"/>
            <w:vAlign w:val="center"/>
            <w:hideMark/>
          </w:tcPr>
          <w:p w14:paraId="7530E77A"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02D1CF7"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iCs/>
                <w:sz w:val="18"/>
                <w:szCs w:val="18"/>
              </w:rPr>
              <w:t>Effectiveness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0DBD346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3.35/5</w:t>
            </w:r>
          </w:p>
        </w:tc>
        <w:tc>
          <w:tcPr>
            <w:tcW w:w="1418" w:type="dxa"/>
            <w:vAlign w:val="center"/>
          </w:tcPr>
          <w:p w14:paraId="2E912DD0"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67%</w:t>
            </w:r>
          </w:p>
        </w:tc>
      </w:tr>
      <w:tr w:rsidR="0037512A" w:rsidRPr="00361139" w14:paraId="2D81248E" w14:textId="77777777" w:rsidTr="008144F7">
        <w:trPr>
          <w:cantSplit/>
          <w:trHeight w:val="20"/>
        </w:trPr>
        <w:tc>
          <w:tcPr>
            <w:tcW w:w="3227" w:type="dxa"/>
            <w:vMerge/>
            <w:shd w:val="clear" w:color="auto" w:fill="auto"/>
            <w:vAlign w:val="center"/>
            <w:hideMark/>
          </w:tcPr>
          <w:p w14:paraId="5278195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4706429" w14:textId="77777777" w:rsidR="0037512A" w:rsidRPr="00361139" w:rsidRDefault="0037512A" w:rsidP="008144F7">
            <w:pPr>
              <w:spacing w:before="120" w:after="120"/>
              <w:ind w:left="318" w:right="57" w:hanging="1"/>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6BF5F0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 comments</w:t>
            </w:r>
          </w:p>
        </w:tc>
        <w:tc>
          <w:tcPr>
            <w:tcW w:w="1418" w:type="dxa"/>
            <w:vAlign w:val="center"/>
          </w:tcPr>
          <w:p w14:paraId="36AD32C3"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423A81F5" w14:textId="77777777" w:rsidTr="008144F7">
        <w:trPr>
          <w:cantSplit/>
          <w:trHeight w:val="20"/>
        </w:trPr>
        <w:tc>
          <w:tcPr>
            <w:tcW w:w="3227" w:type="dxa"/>
            <w:vMerge w:val="restart"/>
            <w:shd w:val="clear" w:color="auto" w:fill="auto"/>
            <w:vAlign w:val="center"/>
            <w:hideMark/>
          </w:tcPr>
          <w:p w14:paraId="4E641A86"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Has your country, so far, experienced </w:t>
            </w:r>
            <w:r w:rsidRPr="00361139">
              <w:rPr>
                <w:rFonts w:asciiTheme="majorBidi" w:hAnsiTheme="majorBidi" w:cstheme="majorBidi"/>
                <w:b/>
                <w:sz w:val="18"/>
                <w:szCs w:val="18"/>
              </w:rPr>
              <w:t xml:space="preserve">any problem </w:t>
            </w:r>
            <w:r w:rsidRPr="00361139">
              <w:rPr>
                <w:rFonts w:asciiTheme="majorBidi" w:hAnsiTheme="majorBidi" w:cstheme="majorBidi"/>
                <w:sz w:val="18"/>
                <w:szCs w:val="18"/>
              </w:rPr>
              <w:t xml:space="preserve">in relation to the </w:t>
            </w:r>
            <w:r w:rsidRPr="00361139">
              <w:rPr>
                <w:rFonts w:asciiTheme="majorBidi" w:hAnsiTheme="majorBidi" w:cstheme="majorBidi"/>
                <w:b/>
                <w:sz w:val="18"/>
                <w:szCs w:val="18"/>
              </w:rPr>
              <w:t>Financial Mechanism of the Minamata Convention</w:t>
            </w:r>
            <w:r w:rsidRPr="00361139">
              <w:rPr>
                <w:rFonts w:asciiTheme="majorBidi" w:hAnsiTheme="majorBidi" w:cstheme="majorBidi"/>
                <w:sz w:val="18"/>
                <w:szCs w:val="18"/>
              </w:rPr>
              <w:t xml:space="preserve"> during the time period covered by the 2nd Review of the Financial Mechanism (August 2019 to July 2022</w:t>
            </w:r>
            <w:proofErr w:type="gramStart"/>
            <w:r w:rsidRPr="00361139">
              <w:rPr>
                <w:rFonts w:asciiTheme="majorBidi" w:hAnsiTheme="majorBidi" w:cstheme="majorBidi"/>
                <w:sz w:val="18"/>
                <w:szCs w:val="18"/>
              </w:rPr>
              <w:t>)?*</w:t>
            </w:r>
            <w:proofErr w:type="gramEnd"/>
          </w:p>
        </w:tc>
        <w:tc>
          <w:tcPr>
            <w:tcW w:w="3118" w:type="dxa"/>
            <w:shd w:val="clear" w:color="auto" w:fill="auto"/>
            <w:vAlign w:val="center"/>
            <w:hideMark/>
          </w:tcPr>
          <w:p w14:paraId="715A76B2"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368879B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42</w:t>
            </w:r>
          </w:p>
        </w:tc>
        <w:tc>
          <w:tcPr>
            <w:tcW w:w="1418" w:type="dxa"/>
            <w:vAlign w:val="center"/>
          </w:tcPr>
          <w:p w14:paraId="2CB1F616"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4421E489" w14:textId="77777777" w:rsidTr="008144F7">
        <w:trPr>
          <w:cantSplit/>
          <w:trHeight w:val="20"/>
        </w:trPr>
        <w:tc>
          <w:tcPr>
            <w:tcW w:w="3227" w:type="dxa"/>
            <w:vMerge/>
            <w:shd w:val="clear" w:color="auto" w:fill="auto"/>
            <w:vAlign w:val="center"/>
            <w:hideMark/>
          </w:tcPr>
          <w:p w14:paraId="5998774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924F8D8"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2A6B61B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w:t>
            </w:r>
          </w:p>
        </w:tc>
        <w:tc>
          <w:tcPr>
            <w:tcW w:w="1418" w:type="dxa"/>
            <w:vAlign w:val="center"/>
          </w:tcPr>
          <w:p w14:paraId="748F9A5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14%</w:t>
            </w:r>
          </w:p>
        </w:tc>
      </w:tr>
      <w:tr w:rsidR="0037512A" w:rsidRPr="00361139" w14:paraId="4DDBB26A" w14:textId="77777777" w:rsidTr="008144F7">
        <w:trPr>
          <w:cantSplit/>
          <w:trHeight w:val="20"/>
        </w:trPr>
        <w:tc>
          <w:tcPr>
            <w:tcW w:w="3227" w:type="dxa"/>
            <w:vMerge/>
            <w:shd w:val="clear" w:color="auto" w:fill="auto"/>
            <w:vAlign w:val="center"/>
            <w:hideMark/>
          </w:tcPr>
          <w:p w14:paraId="63493442"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A66B5AD"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21545E5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36</w:t>
            </w:r>
          </w:p>
        </w:tc>
        <w:tc>
          <w:tcPr>
            <w:tcW w:w="1418" w:type="dxa"/>
            <w:vAlign w:val="center"/>
          </w:tcPr>
          <w:p w14:paraId="3CB383F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86%</w:t>
            </w:r>
          </w:p>
        </w:tc>
      </w:tr>
      <w:tr w:rsidR="0037512A" w:rsidRPr="00361139" w14:paraId="5C19A875" w14:textId="77777777" w:rsidTr="008144F7">
        <w:trPr>
          <w:cantSplit/>
          <w:trHeight w:val="20"/>
        </w:trPr>
        <w:tc>
          <w:tcPr>
            <w:tcW w:w="3227" w:type="dxa"/>
            <w:vMerge w:val="restart"/>
            <w:shd w:val="clear" w:color="auto" w:fill="auto"/>
            <w:vAlign w:val="center"/>
            <w:hideMark/>
          </w:tcPr>
          <w:p w14:paraId="0058721D"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Would you like to suggest any action to improve the </w:t>
            </w:r>
            <w:r w:rsidRPr="00361139">
              <w:rPr>
                <w:rFonts w:asciiTheme="majorBidi" w:hAnsiTheme="majorBidi" w:cstheme="majorBidi"/>
                <w:b/>
                <w:sz w:val="18"/>
                <w:szCs w:val="18"/>
              </w:rPr>
              <w:t>effectiveness</w:t>
            </w:r>
            <w:r w:rsidRPr="00361139">
              <w:rPr>
                <w:rFonts w:asciiTheme="majorBidi" w:hAnsiTheme="majorBidi" w:cstheme="majorBidi"/>
                <w:sz w:val="18"/>
                <w:szCs w:val="18"/>
              </w:rPr>
              <w:t xml:space="preserve"> and the </w:t>
            </w:r>
            <w:r w:rsidRPr="00361139">
              <w:rPr>
                <w:rFonts w:asciiTheme="majorBidi" w:hAnsiTheme="majorBidi" w:cstheme="majorBidi"/>
                <w:b/>
                <w:sz w:val="18"/>
                <w:szCs w:val="18"/>
              </w:rPr>
              <w:t>efficiency</w:t>
            </w:r>
            <w:r w:rsidRPr="00361139">
              <w:rPr>
                <w:rFonts w:asciiTheme="majorBidi" w:hAnsiTheme="majorBidi" w:cstheme="majorBidi"/>
                <w:sz w:val="18"/>
                <w:szCs w:val="18"/>
              </w:rPr>
              <w:t xml:space="preserve"> of the </w:t>
            </w:r>
            <w:r w:rsidRPr="00361139">
              <w:rPr>
                <w:rFonts w:asciiTheme="majorBidi" w:hAnsiTheme="majorBidi" w:cstheme="majorBidi"/>
                <w:b/>
                <w:sz w:val="18"/>
                <w:szCs w:val="18"/>
              </w:rPr>
              <w:t>Financial Mechanism</w:t>
            </w:r>
            <w:r w:rsidRPr="00361139">
              <w:rPr>
                <w:rFonts w:asciiTheme="majorBidi" w:hAnsiTheme="majorBidi" w:cstheme="majorBidi"/>
                <w:sz w:val="18"/>
                <w:szCs w:val="18"/>
              </w:rPr>
              <w:t xml:space="preserve"> in meeting the objective of the </w:t>
            </w:r>
            <w:proofErr w:type="gramStart"/>
            <w:r w:rsidRPr="00361139">
              <w:rPr>
                <w:rFonts w:asciiTheme="majorBidi" w:hAnsiTheme="majorBidi" w:cstheme="majorBidi"/>
                <w:sz w:val="18"/>
                <w:szCs w:val="18"/>
              </w:rPr>
              <w:t>Convention?*</w:t>
            </w:r>
            <w:proofErr w:type="gramEnd"/>
          </w:p>
        </w:tc>
        <w:tc>
          <w:tcPr>
            <w:tcW w:w="3118" w:type="dxa"/>
            <w:shd w:val="clear" w:color="auto" w:fill="auto"/>
            <w:vAlign w:val="center"/>
            <w:hideMark/>
          </w:tcPr>
          <w:p w14:paraId="5C1E81B3" w14:textId="77777777" w:rsidR="0037512A" w:rsidRPr="00361139" w:rsidRDefault="0037512A" w:rsidP="008144F7">
            <w:pPr>
              <w:spacing w:before="120" w:after="120"/>
              <w:ind w:left="57" w:right="57" w:hanging="1"/>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19628E97"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42</w:t>
            </w:r>
          </w:p>
        </w:tc>
        <w:tc>
          <w:tcPr>
            <w:tcW w:w="1418" w:type="dxa"/>
            <w:vAlign w:val="center"/>
          </w:tcPr>
          <w:p w14:paraId="7505018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100%</w:t>
            </w:r>
          </w:p>
        </w:tc>
      </w:tr>
      <w:tr w:rsidR="0037512A" w:rsidRPr="00361139" w14:paraId="1CFCAA6E" w14:textId="77777777" w:rsidTr="008144F7">
        <w:trPr>
          <w:cantSplit/>
          <w:trHeight w:val="20"/>
        </w:trPr>
        <w:tc>
          <w:tcPr>
            <w:tcW w:w="3227" w:type="dxa"/>
            <w:vMerge/>
            <w:shd w:val="clear" w:color="auto" w:fill="auto"/>
            <w:vAlign w:val="center"/>
            <w:hideMark/>
          </w:tcPr>
          <w:p w14:paraId="5F6084B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4D0561F"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 xml:space="preserve">Yes </w:t>
            </w:r>
            <w:r w:rsidRPr="00361139">
              <w:rPr>
                <w:rFonts w:asciiTheme="majorBidi" w:hAnsiTheme="majorBidi" w:cstheme="majorBidi"/>
                <w:i/>
                <w:sz w:val="18"/>
                <w:szCs w:val="18"/>
              </w:rPr>
              <w:t>(please specify)</w:t>
            </w:r>
          </w:p>
        </w:tc>
        <w:tc>
          <w:tcPr>
            <w:tcW w:w="1417" w:type="dxa"/>
            <w:shd w:val="clear" w:color="auto" w:fill="auto"/>
            <w:vAlign w:val="center"/>
          </w:tcPr>
          <w:p w14:paraId="17849D7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9</w:t>
            </w:r>
          </w:p>
        </w:tc>
        <w:tc>
          <w:tcPr>
            <w:tcW w:w="1418" w:type="dxa"/>
            <w:vAlign w:val="center"/>
          </w:tcPr>
          <w:p w14:paraId="559A56B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21%</w:t>
            </w:r>
          </w:p>
        </w:tc>
      </w:tr>
      <w:tr w:rsidR="0037512A" w:rsidRPr="00361139" w14:paraId="3957A8FD" w14:textId="77777777" w:rsidTr="008144F7">
        <w:trPr>
          <w:cantSplit/>
          <w:trHeight w:val="20"/>
        </w:trPr>
        <w:tc>
          <w:tcPr>
            <w:tcW w:w="3227" w:type="dxa"/>
            <w:vMerge/>
            <w:shd w:val="clear" w:color="auto" w:fill="auto"/>
            <w:vAlign w:val="center"/>
            <w:hideMark/>
          </w:tcPr>
          <w:p w14:paraId="2423078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EE52135" w14:textId="77777777" w:rsidR="0037512A" w:rsidRPr="00361139" w:rsidRDefault="0037512A" w:rsidP="008144F7">
            <w:pPr>
              <w:spacing w:before="120" w:after="120"/>
              <w:ind w:left="318" w:right="57" w:hanging="1"/>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6737D38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w:t>
            </w:r>
          </w:p>
        </w:tc>
        <w:tc>
          <w:tcPr>
            <w:tcW w:w="1418" w:type="dxa"/>
            <w:vAlign w:val="center"/>
          </w:tcPr>
          <w:p w14:paraId="63BBDE9A"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79%</w:t>
            </w:r>
          </w:p>
        </w:tc>
      </w:tr>
      <w:tr w:rsidR="0037512A" w:rsidRPr="00361139" w14:paraId="1B8109C0" w14:textId="77777777" w:rsidTr="008144F7">
        <w:trPr>
          <w:cantSplit/>
          <w:trHeight w:val="20"/>
        </w:trPr>
        <w:tc>
          <w:tcPr>
            <w:tcW w:w="9180" w:type="dxa"/>
            <w:gridSpan w:val="4"/>
            <w:shd w:val="clear" w:color="auto" w:fill="auto"/>
            <w:vAlign w:val="center"/>
            <w:hideMark/>
          </w:tcPr>
          <w:p w14:paraId="72FAD317"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i/>
                <w:iCs/>
                <w:sz w:val="18"/>
                <w:szCs w:val="18"/>
              </w:rPr>
              <w:t>According to the Terms of reference for the second review of the financial mechanism (as detailed in the Annex to decision MC-4/7), the review will include an analysis of many different elements which have been included in the next question.</w:t>
            </w:r>
          </w:p>
        </w:tc>
      </w:tr>
      <w:tr w:rsidR="0037512A" w:rsidRPr="00361139" w14:paraId="096356B3" w14:textId="77777777" w:rsidTr="008144F7">
        <w:trPr>
          <w:cantSplit/>
          <w:trHeight w:val="20"/>
        </w:trPr>
        <w:tc>
          <w:tcPr>
            <w:tcW w:w="3227" w:type="dxa"/>
            <w:vMerge w:val="restart"/>
            <w:shd w:val="clear" w:color="auto" w:fill="auto"/>
            <w:vAlign w:val="center"/>
            <w:hideMark/>
          </w:tcPr>
          <w:p w14:paraId="405FCFE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Overall, on a scale from 0 (min) to 5 (max), how would you rate the following elements during the </w:t>
            </w:r>
            <w:proofErr w:type="gramStart"/>
            <w:r w:rsidRPr="00361139">
              <w:rPr>
                <w:rFonts w:asciiTheme="majorBidi" w:hAnsiTheme="majorBidi" w:cstheme="majorBidi"/>
                <w:sz w:val="18"/>
                <w:szCs w:val="18"/>
              </w:rPr>
              <w:t>time period</w:t>
            </w:r>
            <w:proofErr w:type="gramEnd"/>
            <w:r w:rsidRPr="00361139">
              <w:rPr>
                <w:rFonts w:asciiTheme="majorBidi" w:hAnsiTheme="majorBidi" w:cstheme="majorBidi"/>
                <w:sz w:val="18"/>
                <w:szCs w:val="18"/>
              </w:rPr>
              <w:t xml:space="preserve"> covered by the 2nd Review of the Financial Mechanism (August 2019 to July 2022)?</w:t>
            </w:r>
          </w:p>
          <w:p w14:paraId="36B7EA39" w14:textId="77777777" w:rsidR="0037512A" w:rsidRPr="00361139" w:rsidRDefault="0037512A" w:rsidP="008144F7">
            <w:pPr>
              <w:pStyle w:val="ListParagraph"/>
              <w:tabs>
                <w:tab w:val="left" w:pos="567"/>
              </w:tabs>
              <w:spacing w:before="120" w:after="120"/>
              <w:ind w:left="57" w:right="57"/>
              <w:contextualSpacing w:val="0"/>
              <w:rPr>
                <w:rFonts w:asciiTheme="majorBidi" w:hAnsiTheme="majorBidi" w:cstheme="majorBidi"/>
                <w:sz w:val="18"/>
                <w:szCs w:val="18"/>
              </w:rPr>
            </w:pPr>
            <w:r w:rsidRPr="00361139">
              <w:rPr>
                <w:rFonts w:asciiTheme="majorBidi" w:hAnsiTheme="majorBidi" w:cstheme="majorBidi"/>
                <w:i/>
                <w:sz w:val="18"/>
                <w:szCs w:val="18"/>
              </w:rPr>
              <w:t>(</w:t>
            </w:r>
            <w:r w:rsidRPr="00361139">
              <w:rPr>
                <w:rFonts w:asciiTheme="majorBidi" w:hAnsiTheme="majorBidi" w:cstheme="majorBidi"/>
                <w:i/>
                <w:iCs/>
                <w:sz w:val="18"/>
                <w:szCs w:val="18"/>
              </w:rPr>
              <w:t xml:space="preserve">The answer(s) to this question are optional, please feel </w:t>
            </w:r>
            <w:r w:rsidRPr="00361139">
              <w:rPr>
                <w:rFonts w:asciiTheme="majorBidi" w:hAnsiTheme="majorBidi" w:cstheme="majorBidi"/>
                <w:i/>
                <w:sz w:val="18"/>
                <w:szCs w:val="18"/>
              </w:rPr>
              <w:t>to skip questions that you do not have experience with)</w:t>
            </w:r>
          </w:p>
        </w:tc>
        <w:tc>
          <w:tcPr>
            <w:tcW w:w="3118" w:type="dxa"/>
            <w:shd w:val="clear" w:color="auto" w:fill="auto"/>
            <w:vAlign w:val="center"/>
            <w:hideMark/>
          </w:tcPr>
          <w:p w14:paraId="48A1589C"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0D1329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36</w:t>
            </w:r>
          </w:p>
        </w:tc>
        <w:tc>
          <w:tcPr>
            <w:tcW w:w="1418" w:type="dxa"/>
            <w:vAlign w:val="center"/>
          </w:tcPr>
          <w:p w14:paraId="248E7D22"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79A5AEFA" w14:textId="77777777" w:rsidTr="008144F7">
        <w:trPr>
          <w:cantSplit/>
          <w:trHeight w:val="20"/>
        </w:trPr>
        <w:tc>
          <w:tcPr>
            <w:tcW w:w="3227" w:type="dxa"/>
            <w:vMerge/>
            <w:shd w:val="clear" w:color="auto" w:fill="auto"/>
            <w:vAlign w:val="center"/>
            <w:hideMark/>
          </w:tcPr>
          <w:p w14:paraId="4301C03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53881E8"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efficiency</w:t>
            </w:r>
            <w:r w:rsidRPr="00361139">
              <w:rPr>
                <w:rFonts w:asciiTheme="majorBidi" w:hAnsiTheme="majorBidi" w:cstheme="majorBidi"/>
                <w:sz w:val="18"/>
                <w:szCs w:val="18"/>
              </w:rPr>
              <w:t xml:space="preserve"> of the GEF and the SIP in their capacity as the entities entrusted with the operation of the financial mechanism;</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3DC7F6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3.48/5</w:t>
            </w:r>
          </w:p>
        </w:tc>
        <w:tc>
          <w:tcPr>
            <w:tcW w:w="1418" w:type="dxa"/>
            <w:vAlign w:val="center"/>
          </w:tcPr>
          <w:p w14:paraId="4D0FFE9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70%</w:t>
            </w:r>
          </w:p>
        </w:tc>
      </w:tr>
      <w:tr w:rsidR="0037512A" w:rsidRPr="00361139" w14:paraId="054EA8C6" w14:textId="77777777" w:rsidTr="008144F7">
        <w:trPr>
          <w:cantSplit/>
          <w:trHeight w:val="20"/>
        </w:trPr>
        <w:tc>
          <w:tcPr>
            <w:tcW w:w="3227" w:type="dxa"/>
            <w:vMerge/>
            <w:shd w:val="clear" w:color="auto" w:fill="auto"/>
            <w:vAlign w:val="center"/>
            <w:hideMark/>
          </w:tcPr>
          <w:p w14:paraId="6436B6C3"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20E401E"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17BE7A3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016470F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5FCC6F68" w14:textId="77777777" w:rsidTr="008144F7">
        <w:trPr>
          <w:cantSplit/>
          <w:trHeight w:val="20"/>
        </w:trPr>
        <w:tc>
          <w:tcPr>
            <w:tcW w:w="3227" w:type="dxa"/>
            <w:vMerge/>
            <w:shd w:val="clear" w:color="auto" w:fill="auto"/>
            <w:vAlign w:val="center"/>
            <w:hideMark/>
          </w:tcPr>
          <w:p w14:paraId="35AD5CC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6CCB050"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effectiveness</w:t>
            </w:r>
            <w:r w:rsidRPr="00361139">
              <w:rPr>
                <w:rFonts w:asciiTheme="majorBidi" w:hAnsiTheme="majorBidi" w:cstheme="majorBidi"/>
                <w:sz w:val="18"/>
                <w:szCs w:val="18"/>
              </w:rPr>
              <w:t xml:space="preserve"> of the GEF and the SIP in their capacity as the entities entrusted with the operation of the financial mechanism;</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0594D73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3.38/5</w:t>
            </w:r>
          </w:p>
        </w:tc>
        <w:tc>
          <w:tcPr>
            <w:tcW w:w="1418" w:type="dxa"/>
            <w:vAlign w:val="center"/>
          </w:tcPr>
          <w:p w14:paraId="3A12016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68%</w:t>
            </w:r>
          </w:p>
        </w:tc>
      </w:tr>
      <w:tr w:rsidR="0037512A" w:rsidRPr="00361139" w14:paraId="165F0898" w14:textId="77777777" w:rsidTr="008144F7">
        <w:trPr>
          <w:cantSplit/>
          <w:trHeight w:val="20"/>
        </w:trPr>
        <w:tc>
          <w:tcPr>
            <w:tcW w:w="3227" w:type="dxa"/>
            <w:vMerge/>
            <w:shd w:val="clear" w:color="auto" w:fill="auto"/>
            <w:vAlign w:val="center"/>
            <w:hideMark/>
          </w:tcPr>
          <w:p w14:paraId="40DAE25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82908BB"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940B67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52A4C67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37C4815C" w14:textId="77777777" w:rsidTr="008144F7">
        <w:trPr>
          <w:cantSplit/>
          <w:trHeight w:val="20"/>
        </w:trPr>
        <w:tc>
          <w:tcPr>
            <w:tcW w:w="3227" w:type="dxa"/>
            <w:vMerge/>
            <w:shd w:val="clear" w:color="auto" w:fill="auto"/>
            <w:vAlign w:val="center"/>
            <w:hideMark/>
          </w:tcPr>
          <w:p w14:paraId="56D973A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F35BB1B"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accessibility</w:t>
            </w:r>
            <w:r w:rsidRPr="00361139">
              <w:rPr>
                <w:rFonts w:asciiTheme="majorBidi" w:hAnsiTheme="majorBidi" w:cstheme="majorBidi"/>
                <w:sz w:val="18"/>
                <w:szCs w:val="18"/>
              </w:rPr>
              <w:t xml:space="preserve"> of the funding provided by the financial mechanism for the achievement of the objective of the Convention;</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7B57EFE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3.00/5</w:t>
            </w:r>
          </w:p>
        </w:tc>
        <w:tc>
          <w:tcPr>
            <w:tcW w:w="1418" w:type="dxa"/>
            <w:vAlign w:val="center"/>
          </w:tcPr>
          <w:p w14:paraId="779C06F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60%</w:t>
            </w:r>
          </w:p>
        </w:tc>
      </w:tr>
      <w:tr w:rsidR="0037512A" w:rsidRPr="00361139" w14:paraId="002C7356" w14:textId="77777777" w:rsidTr="008144F7">
        <w:trPr>
          <w:cantSplit/>
          <w:trHeight w:val="20"/>
        </w:trPr>
        <w:tc>
          <w:tcPr>
            <w:tcW w:w="3227" w:type="dxa"/>
            <w:vMerge/>
            <w:shd w:val="clear" w:color="auto" w:fill="auto"/>
            <w:vAlign w:val="center"/>
            <w:hideMark/>
          </w:tcPr>
          <w:p w14:paraId="08A3667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F9F887F"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26446E1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2A404F3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1AC63C02" w14:textId="77777777" w:rsidTr="008144F7">
        <w:trPr>
          <w:cantSplit/>
          <w:trHeight w:val="20"/>
        </w:trPr>
        <w:tc>
          <w:tcPr>
            <w:tcW w:w="3227" w:type="dxa"/>
            <w:vMerge/>
            <w:shd w:val="clear" w:color="auto" w:fill="auto"/>
            <w:vAlign w:val="center"/>
            <w:hideMark/>
          </w:tcPr>
          <w:p w14:paraId="4451691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23A19DD"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simplicity, flexibility</w:t>
            </w:r>
            <w:r w:rsidRPr="00361139">
              <w:rPr>
                <w:rFonts w:asciiTheme="majorBidi" w:hAnsiTheme="majorBidi" w:cstheme="majorBidi"/>
                <w:sz w:val="18"/>
                <w:szCs w:val="18"/>
              </w:rPr>
              <w:t xml:space="preserve"> and</w:t>
            </w:r>
            <w:r w:rsidRPr="00361139">
              <w:rPr>
                <w:rFonts w:asciiTheme="majorBidi" w:hAnsiTheme="majorBidi" w:cstheme="majorBidi"/>
                <w:b/>
                <w:sz w:val="18"/>
                <w:szCs w:val="18"/>
              </w:rPr>
              <w:t xml:space="preserve"> expeditiousness</w:t>
            </w:r>
            <w:r w:rsidRPr="00361139">
              <w:rPr>
                <w:rFonts w:asciiTheme="majorBidi" w:hAnsiTheme="majorBidi" w:cstheme="majorBidi"/>
                <w:sz w:val="18"/>
                <w:szCs w:val="18"/>
              </w:rPr>
              <w:t xml:space="preserve"> of the procedures for accessing funds and for implementing and reporting on projects;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09FEE81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3.00/5</w:t>
            </w:r>
          </w:p>
        </w:tc>
        <w:tc>
          <w:tcPr>
            <w:tcW w:w="1418" w:type="dxa"/>
            <w:vAlign w:val="center"/>
          </w:tcPr>
          <w:p w14:paraId="131B563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60%</w:t>
            </w:r>
          </w:p>
        </w:tc>
      </w:tr>
      <w:tr w:rsidR="0037512A" w:rsidRPr="00361139" w14:paraId="7A364BCC" w14:textId="77777777" w:rsidTr="008144F7">
        <w:trPr>
          <w:cantSplit/>
          <w:trHeight w:val="20"/>
        </w:trPr>
        <w:tc>
          <w:tcPr>
            <w:tcW w:w="3227" w:type="dxa"/>
            <w:vMerge/>
            <w:shd w:val="clear" w:color="auto" w:fill="auto"/>
            <w:vAlign w:val="center"/>
            <w:hideMark/>
          </w:tcPr>
          <w:p w14:paraId="41F8D562"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21ED8B9"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46CF15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4 comments</w:t>
            </w:r>
          </w:p>
        </w:tc>
        <w:tc>
          <w:tcPr>
            <w:tcW w:w="1418" w:type="dxa"/>
            <w:vAlign w:val="center"/>
          </w:tcPr>
          <w:p w14:paraId="1273A96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3FF214C9" w14:textId="77777777" w:rsidTr="008144F7">
        <w:trPr>
          <w:cantSplit/>
          <w:trHeight w:val="20"/>
        </w:trPr>
        <w:tc>
          <w:tcPr>
            <w:tcW w:w="3227" w:type="dxa"/>
            <w:vMerge/>
            <w:shd w:val="clear" w:color="auto" w:fill="auto"/>
            <w:vAlign w:val="center"/>
            <w:hideMark/>
          </w:tcPr>
          <w:p w14:paraId="1006D596"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13C945C"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adequacy</w:t>
            </w:r>
            <w:r w:rsidRPr="00361139">
              <w:rPr>
                <w:rFonts w:asciiTheme="majorBidi" w:hAnsiTheme="majorBidi" w:cstheme="majorBidi"/>
                <w:sz w:val="18"/>
                <w:szCs w:val="18"/>
              </w:rPr>
              <w:t xml:space="preserve"> of the available resources;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3C14887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2.91/5</w:t>
            </w:r>
          </w:p>
        </w:tc>
        <w:tc>
          <w:tcPr>
            <w:tcW w:w="1418" w:type="dxa"/>
            <w:vAlign w:val="center"/>
          </w:tcPr>
          <w:p w14:paraId="7AC3ADDE"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58%</w:t>
            </w:r>
          </w:p>
        </w:tc>
      </w:tr>
      <w:tr w:rsidR="0037512A" w:rsidRPr="00361139" w14:paraId="5785BEE2" w14:textId="77777777" w:rsidTr="008144F7">
        <w:trPr>
          <w:cantSplit/>
          <w:trHeight w:val="20"/>
        </w:trPr>
        <w:tc>
          <w:tcPr>
            <w:tcW w:w="3227" w:type="dxa"/>
            <w:vMerge/>
            <w:shd w:val="clear" w:color="auto" w:fill="auto"/>
            <w:vAlign w:val="center"/>
            <w:hideMark/>
          </w:tcPr>
          <w:p w14:paraId="451435AA"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35BA203"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5D630C1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3BD4386F"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3929FE76" w14:textId="77777777" w:rsidTr="008144F7">
        <w:trPr>
          <w:cantSplit/>
          <w:trHeight w:val="20"/>
        </w:trPr>
        <w:tc>
          <w:tcPr>
            <w:tcW w:w="3227" w:type="dxa"/>
            <w:vMerge/>
            <w:shd w:val="clear" w:color="auto" w:fill="auto"/>
            <w:vAlign w:val="center"/>
            <w:hideMark/>
          </w:tcPr>
          <w:p w14:paraId="40F8C5A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2C3AAE7"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ability</w:t>
            </w:r>
            <w:r w:rsidRPr="00361139">
              <w:rPr>
                <w:rFonts w:asciiTheme="majorBidi" w:hAnsiTheme="majorBidi" w:cstheme="majorBidi"/>
                <w:sz w:val="18"/>
                <w:szCs w:val="18"/>
              </w:rPr>
              <w:t xml:space="preserve"> of the financial mechanism </w:t>
            </w:r>
            <w:r w:rsidRPr="00361139">
              <w:rPr>
                <w:rFonts w:asciiTheme="majorBidi" w:hAnsiTheme="majorBidi" w:cstheme="majorBidi"/>
                <w:i/>
                <w:sz w:val="18"/>
                <w:szCs w:val="18"/>
              </w:rPr>
              <w:t>to mobilize resources</w:t>
            </w:r>
            <w:r w:rsidRPr="00361139">
              <w:rPr>
                <w:rFonts w:asciiTheme="majorBidi" w:hAnsiTheme="majorBidi" w:cstheme="majorBidi"/>
                <w:sz w:val="18"/>
                <w:szCs w:val="18"/>
              </w:rPr>
              <w:t xml:space="preserve"> from all sources;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478036D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2.94/5</w:t>
            </w:r>
          </w:p>
        </w:tc>
        <w:tc>
          <w:tcPr>
            <w:tcW w:w="1418" w:type="dxa"/>
            <w:vAlign w:val="center"/>
          </w:tcPr>
          <w:p w14:paraId="1CC47E3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59%</w:t>
            </w:r>
          </w:p>
        </w:tc>
      </w:tr>
      <w:tr w:rsidR="0037512A" w:rsidRPr="00361139" w14:paraId="4CE47052" w14:textId="77777777" w:rsidTr="008144F7">
        <w:trPr>
          <w:cantSplit/>
          <w:trHeight w:val="20"/>
        </w:trPr>
        <w:tc>
          <w:tcPr>
            <w:tcW w:w="3227" w:type="dxa"/>
            <w:vMerge/>
            <w:shd w:val="clear" w:color="auto" w:fill="auto"/>
            <w:vAlign w:val="center"/>
            <w:hideMark/>
          </w:tcPr>
          <w:p w14:paraId="1B13B47C"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DFFB4B0"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5C3B44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2FE7062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47D1968D" w14:textId="77777777" w:rsidTr="008144F7">
        <w:trPr>
          <w:cantSplit/>
          <w:trHeight w:val="20"/>
        </w:trPr>
        <w:tc>
          <w:tcPr>
            <w:tcW w:w="3227" w:type="dxa"/>
            <w:vMerge/>
            <w:shd w:val="clear" w:color="auto" w:fill="auto"/>
            <w:vAlign w:val="center"/>
            <w:hideMark/>
          </w:tcPr>
          <w:p w14:paraId="72B5C55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25F91DD"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guidance</w:t>
            </w:r>
            <w:r w:rsidRPr="00361139">
              <w:rPr>
                <w:rFonts w:asciiTheme="majorBidi" w:hAnsiTheme="majorBidi" w:cstheme="majorBidi"/>
                <w:sz w:val="18"/>
                <w:szCs w:val="18"/>
              </w:rPr>
              <w:t xml:space="preserve"> provided by the COP to the GEF and to the SIP to support Capacity-Building and Technical Assistance;</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676B923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3.39/5</w:t>
            </w:r>
          </w:p>
        </w:tc>
        <w:tc>
          <w:tcPr>
            <w:tcW w:w="1418" w:type="dxa"/>
            <w:vAlign w:val="center"/>
          </w:tcPr>
          <w:p w14:paraId="24D62EE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68%</w:t>
            </w:r>
          </w:p>
        </w:tc>
      </w:tr>
      <w:tr w:rsidR="0037512A" w:rsidRPr="00361139" w14:paraId="5A4B6068" w14:textId="77777777" w:rsidTr="008144F7">
        <w:trPr>
          <w:cantSplit/>
          <w:trHeight w:val="20"/>
        </w:trPr>
        <w:tc>
          <w:tcPr>
            <w:tcW w:w="3227" w:type="dxa"/>
            <w:vMerge/>
            <w:shd w:val="clear" w:color="auto" w:fill="auto"/>
            <w:vAlign w:val="center"/>
            <w:hideMark/>
          </w:tcPr>
          <w:p w14:paraId="4E89822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0C51FCD7"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05D773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5CB30172"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29B39704" w14:textId="77777777" w:rsidTr="008144F7">
        <w:trPr>
          <w:cantSplit/>
          <w:trHeight w:val="20"/>
        </w:trPr>
        <w:tc>
          <w:tcPr>
            <w:tcW w:w="3227" w:type="dxa"/>
            <w:vMerge/>
            <w:shd w:val="clear" w:color="auto" w:fill="auto"/>
            <w:vAlign w:val="center"/>
            <w:hideMark/>
          </w:tcPr>
          <w:p w14:paraId="18BE6880"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5BBBAD7F"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responsiveness</w:t>
            </w:r>
            <w:r w:rsidRPr="00361139">
              <w:rPr>
                <w:rFonts w:asciiTheme="majorBidi" w:hAnsiTheme="majorBidi" w:cstheme="majorBidi"/>
                <w:sz w:val="18"/>
                <w:szCs w:val="18"/>
              </w:rPr>
              <w:t xml:space="preserve"> of the GEF and the SIP to the guidance provided by the COP;</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49FBC76A"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3.26/5</w:t>
            </w:r>
          </w:p>
        </w:tc>
        <w:tc>
          <w:tcPr>
            <w:tcW w:w="1418" w:type="dxa"/>
            <w:vAlign w:val="center"/>
          </w:tcPr>
          <w:p w14:paraId="5B1E050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65%</w:t>
            </w:r>
          </w:p>
        </w:tc>
      </w:tr>
      <w:tr w:rsidR="0037512A" w:rsidRPr="00361139" w14:paraId="4D73CB26" w14:textId="77777777" w:rsidTr="008144F7">
        <w:trPr>
          <w:cantSplit/>
          <w:trHeight w:val="20"/>
        </w:trPr>
        <w:tc>
          <w:tcPr>
            <w:tcW w:w="3227" w:type="dxa"/>
            <w:vMerge/>
            <w:shd w:val="clear" w:color="auto" w:fill="auto"/>
            <w:vAlign w:val="center"/>
            <w:hideMark/>
          </w:tcPr>
          <w:p w14:paraId="69B5342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9E320D"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AF308E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18AA044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57F83540" w14:textId="77777777" w:rsidTr="008144F7">
        <w:trPr>
          <w:cantSplit/>
          <w:trHeight w:val="20"/>
        </w:trPr>
        <w:tc>
          <w:tcPr>
            <w:tcW w:w="3227" w:type="dxa"/>
            <w:vMerge/>
            <w:shd w:val="clear" w:color="auto" w:fill="auto"/>
            <w:vAlign w:val="center"/>
            <w:hideMark/>
          </w:tcPr>
          <w:p w14:paraId="6E454E1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3D1A7A9"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ability</w:t>
            </w:r>
            <w:r w:rsidRPr="00361139">
              <w:rPr>
                <w:rFonts w:asciiTheme="majorBidi" w:hAnsiTheme="majorBidi" w:cstheme="majorBidi"/>
                <w:sz w:val="18"/>
                <w:szCs w:val="18"/>
              </w:rPr>
              <w:t xml:space="preserve"> of the two entities of the financial mechanism (GEF and SIP) </w:t>
            </w:r>
            <w:r w:rsidRPr="00361139">
              <w:rPr>
                <w:rFonts w:asciiTheme="majorBidi" w:hAnsiTheme="majorBidi" w:cstheme="majorBidi"/>
                <w:b/>
                <w:sz w:val="18"/>
                <w:szCs w:val="18"/>
              </w:rPr>
              <w:t>to address the changing needs</w:t>
            </w:r>
            <w:r w:rsidRPr="00361139">
              <w:rPr>
                <w:rFonts w:asciiTheme="majorBidi" w:hAnsiTheme="majorBidi" w:cstheme="majorBidi"/>
                <w:sz w:val="18"/>
                <w:szCs w:val="18"/>
              </w:rPr>
              <w:t xml:space="preserve"> of developing country Parties and Parties with economies in transition;</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4D1A006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3.23/5</w:t>
            </w:r>
          </w:p>
        </w:tc>
        <w:tc>
          <w:tcPr>
            <w:tcW w:w="1418" w:type="dxa"/>
            <w:vAlign w:val="center"/>
          </w:tcPr>
          <w:p w14:paraId="798E023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65%</w:t>
            </w:r>
          </w:p>
        </w:tc>
      </w:tr>
      <w:tr w:rsidR="0037512A" w:rsidRPr="00361139" w14:paraId="11F1EC02" w14:textId="77777777" w:rsidTr="008144F7">
        <w:trPr>
          <w:cantSplit/>
          <w:trHeight w:val="20"/>
        </w:trPr>
        <w:tc>
          <w:tcPr>
            <w:tcW w:w="3227" w:type="dxa"/>
            <w:vMerge/>
            <w:shd w:val="clear" w:color="auto" w:fill="auto"/>
            <w:vAlign w:val="center"/>
            <w:hideMark/>
          </w:tcPr>
          <w:p w14:paraId="681FAB7E"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202F969"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6726F58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5CA71C34"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5B04A812" w14:textId="77777777" w:rsidTr="008144F7">
        <w:trPr>
          <w:cantSplit/>
          <w:trHeight w:val="20"/>
        </w:trPr>
        <w:tc>
          <w:tcPr>
            <w:tcW w:w="3227" w:type="dxa"/>
            <w:vMerge/>
            <w:shd w:val="clear" w:color="auto" w:fill="auto"/>
            <w:vAlign w:val="center"/>
            <w:hideMark/>
          </w:tcPr>
          <w:p w14:paraId="08F7B88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26F0EE7"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 xml:space="preserve">extent to which the projects </w:t>
            </w:r>
            <w:r w:rsidRPr="00361139">
              <w:rPr>
                <w:rFonts w:asciiTheme="majorBidi" w:hAnsiTheme="majorBidi" w:cstheme="majorBidi"/>
                <w:sz w:val="18"/>
                <w:szCs w:val="18"/>
              </w:rPr>
              <w:t xml:space="preserve">funded by the financial mechanism </w:t>
            </w:r>
            <w:r w:rsidRPr="00361139">
              <w:rPr>
                <w:rFonts w:asciiTheme="majorBidi" w:hAnsiTheme="majorBidi" w:cstheme="majorBidi"/>
                <w:b/>
                <w:sz w:val="18"/>
                <w:szCs w:val="18"/>
              </w:rPr>
              <w:t>have reduced,</w:t>
            </w:r>
            <w:r w:rsidRPr="00361139">
              <w:rPr>
                <w:rFonts w:asciiTheme="majorBidi" w:hAnsiTheme="majorBidi" w:cstheme="majorBidi"/>
                <w:sz w:val="18"/>
                <w:szCs w:val="18"/>
              </w:rPr>
              <w:t xml:space="preserve"> or are expected to reduce</w:t>
            </w:r>
            <w:r w:rsidRPr="00361139">
              <w:rPr>
                <w:rFonts w:asciiTheme="majorBidi" w:hAnsiTheme="majorBidi" w:cstheme="majorBidi"/>
                <w:i/>
                <w:sz w:val="18"/>
                <w:szCs w:val="18"/>
              </w:rPr>
              <w:t xml:space="preserve">, </w:t>
            </w:r>
            <w:r w:rsidRPr="00361139">
              <w:rPr>
                <w:rFonts w:asciiTheme="majorBidi" w:hAnsiTheme="majorBidi" w:cstheme="majorBidi"/>
                <w:b/>
                <w:sz w:val="18"/>
                <w:szCs w:val="18"/>
              </w:rPr>
              <w:t>the supply, use, emissions and releases of mercury</w:t>
            </w:r>
            <w:r w:rsidRPr="00361139">
              <w:rPr>
                <w:rFonts w:asciiTheme="majorBidi" w:hAnsiTheme="majorBidi" w:cstheme="majorBidi"/>
                <w:i/>
                <w:sz w:val="18"/>
                <w:szCs w:val="18"/>
              </w:rPr>
              <w:t>,</w:t>
            </w:r>
            <w:r w:rsidRPr="00361139">
              <w:rPr>
                <w:rFonts w:asciiTheme="majorBidi" w:hAnsiTheme="majorBidi" w:cstheme="majorBidi"/>
                <w:sz w:val="18"/>
                <w:szCs w:val="18"/>
              </w:rPr>
              <w:t xml:space="preserve"> and deliver other benefits in terms of Convention implementation;</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199B7110"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3.03/5</w:t>
            </w:r>
          </w:p>
        </w:tc>
        <w:tc>
          <w:tcPr>
            <w:tcW w:w="1418" w:type="dxa"/>
            <w:vAlign w:val="center"/>
          </w:tcPr>
          <w:p w14:paraId="7B4D2EA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61%</w:t>
            </w:r>
          </w:p>
        </w:tc>
      </w:tr>
      <w:tr w:rsidR="0037512A" w:rsidRPr="00361139" w14:paraId="28428575" w14:textId="77777777" w:rsidTr="008144F7">
        <w:trPr>
          <w:cantSplit/>
          <w:trHeight w:val="20"/>
        </w:trPr>
        <w:tc>
          <w:tcPr>
            <w:tcW w:w="3227" w:type="dxa"/>
            <w:vMerge/>
            <w:shd w:val="clear" w:color="auto" w:fill="auto"/>
            <w:vAlign w:val="center"/>
            <w:hideMark/>
          </w:tcPr>
          <w:p w14:paraId="5CB092E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7CFFA17E"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5E36438"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2F88A584"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 </w:t>
            </w:r>
          </w:p>
        </w:tc>
      </w:tr>
      <w:tr w:rsidR="0037512A" w:rsidRPr="00361139" w14:paraId="00AA6999" w14:textId="77777777" w:rsidTr="008144F7">
        <w:trPr>
          <w:cantSplit/>
          <w:trHeight w:val="20"/>
        </w:trPr>
        <w:tc>
          <w:tcPr>
            <w:tcW w:w="3227" w:type="dxa"/>
            <w:vMerge/>
            <w:shd w:val="clear" w:color="auto" w:fill="auto"/>
            <w:vAlign w:val="center"/>
            <w:hideMark/>
          </w:tcPr>
          <w:p w14:paraId="1B069E71"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F90CB8" w14:textId="77777777" w:rsidR="0037512A" w:rsidRPr="00361139" w:rsidRDefault="0037512A" w:rsidP="008144F7">
            <w:pPr>
              <w:tabs>
                <w:tab w:val="left" w:pos="1134"/>
              </w:tabs>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The</w:t>
            </w:r>
            <w:r w:rsidRPr="00361139">
              <w:rPr>
                <w:rFonts w:asciiTheme="majorBidi" w:hAnsiTheme="majorBidi" w:cstheme="majorBidi"/>
                <w:b/>
                <w:sz w:val="18"/>
                <w:szCs w:val="18"/>
              </w:rPr>
              <w:t xml:space="preserve"> transparency</w:t>
            </w:r>
            <w:r w:rsidRPr="00361139">
              <w:rPr>
                <w:rFonts w:asciiTheme="majorBidi" w:hAnsiTheme="majorBidi" w:cstheme="majorBidi"/>
                <w:sz w:val="18"/>
                <w:szCs w:val="18"/>
              </w:rPr>
              <w:t xml:space="preserve"> of the funding provided by the financial mechanism for the achievement of the objective of the Convention;</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869ED7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3.34/5</w:t>
            </w:r>
          </w:p>
        </w:tc>
        <w:tc>
          <w:tcPr>
            <w:tcW w:w="1418" w:type="dxa"/>
            <w:vAlign w:val="center"/>
          </w:tcPr>
          <w:p w14:paraId="72C813BF"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67%</w:t>
            </w:r>
          </w:p>
        </w:tc>
      </w:tr>
      <w:tr w:rsidR="0037512A" w:rsidRPr="00361139" w14:paraId="34563C29" w14:textId="77777777" w:rsidTr="008144F7">
        <w:trPr>
          <w:cantSplit/>
          <w:trHeight w:val="20"/>
        </w:trPr>
        <w:tc>
          <w:tcPr>
            <w:tcW w:w="3227" w:type="dxa"/>
            <w:vMerge/>
            <w:shd w:val="clear" w:color="auto" w:fill="auto"/>
            <w:vAlign w:val="center"/>
            <w:hideMark/>
          </w:tcPr>
          <w:p w14:paraId="24A1B29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A4CA0BF"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18BFA195"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0AA6995D"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 </w:t>
            </w:r>
          </w:p>
        </w:tc>
      </w:tr>
      <w:tr w:rsidR="0037512A" w:rsidRPr="00361139" w14:paraId="06154010" w14:textId="77777777" w:rsidTr="008144F7">
        <w:trPr>
          <w:cantSplit/>
          <w:trHeight w:val="20"/>
        </w:trPr>
        <w:tc>
          <w:tcPr>
            <w:tcW w:w="3227" w:type="dxa"/>
            <w:vMerge/>
            <w:shd w:val="clear" w:color="auto" w:fill="auto"/>
            <w:vAlign w:val="center"/>
            <w:hideMark/>
          </w:tcPr>
          <w:p w14:paraId="6B4EAD49"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45AB2CB"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timeliness</w:t>
            </w:r>
            <w:r w:rsidRPr="00361139">
              <w:rPr>
                <w:rFonts w:asciiTheme="majorBidi" w:hAnsiTheme="majorBidi" w:cstheme="majorBidi"/>
                <w:sz w:val="18"/>
                <w:szCs w:val="18"/>
              </w:rPr>
              <w:t xml:space="preserve"> of the project approval processes;</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6689F78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3.07/5</w:t>
            </w:r>
          </w:p>
        </w:tc>
        <w:tc>
          <w:tcPr>
            <w:tcW w:w="1418" w:type="dxa"/>
            <w:vAlign w:val="center"/>
          </w:tcPr>
          <w:p w14:paraId="55E9D174"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61%</w:t>
            </w:r>
          </w:p>
        </w:tc>
      </w:tr>
      <w:tr w:rsidR="0037512A" w:rsidRPr="00361139" w14:paraId="27F42274" w14:textId="77777777" w:rsidTr="008144F7">
        <w:trPr>
          <w:cantSplit/>
          <w:trHeight w:val="20"/>
        </w:trPr>
        <w:tc>
          <w:tcPr>
            <w:tcW w:w="3227" w:type="dxa"/>
            <w:vMerge/>
            <w:shd w:val="clear" w:color="auto" w:fill="auto"/>
            <w:vAlign w:val="center"/>
            <w:hideMark/>
          </w:tcPr>
          <w:p w14:paraId="78474F05"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2AF6F45"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F4C9F0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397DBE23"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 </w:t>
            </w:r>
          </w:p>
        </w:tc>
      </w:tr>
      <w:tr w:rsidR="0037512A" w:rsidRPr="00361139" w14:paraId="28161D9A" w14:textId="77777777" w:rsidTr="008144F7">
        <w:trPr>
          <w:cantSplit/>
          <w:trHeight w:val="20"/>
        </w:trPr>
        <w:tc>
          <w:tcPr>
            <w:tcW w:w="3227" w:type="dxa"/>
            <w:vMerge/>
            <w:shd w:val="clear" w:color="auto" w:fill="auto"/>
            <w:vAlign w:val="center"/>
            <w:hideMark/>
          </w:tcPr>
          <w:p w14:paraId="5BDA788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74EE2AE"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sustainability</w:t>
            </w:r>
            <w:r w:rsidRPr="00361139">
              <w:rPr>
                <w:rFonts w:asciiTheme="majorBidi" w:hAnsiTheme="majorBidi" w:cstheme="majorBidi"/>
                <w:sz w:val="18"/>
                <w:szCs w:val="18"/>
              </w:rPr>
              <w:t>, of the funding provided by the financial mechanism for the achievement of the objective of the Convention;</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585B0EE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3.30/5</w:t>
            </w:r>
          </w:p>
        </w:tc>
        <w:tc>
          <w:tcPr>
            <w:tcW w:w="1418" w:type="dxa"/>
            <w:vAlign w:val="center"/>
          </w:tcPr>
          <w:p w14:paraId="385821D1"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66%</w:t>
            </w:r>
          </w:p>
        </w:tc>
      </w:tr>
      <w:tr w:rsidR="0037512A" w:rsidRPr="00361139" w14:paraId="1582B167" w14:textId="77777777" w:rsidTr="008144F7">
        <w:trPr>
          <w:cantSplit/>
          <w:trHeight w:val="20"/>
        </w:trPr>
        <w:tc>
          <w:tcPr>
            <w:tcW w:w="3227" w:type="dxa"/>
            <w:vMerge/>
            <w:shd w:val="clear" w:color="auto" w:fill="auto"/>
            <w:vAlign w:val="center"/>
            <w:hideMark/>
          </w:tcPr>
          <w:p w14:paraId="737A6C2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A93A10E"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4C96793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 comments</w:t>
            </w:r>
          </w:p>
        </w:tc>
        <w:tc>
          <w:tcPr>
            <w:tcW w:w="1418" w:type="dxa"/>
            <w:vAlign w:val="center"/>
          </w:tcPr>
          <w:p w14:paraId="43B518B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 </w:t>
            </w:r>
          </w:p>
        </w:tc>
      </w:tr>
      <w:tr w:rsidR="0037512A" w:rsidRPr="00361139" w14:paraId="55E94150" w14:textId="77777777" w:rsidTr="008144F7">
        <w:trPr>
          <w:cantSplit/>
          <w:trHeight w:val="20"/>
        </w:trPr>
        <w:tc>
          <w:tcPr>
            <w:tcW w:w="3227" w:type="dxa"/>
            <w:vMerge/>
            <w:shd w:val="clear" w:color="auto" w:fill="auto"/>
            <w:vAlign w:val="center"/>
            <w:hideMark/>
          </w:tcPr>
          <w:p w14:paraId="51DC6C5F"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0365BF2"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Country ownership</w:t>
            </w:r>
            <w:r w:rsidRPr="00361139">
              <w:rPr>
                <w:rFonts w:asciiTheme="majorBidi" w:hAnsiTheme="majorBidi" w:cstheme="majorBidi"/>
                <w:sz w:val="18"/>
                <w:szCs w:val="18"/>
              </w:rPr>
              <w:t xml:space="preserve"> of activities funded by the financial mechanism;</w:t>
            </w:r>
            <w:r w:rsidRPr="00361139">
              <w:rPr>
                <w:rFonts w:asciiTheme="majorBidi" w:hAnsiTheme="majorBidi" w:cstheme="majorBidi"/>
                <w:i/>
                <w:sz w:val="18"/>
                <w:szCs w:val="18"/>
              </w:rPr>
              <w:t xml:space="preserve"> (weighted average)</w:t>
            </w:r>
          </w:p>
        </w:tc>
        <w:tc>
          <w:tcPr>
            <w:tcW w:w="1417" w:type="dxa"/>
            <w:shd w:val="clear" w:color="auto" w:fill="auto"/>
            <w:vAlign w:val="center"/>
          </w:tcPr>
          <w:p w14:paraId="107207D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3.37/5</w:t>
            </w:r>
          </w:p>
        </w:tc>
        <w:tc>
          <w:tcPr>
            <w:tcW w:w="1418" w:type="dxa"/>
            <w:vAlign w:val="center"/>
          </w:tcPr>
          <w:p w14:paraId="01A2998C"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67%</w:t>
            </w:r>
          </w:p>
        </w:tc>
      </w:tr>
      <w:tr w:rsidR="0037512A" w:rsidRPr="00361139" w14:paraId="124FBE37" w14:textId="77777777" w:rsidTr="008144F7">
        <w:trPr>
          <w:cantSplit/>
          <w:trHeight w:val="20"/>
        </w:trPr>
        <w:tc>
          <w:tcPr>
            <w:tcW w:w="3227" w:type="dxa"/>
            <w:vMerge/>
            <w:shd w:val="clear" w:color="auto" w:fill="auto"/>
            <w:vAlign w:val="center"/>
            <w:hideMark/>
          </w:tcPr>
          <w:p w14:paraId="707B6F68"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4A6DC9D0"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70E41317"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1 comment</w:t>
            </w:r>
          </w:p>
        </w:tc>
        <w:tc>
          <w:tcPr>
            <w:tcW w:w="1418" w:type="dxa"/>
            <w:vAlign w:val="center"/>
          </w:tcPr>
          <w:p w14:paraId="78BD5416"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 </w:t>
            </w:r>
          </w:p>
        </w:tc>
      </w:tr>
      <w:tr w:rsidR="0037512A" w:rsidRPr="00361139" w14:paraId="48E2891E" w14:textId="77777777" w:rsidTr="008144F7">
        <w:trPr>
          <w:cantSplit/>
          <w:trHeight w:val="20"/>
        </w:trPr>
        <w:tc>
          <w:tcPr>
            <w:tcW w:w="3227" w:type="dxa"/>
            <w:vMerge/>
            <w:shd w:val="clear" w:color="auto" w:fill="auto"/>
            <w:vAlign w:val="center"/>
            <w:hideMark/>
          </w:tcPr>
          <w:p w14:paraId="1840FEF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081883F"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The </w:t>
            </w:r>
            <w:r w:rsidRPr="00361139">
              <w:rPr>
                <w:rFonts w:asciiTheme="majorBidi" w:hAnsiTheme="majorBidi" w:cstheme="majorBidi"/>
                <w:b/>
                <w:sz w:val="18"/>
                <w:szCs w:val="18"/>
              </w:rPr>
              <w:t>level of stakeholder involvement</w:t>
            </w:r>
            <w:r w:rsidRPr="00361139">
              <w:rPr>
                <w:rFonts w:asciiTheme="majorBidi" w:hAnsiTheme="majorBidi" w:cstheme="majorBidi"/>
                <w:sz w:val="18"/>
                <w:szCs w:val="18"/>
              </w:rPr>
              <w:t xml:space="preserve"> in the activities funded by the financial mechanism.</w:t>
            </w:r>
            <w:r w:rsidRPr="00361139">
              <w:rPr>
                <w:rFonts w:asciiTheme="majorBidi" w:hAnsiTheme="majorBidi" w:cstheme="majorBidi"/>
                <w:i/>
                <w:sz w:val="18"/>
                <w:szCs w:val="18"/>
              </w:rPr>
              <w:t xml:space="preserve"> (</w:t>
            </w:r>
            <w:proofErr w:type="gramStart"/>
            <w:r w:rsidRPr="00361139">
              <w:rPr>
                <w:rFonts w:asciiTheme="majorBidi" w:hAnsiTheme="majorBidi" w:cstheme="majorBidi"/>
                <w:i/>
                <w:sz w:val="18"/>
                <w:szCs w:val="18"/>
              </w:rPr>
              <w:t>weighted</w:t>
            </w:r>
            <w:proofErr w:type="gramEnd"/>
            <w:r w:rsidRPr="00361139">
              <w:rPr>
                <w:rFonts w:asciiTheme="majorBidi" w:hAnsiTheme="majorBidi" w:cstheme="majorBidi"/>
                <w:i/>
                <w:sz w:val="18"/>
                <w:szCs w:val="18"/>
              </w:rPr>
              <w:t xml:space="preserve"> average)</w:t>
            </w:r>
          </w:p>
        </w:tc>
        <w:tc>
          <w:tcPr>
            <w:tcW w:w="1417" w:type="dxa"/>
            <w:shd w:val="clear" w:color="auto" w:fill="auto"/>
            <w:vAlign w:val="center"/>
          </w:tcPr>
          <w:p w14:paraId="545495CD"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3.53/5</w:t>
            </w:r>
          </w:p>
        </w:tc>
        <w:tc>
          <w:tcPr>
            <w:tcW w:w="1418" w:type="dxa"/>
            <w:vAlign w:val="center"/>
          </w:tcPr>
          <w:p w14:paraId="4C03CD29"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i/>
                <w:sz w:val="18"/>
                <w:szCs w:val="18"/>
              </w:rPr>
              <w:t>71%</w:t>
            </w:r>
          </w:p>
        </w:tc>
      </w:tr>
      <w:tr w:rsidR="0037512A" w:rsidRPr="00361139" w14:paraId="61678058" w14:textId="77777777" w:rsidTr="008144F7">
        <w:trPr>
          <w:cantSplit/>
          <w:trHeight w:val="20"/>
        </w:trPr>
        <w:tc>
          <w:tcPr>
            <w:tcW w:w="3227" w:type="dxa"/>
            <w:vMerge/>
            <w:shd w:val="clear" w:color="auto" w:fill="auto"/>
            <w:vAlign w:val="center"/>
            <w:hideMark/>
          </w:tcPr>
          <w:p w14:paraId="35B31AF7"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331E521E" w14:textId="77777777" w:rsidR="0037512A" w:rsidRPr="00361139" w:rsidRDefault="0037512A" w:rsidP="008144F7">
            <w:pPr>
              <w:spacing w:before="120" w:after="120"/>
              <w:ind w:left="318" w:right="57" w:hanging="23"/>
              <w:rPr>
                <w:rFonts w:asciiTheme="majorBidi" w:hAnsiTheme="majorBidi" w:cstheme="majorBidi"/>
                <w: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2D41215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3 comments</w:t>
            </w:r>
          </w:p>
        </w:tc>
        <w:tc>
          <w:tcPr>
            <w:tcW w:w="1418" w:type="dxa"/>
            <w:vAlign w:val="center"/>
          </w:tcPr>
          <w:p w14:paraId="36A7E0CA" w14:textId="77777777" w:rsidR="0037512A" w:rsidRPr="00361139" w:rsidRDefault="0037512A" w:rsidP="008144F7">
            <w:pPr>
              <w:spacing w:before="120" w:after="120"/>
              <w:ind w:left="57" w:right="57"/>
              <w:jc w:val="right"/>
              <w:rPr>
                <w:rFonts w:asciiTheme="majorBidi" w:hAnsiTheme="majorBidi" w:cstheme="majorBidi"/>
                <w:sz w:val="18"/>
                <w:szCs w:val="18"/>
              </w:rPr>
            </w:pPr>
          </w:p>
        </w:tc>
      </w:tr>
      <w:tr w:rsidR="0037512A" w:rsidRPr="00361139" w14:paraId="3B56845F" w14:textId="77777777" w:rsidTr="008144F7">
        <w:trPr>
          <w:cantSplit/>
          <w:trHeight w:val="20"/>
        </w:trPr>
        <w:tc>
          <w:tcPr>
            <w:tcW w:w="3227" w:type="dxa"/>
            <w:shd w:val="clear" w:color="auto" w:fill="auto"/>
            <w:vAlign w:val="center"/>
            <w:hideMark/>
          </w:tcPr>
          <w:p w14:paraId="5AB39D70"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Any </w:t>
            </w:r>
            <w:r w:rsidRPr="00361139">
              <w:rPr>
                <w:rFonts w:asciiTheme="majorBidi" w:hAnsiTheme="majorBidi" w:cstheme="majorBidi"/>
                <w:b/>
                <w:sz w:val="18"/>
                <w:szCs w:val="18"/>
              </w:rPr>
              <w:t>final comment</w:t>
            </w:r>
            <w:r w:rsidRPr="00361139">
              <w:rPr>
                <w:rFonts w:asciiTheme="majorBidi" w:hAnsiTheme="majorBidi" w:cstheme="majorBidi"/>
                <w:sz w:val="18"/>
                <w:szCs w:val="18"/>
              </w:rPr>
              <w:t xml:space="preserve"> on the </w:t>
            </w:r>
            <w:r w:rsidRPr="00361139">
              <w:rPr>
                <w:rFonts w:asciiTheme="majorBidi" w:hAnsiTheme="majorBidi" w:cstheme="majorBidi"/>
                <w:b/>
                <w:sz w:val="18"/>
                <w:szCs w:val="18"/>
              </w:rPr>
              <w:t>Financial Mechanism of the Minamata Convention</w:t>
            </w:r>
            <w:r w:rsidRPr="00361139">
              <w:rPr>
                <w:rFonts w:asciiTheme="majorBidi" w:hAnsiTheme="majorBidi" w:cstheme="majorBidi"/>
                <w:sz w:val="18"/>
                <w:szCs w:val="18"/>
              </w:rPr>
              <w:t xml:space="preserve">? </w:t>
            </w:r>
            <w:r w:rsidRPr="00361139">
              <w:rPr>
                <w:rFonts w:asciiTheme="majorBidi" w:hAnsiTheme="majorBidi" w:cstheme="majorBidi"/>
                <w:i/>
                <w:sz w:val="18"/>
                <w:szCs w:val="18"/>
              </w:rPr>
              <w:t>(optional)</w:t>
            </w:r>
          </w:p>
        </w:tc>
        <w:tc>
          <w:tcPr>
            <w:tcW w:w="3118" w:type="dxa"/>
            <w:shd w:val="clear" w:color="auto" w:fill="auto"/>
            <w:vAlign w:val="center"/>
            <w:hideMark/>
          </w:tcPr>
          <w:p w14:paraId="37ABB9FD"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520AF2C1"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8</w:t>
            </w:r>
          </w:p>
        </w:tc>
        <w:tc>
          <w:tcPr>
            <w:tcW w:w="1418" w:type="dxa"/>
            <w:vAlign w:val="center"/>
          </w:tcPr>
          <w:p w14:paraId="090FB9C6"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246E7765" w14:textId="77777777" w:rsidTr="008144F7">
        <w:trPr>
          <w:cantSplit/>
          <w:trHeight w:val="20"/>
        </w:trPr>
        <w:tc>
          <w:tcPr>
            <w:tcW w:w="3227" w:type="dxa"/>
            <w:tcBorders>
              <w:bottom w:val="single" w:sz="4" w:space="0" w:color="auto"/>
            </w:tcBorders>
            <w:shd w:val="clear" w:color="auto" w:fill="auto"/>
            <w:vAlign w:val="center"/>
            <w:hideMark/>
          </w:tcPr>
          <w:p w14:paraId="01210722"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Any </w:t>
            </w:r>
            <w:r w:rsidRPr="00361139">
              <w:rPr>
                <w:rFonts w:asciiTheme="majorBidi" w:hAnsiTheme="majorBidi" w:cstheme="majorBidi"/>
                <w:b/>
                <w:sz w:val="18"/>
                <w:szCs w:val="18"/>
              </w:rPr>
              <w:t>comment</w:t>
            </w:r>
            <w:r w:rsidRPr="00361139">
              <w:rPr>
                <w:rFonts w:asciiTheme="majorBidi" w:hAnsiTheme="majorBidi" w:cstheme="majorBidi"/>
                <w:sz w:val="18"/>
                <w:szCs w:val="18"/>
              </w:rPr>
              <w:t xml:space="preserve"> on this </w:t>
            </w:r>
            <w:r w:rsidRPr="00361139">
              <w:rPr>
                <w:rFonts w:asciiTheme="majorBidi" w:hAnsiTheme="majorBidi" w:cstheme="majorBidi"/>
                <w:b/>
                <w:sz w:val="18"/>
                <w:szCs w:val="18"/>
              </w:rPr>
              <w:t>Survey</w:t>
            </w:r>
            <w:r w:rsidRPr="00361139">
              <w:rPr>
                <w:rFonts w:asciiTheme="majorBidi" w:hAnsiTheme="majorBidi" w:cstheme="majorBidi"/>
                <w:sz w:val="18"/>
                <w:szCs w:val="18"/>
              </w:rPr>
              <w:t xml:space="preserve">? </w:t>
            </w:r>
            <w:r w:rsidRPr="00361139">
              <w:rPr>
                <w:rFonts w:asciiTheme="majorBidi" w:hAnsiTheme="majorBidi" w:cstheme="majorBidi"/>
                <w:i/>
                <w:sz w:val="18"/>
                <w:szCs w:val="18"/>
              </w:rPr>
              <w:t>(optional)</w:t>
            </w:r>
          </w:p>
        </w:tc>
        <w:tc>
          <w:tcPr>
            <w:tcW w:w="3118" w:type="dxa"/>
            <w:tcBorders>
              <w:bottom w:val="single" w:sz="4" w:space="0" w:color="auto"/>
            </w:tcBorders>
            <w:shd w:val="clear" w:color="auto" w:fill="auto"/>
            <w:vAlign w:val="center"/>
            <w:hideMark/>
          </w:tcPr>
          <w:p w14:paraId="6B1B55ED"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tcBorders>
              <w:bottom w:val="single" w:sz="4" w:space="0" w:color="auto"/>
            </w:tcBorders>
            <w:shd w:val="clear" w:color="auto" w:fill="auto"/>
            <w:vAlign w:val="center"/>
          </w:tcPr>
          <w:p w14:paraId="12BC563E"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4</w:t>
            </w:r>
          </w:p>
        </w:tc>
        <w:tc>
          <w:tcPr>
            <w:tcW w:w="1418" w:type="dxa"/>
            <w:tcBorders>
              <w:bottom w:val="single" w:sz="4" w:space="0" w:color="auto"/>
            </w:tcBorders>
            <w:vAlign w:val="center"/>
          </w:tcPr>
          <w:p w14:paraId="5E45522D"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08A4239F" w14:textId="77777777" w:rsidTr="008144F7">
        <w:trPr>
          <w:cantSplit/>
          <w:trHeight w:val="20"/>
        </w:trPr>
        <w:tc>
          <w:tcPr>
            <w:tcW w:w="9180" w:type="dxa"/>
            <w:gridSpan w:val="4"/>
            <w:tcBorders>
              <w:bottom w:val="single" w:sz="4" w:space="0" w:color="auto"/>
            </w:tcBorders>
            <w:shd w:val="clear" w:color="auto" w:fill="B6DDE8"/>
            <w:vAlign w:val="center"/>
            <w:hideMark/>
          </w:tcPr>
          <w:p w14:paraId="3CE71883"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sz w:val="18"/>
                <w:szCs w:val="18"/>
              </w:rPr>
              <w:t xml:space="preserve">Note on survey logic: </w:t>
            </w:r>
            <w:r w:rsidRPr="00361139">
              <w:rPr>
                <w:rFonts w:asciiTheme="majorBidi" w:hAnsiTheme="majorBidi" w:cstheme="majorBidi"/>
                <w:i/>
                <w:sz w:val="18"/>
                <w:szCs w:val="18"/>
              </w:rPr>
              <w:t>all respondents in this section continued to section 5.</w:t>
            </w:r>
          </w:p>
        </w:tc>
      </w:tr>
      <w:tr w:rsidR="0037512A" w:rsidRPr="00361139" w14:paraId="1D5411F8" w14:textId="77777777" w:rsidTr="008144F7">
        <w:trPr>
          <w:cantSplit/>
          <w:trHeight w:val="20"/>
        </w:trPr>
        <w:tc>
          <w:tcPr>
            <w:tcW w:w="9180" w:type="dxa"/>
            <w:gridSpan w:val="4"/>
            <w:shd w:val="clear" w:color="auto" w:fill="auto"/>
            <w:vAlign w:val="center"/>
            <w:hideMark/>
          </w:tcPr>
          <w:p w14:paraId="1BF74FEC" w14:textId="77777777" w:rsidR="0037512A" w:rsidRPr="00361139" w:rsidRDefault="0037512A" w:rsidP="008144F7">
            <w:pPr>
              <w:spacing w:before="120" w:after="120"/>
              <w:rPr>
                <w:rFonts w:asciiTheme="majorBidi" w:hAnsiTheme="majorBidi" w:cstheme="majorBidi"/>
                <w:b/>
                <w:sz w:val="18"/>
                <w:szCs w:val="18"/>
              </w:rPr>
            </w:pPr>
            <w:r w:rsidRPr="00361139">
              <w:rPr>
                <w:rFonts w:asciiTheme="majorBidi" w:hAnsiTheme="majorBidi" w:cstheme="majorBidi"/>
                <w:b/>
                <w:sz w:val="18"/>
                <w:szCs w:val="18"/>
              </w:rPr>
              <w:t>Section 5 – Your contact details</w:t>
            </w:r>
          </w:p>
          <w:p w14:paraId="79C1DD4F" w14:textId="77777777" w:rsidR="0037512A" w:rsidRPr="00361139" w:rsidRDefault="0037512A" w:rsidP="008144F7">
            <w:pPr>
              <w:spacing w:before="120" w:after="120"/>
              <w:rPr>
                <w:rFonts w:asciiTheme="majorBidi" w:hAnsiTheme="majorBidi" w:cstheme="majorBidi"/>
                <w:sz w:val="18"/>
                <w:szCs w:val="18"/>
              </w:rPr>
            </w:pPr>
            <w:r w:rsidRPr="00361139">
              <w:rPr>
                <w:rStyle w:val="Emphasis"/>
                <w:rFonts w:asciiTheme="majorBidi" w:hAnsiTheme="majorBidi" w:cstheme="majorBidi"/>
                <w:sz w:val="18"/>
                <w:szCs w:val="18"/>
              </w:rPr>
              <w:t xml:space="preserve">We would like to have the option to contact you to possibly hear more about your experience with the </w:t>
            </w:r>
            <w:r w:rsidRPr="00361139">
              <w:rPr>
                <w:rFonts w:asciiTheme="majorBidi" w:hAnsiTheme="majorBidi" w:cstheme="majorBidi"/>
                <w:b/>
                <w:i/>
                <w:sz w:val="18"/>
                <w:szCs w:val="18"/>
              </w:rPr>
              <w:t>Financial Mechanism of the Minamata Convention</w:t>
            </w:r>
            <w:r w:rsidRPr="00361139">
              <w:rPr>
                <w:rStyle w:val="Emphasis"/>
                <w:rFonts w:asciiTheme="majorBidi" w:hAnsiTheme="majorBidi" w:cstheme="majorBidi"/>
                <w:sz w:val="18"/>
                <w:szCs w:val="18"/>
              </w:rPr>
              <w:t>. All contact details are, however, optional and you may decide in this final section if providing them or not.</w:t>
            </w:r>
          </w:p>
        </w:tc>
      </w:tr>
      <w:tr w:rsidR="0037512A" w:rsidRPr="00361139" w14:paraId="0E015CA2" w14:textId="77777777" w:rsidTr="008144F7">
        <w:trPr>
          <w:cantSplit/>
          <w:trHeight w:val="20"/>
        </w:trPr>
        <w:tc>
          <w:tcPr>
            <w:tcW w:w="3227" w:type="dxa"/>
            <w:vMerge w:val="restart"/>
            <w:shd w:val="clear" w:color="auto" w:fill="auto"/>
            <w:vAlign w:val="center"/>
            <w:hideMark/>
          </w:tcPr>
          <w:p w14:paraId="3D420AB8"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Would you be available for a short </w:t>
            </w:r>
            <w:r w:rsidRPr="00361139">
              <w:rPr>
                <w:rFonts w:asciiTheme="majorBidi" w:hAnsiTheme="majorBidi" w:cstheme="majorBidi"/>
                <w:b/>
                <w:sz w:val="18"/>
                <w:szCs w:val="18"/>
              </w:rPr>
              <w:t>interview</w:t>
            </w:r>
            <w:r w:rsidRPr="00361139">
              <w:rPr>
                <w:rFonts w:asciiTheme="majorBidi" w:hAnsiTheme="majorBidi" w:cstheme="majorBidi"/>
                <w:sz w:val="18"/>
                <w:szCs w:val="18"/>
              </w:rPr>
              <w:t xml:space="preserve"> on this subject? </w:t>
            </w:r>
            <w:r w:rsidRPr="00361139">
              <w:rPr>
                <w:rFonts w:asciiTheme="majorBidi" w:hAnsiTheme="majorBidi" w:cstheme="majorBidi"/>
                <w:i/>
                <w:sz w:val="18"/>
                <w:szCs w:val="18"/>
              </w:rPr>
              <w:t xml:space="preserve">(in case, please make sure to provide your </w:t>
            </w:r>
            <w:r w:rsidRPr="00361139">
              <w:rPr>
                <w:rFonts w:asciiTheme="majorBidi" w:hAnsiTheme="majorBidi" w:cstheme="majorBidi"/>
                <w:i/>
                <w:sz w:val="18"/>
                <w:szCs w:val="18"/>
              </w:rPr>
              <w:lastRenderedPageBreak/>
              <w:t xml:space="preserve">e-mail address and contact details in the questions </w:t>
            </w:r>
            <w:proofErr w:type="gramStart"/>
            <w:r w:rsidRPr="00361139">
              <w:rPr>
                <w:rFonts w:asciiTheme="majorBidi" w:hAnsiTheme="majorBidi" w:cstheme="majorBidi"/>
                <w:i/>
                <w:sz w:val="18"/>
                <w:szCs w:val="18"/>
              </w:rPr>
              <w:t>below)*</w:t>
            </w:r>
            <w:proofErr w:type="gramEnd"/>
          </w:p>
        </w:tc>
        <w:tc>
          <w:tcPr>
            <w:tcW w:w="3118" w:type="dxa"/>
            <w:shd w:val="clear" w:color="auto" w:fill="auto"/>
            <w:vAlign w:val="center"/>
            <w:hideMark/>
          </w:tcPr>
          <w:p w14:paraId="29A21474"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lastRenderedPageBreak/>
              <w:t>Number of Responses:</w:t>
            </w:r>
          </w:p>
        </w:tc>
        <w:tc>
          <w:tcPr>
            <w:tcW w:w="1417" w:type="dxa"/>
            <w:shd w:val="clear" w:color="auto" w:fill="auto"/>
            <w:vAlign w:val="center"/>
          </w:tcPr>
          <w:p w14:paraId="49F7774A" w14:textId="77777777" w:rsidR="0037512A" w:rsidRPr="00361139" w:rsidRDefault="0037512A" w:rsidP="008144F7">
            <w:pPr>
              <w:spacing w:before="120" w:after="120"/>
              <w:ind w:left="57" w:right="57"/>
              <w:jc w:val="right"/>
              <w:rPr>
                <w:rFonts w:asciiTheme="majorBidi" w:hAnsiTheme="majorBidi" w:cstheme="majorBidi"/>
                <w:b/>
                <w:sz w:val="18"/>
                <w:szCs w:val="18"/>
              </w:rPr>
            </w:pPr>
            <w:r w:rsidRPr="00361139">
              <w:rPr>
                <w:rFonts w:asciiTheme="majorBidi" w:hAnsiTheme="majorBidi" w:cstheme="majorBidi"/>
                <w:b/>
                <w:sz w:val="18"/>
                <w:szCs w:val="18"/>
              </w:rPr>
              <w:t>42</w:t>
            </w:r>
          </w:p>
        </w:tc>
        <w:tc>
          <w:tcPr>
            <w:tcW w:w="1418" w:type="dxa"/>
            <w:vAlign w:val="center"/>
          </w:tcPr>
          <w:p w14:paraId="35A820DC" w14:textId="77777777" w:rsidR="0037512A" w:rsidRPr="00361139" w:rsidRDefault="0037512A" w:rsidP="008144F7">
            <w:pPr>
              <w:spacing w:before="120" w:after="120"/>
              <w:ind w:left="57" w:right="57"/>
              <w:jc w:val="right"/>
              <w:rPr>
                <w:rFonts w:asciiTheme="majorBidi" w:hAnsiTheme="majorBidi" w:cstheme="majorBidi"/>
                <w:b/>
                <w:sz w:val="18"/>
                <w:szCs w:val="18"/>
              </w:rPr>
            </w:pPr>
            <w:r w:rsidRPr="00361139">
              <w:rPr>
                <w:rFonts w:asciiTheme="majorBidi" w:hAnsiTheme="majorBidi" w:cstheme="majorBidi"/>
                <w:b/>
                <w:sz w:val="18"/>
                <w:szCs w:val="18"/>
              </w:rPr>
              <w:t>100%</w:t>
            </w:r>
          </w:p>
        </w:tc>
      </w:tr>
      <w:tr w:rsidR="0037512A" w:rsidRPr="00361139" w14:paraId="7921C6EA" w14:textId="77777777" w:rsidTr="008144F7">
        <w:trPr>
          <w:cantSplit/>
          <w:trHeight w:val="20"/>
        </w:trPr>
        <w:tc>
          <w:tcPr>
            <w:tcW w:w="3227" w:type="dxa"/>
            <w:vMerge/>
            <w:shd w:val="clear" w:color="auto" w:fill="auto"/>
            <w:vAlign w:val="center"/>
            <w:hideMark/>
          </w:tcPr>
          <w:p w14:paraId="654B7BFB"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1BE030D1"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 xml:space="preserve">Yes </w:t>
            </w:r>
          </w:p>
        </w:tc>
        <w:tc>
          <w:tcPr>
            <w:tcW w:w="1417" w:type="dxa"/>
            <w:shd w:val="clear" w:color="auto" w:fill="auto"/>
            <w:vAlign w:val="center"/>
          </w:tcPr>
          <w:p w14:paraId="02BD733C"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22</w:t>
            </w:r>
          </w:p>
        </w:tc>
        <w:tc>
          <w:tcPr>
            <w:tcW w:w="1418" w:type="dxa"/>
            <w:vAlign w:val="center"/>
          </w:tcPr>
          <w:p w14:paraId="38FA65D7"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54%</w:t>
            </w:r>
          </w:p>
        </w:tc>
      </w:tr>
      <w:tr w:rsidR="0037512A" w:rsidRPr="00361139" w14:paraId="35E9E7C6" w14:textId="77777777" w:rsidTr="008144F7">
        <w:trPr>
          <w:cantSplit/>
          <w:trHeight w:val="20"/>
        </w:trPr>
        <w:tc>
          <w:tcPr>
            <w:tcW w:w="3227" w:type="dxa"/>
            <w:vMerge/>
            <w:shd w:val="clear" w:color="auto" w:fill="auto"/>
            <w:vAlign w:val="center"/>
            <w:hideMark/>
          </w:tcPr>
          <w:p w14:paraId="1FD8FFBD"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62D7AB88" w14:textId="77777777" w:rsidR="0037512A" w:rsidRPr="00361139" w:rsidRDefault="0037512A" w:rsidP="008144F7">
            <w:pPr>
              <w:spacing w:before="120" w:after="120"/>
              <w:ind w:left="318" w:right="57" w:hanging="23"/>
              <w:rPr>
                <w:rFonts w:asciiTheme="majorBidi" w:hAnsiTheme="majorBidi" w:cstheme="majorBidi"/>
                <w:sz w:val="18"/>
                <w:szCs w:val="18"/>
              </w:rPr>
            </w:pPr>
            <w:r w:rsidRPr="00361139">
              <w:rPr>
                <w:rFonts w:asciiTheme="majorBidi" w:hAnsiTheme="majorBidi" w:cstheme="majorBidi"/>
                <w:sz w:val="18"/>
                <w:szCs w:val="18"/>
              </w:rPr>
              <w:t>No</w:t>
            </w:r>
          </w:p>
        </w:tc>
        <w:tc>
          <w:tcPr>
            <w:tcW w:w="1417" w:type="dxa"/>
            <w:shd w:val="clear" w:color="auto" w:fill="auto"/>
            <w:vAlign w:val="center"/>
          </w:tcPr>
          <w:p w14:paraId="06DC7141"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20</w:t>
            </w:r>
          </w:p>
        </w:tc>
        <w:tc>
          <w:tcPr>
            <w:tcW w:w="1418" w:type="dxa"/>
            <w:vAlign w:val="center"/>
          </w:tcPr>
          <w:p w14:paraId="51F16CDB" w14:textId="77777777" w:rsidR="0037512A" w:rsidRPr="00361139" w:rsidRDefault="0037512A" w:rsidP="008144F7">
            <w:pPr>
              <w:spacing w:before="120" w:after="120"/>
              <w:ind w:left="57" w:right="57"/>
              <w:jc w:val="right"/>
              <w:rPr>
                <w:rFonts w:asciiTheme="majorBidi" w:hAnsiTheme="majorBidi" w:cstheme="majorBidi"/>
                <w:i/>
                <w:sz w:val="18"/>
                <w:szCs w:val="18"/>
              </w:rPr>
            </w:pPr>
            <w:r w:rsidRPr="00361139">
              <w:rPr>
                <w:rFonts w:asciiTheme="majorBidi" w:hAnsiTheme="majorBidi" w:cstheme="majorBidi"/>
                <w:i/>
                <w:sz w:val="18"/>
                <w:szCs w:val="18"/>
              </w:rPr>
              <w:t>46%</w:t>
            </w:r>
          </w:p>
        </w:tc>
      </w:tr>
      <w:tr w:rsidR="0037512A" w:rsidRPr="00361139" w14:paraId="242964F8" w14:textId="77777777" w:rsidTr="008144F7">
        <w:trPr>
          <w:cantSplit/>
          <w:trHeight w:val="20"/>
        </w:trPr>
        <w:tc>
          <w:tcPr>
            <w:tcW w:w="3227" w:type="dxa"/>
            <w:vMerge/>
            <w:shd w:val="clear" w:color="auto" w:fill="auto"/>
            <w:vAlign w:val="center"/>
            <w:hideMark/>
          </w:tcPr>
          <w:p w14:paraId="696D6514" w14:textId="77777777" w:rsidR="0037512A" w:rsidRPr="00361139" w:rsidRDefault="0037512A" w:rsidP="008144F7">
            <w:pPr>
              <w:tabs>
                <w:tab w:val="left" w:pos="459"/>
              </w:tabs>
              <w:spacing w:before="120" w:after="120"/>
              <w:ind w:left="57" w:right="57"/>
              <w:rPr>
                <w:rFonts w:asciiTheme="majorBidi" w:hAnsiTheme="majorBidi" w:cstheme="majorBidi"/>
                <w:sz w:val="18"/>
                <w:szCs w:val="18"/>
              </w:rPr>
            </w:pPr>
          </w:p>
        </w:tc>
        <w:tc>
          <w:tcPr>
            <w:tcW w:w="3118" w:type="dxa"/>
            <w:shd w:val="clear" w:color="auto" w:fill="auto"/>
            <w:vAlign w:val="center"/>
            <w:hideMark/>
          </w:tcPr>
          <w:p w14:paraId="24CB9B6A"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sz w:val="18"/>
                <w:szCs w:val="18"/>
              </w:rPr>
              <w:t xml:space="preserve">Please, feel free to add your comment to the above question </w:t>
            </w:r>
            <w:r w:rsidRPr="00361139">
              <w:rPr>
                <w:rFonts w:asciiTheme="majorBidi" w:hAnsiTheme="majorBidi" w:cstheme="majorBidi"/>
                <w:i/>
                <w:sz w:val="18"/>
                <w:szCs w:val="18"/>
              </w:rPr>
              <w:t>(optional)</w:t>
            </w:r>
          </w:p>
        </w:tc>
        <w:tc>
          <w:tcPr>
            <w:tcW w:w="1417" w:type="dxa"/>
            <w:shd w:val="clear" w:color="auto" w:fill="auto"/>
            <w:vAlign w:val="center"/>
          </w:tcPr>
          <w:p w14:paraId="3216019B" w14:textId="77777777" w:rsidR="0037512A" w:rsidRPr="00361139" w:rsidRDefault="0037512A" w:rsidP="008144F7">
            <w:pPr>
              <w:spacing w:before="120" w:after="120"/>
              <w:ind w:left="57" w:right="57"/>
              <w:jc w:val="right"/>
              <w:rPr>
                <w:rFonts w:asciiTheme="majorBidi" w:hAnsiTheme="majorBidi" w:cstheme="majorBidi"/>
                <w:sz w:val="18"/>
                <w:szCs w:val="18"/>
              </w:rPr>
            </w:pPr>
            <w:r w:rsidRPr="00361139">
              <w:rPr>
                <w:rFonts w:asciiTheme="majorBidi" w:hAnsiTheme="majorBidi" w:cstheme="majorBidi"/>
                <w:sz w:val="18"/>
                <w:szCs w:val="18"/>
              </w:rPr>
              <w:t>6 comments</w:t>
            </w:r>
          </w:p>
        </w:tc>
        <w:tc>
          <w:tcPr>
            <w:tcW w:w="1418" w:type="dxa"/>
            <w:vAlign w:val="center"/>
          </w:tcPr>
          <w:p w14:paraId="114877D2" w14:textId="77777777" w:rsidR="0037512A" w:rsidRPr="00361139" w:rsidRDefault="0037512A" w:rsidP="008144F7">
            <w:pPr>
              <w:spacing w:before="120" w:after="120"/>
              <w:ind w:left="57" w:right="57"/>
              <w:jc w:val="right"/>
              <w:rPr>
                <w:rFonts w:asciiTheme="majorBidi" w:hAnsiTheme="majorBidi" w:cstheme="majorBidi"/>
                <w:i/>
                <w:sz w:val="18"/>
                <w:szCs w:val="18"/>
              </w:rPr>
            </w:pPr>
          </w:p>
        </w:tc>
      </w:tr>
      <w:tr w:rsidR="0037512A" w:rsidRPr="00361139" w14:paraId="12C9C2C8" w14:textId="77777777" w:rsidTr="008144F7">
        <w:trPr>
          <w:cantSplit/>
          <w:trHeight w:val="20"/>
        </w:trPr>
        <w:tc>
          <w:tcPr>
            <w:tcW w:w="3227" w:type="dxa"/>
            <w:shd w:val="clear" w:color="auto" w:fill="auto"/>
            <w:vAlign w:val="center"/>
            <w:hideMark/>
          </w:tcPr>
          <w:p w14:paraId="631341FA"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Your </w:t>
            </w:r>
            <w:r w:rsidRPr="00361139">
              <w:rPr>
                <w:rFonts w:asciiTheme="majorBidi" w:hAnsiTheme="majorBidi" w:cstheme="majorBidi"/>
                <w:b/>
                <w:sz w:val="18"/>
                <w:szCs w:val="18"/>
              </w:rPr>
              <w:t xml:space="preserve">name </w:t>
            </w:r>
            <w:r w:rsidRPr="00361139">
              <w:rPr>
                <w:rFonts w:asciiTheme="majorBidi" w:hAnsiTheme="majorBidi" w:cstheme="majorBidi"/>
                <w:i/>
                <w:sz w:val="18"/>
                <w:szCs w:val="18"/>
              </w:rPr>
              <w:t>(optional)</w:t>
            </w:r>
            <w:r w:rsidRPr="00361139">
              <w:rPr>
                <w:rFonts w:asciiTheme="majorBidi" w:hAnsiTheme="majorBidi" w:cstheme="majorBidi"/>
                <w:sz w:val="18"/>
                <w:szCs w:val="18"/>
              </w:rPr>
              <w:t>:</w:t>
            </w:r>
          </w:p>
        </w:tc>
        <w:tc>
          <w:tcPr>
            <w:tcW w:w="3118" w:type="dxa"/>
            <w:shd w:val="clear" w:color="auto" w:fill="auto"/>
            <w:vAlign w:val="center"/>
            <w:hideMark/>
          </w:tcPr>
          <w:p w14:paraId="74D70363"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77A9D88F"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23</w:t>
            </w:r>
          </w:p>
        </w:tc>
        <w:tc>
          <w:tcPr>
            <w:tcW w:w="1418" w:type="dxa"/>
            <w:vAlign w:val="center"/>
          </w:tcPr>
          <w:p w14:paraId="49E5DFDB"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3A2067FD" w14:textId="77777777" w:rsidTr="008144F7">
        <w:trPr>
          <w:cantSplit/>
          <w:trHeight w:val="20"/>
        </w:trPr>
        <w:tc>
          <w:tcPr>
            <w:tcW w:w="3227" w:type="dxa"/>
            <w:shd w:val="clear" w:color="auto" w:fill="auto"/>
            <w:vAlign w:val="center"/>
            <w:hideMark/>
          </w:tcPr>
          <w:p w14:paraId="61422D8C"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Your </w:t>
            </w:r>
            <w:r w:rsidRPr="00361139">
              <w:rPr>
                <w:rFonts w:asciiTheme="majorBidi" w:hAnsiTheme="majorBidi" w:cstheme="majorBidi"/>
                <w:b/>
                <w:sz w:val="18"/>
                <w:szCs w:val="18"/>
              </w:rPr>
              <w:t>e-mail</w:t>
            </w:r>
            <w:r w:rsidRPr="00361139">
              <w:rPr>
                <w:rFonts w:asciiTheme="majorBidi" w:hAnsiTheme="majorBidi" w:cstheme="majorBidi"/>
                <w:sz w:val="18"/>
                <w:szCs w:val="18"/>
              </w:rPr>
              <w:t xml:space="preserve"> address </w:t>
            </w:r>
            <w:r w:rsidRPr="00361139">
              <w:rPr>
                <w:rFonts w:asciiTheme="majorBidi" w:hAnsiTheme="majorBidi" w:cstheme="majorBidi"/>
                <w:i/>
                <w:sz w:val="18"/>
                <w:szCs w:val="18"/>
              </w:rPr>
              <w:t>(optional)</w:t>
            </w:r>
          </w:p>
        </w:tc>
        <w:tc>
          <w:tcPr>
            <w:tcW w:w="3118" w:type="dxa"/>
            <w:shd w:val="clear" w:color="auto" w:fill="auto"/>
            <w:vAlign w:val="center"/>
            <w:hideMark/>
          </w:tcPr>
          <w:p w14:paraId="42DA4B38"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B848ABF"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25</w:t>
            </w:r>
          </w:p>
        </w:tc>
        <w:tc>
          <w:tcPr>
            <w:tcW w:w="1418" w:type="dxa"/>
            <w:vAlign w:val="center"/>
          </w:tcPr>
          <w:p w14:paraId="36CB8E57"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1F081637" w14:textId="77777777" w:rsidTr="008144F7">
        <w:trPr>
          <w:cantSplit/>
          <w:trHeight w:val="20"/>
        </w:trPr>
        <w:tc>
          <w:tcPr>
            <w:tcW w:w="3227" w:type="dxa"/>
            <w:shd w:val="clear" w:color="auto" w:fill="auto"/>
            <w:vAlign w:val="center"/>
            <w:hideMark/>
          </w:tcPr>
          <w:p w14:paraId="08421A3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Your </w:t>
            </w:r>
            <w:r w:rsidRPr="00361139">
              <w:rPr>
                <w:rFonts w:asciiTheme="majorBidi" w:hAnsiTheme="majorBidi" w:cstheme="majorBidi"/>
                <w:b/>
                <w:sz w:val="18"/>
                <w:szCs w:val="18"/>
              </w:rPr>
              <w:t xml:space="preserve">phone number </w:t>
            </w:r>
            <w:r w:rsidRPr="00361139">
              <w:rPr>
                <w:rFonts w:asciiTheme="majorBidi" w:hAnsiTheme="majorBidi" w:cstheme="majorBidi"/>
                <w:i/>
                <w:sz w:val="18"/>
                <w:szCs w:val="18"/>
              </w:rPr>
              <w:t>(optional)</w:t>
            </w:r>
          </w:p>
        </w:tc>
        <w:tc>
          <w:tcPr>
            <w:tcW w:w="3118" w:type="dxa"/>
            <w:shd w:val="clear" w:color="auto" w:fill="auto"/>
            <w:vAlign w:val="center"/>
            <w:hideMark/>
          </w:tcPr>
          <w:p w14:paraId="6AF4B0DB"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831AB95"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9</w:t>
            </w:r>
          </w:p>
        </w:tc>
        <w:tc>
          <w:tcPr>
            <w:tcW w:w="1418" w:type="dxa"/>
            <w:vAlign w:val="center"/>
          </w:tcPr>
          <w:p w14:paraId="34904DDE"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6E450E51" w14:textId="77777777" w:rsidTr="008144F7">
        <w:trPr>
          <w:cantSplit/>
          <w:trHeight w:val="20"/>
        </w:trPr>
        <w:tc>
          <w:tcPr>
            <w:tcW w:w="3227" w:type="dxa"/>
            <w:shd w:val="clear" w:color="auto" w:fill="auto"/>
            <w:vAlign w:val="center"/>
            <w:hideMark/>
          </w:tcPr>
          <w:p w14:paraId="14490A49" w14:textId="77777777" w:rsidR="0037512A" w:rsidRPr="00361139" w:rsidRDefault="0037512A" w:rsidP="000C76AC">
            <w:pPr>
              <w:pStyle w:val="ListParagraph"/>
              <w:numPr>
                <w:ilvl w:val="0"/>
                <w:numId w:val="6"/>
              </w:numPr>
              <w:tabs>
                <w:tab w:val="clear" w:pos="1247"/>
                <w:tab w:val="clear" w:pos="1814"/>
                <w:tab w:val="clear" w:pos="2381"/>
                <w:tab w:val="clear" w:pos="2948"/>
                <w:tab w:val="clear" w:pos="3515"/>
                <w:tab w:val="left" w:pos="459"/>
              </w:tabs>
              <w:spacing w:before="120" w:after="120"/>
              <w:ind w:left="57" w:right="57" w:firstLine="0"/>
              <w:contextualSpacing w:val="0"/>
              <w:rPr>
                <w:rFonts w:asciiTheme="majorBidi" w:hAnsiTheme="majorBidi" w:cstheme="majorBidi"/>
                <w:sz w:val="18"/>
                <w:szCs w:val="18"/>
              </w:rPr>
            </w:pPr>
            <w:r w:rsidRPr="00361139">
              <w:rPr>
                <w:rFonts w:asciiTheme="majorBidi" w:hAnsiTheme="majorBidi" w:cstheme="majorBidi"/>
                <w:sz w:val="18"/>
                <w:szCs w:val="18"/>
              </w:rPr>
              <w:t xml:space="preserve">Your </w:t>
            </w:r>
            <w:r w:rsidRPr="00361139">
              <w:rPr>
                <w:rFonts w:asciiTheme="majorBidi" w:hAnsiTheme="majorBidi" w:cstheme="majorBidi"/>
                <w:b/>
                <w:sz w:val="18"/>
                <w:szCs w:val="18"/>
              </w:rPr>
              <w:t xml:space="preserve">postal address </w:t>
            </w:r>
            <w:r w:rsidRPr="00361139">
              <w:rPr>
                <w:rFonts w:asciiTheme="majorBidi" w:hAnsiTheme="majorBidi" w:cstheme="majorBidi"/>
                <w:i/>
                <w:sz w:val="18"/>
                <w:szCs w:val="18"/>
              </w:rPr>
              <w:t>(optional)</w:t>
            </w:r>
          </w:p>
        </w:tc>
        <w:tc>
          <w:tcPr>
            <w:tcW w:w="3118" w:type="dxa"/>
            <w:shd w:val="clear" w:color="auto" w:fill="auto"/>
            <w:vAlign w:val="center"/>
            <w:hideMark/>
          </w:tcPr>
          <w:p w14:paraId="511C3EE0" w14:textId="77777777" w:rsidR="0037512A" w:rsidRPr="00361139" w:rsidRDefault="0037512A" w:rsidP="008144F7">
            <w:pPr>
              <w:spacing w:before="120" w:after="120"/>
              <w:ind w:left="57" w:right="57" w:hanging="23"/>
              <w:rPr>
                <w:rFonts w:asciiTheme="majorBidi" w:hAnsiTheme="majorBidi" w:cstheme="majorBidi"/>
                <w:sz w:val="18"/>
                <w:szCs w:val="18"/>
              </w:rPr>
            </w:pPr>
            <w:r w:rsidRPr="00361139">
              <w:rPr>
                <w:rFonts w:asciiTheme="majorBidi" w:hAnsiTheme="majorBidi" w:cstheme="majorBidi"/>
                <w:b/>
                <w:i/>
                <w:sz w:val="18"/>
                <w:szCs w:val="18"/>
              </w:rPr>
              <w:t>Number of Responses:</w:t>
            </w:r>
          </w:p>
        </w:tc>
        <w:tc>
          <w:tcPr>
            <w:tcW w:w="1417" w:type="dxa"/>
            <w:shd w:val="clear" w:color="auto" w:fill="auto"/>
            <w:vAlign w:val="center"/>
          </w:tcPr>
          <w:p w14:paraId="43A50598" w14:textId="77777777" w:rsidR="0037512A" w:rsidRPr="00361139" w:rsidRDefault="0037512A" w:rsidP="008144F7">
            <w:pPr>
              <w:spacing w:before="120" w:after="120"/>
              <w:ind w:left="57" w:right="57"/>
              <w:jc w:val="right"/>
              <w:rPr>
                <w:rFonts w:asciiTheme="majorBidi" w:hAnsiTheme="majorBidi" w:cstheme="majorBidi"/>
                <w:b/>
                <w:i/>
                <w:sz w:val="18"/>
                <w:szCs w:val="18"/>
              </w:rPr>
            </w:pPr>
            <w:r w:rsidRPr="00361139">
              <w:rPr>
                <w:rFonts w:asciiTheme="majorBidi" w:hAnsiTheme="majorBidi" w:cstheme="majorBidi"/>
                <w:b/>
                <w:i/>
                <w:sz w:val="18"/>
                <w:szCs w:val="18"/>
              </w:rPr>
              <w:t>6</w:t>
            </w:r>
          </w:p>
        </w:tc>
        <w:tc>
          <w:tcPr>
            <w:tcW w:w="1418" w:type="dxa"/>
            <w:vAlign w:val="center"/>
          </w:tcPr>
          <w:p w14:paraId="2CD4797A" w14:textId="77777777" w:rsidR="0037512A" w:rsidRPr="00361139" w:rsidRDefault="0037512A" w:rsidP="008144F7">
            <w:pPr>
              <w:spacing w:before="120" w:after="120"/>
              <w:ind w:left="57" w:right="57"/>
              <w:jc w:val="right"/>
              <w:rPr>
                <w:rFonts w:asciiTheme="majorBidi" w:hAnsiTheme="majorBidi" w:cstheme="majorBidi"/>
                <w:b/>
                <w:i/>
                <w:sz w:val="18"/>
                <w:szCs w:val="18"/>
              </w:rPr>
            </w:pPr>
          </w:p>
        </w:tc>
      </w:tr>
      <w:tr w:rsidR="0037512A" w:rsidRPr="00361139" w14:paraId="2C4F31F8" w14:textId="77777777" w:rsidTr="008144F7">
        <w:trPr>
          <w:cantSplit/>
          <w:trHeight w:val="20"/>
        </w:trPr>
        <w:tc>
          <w:tcPr>
            <w:tcW w:w="9180" w:type="dxa"/>
            <w:gridSpan w:val="4"/>
            <w:shd w:val="clear" w:color="auto" w:fill="B6DDE8"/>
            <w:vAlign w:val="center"/>
            <w:hideMark/>
          </w:tcPr>
          <w:p w14:paraId="6A4320D3" w14:textId="77777777" w:rsidR="0037512A" w:rsidRPr="00361139" w:rsidRDefault="0037512A" w:rsidP="008144F7">
            <w:pPr>
              <w:spacing w:before="120" w:after="120"/>
              <w:ind w:left="57" w:right="57"/>
              <w:rPr>
                <w:rFonts w:asciiTheme="majorBidi" w:hAnsiTheme="majorBidi" w:cstheme="majorBidi"/>
                <w:sz w:val="18"/>
                <w:szCs w:val="18"/>
              </w:rPr>
            </w:pPr>
            <w:r w:rsidRPr="00361139">
              <w:rPr>
                <w:rFonts w:asciiTheme="majorBidi" w:hAnsiTheme="majorBidi" w:cstheme="majorBidi"/>
                <w:b/>
                <w:i/>
                <w:iCs/>
                <w:sz w:val="18"/>
                <w:szCs w:val="18"/>
              </w:rPr>
              <w:t>End of the survey</w:t>
            </w:r>
          </w:p>
        </w:tc>
      </w:tr>
    </w:tbl>
    <w:p w14:paraId="6E301177" w14:textId="77777777" w:rsidR="003C3FF7" w:rsidRPr="00361139" w:rsidRDefault="003C3FF7" w:rsidP="0037512A">
      <w:pPr>
        <w:pStyle w:val="Normal-pool"/>
        <w:rPr>
          <w:lang w:val="en-GB"/>
        </w:rPr>
      </w:pPr>
    </w:p>
    <w:p w14:paraId="1009D129" w14:textId="2A22C792" w:rsidR="007A1D24" w:rsidRPr="00361139" w:rsidRDefault="007A1D24" w:rsidP="00D83203">
      <w:pPr>
        <w:pStyle w:val="Normal-pool"/>
        <w:rPr>
          <w:lang w:val="en-GB"/>
        </w:rPr>
      </w:pPr>
      <w:r w:rsidRPr="00361139">
        <w:rPr>
          <w:lang w:val="en-GB"/>
        </w:rPr>
        <w:br w:type="page"/>
      </w:r>
    </w:p>
    <w:p w14:paraId="5A256B06" w14:textId="1528CD4F" w:rsidR="00CC73DD" w:rsidRPr="00361139" w:rsidRDefault="00245ACD" w:rsidP="00245ACD">
      <w:pPr>
        <w:pStyle w:val="CH1"/>
        <w:rPr>
          <w:lang w:val="en-GB"/>
        </w:rPr>
      </w:pPr>
      <w:bookmarkStart w:id="359" w:name="_Toc138845700"/>
      <w:bookmarkStart w:id="360" w:name="_Toc138845755"/>
      <w:bookmarkStart w:id="361" w:name="_Toc138847844"/>
      <w:r w:rsidRPr="00361139">
        <w:rPr>
          <w:lang w:val="en-GB"/>
        </w:rPr>
        <w:lastRenderedPageBreak/>
        <w:tab/>
      </w:r>
      <w:r w:rsidRPr="00361139">
        <w:rPr>
          <w:lang w:val="en-GB"/>
        </w:rPr>
        <w:tab/>
      </w:r>
      <w:bookmarkStart w:id="362" w:name="_Toc139975485"/>
      <w:bookmarkStart w:id="363" w:name="_Toc139976240"/>
      <w:bookmarkStart w:id="364" w:name="_Toc139982256"/>
      <w:bookmarkStart w:id="365" w:name="_Toc139983968"/>
      <w:bookmarkStart w:id="366" w:name="_Toc139984208"/>
      <w:r w:rsidR="00CC73DD" w:rsidRPr="00361139">
        <w:rPr>
          <w:lang w:val="en-GB"/>
        </w:rPr>
        <w:t>Annex 5</w:t>
      </w:r>
      <w:r w:rsidRPr="00361139">
        <w:rPr>
          <w:lang w:val="en-GB"/>
        </w:rPr>
        <w:t xml:space="preserve"> - </w:t>
      </w:r>
      <w:bookmarkStart w:id="367" w:name="_Toc499035640"/>
      <w:r w:rsidR="00CC73DD" w:rsidRPr="00361139">
        <w:rPr>
          <w:lang w:val="en-GB"/>
        </w:rPr>
        <w:t>People consulted during the</w:t>
      </w:r>
      <w:bookmarkEnd w:id="367"/>
      <w:r w:rsidR="00CC73DD" w:rsidRPr="00361139">
        <w:rPr>
          <w:lang w:val="en-GB"/>
        </w:rPr>
        <w:t xml:space="preserve"> </w:t>
      </w:r>
      <w:proofErr w:type="gramStart"/>
      <w:r w:rsidR="00CC73DD" w:rsidRPr="00361139">
        <w:rPr>
          <w:lang w:val="en-GB"/>
        </w:rPr>
        <w:t>review</w:t>
      </w:r>
      <w:bookmarkEnd w:id="356"/>
      <w:bookmarkEnd w:id="357"/>
      <w:bookmarkEnd w:id="359"/>
      <w:bookmarkEnd w:id="360"/>
      <w:bookmarkEnd w:id="361"/>
      <w:bookmarkEnd w:id="362"/>
      <w:bookmarkEnd w:id="363"/>
      <w:bookmarkEnd w:id="364"/>
      <w:bookmarkEnd w:id="365"/>
      <w:bookmarkEnd w:id="366"/>
      <w:proofErr w:type="gramEnd"/>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3096"/>
        <w:gridCol w:w="1576"/>
        <w:gridCol w:w="3635"/>
      </w:tblGrid>
      <w:tr w:rsidR="00CC73DD" w:rsidRPr="00361139" w14:paraId="2F090E2F" w14:textId="77777777" w:rsidTr="000349C3">
        <w:trPr>
          <w:cantSplit/>
          <w:trHeight w:val="57"/>
          <w:tblHeader/>
          <w:jc w:val="right"/>
        </w:trPr>
        <w:tc>
          <w:tcPr>
            <w:tcW w:w="3096" w:type="dxa"/>
            <w:shd w:val="clear" w:color="auto" w:fill="B6DDE8"/>
          </w:tcPr>
          <w:p w14:paraId="6887BC63" w14:textId="77777777" w:rsidR="00CC73DD" w:rsidRPr="00361139" w:rsidRDefault="00CC73DD" w:rsidP="00B70ED8">
            <w:pPr>
              <w:pStyle w:val="Normal-pool-Table"/>
              <w:rPr>
                <w:b/>
                <w:bCs/>
                <w:i/>
                <w:iCs/>
                <w:szCs w:val="18"/>
                <w:lang w:val="en-GB"/>
              </w:rPr>
            </w:pPr>
            <w:r w:rsidRPr="00361139">
              <w:rPr>
                <w:b/>
                <w:bCs/>
                <w:i/>
                <w:iCs/>
                <w:szCs w:val="18"/>
                <w:lang w:val="en-GB"/>
              </w:rPr>
              <w:t>Organization</w:t>
            </w:r>
          </w:p>
        </w:tc>
        <w:tc>
          <w:tcPr>
            <w:tcW w:w="0" w:type="auto"/>
            <w:shd w:val="clear" w:color="auto" w:fill="B6DDE8"/>
          </w:tcPr>
          <w:p w14:paraId="3A5321CB" w14:textId="77777777" w:rsidR="00CC73DD" w:rsidRPr="00361139" w:rsidRDefault="00CC73DD" w:rsidP="00B70ED8">
            <w:pPr>
              <w:pStyle w:val="Normal-pool-Table"/>
              <w:rPr>
                <w:b/>
                <w:bCs/>
                <w:i/>
                <w:iCs/>
                <w:szCs w:val="18"/>
                <w:lang w:val="en-GB"/>
              </w:rPr>
            </w:pPr>
            <w:r w:rsidRPr="00361139">
              <w:rPr>
                <w:b/>
                <w:bCs/>
                <w:i/>
                <w:iCs/>
                <w:szCs w:val="18"/>
                <w:lang w:val="en-GB"/>
              </w:rPr>
              <w:t>Name</w:t>
            </w:r>
          </w:p>
        </w:tc>
        <w:tc>
          <w:tcPr>
            <w:tcW w:w="0" w:type="auto"/>
            <w:shd w:val="clear" w:color="auto" w:fill="B6DDE8"/>
          </w:tcPr>
          <w:p w14:paraId="22443DF1" w14:textId="77777777" w:rsidR="00CC73DD" w:rsidRPr="00361139" w:rsidRDefault="00CC73DD" w:rsidP="00B70ED8">
            <w:pPr>
              <w:pStyle w:val="Normal-pool-Table"/>
              <w:rPr>
                <w:b/>
                <w:bCs/>
                <w:i/>
                <w:iCs/>
                <w:szCs w:val="18"/>
                <w:lang w:val="en-GB"/>
              </w:rPr>
            </w:pPr>
            <w:r w:rsidRPr="00361139">
              <w:rPr>
                <w:b/>
                <w:bCs/>
                <w:i/>
                <w:iCs/>
                <w:szCs w:val="18"/>
                <w:lang w:val="en-GB"/>
              </w:rPr>
              <w:t>Position</w:t>
            </w:r>
          </w:p>
        </w:tc>
      </w:tr>
      <w:tr w:rsidR="00CC73DD" w:rsidRPr="00361139" w14:paraId="06A38DC0" w14:textId="77777777" w:rsidTr="000349C3">
        <w:trPr>
          <w:cantSplit/>
          <w:trHeight w:val="57"/>
          <w:jc w:val="right"/>
        </w:trPr>
        <w:tc>
          <w:tcPr>
            <w:tcW w:w="3096" w:type="dxa"/>
            <w:shd w:val="clear" w:color="auto" w:fill="auto"/>
          </w:tcPr>
          <w:p w14:paraId="0971ED6E" w14:textId="77777777" w:rsidR="00CC73DD" w:rsidRPr="00361139" w:rsidRDefault="00CC73DD" w:rsidP="00B70ED8">
            <w:pPr>
              <w:pStyle w:val="Normal-pool-Table"/>
              <w:rPr>
                <w:szCs w:val="18"/>
                <w:lang w:val="en-GB"/>
              </w:rPr>
            </w:pPr>
            <w:r w:rsidRPr="00361139">
              <w:rPr>
                <w:szCs w:val="18"/>
                <w:lang w:val="en-GB"/>
              </w:rPr>
              <w:t>Argentina, National Institute of Industrial technology</w:t>
            </w:r>
          </w:p>
        </w:tc>
        <w:tc>
          <w:tcPr>
            <w:tcW w:w="0" w:type="auto"/>
          </w:tcPr>
          <w:p w14:paraId="72AE4BF5" w14:textId="77777777" w:rsidR="00CC73DD" w:rsidRPr="00361139" w:rsidRDefault="00CC73DD" w:rsidP="00B70ED8">
            <w:pPr>
              <w:pStyle w:val="Normal-pool-Table"/>
              <w:rPr>
                <w:szCs w:val="18"/>
                <w:lang w:val="en-GB"/>
              </w:rPr>
            </w:pPr>
            <w:r w:rsidRPr="00361139">
              <w:rPr>
                <w:szCs w:val="18"/>
                <w:lang w:val="en-GB"/>
              </w:rPr>
              <w:t xml:space="preserve">Ms. Leila </w:t>
            </w:r>
            <w:proofErr w:type="spellStart"/>
            <w:r w:rsidRPr="00361139">
              <w:rPr>
                <w:szCs w:val="18"/>
                <w:lang w:val="en-GB"/>
              </w:rPr>
              <w:t>Devia</w:t>
            </w:r>
            <w:proofErr w:type="spellEnd"/>
          </w:p>
        </w:tc>
        <w:tc>
          <w:tcPr>
            <w:tcW w:w="0" w:type="auto"/>
            <w:shd w:val="clear" w:color="auto" w:fill="auto"/>
          </w:tcPr>
          <w:p w14:paraId="23A4DC48" w14:textId="77777777" w:rsidR="00CC73DD" w:rsidRPr="00361139" w:rsidRDefault="00CC73DD" w:rsidP="00B70ED8">
            <w:pPr>
              <w:pStyle w:val="Normal-pool-Table"/>
              <w:rPr>
                <w:szCs w:val="18"/>
                <w:lang w:val="en-GB"/>
              </w:rPr>
            </w:pPr>
            <w:r w:rsidRPr="00361139">
              <w:rPr>
                <w:szCs w:val="18"/>
                <w:lang w:val="en-GB"/>
              </w:rPr>
              <w:t>Director</w:t>
            </w:r>
          </w:p>
        </w:tc>
      </w:tr>
      <w:tr w:rsidR="00CC73DD" w:rsidRPr="00361139" w14:paraId="7B5339CF" w14:textId="77777777" w:rsidTr="000349C3">
        <w:trPr>
          <w:cantSplit/>
          <w:trHeight w:val="57"/>
          <w:jc w:val="right"/>
        </w:trPr>
        <w:tc>
          <w:tcPr>
            <w:tcW w:w="3096" w:type="dxa"/>
            <w:shd w:val="clear" w:color="auto" w:fill="auto"/>
          </w:tcPr>
          <w:p w14:paraId="4B81BF30" w14:textId="77777777" w:rsidR="00CC73DD" w:rsidRPr="00361139" w:rsidRDefault="00CC73DD" w:rsidP="00B70ED8">
            <w:pPr>
              <w:pStyle w:val="Normal-pool-Table"/>
              <w:rPr>
                <w:rFonts w:eastAsia="Batang"/>
                <w:bCs/>
                <w:szCs w:val="18"/>
                <w:lang w:val="en-GB" w:eastAsia="en-GB"/>
              </w:rPr>
            </w:pPr>
            <w:r w:rsidRPr="00361139">
              <w:rPr>
                <w:rFonts w:eastAsia="Batang"/>
                <w:bCs/>
                <w:szCs w:val="18"/>
                <w:lang w:val="en-GB" w:eastAsia="en-GB"/>
              </w:rPr>
              <w:t>Argentina, Secretariat of Control and Environmental Monitoring</w:t>
            </w:r>
          </w:p>
        </w:tc>
        <w:tc>
          <w:tcPr>
            <w:tcW w:w="0" w:type="auto"/>
          </w:tcPr>
          <w:p w14:paraId="4B90765E" w14:textId="77777777" w:rsidR="00CC73DD" w:rsidRPr="00361139" w:rsidRDefault="00CC73DD" w:rsidP="00B70ED8">
            <w:pPr>
              <w:pStyle w:val="Normal-pool-Table"/>
              <w:rPr>
                <w:szCs w:val="18"/>
                <w:lang w:val="en-GB"/>
              </w:rPr>
            </w:pPr>
            <w:r w:rsidRPr="00361139">
              <w:rPr>
                <w:szCs w:val="18"/>
                <w:lang w:val="en-GB"/>
              </w:rPr>
              <w:t>Ms. Alejandra Acosta</w:t>
            </w:r>
          </w:p>
        </w:tc>
        <w:tc>
          <w:tcPr>
            <w:tcW w:w="0" w:type="auto"/>
            <w:shd w:val="clear" w:color="auto" w:fill="auto"/>
          </w:tcPr>
          <w:p w14:paraId="0019DD80" w14:textId="77777777" w:rsidR="00CC73DD" w:rsidRPr="00361139" w:rsidRDefault="00CC73DD" w:rsidP="00B70ED8">
            <w:pPr>
              <w:pStyle w:val="Normal-pool-Table"/>
              <w:rPr>
                <w:szCs w:val="18"/>
                <w:lang w:val="en-GB"/>
              </w:rPr>
            </w:pPr>
            <w:r w:rsidRPr="00361139">
              <w:rPr>
                <w:szCs w:val="18"/>
                <w:lang w:val="en-GB"/>
              </w:rPr>
              <w:t>Former Director, Directorate of Chemicals Substances and Products</w:t>
            </w:r>
          </w:p>
        </w:tc>
      </w:tr>
      <w:tr w:rsidR="00CC73DD" w:rsidRPr="00361139" w14:paraId="74C7A9BD" w14:textId="77777777" w:rsidTr="000349C3">
        <w:trPr>
          <w:cantSplit/>
          <w:trHeight w:val="57"/>
          <w:jc w:val="right"/>
        </w:trPr>
        <w:tc>
          <w:tcPr>
            <w:tcW w:w="3096" w:type="dxa"/>
            <w:shd w:val="clear" w:color="auto" w:fill="auto"/>
          </w:tcPr>
          <w:p w14:paraId="42DDB0E3" w14:textId="77777777" w:rsidR="00CC73DD" w:rsidRPr="00361139" w:rsidRDefault="00CC73DD" w:rsidP="00B70ED8">
            <w:pPr>
              <w:pStyle w:val="Normal-pool-Table"/>
              <w:rPr>
                <w:szCs w:val="18"/>
                <w:lang w:val="en-GB"/>
              </w:rPr>
            </w:pPr>
            <w:r w:rsidRPr="00361139">
              <w:rPr>
                <w:szCs w:val="18"/>
                <w:lang w:val="en-GB"/>
              </w:rPr>
              <w:t>European Environmental Bureau (EEB)</w:t>
            </w:r>
          </w:p>
        </w:tc>
        <w:tc>
          <w:tcPr>
            <w:tcW w:w="0" w:type="auto"/>
          </w:tcPr>
          <w:p w14:paraId="4DD7D14D" w14:textId="77777777" w:rsidR="00CC73DD" w:rsidRPr="00361139" w:rsidRDefault="00CC73DD" w:rsidP="00B70ED8">
            <w:pPr>
              <w:pStyle w:val="Normal-pool-Table"/>
              <w:rPr>
                <w:szCs w:val="18"/>
                <w:lang w:val="en-GB"/>
              </w:rPr>
            </w:pPr>
            <w:r w:rsidRPr="00361139">
              <w:rPr>
                <w:szCs w:val="18"/>
                <w:lang w:val="en-GB"/>
              </w:rPr>
              <w:t xml:space="preserve">Ms. Elena </w:t>
            </w:r>
            <w:proofErr w:type="spellStart"/>
            <w:r w:rsidRPr="00361139">
              <w:rPr>
                <w:szCs w:val="18"/>
                <w:lang w:val="en-GB"/>
              </w:rPr>
              <w:t>Lymberidi-Settimo</w:t>
            </w:r>
            <w:proofErr w:type="spellEnd"/>
          </w:p>
        </w:tc>
        <w:tc>
          <w:tcPr>
            <w:tcW w:w="0" w:type="auto"/>
            <w:shd w:val="clear" w:color="auto" w:fill="auto"/>
          </w:tcPr>
          <w:p w14:paraId="6B8552D5" w14:textId="77777777" w:rsidR="00CC73DD" w:rsidRPr="00361139" w:rsidRDefault="00CC73DD" w:rsidP="00B70ED8">
            <w:pPr>
              <w:pStyle w:val="Normal-pool-Table"/>
              <w:rPr>
                <w:szCs w:val="18"/>
                <w:lang w:val="en-GB"/>
              </w:rPr>
            </w:pPr>
            <w:r w:rsidRPr="00361139">
              <w:rPr>
                <w:szCs w:val="18"/>
                <w:lang w:val="en-GB"/>
              </w:rPr>
              <w:t>Policy Manager for 'Zero Mercury' Campaign</w:t>
            </w:r>
          </w:p>
        </w:tc>
      </w:tr>
      <w:tr w:rsidR="00CC73DD" w:rsidRPr="00361139" w14:paraId="20DC4E23" w14:textId="77777777" w:rsidTr="000349C3">
        <w:trPr>
          <w:cantSplit/>
          <w:trHeight w:val="57"/>
          <w:jc w:val="right"/>
        </w:trPr>
        <w:tc>
          <w:tcPr>
            <w:tcW w:w="3096" w:type="dxa"/>
            <w:shd w:val="clear" w:color="auto" w:fill="auto"/>
          </w:tcPr>
          <w:p w14:paraId="2AC7BB50" w14:textId="77777777" w:rsidR="00CC73DD" w:rsidRPr="00361139" w:rsidRDefault="00CC73DD" w:rsidP="00B70ED8">
            <w:pPr>
              <w:pStyle w:val="Normal-pool-Table"/>
              <w:rPr>
                <w:szCs w:val="18"/>
                <w:lang w:val="en-GB"/>
              </w:rPr>
            </w:pPr>
            <w:r w:rsidRPr="00361139">
              <w:rPr>
                <w:szCs w:val="18"/>
                <w:lang w:val="en-GB"/>
              </w:rPr>
              <w:t>GEF Independent Evaluation Office (IEO)</w:t>
            </w:r>
          </w:p>
        </w:tc>
        <w:tc>
          <w:tcPr>
            <w:tcW w:w="0" w:type="auto"/>
          </w:tcPr>
          <w:p w14:paraId="4B69A515" w14:textId="77777777" w:rsidR="00CC73DD" w:rsidRPr="00361139" w:rsidRDefault="00CC73DD" w:rsidP="00B70ED8">
            <w:pPr>
              <w:pStyle w:val="Normal-pool-Table"/>
              <w:rPr>
                <w:szCs w:val="18"/>
                <w:lang w:val="en-GB"/>
              </w:rPr>
            </w:pPr>
            <w:r w:rsidRPr="00361139">
              <w:rPr>
                <w:szCs w:val="18"/>
                <w:lang w:val="en-GB"/>
              </w:rPr>
              <w:t xml:space="preserve">Mr. Gabriel </w:t>
            </w:r>
            <w:proofErr w:type="spellStart"/>
            <w:r w:rsidRPr="00361139">
              <w:rPr>
                <w:szCs w:val="18"/>
                <w:lang w:val="en-GB"/>
              </w:rPr>
              <w:t>Sidman</w:t>
            </w:r>
            <w:proofErr w:type="spellEnd"/>
            <w:r w:rsidRPr="00361139">
              <w:rPr>
                <w:szCs w:val="18"/>
                <w:lang w:val="en-GB"/>
              </w:rPr>
              <w:t xml:space="preserve"> </w:t>
            </w:r>
          </w:p>
        </w:tc>
        <w:tc>
          <w:tcPr>
            <w:tcW w:w="0" w:type="auto"/>
            <w:shd w:val="clear" w:color="auto" w:fill="auto"/>
          </w:tcPr>
          <w:p w14:paraId="2EEEF93C" w14:textId="77777777" w:rsidR="00CC73DD" w:rsidRPr="00361139" w:rsidRDefault="00CC73DD" w:rsidP="00B70ED8">
            <w:pPr>
              <w:pStyle w:val="Normal-pool-Table"/>
              <w:rPr>
                <w:szCs w:val="18"/>
                <w:lang w:val="en-GB"/>
              </w:rPr>
            </w:pPr>
            <w:r w:rsidRPr="00361139">
              <w:rPr>
                <w:szCs w:val="18"/>
                <w:lang w:val="en-GB"/>
              </w:rPr>
              <w:t>Evaluation Officer</w:t>
            </w:r>
          </w:p>
        </w:tc>
      </w:tr>
      <w:tr w:rsidR="00CC73DD" w:rsidRPr="00361139" w14:paraId="49754827" w14:textId="77777777" w:rsidTr="000349C3">
        <w:trPr>
          <w:cantSplit/>
          <w:trHeight w:val="57"/>
          <w:jc w:val="right"/>
        </w:trPr>
        <w:tc>
          <w:tcPr>
            <w:tcW w:w="3096" w:type="dxa"/>
            <w:shd w:val="clear" w:color="auto" w:fill="auto"/>
          </w:tcPr>
          <w:p w14:paraId="3EAE584D" w14:textId="77777777" w:rsidR="00CC73DD" w:rsidRPr="00361139" w:rsidRDefault="00CC73DD" w:rsidP="00B70ED8">
            <w:pPr>
              <w:pStyle w:val="Normal-pool-Table"/>
              <w:rPr>
                <w:szCs w:val="18"/>
                <w:lang w:val="en-GB"/>
              </w:rPr>
            </w:pPr>
            <w:r w:rsidRPr="00361139">
              <w:rPr>
                <w:szCs w:val="18"/>
                <w:lang w:val="en-GB"/>
              </w:rPr>
              <w:t>GEF Secretariat</w:t>
            </w:r>
          </w:p>
        </w:tc>
        <w:tc>
          <w:tcPr>
            <w:tcW w:w="0" w:type="auto"/>
          </w:tcPr>
          <w:p w14:paraId="417E55AB" w14:textId="77777777" w:rsidR="00CC73DD" w:rsidRPr="00361139" w:rsidRDefault="00CC73DD" w:rsidP="00B70ED8">
            <w:pPr>
              <w:pStyle w:val="Normal-pool-Table"/>
              <w:rPr>
                <w:szCs w:val="18"/>
                <w:lang w:val="en-GB"/>
              </w:rPr>
            </w:pPr>
            <w:r w:rsidRPr="00361139">
              <w:rPr>
                <w:szCs w:val="18"/>
                <w:lang w:val="en-GB"/>
              </w:rPr>
              <w:t>Mr. Anil Sookdeo</w:t>
            </w:r>
          </w:p>
        </w:tc>
        <w:tc>
          <w:tcPr>
            <w:tcW w:w="0" w:type="auto"/>
            <w:shd w:val="clear" w:color="auto" w:fill="auto"/>
          </w:tcPr>
          <w:p w14:paraId="26A956D7" w14:textId="77777777" w:rsidR="00CC73DD" w:rsidRPr="00361139" w:rsidRDefault="00CC73DD" w:rsidP="00B70ED8">
            <w:pPr>
              <w:pStyle w:val="Normal-pool-Table"/>
              <w:rPr>
                <w:szCs w:val="18"/>
                <w:lang w:val="en-GB"/>
              </w:rPr>
            </w:pPr>
            <w:r w:rsidRPr="00361139">
              <w:rPr>
                <w:szCs w:val="18"/>
                <w:lang w:val="en-GB"/>
              </w:rPr>
              <w:t>Senior Environmental Specialist, Programs Unit;</w:t>
            </w:r>
            <w:r w:rsidRPr="00361139">
              <w:rPr>
                <w:szCs w:val="18"/>
                <w:lang w:val="en-GB"/>
              </w:rPr>
              <w:br/>
              <w:t>Chemicals and Waste Coordinator</w:t>
            </w:r>
          </w:p>
        </w:tc>
      </w:tr>
      <w:tr w:rsidR="00CC73DD" w:rsidRPr="00361139" w14:paraId="422D72E5" w14:textId="77777777" w:rsidTr="000349C3">
        <w:trPr>
          <w:cantSplit/>
          <w:trHeight w:val="57"/>
          <w:jc w:val="right"/>
        </w:trPr>
        <w:tc>
          <w:tcPr>
            <w:tcW w:w="3096" w:type="dxa"/>
            <w:shd w:val="clear" w:color="auto" w:fill="auto"/>
          </w:tcPr>
          <w:p w14:paraId="335DD609" w14:textId="77777777" w:rsidR="00CC73DD" w:rsidRPr="00361139" w:rsidRDefault="00CC73DD" w:rsidP="00B70ED8">
            <w:pPr>
              <w:pStyle w:val="Normal-pool-Table"/>
              <w:rPr>
                <w:szCs w:val="18"/>
                <w:lang w:val="en-GB"/>
              </w:rPr>
            </w:pPr>
            <w:r w:rsidRPr="00361139">
              <w:rPr>
                <w:szCs w:val="18"/>
                <w:lang w:val="en-GB"/>
              </w:rPr>
              <w:t>GEF Secretariat</w:t>
            </w:r>
          </w:p>
        </w:tc>
        <w:tc>
          <w:tcPr>
            <w:tcW w:w="0" w:type="auto"/>
          </w:tcPr>
          <w:p w14:paraId="31E8F741" w14:textId="77777777" w:rsidR="00CC73DD" w:rsidRPr="00361139" w:rsidRDefault="00CC73DD" w:rsidP="00B70ED8">
            <w:pPr>
              <w:pStyle w:val="Normal-pool-Table"/>
              <w:rPr>
                <w:szCs w:val="18"/>
                <w:lang w:val="en-GB"/>
              </w:rPr>
            </w:pPr>
            <w:r w:rsidRPr="00361139">
              <w:rPr>
                <w:szCs w:val="18"/>
                <w:lang w:val="en-GB"/>
              </w:rPr>
              <w:t>Mr. Yuki Shiga</w:t>
            </w:r>
          </w:p>
        </w:tc>
        <w:tc>
          <w:tcPr>
            <w:tcW w:w="0" w:type="auto"/>
            <w:shd w:val="clear" w:color="auto" w:fill="auto"/>
          </w:tcPr>
          <w:p w14:paraId="5162463D" w14:textId="77777777" w:rsidR="00CC73DD" w:rsidRPr="00361139" w:rsidRDefault="00CC73DD" w:rsidP="00B70ED8">
            <w:pPr>
              <w:pStyle w:val="Normal-pool-Table"/>
              <w:rPr>
                <w:szCs w:val="18"/>
                <w:lang w:val="en-GB"/>
              </w:rPr>
            </w:pPr>
            <w:r w:rsidRPr="00361139">
              <w:rPr>
                <w:szCs w:val="18"/>
                <w:lang w:val="en-GB"/>
              </w:rPr>
              <w:t>Environmental Specialist, Programs Unit</w:t>
            </w:r>
          </w:p>
        </w:tc>
      </w:tr>
      <w:tr w:rsidR="00CC73DD" w:rsidRPr="00361139" w14:paraId="4FAAE0A5" w14:textId="77777777" w:rsidTr="000349C3">
        <w:trPr>
          <w:cantSplit/>
          <w:trHeight w:val="57"/>
          <w:jc w:val="right"/>
        </w:trPr>
        <w:tc>
          <w:tcPr>
            <w:tcW w:w="3096" w:type="dxa"/>
            <w:shd w:val="clear" w:color="auto" w:fill="auto"/>
          </w:tcPr>
          <w:p w14:paraId="649D81C6" w14:textId="77777777" w:rsidR="00CC73DD" w:rsidRPr="00361139" w:rsidRDefault="00CC73DD" w:rsidP="00B70ED8">
            <w:pPr>
              <w:pStyle w:val="Normal-pool-Table"/>
              <w:rPr>
                <w:szCs w:val="18"/>
                <w:lang w:val="en-GB"/>
              </w:rPr>
            </w:pPr>
            <w:r w:rsidRPr="00361139">
              <w:rPr>
                <w:szCs w:val="18"/>
                <w:lang w:val="en-GB"/>
              </w:rPr>
              <w:t>Guyana, Ministry of Natural Resources</w:t>
            </w:r>
          </w:p>
        </w:tc>
        <w:tc>
          <w:tcPr>
            <w:tcW w:w="0" w:type="auto"/>
          </w:tcPr>
          <w:p w14:paraId="098866D2" w14:textId="77777777" w:rsidR="00CC73DD" w:rsidRPr="00361139" w:rsidRDefault="00CC73DD" w:rsidP="00B70ED8">
            <w:pPr>
              <w:pStyle w:val="Normal-pool-Table"/>
              <w:rPr>
                <w:szCs w:val="18"/>
                <w:lang w:val="en-GB"/>
              </w:rPr>
            </w:pPr>
            <w:r w:rsidRPr="00361139">
              <w:rPr>
                <w:szCs w:val="18"/>
                <w:lang w:val="en-GB"/>
              </w:rPr>
              <w:t>Ms. Michelle Astwood</w:t>
            </w:r>
          </w:p>
        </w:tc>
        <w:tc>
          <w:tcPr>
            <w:tcW w:w="0" w:type="auto"/>
            <w:shd w:val="clear" w:color="auto" w:fill="auto"/>
          </w:tcPr>
          <w:p w14:paraId="50DD2A41" w14:textId="77777777" w:rsidR="00CC73DD" w:rsidRPr="00361139" w:rsidRDefault="00CC73DD" w:rsidP="00B70ED8">
            <w:pPr>
              <w:pStyle w:val="Normal-pool-Table"/>
              <w:rPr>
                <w:szCs w:val="18"/>
                <w:lang w:val="en-GB"/>
              </w:rPr>
            </w:pPr>
            <w:r w:rsidRPr="00361139">
              <w:rPr>
                <w:szCs w:val="18"/>
                <w:lang w:val="en-GB"/>
              </w:rPr>
              <w:t>MC National Focal Point; Environmental Specialist</w:t>
            </w:r>
          </w:p>
        </w:tc>
      </w:tr>
      <w:tr w:rsidR="00CC73DD" w:rsidRPr="00361139" w14:paraId="2D1E45D3" w14:textId="77777777" w:rsidTr="000349C3">
        <w:trPr>
          <w:cantSplit/>
          <w:trHeight w:val="57"/>
          <w:jc w:val="right"/>
        </w:trPr>
        <w:tc>
          <w:tcPr>
            <w:tcW w:w="3096" w:type="dxa"/>
            <w:shd w:val="clear" w:color="auto" w:fill="auto"/>
          </w:tcPr>
          <w:p w14:paraId="6978FC65" w14:textId="77777777" w:rsidR="00CC73DD" w:rsidRPr="00361139" w:rsidRDefault="00CC73DD" w:rsidP="00B70ED8">
            <w:pPr>
              <w:pStyle w:val="Normal-pool-Table"/>
              <w:rPr>
                <w:szCs w:val="18"/>
                <w:lang w:val="en-GB"/>
              </w:rPr>
            </w:pPr>
            <w:r w:rsidRPr="00361139">
              <w:rPr>
                <w:szCs w:val="18"/>
                <w:lang w:val="en-GB"/>
              </w:rPr>
              <w:t>Japan, Ministry of Foreign Affairs</w:t>
            </w:r>
          </w:p>
        </w:tc>
        <w:tc>
          <w:tcPr>
            <w:tcW w:w="0" w:type="auto"/>
          </w:tcPr>
          <w:p w14:paraId="6177A274" w14:textId="77777777" w:rsidR="00CC73DD" w:rsidRPr="00361139" w:rsidRDefault="00CC73DD" w:rsidP="00B70ED8">
            <w:pPr>
              <w:pStyle w:val="Normal-pool-Table"/>
              <w:rPr>
                <w:szCs w:val="18"/>
                <w:lang w:val="en-GB"/>
              </w:rPr>
            </w:pPr>
            <w:r w:rsidRPr="00361139">
              <w:rPr>
                <w:szCs w:val="18"/>
                <w:lang w:val="en-GB"/>
              </w:rPr>
              <w:t>Ms. Momoko Satoh</w:t>
            </w:r>
          </w:p>
        </w:tc>
        <w:tc>
          <w:tcPr>
            <w:tcW w:w="0" w:type="auto"/>
            <w:shd w:val="clear" w:color="auto" w:fill="auto"/>
          </w:tcPr>
          <w:p w14:paraId="45A02E55" w14:textId="77777777" w:rsidR="00CC73DD" w:rsidRPr="00361139" w:rsidRDefault="00CC73DD" w:rsidP="00B70ED8">
            <w:pPr>
              <w:pStyle w:val="Normal-pool-Table"/>
              <w:rPr>
                <w:szCs w:val="18"/>
                <w:lang w:val="en-GB"/>
              </w:rPr>
            </w:pPr>
            <w:r w:rsidRPr="00361139">
              <w:rPr>
                <w:szCs w:val="18"/>
                <w:lang w:val="en-GB"/>
              </w:rPr>
              <w:t>MC National Focal Point;</w:t>
            </w:r>
            <w:r w:rsidRPr="00361139">
              <w:rPr>
                <w:szCs w:val="18"/>
                <w:lang w:val="en-GB"/>
              </w:rPr>
              <w:br/>
              <w:t>Official, Global Environment Division, International Cooperation Bureau</w:t>
            </w:r>
          </w:p>
        </w:tc>
      </w:tr>
      <w:tr w:rsidR="00CC73DD" w:rsidRPr="00361139" w14:paraId="782472D6" w14:textId="77777777" w:rsidTr="000349C3">
        <w:trPr>
          <w:cantSplit/>
          <w:trHeight w:val="57"/>
          <w:jc w:val="right"/>
        </w:trPr>
        <w:tc>
          <w:tcPr>
            <w:tcW w:w="3096" w:type="dxa"/>
            <w:shd w:val="clear" w:color="auto" w:fill="auto"/>
          </w:tcPr>
          <w:p w14:paraId="7D698C69" w14:textId="77777777" w:rsidR="00CC73DD" w:rsidRPr="00361139" w:rsidRDefault="00CC73DD" w:rsidP="00B70ED8">
            <w:pPr>
              <w:pStyle w:val="Normal-pool-Table"/>
              <w:rPr>
                <w:szCs w:val="18"/>
                <w:lang w:val="en-GB"/>
              </w:rPr>
            </w:pPr>
            <w:r w:rsidRPr="00361139">
              <w:rPr>
                <w:szCs w:val="18"/>
                <w:lang w:val="en-GB"/>
              </w:rPr>
              <w:t>Lesotho, Ministry of Tourism, Environment and Culture</w:t>
            </w:r>
          </w:p>
        </w:tc>
        <w:tc>
          <w:tcPr>
            <w:tcW w:w="0" w:type="auto"/>
          </w:tcPr>
          <w:p w14:paraId="553C9367" w14:textId="77777777" w:rsidR="00CC73DD" w:rsidRPr="00361139" w:rsidRDefault="00CC73DD" w:rsidP="00B70ED8">
            <w:pPr>
              <w:pStyle w:val="Normal-pool-Table"/>
              <w:rPr>
                <w:szCs w:val="18"/>
                <w:lang w:val="en-GB"/>
              </w:rPr>
            </w:pPr>
            <w:r w:rsidRPr="00361139">
              <w:rPr>
                <w:szCs w:val="18"/>
                <w:lang w:val="en-GB"/>
              </w:rPr>
              <w:t xml:space="preserve">Ms. </w:t>
            </w:r>
            <w:proofErr w:type="spellStart"/>
            <w:r w:rsidRPr="00361139">
              <w:rPr>
                <w:szCs w:val="18"/>
                <w:lang w:val="en-GB"/>
              </w:rPr>
              <w:t>Moleboheng</w:t>
            </w:r>
            <w:proofErr w:type="spellEnd"/>
            <w:r w:rsidRPr="00361139">
              <w:rPr>
                <w:szCs w:val="18"/>
                <w:lang w:val="en-GB"/>
              </w:rPr>
              <w:t xml:space="preserve"> Juliet </w:t>
            </w:r>
            <w:proofErr w:type="spellStart"/>
            <w:r w:rsidRPr="00361139">
              <w:rPr>
                <w:szCs w:val="18"/>
                <w:lang w:val="en-GB"/>
              </w:rPr>
              <w:t>Petlane</w:t>
            </w:r>
            <w:proofErr w:type="spellEnd"/>
            <w:r w:rsidRPr="00361139">
              <w:rPr>
                <w:szCs w:val="18"/>
                <w:lang w:val="en-GB"/>
              </w:rPr>
              <w:t xml:space="preserve">, </w:t>
            </w:r>
          </w:p>
        </w:tc>
        <w:tc>
          <w:tcPr>
            <w:tcW w:w="0" w:type="auto"/>
            <w:shd w:val="clear" w:color="auto" w:fill="auto"/>
          </w:tcPr>
          <w:p w14:paraId="0FEFA89E" w14:textId="77777777" w:rsidR="00CC73DD" w:rsidRPr="00361139" w:rsidRDefault="00CC73DD" w:rsidP="00B70ED8">
            <w:pPr>
              <w:pStyle w:val="Normal-pool-Table"/>
              <w:rPr>
                <w:szCs w:val="18"/>
                <w:lang w:val="en-GB"/>
              </w:rPr>
            </w:pPr>
            <w:r w:rsidRPr="00361139">
              <w:rPr>
                <w:szCs w:val="18"/>
                <w:lang w:val="en-GB"/>
              </w:rPr>
              <w:t>MC National Focal Point; Environment Officer</w:t>
            </w:r>
          </w:p>
        </w:tc>
      </w:tr>
      <w:tr w:rsidR="00CC73DD" w:rsidRPr="00361139" w14:paraId="48165BB1" w14:textId="77777777" w:rsidTr="000349C3">
        <w:trPr>
          <w:cantSplit/>
          <w:trHeight w:val="57"/>
          <w:jc w:val="right"/>
        </w:trPr>
        <w:tc>
          <w:tcPr>
            <w:tcW w:w="3096" w:type="dxa"/>
            <w:shd w:val="clear" w:color="auto" w:fill="auto"/>
          </w:tcPr>
          <w:p w14:paraId="295679D9" w14:textId="77777777" w:rsidR="00CC73DD" w:rsidRPr="00361139" w:rsidRDefault="00CC73DD" w:rsidP="00B70ED8">
            <w:pPr>
              <w:pStyle w:val="Normal-pool-Table"/>
              <w:rPr>
                <w:szCs w:val="18"/>
                <w:lang w:val="en-GB"/>
              </w:rPr>
            </w:pPr>
            <w:r w:rsidRPr="00361139">
              <w:rPr>
                <w:szCs w:val="18"/>
                <w:lang w:val="en-GB"/>
              </w:rPr>
              <w:t>Moldova, Ministry of Environment</w:t>
            </w:r>
          </w:p>
        </w:tc>
        <w:tc>
          <w:tcPr>
            <w:tcW w:w="0" w:type="auto"/>
          </w:tcPr>
          <w:p w14:paraId="758D4847" w14:textId="77777777" w:rsidR="00CC73DD" w:rsidRPr="00361139" w:rsidRDefault="00CC73DD" w:rsidP="00B70ED8">
            <w:pPr>
              <w:pStyle w:val="Normal-pool-Table"/>
              <w:rPr>
                <w:szCs w:val="18"/>
                <w:lang w:val="en-GB"/>
              </w:rPr>
            </w:pPr>
            <w:r w:rsidRPr="00361139">
              <w:rPr>
                <w:szCs w:val="18"/>
                <w:lang w:val="en-GB"/>
              </w:rPr>
              <w:t>Ms. Cristina Lesnic</w:t>
            </w:r>
          </w:p>
        </w:tc>
        <w:tc>
          <w:tcPr>
            <w:tcW w:w="0" w:type="auto"/>
            <w:shd w:val="clear" w:color="auto" w:fill="auto"/>
          </w:tcPr>
          <w:p w14:paraId="481AD2D0" w14:textId="77777777" w:rsidR="00CC73DD" w:rsidRPr="00361139" w:rsidRDefault="00CC73DD" w:rsidP="00B70ED8">
            <w:pPr>
              <w:pStyle w:val="Normal-pool-Table"/>
              <w:rPr>
                <w:rFonts w:eastAsia="Batang"/>
                <w:bCs/>
                <w:szCs w:val="18"/>
                <w:lang w:val="en-GB" w:eastAsia="en-GB"/>
              </w:rPr>
            </w:pPr>
            <w:r w:rsidRPr="00361139">
              <w:rPr>
                <w:rFonts w:eastAsia="Batang"/>
                <w:bCs/>
                <w:szCs w:val="18"/>
                <w:lang w:val="en-GB" w:eastAsia="en-GB"/>
              </w:rPr>
              <w:t>Project Manager;</w:t>
            </w:r>
            <w:r w:rsidRPr="00361139">
              <w:rPr>
                <w:rFonts w:eastAsia="Batang"/>
                <w:bCs/>
                <w:szCs w:val="18"/>
                <w:lang w:val="en-GB" w:eastAsia="en-GB"/>
              </w:rPr>
              <w:br/>
              <w:t>Environmental Projects Implementation Unit</w:t>
            </w:r>
          </w:p>
        </w:tc>
      </w:tr>
      <w:tr w:rsidR="00CC73DD" w:rsidRPr="00361139" w14:paraId="7BE78B4D" w14:textId="77777777" w:rsidTr="000349C3">
        <w:trPr>
          <w:cantSplit/>
          <w:trHeight w:val="57"/>
          <w:jc w:val="right"/>
        </w:trPr>
        <w:tc>
          <w:tcPr>
            <w:tcW w:w="3096" w:type="dxa"/>
            <w:shd w:val="clear" w:color="auto" w:fill="auto"/>
          </w:tcPr>
          <w:p w14:paraId="1CC85EE2" w14:textId="77777777" w:rsidR="00CC73DD" w:rsidRPr="00361139" w:rsidRDefault="00CC73DD" w:rsidP="00B70ED8">
            <w:pPr>
              <w:pStyle w:val="Normal-pool-Table"/>
              <w:rPr>
                <w:szCs w:val="18"/>
                <w:lang w:val="en-GB"/>
              </w:rPr>
            </w:pPr>
            <w:r w:rsidRPr="00361139">
              <w:rPr>
                <w:szCs w:val="18"/>
                <w:lang w:val="en-GB"/>
              </w:rPr>
              <w:t>Natural Resources Defence Council (NRDC)</w:t>
            </w:r>
          </w:p>
        </w:tc>
        <w:tc>
          <w:tcPr>
            <w:tcW w:w="0" w:type="auto"/>
          </w:tcPr>
          <w:p w14:paraId="4DECC5D0" w14:textId="77777777" w:rsidR="00CC73DD" w:rsidRPr="00361139" w:rsidRDefault="00CC73DD" w:rsidP="00B70ED8">
            <w:pPr>
              <w:pStyle w:val="Normal-pool-Table"/>
              <w:rPr>
                <w:szCs w:val="18"/>
                <w:lang w:val="en-GB"/>
              </w:rPr>
            </w:pPr>
            <w:r w:rsidRPr="00361139">
              <w:rPr>
                <w:szCs w:val="18"/>
                <w:lang w:val="en-GB"/>
              </w:rPr>
              <w:t xml:space="preserve">Ms. Susan Keane </w:t>
            </w:r>
          </w:p>
        </w:tc>
        <w:tc>
          <w:tcPr>
            <w:tcW w:w="0" w:type="auto"/>
            <w:shd w:val="clear" w:color="auto" w:fill="auto"/>
          </w:tcPr>
          <w:p w14:paraId="0F6DA1DE" w14:textId="77777777" w:rsidR="00CC73DD" w:rsidRPr="00361139" w:rsidRDefault="00CC73DD" w:rsidP="00B70ED8">
            <w:pPr>
              <w:pStyle w:val="Normal-pool-Table"/>
              <w:rPr>
                <w:szCs w:val="18"/>
                <w:lang w:val="en-GB"/>
              </w:rPr>
            </w:pPr>
            <w:r w:rsidRPr="00361139">
              <w:rPr>
                <w:szCs w:val="18"/>
                <w:lang w:val="en-GB"/>
              </w:rPr>
              <w:t>Senior Director;</w:t>
            </w:r>
            <w:r w:rsidRPr="00361139">
              <w:rPr>
                <w:szCs w:val="18"/>
                <w:lang w:val="en-GB"/>
              </w:rPr>
              <w:br/>
              <w:t>Global Advocacy, International Program</w:t>
            </w:r>
          </w:p>
        </w:tc>
      </w:tr>
      <w:tr w:rsidR="00CC73DD" w:rsidRPr="00361139" w14:paraId="22F386B3" w14:textId="77777777" w:rsidTr="000349C3">
        <w:trPr>
          <w:cantSplit/>
          <w:trHeight w:val="57"/>
          <w:jc w:val="right"/>
        </w:trPr>
        <w:tc>
          <w:tcPr>
            <w:tcW w:w="3096" w:type="dxa"/>
            <w:shd w:val="clear" w:color="auto" w:fill="auto"/>
          </w:tcPr>
          <w:p w14:paraId="7CD7F803" w14:textId="77777777" w:rsidR="00CC73DD" w:rsidRPr="00361139" w:rsidRDefault="00CC73DD" w:rsidP="00B70ED8">
            <w:pPr>
              <w:pStyle w:val="Normal-pool-Table"/>
              <w:rPr>
                <w:szCs w:val="18"/>
                <w:lang w:val="en-GB"/>
              </w:rPr>
            </w:pPr>
            <w:r w:rsidRPr="00361139">
              <w:rPr>
                <w:szCs w:val="18"/>
                <w:lang w:val="en-GB"/>
              </w:rPr>
              <w:t>Norway, Ministry of Climate and Environment</w:t>
            </w:r>
          </w:p>
        </w:tc>
        <w:tc>
          <w:tcPr>
            <w:tcW w:w="0" w:type="auto"/>
          </w:tcPr>
          <w:p w14:paraId="045292CA" w14:textId="77777777" w:rsidR="00CC73DD" w:rsidRPr="00361139" w:rsidRDefault="00CC73DD" w:rsidP="00B70ED8">
            <w:pPr>
              <w:pStyle w:val="Normal-pool-Table"/>
              <w:rPr>
                <w:szCs w:val="18"/>
                <w:lang w:val="en-GB"/>
              </w:rPr>
            </w:pPr>
            <w:r w:rsidRPr="00361139">
              <w:rPr>
                <w:szCs w:val="18"/>
                <w:lang w:val="en-GB"/>
              </w:rPr>
              <w:t xml:space="preserve">Mr. </w:t>
            </w:r>
            <w:proofErr w:type="spellStart"/>
            <w:r w:rsidRPr="00361139">
              <w:rPr>
                <w:szCs w:val="18"/>
                <w:lang w:val="en-GB"/>
              </w:rPr>
              <w:t>Atle</w:t>
            </w:r>
            <w:proofErr w:type="spellEnd"/>
            <w:r w:rsidRPr="00361139">
              <w:rPr>
                <w:szCs w:val="18"/>
                <w:lang w:val="en-GB"/>
              </w:rPr>
              <w:t xml:space="preserve"> Fretheim</w:t>
            </w:r>
          </w:p>
        </w:tc>
        <w:tc>
          <w:tcPr>
            <w:tcW w:w="0" w:type="auto"/>
            <w:shd w:val="clear" w:color="auto" w:fill="auto"/>
          </w:tcPr>
          <w:p w14:paraId="6ED6010F" w14:textId="77777777" w:rsidR="00CC73DD" w:rsidRPr="00361139" w:rsidRDefault="00CC73DD" w:rsidP="00B70ED8">
            <w:pPr>
              <w:pStyle w:val="Normal-pool-Table"/>
              <w:rPr>
                <w:szCs w:val="18"/>
                <w:lang w:val="en-GB"/>
              </w:rPr>
            </w:pPr>
            <w:r w:rsidRPr="00361139">
              <w:rPr>
                <w:szCs w:val="18"/>
                <w:lang w:val="en-GB"/>
              </w:rPr>
              <w:t>Consultant</w:t>
            </w:r>
          </w:p>
        </w:tc>
      </w:tr>
      <w:tr w:rsidR="00CC73DD" w:rsidRPr="005F6E71" w14:paraId="2E264512" w14:textId="77777777" w:rsidTr="000349C3">
        <w:trPr>
          <w:cantSplit/>
          <w:trHeight w:val="57"/>
          <w:jc w:val="right"/>
        </w:trPr>
        <w:tc>
          <w:tcPr>
            <w:tcW w:w="3096" w:type="dxa"/>
            <w:shd w:val="clear" w:color="auto" w:fill="auto"/>
          </w:tcPr>
          <w:p w14:paraId="73834A61" w14:textId="77777777" w:rsidR="00CC73DD" w:rsidRPr="005F6E71" w:rsidRDefault="00CC73DD" w:rsidP="00B70ED8">
            <w:pPr>
              <w:pStyle w:val="Normal-pool-Table"/>
              <w:rPr>
                <w:szCs w:val="18"/>
                <w:lang w:val="fr-CH"/>
              </w:rPr>
            </w:pPr>
            <w:r w:rsidRPr="005F6E71">
              <w:rPr>
                <w:szCs w:val="18"/>
                <w:lang w:val="fr-CH"/>
              </w:rPr>
              <w:t xml:space="preserve">Senegal, </w:t>
            </w:r>
            <w:proofErr w:type="gramStart"/>
            <w:r w:rsidRPr="005F6E71">
              <w:rPr>
                <w:szCs w:val="18"/>
                <w:lang w:val="fr-CH"/>
              </w:rPr>
              <w:t>Ministère de l'Environnement</w:t>
            </w:r>
            <w:proofErr w:type="gramEnd"/>
            <w:r w:rsidRPr="005F6E71">
              <w:rPr>
                <w:szCs w:val="18"/>
                <w:lang w:val="fr-CH"/>
              </w:rPr>
              <w:t xml:space="preserve"> et du Développement </w:t>
            </w:r>
          </w:p>
        </w:tc>
        <w:tc>
          <w:tcPr>
            <w:tcW w:w="0" w:type="auto"/>
          </w:tcPr>
          <w:p w14:paraId="0EC964C6" w14:textId="77777777" w:rsidR="00CC73DD" w:rsidRPr="00361139" w:rsidRDefault="00CC73DD" w:rsidP="00B70ED8">
            <w:pPr>
              <w:pStyle w:val="Normal-pool-Table"/>
              <w:rPr>
                <w:szCs w:val="18"/>
                <w:lang w:val="en-GB"/>
              </w:rPr>
            </w:pPr>
            <w:r w:rsidRPr="00361139">
              <w:rPr>
                <w:szCs w:val="18"/>
                <w:lang w:val="en-GB"/>
              </w:rPr>
              <w:t xml:space="preserve">Mr. </w:t>
            </w:r>
            <w:proofErr w:type="spellStart"/>
            <w:r w:rsidRPr="00361139">
              <w:rPr>
                <w:szCs w:val="18"/>
                <w:lang w:val="en-GB"/>
              </w:rPr>
              <w:t>Pathé</w:t>
            </w:r>
            <w:proofErr w:type="spellEnd"/>
            <w:r w:rsidRPr="00361139">
              <w:rPr>
                <w:szCs w:val="18"/>
                <w:lang w:val="en-GB"/>
              </w:rPr>
              <w:t xml:space="preserve"> Dieye</w:t>
            </w:r>
          </w:p>
        </w:tc>
        <w:tc>
          <w:tcPr>
            <w:tcW w:w="0" w:type="auto"/>
            <w:shd w:val="clear" w:color="auto" w:fill="auto"/>
          </w:tcPr>
          <w:p w14:paraId="5F2BCB62" w14:textId="77777777" w:rsidR="00CC73DD" w:rsidRPr="005F6E71" w:rsidRDefault="00CC73DD" w:rsidP="00B70ED8">
            <w:pPr>
              <w:pStyle w:val="Normal-pool-Table"/>
              <w:rPr>
                <w:szCs w:val="18"/>
                <w:lang w:val="fr-CH"/>
              </w:rPr>
            </w:pPr>
            <w:r w:rsidRPr="005F6E71">
              <w:rPr>
                <w:szCs w:val="18"/>
                <w:lang w:val="fr-CH"/>
              </w:rPr>
              <w:t xml:space="preserve">MC National Focal </w:t>
            </w:r>
            <w:proofErr w:type="gramStart"/>
            <w:r w:rsidRPr="005F6E71">
              <w:rPr>
                <w:szCs w:val="18"/>
                <w:lang w:val="fr-CH"/>
              </w:rPr>
              <w:t>Point;</w:t>
            </w:r>
            <w:proofErr w:type="gramEnd"/>
            <w:r w:rsidRPr="005F6E71">
              <w:rPr>
                <w:szCs w:val="18"/>
                <w:lang w:val="fr-CH"/>
              </w:rPr>
              <w:t xml:space="preserve"> Conseiller technique du Directeur de l'Environnement et des Etablissements classés</w:t>
            </w:r>
          </w:p>
        </w:tc>
      </w:tr>
      <w:tr w:rsidR="00CC73DD" w:rsidRPr="00361139" w14:paraId="69150E58" w14:textId="77777777" w:rsidTr="000349C3">
        <w:trPr>
          <w:cantSplit/>
          <w:trHeight w:val="57"/>
          <w:jc w:val="right"/>
        </w:trPr>
        <w:tc>
          <w:tcPr>
            <w:tcW w:w="3096" w:type="dxa"/>
            <w:shd w:val="clear" w:color="auto" w:fill="auto"/>
          </w:tcPr>
          <w:p w14:paraId="0D348E8C" w14:textId="77777777" w:rsidR="00CC73DD" w:rsidRPr="00361139" w:rsidRDefault="00CC73DD" w:rsidP="00B70ED8">
            <w:pPr>
              <w:pStyle w:val="Normal-pool-Table"/>
              <w:rPr>
                <w:szCs w:val="18"/>
                <w:lang w:val="en-GB"/>
              </w:rPr>
            </w:pPr>
            <w:r w:rsidRPr="00361139">
              <w:rPr>
                <w:szCs w:val="18"/>
                <w:lang w:val="en-GB"/>
              </w:rPr>
              <w:t>UNEP - MC-Secretariat</w:t>
            </w:r>
          </w:p>
        </w:tc>
        <w:tc>
          <w:tcPr>
            <w:tcW w:w="0" w:type="auto"/>
          </w:tcPr>
          <w:p w14:paraId="344D3D85" w14:textId="77777777" w:rsidR="00CC73DD" w:rsidRPr="00361139" w:rsidRDefault="00CC73DD" w:rsidP="00B70ED8">
            <w:pPr>
              <w:pStyle w:val="Normal-pool-Table"/>
              <w:rPr>
                <w:szCs w:val="18"/>
                <w:lang w:val="en-GB"/>
              </w:rPr>
            </w:pPr>
            <w:r w:rsidRPr="00361139">
              <w:rPr>
                <w:szCs w:val="18"/>
                <w:lang w:val="en-GB"/>
              </w:rPr>
              <w:t>Ms. Anna García Sans</w:t>
            </w:r>
          </w:p>
        </w:tc>
        <w:tc>
          <w:tcPr>
            <w:tcW w:w="0" w:type="auto"/>
            <w:shd w:val="clear" w:color="auto" w:fill="auto"/>
          </w:tcPr>
          <w:p w14:paraId="123DD4B0" w14:textId="77777777" w:rsidR="00CC73DD" w:rsidRPr="00361139" w:rsidRDefault="00CC73DD" w:rsidP="00B70ED8">
            <w:pPr>
              <w:pStyle w:val="Normal-pool-Table"/>
              <w:rPr>
                <w:szCs w:val="18"/>
                <w:lang w:val="en-GB"/>
              </w:rPr>
            </w:pPr>
            <w:r w:rsidRPr="00361139">
              <w:rPr>
                <w:szCs w:val="18"/>
                <w:lang w:val="en-GB"/>
              </w:rPr>
              <w:t>Communications and Knowledge Management Officer</w:t>
            </w:r>
          </w:p>
        </w:tc>
      </w:tr>
      <w:tr w:rsidR="00CC73DD" w:rsidRPr="00361139" w14:paraId="57324696" w14:textId="77777777" w:rsidTr="000349C3">
        <w:trPr>
          <w:cantSplit/>
          <w:trHeight w:val="57"/>
          <w:jc w:val="right"/>
        </w:trPr>
        <w:tc>
          <w:tcPr>
            <w:tcW w:w="3096" w:type="dxa"/>
            <w:shd w:val="clear" w:color="auto" w:fill="auto"/>
          </w:tcPr>
          <w:p w14:paraId="67D43ED3" w14:textId="77777777" w:rsidR="00CC73DD" w:rsidRPr="00361139" w:rsidRDefault="00CC73DD" w:rsidP="00B70ED8">
            <w:pPr>
              <w:pStyle w:val="Normal-pool-Table"/>
              <w:rPr>
                <w:szCs w:val="18"/>
                <w:lang w:val="en-GB"/>
              </w:rPr>
            </w:pPr>
            <w:r w:rsidRPr="00361139">
              <w:rPr>
                <w:szCs w:val="18"/>
                <w:lang w:val="en-GB"/>
              </w:rPr>
              <w:t>UNEP - MC-Secretariat</w:t>
            </w:r>
          </w:p>
        </w:tc>
        <w:tc>
          <w:tcPr>
            <w:tcW w:w="0" w:type="auto"/>
          </w:tcPr>
          <w:p w14:paraId="547B2454" w14:textId="77777777" w:rsidR="00CC73DD" w:rsidRPr="00361139" w:rsidRDefault="00CC73DD" w:rsidP="00B70ED8">
            <w:pPr>
              <w:pStyle w:val="Normal-pool-Table"/>
              <w:rPr>
                <w:szCs w:val="18"/>
                <w:lang w:val="en-GB"/>
              </w:rPr>
            </w:pPr>
            <w:r w:rsidRPr="00361139">
              <w:rPr>
                <w:szCs w:val="18"/>
                <w:lang w:val="en-GB"/>
              </w:rPr>
              <w:t xml:space="preserve">Ms. Claudia ten Have </w:t>
            </w:r>
          </w:p>
        </w:tc>
        <w:tc>
          <w:tcPr>
            <w:tcW w:w="0" w:type="auto"/>
            <w:shd w:val="clear" w:color="auto" w:fill="auto"/>
          </w:tcPr>
          <w:p w14:paraId="132D9824" w14:textId="77777777" w:rsidR="00CC73DD" w:rsidRPr="00361139" w:rsidRDefault="00CC73DD" w:rsidP="00B70ED8">
            <w:pPr>
              <w:pStyle w:val="Normal-pool-Table"/>
              <w:rPr>
                <w:szCs w:val="18"/>
                <w:lang w:val="en-GB"/>
              </w:rPr>
            </w:pPr>
            <w:r w:rsidRPr="00361139">
              <w:rPr>
                <w:szCs w:val="18"/>
                <w:lang w:val="en-GB"/>
              </w:rPr>
              <w:t>Senior Policy and Coordination Officer</w:t>
            </w:r>
          </w:p>
        </w:tc>
      </w:tr>
      <w:tr w:rsidR="00CC73DD" w:rsidRPr="00361139" w14:paraId="4601508D" w14:textId="77777777" w:rsidTr="000349C3">
        <w:trPr>
          <w:cantSplit/>
          <w:trHeight w:val="57"/>
          <w:jc w:val="right"/>
        </w:trPr>
        <w:tc>
          <w:tcPr>
            <w:tcW w:w="3096" w:type="dxa"/>
            <w:shd w:val="clear" w:color="auto" w:fill="auto"/>
          </w:tcPr>
          <w:p w14:paraId="3ECADA75" w14:textId="77777777" w:rsidR="00CC73DD" w:rsidRPr="00361139" w:rsidRDefault="00CC73DD" w:rsidP="00B70ED8">
            <w:pPr>
              <w:pStyle w:val="Normal-pool-Table"/>
              <w:rPr>
                <w:szCs w:val="18"/>
                <w:lang w:val="en-GB"/>
              </w:rPr>
            </w:pPr>
            <w:r w:rsidRPr="00361139">
              <w:rPr>
                <w:szCs w:val="18"/>
                <w:lang w:val="en-GB"/>
              </w:rPr>
              <w:t>UNEP - MC-Secretariat</w:t>
            </w:r>
          </w:p>
        </w:tc>
        <w:tc>
          <w:tcPr>
            <w:tcW w:w="0" w:type="auto"/>
          </w:tcPr>
          <w:p w14:paraId="072B9EE9" w14:textId="77777777" w:rsidR="00CC73DD" w:rsidRPr="00361139" w:rsidRDefault="00CC73DD" w:rsidP="00B70ED8">
            <w:pPr>
              <w:pStyle w:val="Normal-pool-Table"/>
              <w:rPr>
                <w:szCs w:val="18"/>
                <w:lang w:val="en-GB"/>
              </w:rPr>
            </w:pPr>
            <w:r w:rsidRPr="00361139">
              <w:rPr>
                <w:szCs w:val="18"/>
                <w:lang w:val="en-GB"/>
              </w:rPr>
              <w:t>Ms. Irene Rizzo</w:t>
            </w:r>
          </w:p>
        </w:tc>
        <w:tc>
          <w:tcPr>
            <w:tcW w:w="0" w:type="auto"/>
            <w:shd w:val="clear" w:color="auto" w:fill="auto"/>
          </w:tcPr>
          <w:p w14:paraId="2F7C1368" w14:textId="77777777" w:rsidR="00CC73DD" w:rsidRPr="00361139" w:rsidRDefault="00CC73DD" w:rsidP="00B70ED8">
            <w:pPr>
              <w:pStyle w:val="Normal-pool-Table"/>
              <w:rPr>
                <w:szCs w:val="18"/>
                <w:lang w:val="en-GB"/>
              </w:rPr>
            </w:pPr>
            <w:r w:rsidRPr="00361139">
              <w:rPr>
                <w:szCs w:val="18"/>
                <w:lang w:val="en-GB"/>
              </w:rPr>
              <w:t>Associate Expert</w:t>
            </w:r>
          </w:p>
        </w:tc>
      </w:tr>
      <w:tr w:rsidR="00CC73DD" w:rsidRPr="00361139" w14:paraId="43C1DA9E" w14:textId="77777777" w:rsidTr="000349C3">
        <w:trPr>
          <w:cantSplit/>
          <w:trHeight w:val="57"/>
          <w:jc w:val="right"/>
        </w:trPr>
        <w:tc>
          <w:tcPr>
            <w:tcW w:w="3096" w:type="dxa"/>
            <w:shd w:val="clear" w:color="auto" w:fill="auto"/>
          </w:tcPr>
          <w:p w14:paraId="3B7C0DE9" w14:textId="77777777" w:rsidR="00CC73DD" w:rsidRPr="00361139" w:rsidRDefault="00CC73DD" w:rsidP="00B70ED8">
            <w:pPr>
              <w:pStyle w:val="Normal-pool-Table"/>
              <w:rPr>
                <w:szCs w:val="18"/>
                <w:lang w:val="en-GB"/>
              </w:rPr>
            </w:pPr>
            <w:r w:rsidRPr="00361139">
              <w:rPr>
                <w:szCs w:val="18"/>
                <w:lang w:val="en-GB"/>
              </w:rPr>
              <w:t>UNEP - MC-Secretariat</w:t>
            </w:r>
          </w:p>
        </w:tc>
        <w:tc>
          <w:tcPr>
            <w:tcW w:w="0" w:type="auto"/>
          </w:tcPr>
          <w:p w14:paraId="212E7192" w14:textId="77777777" w:rsidR="00CC73DD" w:rsidRPr="00361139" w:rsidRDefault="00CC73DD" w:rsidP="00B70ED8">
            <w:pPr>
              <w:pStyle w:val="Normal-pool-Table"/>
              <w:rPr>
                <w:szCs w:val="18"/>
                <w:lang w:val="en-GB"/>
              </w:rPr>
            </w:pPr>
            <w:r w:rsidRPr="00361139">
              <w:rPr>
                <w:szCs w:val="18"/>
                <w:lang w:val="en-GB"/>
              </w:rPr>
              <w:t>Ms. Marianne Bailey</w:t>
            </w:r>
          </w:p>
        </w:tc>
        <w:tc>
          <w:tcPr>
            <w:tcW w:w="0" w:type="auto"/>
            <w:shd w:val="clear" w:color="auto" w:fill="auto"/>
          </w:tcPr>
          <w:p w14:paraId="0DC7C449" w14:textId="77777777" w:rsidR="00CC73DD" w:rsidRPr="00361139" w:rsidRDefault="00CC73DD" w:rsidP="00B70ED8">
            <w:pPr>
              <w:pStyle w:val="Normal-pool-Table"/>
              <w:rPr>
                <w:szCs w:val="18"/>
                <w:lang w:val="en-GB"/>
              </w:rPr>
            </w:pPr>
            <w:r w:rsidRPr="00361139">
              <w:rPr>
                <w:szCs w:val="18"/>
                <w:lang w:val="en-GB"/>
              </w:rPr>
              <w:t>Programme Management Officer for Capacity-building and Technical Assistance</w:t>
            </w:r>
          </w:p>
        </w:tc>
      </w:tr>
      <w:tr w:rsidR="00CC73DD" w:rsidRPr="00361139" w14:paraId="3EDAB0CC" w14:textId="77777777" w:rsidTr="000349C3">
        <w:trPr>
          <w:cantSplit/>
          <w:trHeight w:val="57"/>
          <w:jc w:val="right"/>
        </w:trPr>
        <w:tc>
          <w:tcPr>
            <w:tcW w:w="3096" w:type="dxa"/>
            <w:shd w:val="clear" w:color="auto" w:fill="auto"/>
          </w:tcPr>
          <w:p w14:paraId="7EECBEC7" w14:textId="77777777" w:rsidR="00CC73DD" w:rsidRPr="00361139" w:rsidRDefault="00CC73DD" w:rsidP="00B70ED8">
            <w:pPr>
              <w:pStyle w:val="Normal-pool-Table"/>
              <w:rPr>
                <w:szCs w:val="18"/>
                <w:lang w:val="en-GB"/>
              </w:rPr>
            </w:pPr>
            <w:r w:rsidRPr="00361139">
              <w:rPr>
                <w:szCs w:val="18"/>
                <w:lang w:val="en-GB"/>
              </w:rPr>
              <w:t>UNEP - MC-Secretariat</w:t>
            </w:r>
          </w:p>
        </w:tc>
        <w:tc>
          <w:tcPr>
            <w:tcW w:w="0" w:type="auto"/>
          </w:tcPr>
          <w:p w14:paraId="5B5FE143" w14:textId="77777777" w:rsidR="00CC73DD" w:rsidRPr="00361139" w:rsidRDefault="00CC73DD" w:rsidP="00B70ED8">
            <w:pPr>
              <w:pStyle w:val="Normal-pool-Table"/>
              <w:rPr>
                <w:rFonts w:eastAsia="Batang"/>
                <w:bCs/>
                <w:szCs w:val="18"/>
                <w:lang w:val="en-GB" w:eastAsia="en-GB"/>
              </w:rPr>
            </w:pPr>
            <w:r w:rsidRPr="00361139">
              <w:rPr>
                <w:rFonts w:eastAsia="Batang"/>
                <w:bCs/>
                <w:szCs w:val="18"/>
                <w:lang w:val="en-GB" w:eastAsia="en-GB"/>
              </w:rPr>
              <w:t xml:space="preserve">Ms. Monika </w:t>
            </w:r>
            <w:proofErr w:type="spellStart"/>
            <w:r w:rsidRPr="00361139">
              <w:rPr>
                <w:rFonts w:eastAsia="Batang"/>
                <w:bCs/>
                <w:szCs w:val="18"/>
                <w:lang w:val="en-GB" w:eastAsia="en-GB"/>
              </w:rPr>
              <w:t>Stankewitz</w:t>
            </w:r>
            <w:proofErr w:type="spellEnd"/>
          </w:p>
        </w:tc>
        <w:tc>
          <w:tcPr>
            <w:tcW w:w="0" w:type="auto"/>
            <w:shd w:val="clear" w:color="auto" w:fill="auto"/>
          </w:tcPr>
          <w:p w14:paraId="0851A2AE" w14:textId="77777777" w:rsidR="00CC73DD" w:rsidRPr="00361139" w:rsidRDefault="00CC73DD" w:rsidP="00B70ED8">
            <w:pPr>
              <w:pStyle w:val="Normal-pool-Table"/>
              <w:rPr>
                <w:szCs w:val="18"/>
                <w:lang w:val="en-GB"/>
              </w:rPr>
            </w:pPr>
            <w:r w:rsidRPr="00361139">
              <w:rPr>
                <w:szCs w:val="18"/>
                <w:lang w:val="en-GB"/>
              </w:rPr>
              <w:t>Executive Secretary</w:t>
            </w:r>
          </w:p>
        </w:tc>
      </w:tr>
      <w:tr w:rsidR="00CC73DD" w:rsidRPr="00361139" w14:paraId="668D2EB8" w14:textId="77777777" w:rsidTr="000349C3">
        <w:trPr>
          <w:cantSplit/>
          <w:trHeight w:val="57"/>
          <w:jc w:val="right"/>
        </w:trPr>
        <w:tc>
          <w:tcPr>
            <w:tcW w:w="3096" w:type="dxa"/>
            <w:shd w:val="clear" w:color="auto" w:fill="auto"/>
          </w:tcPr>
          <w:p w14:paraId="66BD55CD" w14:textId="77777777" w:rsidR="00CC73DD" w:rsidRPr="00361139" w:rsidRDefault="00CC73DD" w:rsidP="00B70ED8">
            <w:pPr>
              <w:pStyle w:val="Normal-pool-Table"/>
              <w:rPr>
                <w:szCs w:val="18"/>
                <w:lang w:val="en-GB"/>
              </w:rPr>
            </w:pPr>
            <w:r w:rsidRPr="00361139">
              <w:rPr>
                <w:szCs w:val="18"/>
                <w:lang w:val="en-GB"/>
              </w:rPr>
              <w:t>UNEP Chemicals and Health Branch</w:t>
            </w:r>
          </w:p>
        </w:tc>
        <w:tc>
          <w:tcPr>
            <w:tcW w:w="0" w:type="auto"/>
          </w:tcPr>
          <w:p w14:paraId="0891958F" w14:textId="77777777" w:rsidR="00CC73DD" w:rsidRPr="00361139" w:rsidRDefault="00CC73DD" w:rsidP="00B70ED8">
            <w:pPr>
              <w:pStyle w:val="Normal-pool-Table"/>
              <w:rPr>
                <w:szCs w:val="18"/>
                <w:lang w:val="en-GB"/>
              </w:rPr>
            </w:pPr>
            <w:r w:rsidRPr="00361139">
              <w:rPr>
                <w:szCs w:val="18"/>
                <w:lang w:val="en-GB"/>
              </w:rPr>
              <w:t>Mr. Kenneth Davis</w:t>
            </w:r>
          </w:p>
        </w:tc>
        <w:tc>
          <w:tcPr>
            <w:tcW w:w="0" w:type="auto"/>
            <w:shd w:val="clear" w:color="auto" w:fill="auto"/>
          </w:tcPr>
          <w:p w14:paraId="54233AA2" w14:textId="77777777" w:rsidR="00CC73DD" w:rsidRPr="00361139" w:rsidRDefault="00CC73DD" w:rsidP="00B70ED8">
            <w:pPr>
              <w:pStyle w:val="Normal-pool-Table"/>
              <w:rPr>
                <w:szCs w:val="18"/>
                <w:lang w:val="en-GB"/>
              </w:rPr>
            </w:pPr>
            <w:r w:rsidRPr="00361139">
              <w:rPr>
                <w:szCs w:val="18"/>
                <w:lang w:val="en-GB"/>
              </w:rPr>
              <w:t>Program Officer, Technology and Metals Team</w:t>
            </w:r>
          </w:p>
        </w:tc>
      </w:tr>
      <w:tr w:rsidR="00CC73DD" w:rsidRPr="00361139" w14:paraId="105351A6" w14:textId="77777777" w:rsidTr="000349C3">
        <w:trPr>
          <w:cantSplit/>
          <w:trHeight w:val="57"/>
          <w:jc w:val="right"/>
        </w:trPr>
        <w:tc>
          <w:tcPr>
            <w:tcW w:w="3096" w:type="dxa"/>
            <w:shd w:val="clear" w:color="auto" w:fill="auto"/>
          </w:tcPr>
          <w:p w14:paraId="514628D3" w14:textId="77777777" w:rsidR="00CC73DD" w:rsidRPr="00361139" w:rsidRDefault="00CC73DD" w:rsidP="00B70ED8">
            <w:pPr>
              <w:pStyle w:val="Normal-pool-Table"/>
              <w:rPr>
                <w:szCs w:val="18"/>
                <w:lang w:val="en-GB"/>
              </w:rPr>
            </w:pPr>
            <w:r w:rsidRPr="00361139">
              <w:rPr>
                <w:szCs w:val="18"/>
                <w:lang w:val="en-GB"/>
              </w:rPr>
              <w:t>UNEP Chemicals and Health Branch</w:t>
            </w:r>
          </w:p>
        </w:tc>
        <w:tc>
          <w:tcPr>
            <w:tcW w:w="0" w:type="auto"/>
          </w:tcPr>
          <w:p w14:paraId="0B991AA5" w14:textId="77777777" w:rsidR="00CC73DD" w:rsidRPr="00361139" w:rsidRDefault="00CC73DD" w:rsidP="00B70ED8">
            <w:pPr>
              <w:pStyle w:val="Normal-pool-Table"/>
              <w:rPr>
                <w:szCs w:val="18"/>
                <w:lang w:val="en-GB"/>
              </w:rPr>
            </w:pPr>
            <w:r w:rsidRPr="00361139">
              <w:rPr>
                <w:szCs w:val="18"/>
                <w:lang w:val="en-GB"/>
              </w:rPr>
              <w:t>Mr. Ludovic Bernaudat</w:t>
            </w:r>
          </w:p>
        </w:tc>
        <w:tc>
          <w:tcPr>
            <w:tcW w:w="0" w:type="auto"/>
            <w:shd w:val="clear" w:color="auto" w:fill="auto"/>
          </w:tcPr>
          <w:p w14:paraId="0B9FE650" w14:textId="77777777" w:rsidR="00CC73DD" w:rsidRPr="00361139" w:rsidRDefault="00CC73DD" w:rsidP="00B70ED8">
            <w:pPr>
              <w:pStyle w:val="Normal-pool-Table"/>
              <w:rPr>
                <w:szCs w:val="18"/>
                <w:lang w:val="en-GB"/>
              </w:rPr>
            </w:pPr>
            <w:r w:rsidRPr="00361139">
              <w:rPr>
                <w:szCs w:val="18"/>
                <w:lang w:val="en-GB"/>
              </w:rPr>
              <w:t>Chemical and waste GEF portfolio manager</w:t>
            </w:r>
          </w:p>
        </w:tc>
      </w:tr>
      <w:tr w:rsidR="00CC73DD" w:rsidRPr="00361139" w14:paraId="12EA6A75" w14:textId="77777777" w:rsidTr="000349C3">
        <w:trPr>
          <w:cantSplit/>
          <w:trHeight w:val="57"/>
          <w:jc w:val="right"/>
        </w:trPr>
        <w:tc>
          <w:tcPr>
            <w:tcW w:w="3096" w:type="dxa"/>
            <w:shd w:val="clear" w:color="auto" w:fill="auto"/>
          </w:tcPr>
          <w:p w14:paraId="677004D3" w14:textId="77777777" w:rsidR="00CC73DD" w:rsidRPr="00361139" w:rsidRDefault="00CC73DD" w:rsidP="00B70ED8">
            <w:pPr>
              <w:pStyle w:val="Normal-pool-Table"/>
              <w:rPr>
                <w:szCs w:val="18"/>
                <w:lang w:val="en-GB"/>
              </w:rPr>
            </w:pPr>
            <w:r w:rsidRPr="00361139">
              <w:rPr>
                <w:szCs w:val="18"/>
                <w:lang w:val="en-GB"/>
              </w:rPr>
              <w:t>UNEP Chemicals and Health Branch</w:t>
            </w:r>
          </w:p>
        </w:tc>
        <w:tc>
          <w:tcPr>
            <w:tcW w:w="0" w:type="auto"/>
          </w:tcPr>
          <w:p w14:paraId="4F760358" w14:textId="77777777" w:rsidR="00CC73DD" w:rsidRPr="00361139" w:rsidRDefault="00CC73DD" w:rsidP="00B70ED8">
            <w:pPr>
              <w:pStyle w:val="Normal-pool-Table"/>
              <w:rPr>
                <w:szCs w:val="18"/>
                <w:lang w:val="en-GB"/>
              </w:rPr>
            </w:pPr>
            <w:r w:rsidRPr="00361139">
              <w:rPr>
                <w:szCs w:val="18"/>
                <w:lang w:val="en-GB"/>
              </w:rPr>
              <w:t>Ms. Stephanie Laruelle</w:t>
            </w:r>
          </w:p>
        </w:tc>
        <w:tc>
          <w:tcPr>
            <w:tcW w:w="0" w:type="auto"/>
            <w:shd w:val="clear" w:color="auto" w:fill="auto"/>
          </w:tcPr>
          <w:p w14:paraId="7D6B27FF" w14:textId="77777777" w:rsidR="00CC73DD" w:rsidRPr="00361139" w:rsidRDefault="00CC73DD" w:rsidP="00B70ED8">
            <w:pPr>
              <w:pStyle w:val="Normal-pool-Table"/>
              <w:rPr>
                <w:szCs w:val="18"/>
                <w:lang w:val="en-GB"/>
              </w:rPr>
            </w:pPr>
            <w:r w:rsidRPr="00361139">
              <w:rPr>
                <w:szCs w:val="18"/>
                <w:lang w:val="en-GB"/>
              </w:rPr>
              <w:t xml:space="preserve">Programme Management Officer, Knowledge and Risk Unit; </w:t>
            </w:r>
            <w:r w:rsidRPr="00361139">
              <w:rPr>
                <w:szCs w:val="18"/>
                <w:lang w:val="en-GB"/>
              </w:rPr>
              <w:br/>
              <w:t>Global Mercury Partnership point of contact</w:t>
            </w:r>
          </w:p>
        </w:tc>
      </w:tr>
      <w:tr w:rsidR="00CC73DD" w:rsidRPr="00361139" w14:paraId="2E451024" w14:textId="77777777" w:rsidTr="000349C3">
        <w:trPr>
          <w:cantSplit/>
          <w:trHeight w:val="57"/>
          <w:jc w:val="right"/>
        </w:trPr>
        <w:tc>
          <w:tcPr>
            <w:tcW w:w="3096" w:type="dxa"/>
            <w:shd w:val="clear" w:color="auto" w:fill="auto"/>
          </w:tcPr>
          <w:p w14:paraId="4602D80E" w14:textId="77777777" w:rsidR="00CC73DD" w:rsidRPr="00361139" w:rsidRDefault="00CC73DD" w:rsidP="00B70ED8">
            <w:pPr>
              <w:pStyle w:val="Normal-pool-Table"/>
              <w:rPr>
                <w:szCs w:val="18"/>
                <w:lang w:val="en-GB"/>
              </w:rPr>
            </w:pPr>
            <w:r w:rsidRPr="00361139">
              <w:rPr>
                <w:szCs w:val="18"/>
                <w:lang w:val="en-GB"/>
              </w:rPr>
              <w:t>Zero Mercury Working Group (ZMWG)</w:t>
            </w:r>
          </w:p>
        </w:tc>
        <w:tc>
          <w:tcPr>
            <w:tcW w:w="0" w:type="auto"/>
          </w:tcPr>
          <w:p w14:paraId="76276AD9" w14:textId="77777777" w:rsidR="00CC73DD" w:rsidRPr="00361139" w:rsidRDefault="00CC73DD" w:rsidP="00B70ED8">
            <w:pPr>
              <w:pStyle w:val="Normal-pool-Table"/>
              <w:rPr>
                <w:szCs w:val="18"/>
                <w:lang w:val="en-GB"/>
              </w:rPr>
            </w:pPr>
            <w:r w:rsidRPr="00361139">
              <w:rPr>
                <w:szCs w:val="18"/>
                <w:lang w:val="en-GB"/>
              </w:rPr>
              <w:t xml:space="preserve">Mr. Michael Bender </w:t>
            </w:r>
          </w:p>
        </w:tc>
        <w:tc>
          <w:tcPr>
            <w:tcW w:w="0" w:type="auto"/>
            <w:shd w:val="clear" w:color="auto" w:fill="auto"/>
          </w:tcPr>
          <w:p w14:paraId="613AF7E6" w14:textId="77777777" w:rsidR="00CC73DD" w:rsidRPr="00361139" w:rsidRDefault="00CC73DD" w:rsidP="00B70ED8">
            <w:pPr>
              <w:pStyle w:val="Normal-pool-Table"/>
              <w:rPr>
                <w:szCs w:val="18"/>
                <w:lang w:val="en-GB"/>
              </w:rPr>
            </w:pPr>
            <w:r w:rsidRPr="00361139">
              <w:rPr>
                <w:szCs w:val="18"/>
                <w:lang w:val="en-GB"/>
              </w:rPr>
              <w:t>Director, Mercury Policy Project</w:t>
            </w:r>
          </w:p>
        </w:tc>
      </w:tr>
    </w:tbl>
    <w:p w14:paraId="646999C0" w14:textId="2C82023A" w:rsidR="00E579DE" w:rsidRPr="00361139" w:rsidRDefault="00E579DE" w:rsidP="00E579DE">
      <w:pPr>
        <w:pStyle w:val="Normal-pool"/>
        <w:rPr>
          <w:lang w:val="en-GB"/>
        </w:rPr>
      </w:pPr>
      <w:bookmarkStart w:id="368" w:name="_Toc138845701"/>
      <w:bookmarkStart w:id="369" w:name="_Toc138845756"/>
      <w:bookmarkStart w:id="370" w:name="_Toc138847845"/>
    </w:p>
    <w:p w14:paraId="129C2BD0" w14:textId="77777777" w:rsidR="00E579DE" w:rsidRPr="00361139" w:rsidRDefault="00E579DE" w:rsidP="00D83203">
      <w:pPr>
        <w:pStyle w:val="Normal-pool"/>
        <w:rPr>
          <w:lang w:val="en-GB"/>
        </w:rPr>
      </w:pPr>
      <w:r w:rsidRPr="00361139">
        <w:rPr>
          <w:lang w:val="en-GB"/>
        </w:rPr>
        <w:br w:type="page"/>
      </w:r>
    </w:p>
    <w:p w14:paraId="664D87B5" w14:textId="294C138F" w:rsidR="00CC73DD" w:rsidRPr="00361139" w:rsidRDefault="00E579DE" w:rsidP="00E579DE">
      <w:pPr>
        <w:pStyle w:val="CH1"/>
        <w:rPr>
          <w:lang w:val="en-GB"/>
        </w:rPr>
      </w:pPr>
      <w:r w:rsidRPr="00361139">
        <w:rPr>
          <w:lang w:val="en-GB"/>
        </w:rPr>
        <w:lastRenderedPageBreak/>
        <w:tab/>
      </w:r>
      <w:r w:rsidRPr="00361139">
        <w:rPr>
          <w:lang w:val="en-GB"/>
        </w:rPr>
        <w:tab/>
      </w:r>
      <w:bookmarkStart w:id="371" w:name="_Toc139975486"/>
      <w:bookmarkStart w:id="372" w:name="_Toc139976241"/>
      <w:bookmarkStart w:id="373" w:name="_Toc139982257"/>
      <w:bookmarkStart w:id="374" w:name="_Toc139983969"/>
      <w:bookmarkStart w:id="375" w:name="_Toc139984209"/>
      <w:r w:rsidR="00CC73DD" w:rsidRPr="00361139">
        <w:rPr>
          <w:lang w:val="en-GB"/>
        </w:rPr>
        <w:t>Annex 6</w:t>
      </w:r>
      <w:r w:rsidRPr="00361139">
        <w:rPr>
          <w:lang w:val="en-GB"/>
        </w:rPr>
        <w:t xml:space="preserve"> - </w:t>
      </w:r>
      <w:r w:rsidR="00CC73DD" w:rsidRPr="00361139">
        <w:rPr>
          <w:lang w:val="en-GB"/>
        </w:rPr>
        <w:t xml:space="preserve">Key documents </w:t>
      </w:r>
      <w:proofErr w:type="gramStart"/>
      <w:r w:rsidR="00CC73DD" w:rsidRPr="00361139">
        <w:rPr>
          <w:lang w:val="en-GB"/>
        </w:rPr>
        <w:t>consulted</w:t>
      </w:r>
      <w:bookmarkEnd w:id="368"/>
      <w:bookmarkEnd w:id="369"/>
      <w:bookmarkEnd w:id="370"/>
      <w:bookmarkEnd w:id="371"/>
      <w:bookmarkEnd w:id="372"/>
      <w:bookmarkEnd w:id="373"/>
      <w:bookmarkEnd w:id="374"/>
      <w:bookmarkEnd w:id="375"/>
      <w:proofErr w:type="gramEnd"/>
    </w:p>
    <w:tbl>
      <w:tblPr>
        <w:tblW w:w="830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107"/>
        <w:gridCol w:w="4496"/>
      </w:tblGrid>
      <w:tr w:rsidR="00CC73DD" w:rsidRPr="00361139" w14:paraId="313A209B" w14:textId="77777777" w:rsidTr="00F370F9">
        <w:trPr>
          <w:trHeight w:val="57"/>
          <w:tblHeader/>
          <w:jc w:val="right"/>
        </w:trPr>
        <w:tc>
          <w:tcPr>
            <w:tcW w:w="8307" w:type="dxa"/>
            <w:gridSpan w:val="3"/>
            <w:shd w:val="clear" w:color="auto" w:fill="B6DDE8"/>
            <w:vAlign w:val="center"/>
          </w:tcPr>
          <w:p w14:paraId="475C0BB6" w14:textId="77777777" w:rsidR="00CC73DD" w:rsidRPr="00361139" w:rsidRDefault="00CC73DD" w:rsidP="00E579DE">
            <w:pPr>
              <w:pStyle w:val="Normal-pool-Table"/>
              <w:rPr>
                <w:b/>
                <w:bCs/>
                <w:i/>
                <w:iCs/>
                <w:lang w:val="en-GB"/>
              </w:rPr>
            </w:pPr>
            <w:r w:rsidRPr="00361139">
              <w:rPr>
                <w:b/>
                <w:bCs/>
                <w:i/>
                <w:iCs/>
                <w:lang w:val="en-GB"/>
              </w:rPr>
              <w:t>Sources of information listed in Annex to decision MC-4/7 - Terms of reference for the second review of the MC financial mechanism</w:t>
            </w:r>
          </w:p>
        </w:tc>
      </w:tr>
      <w:tr w:rsidR="00CC73DD" w:rsidRPr="00361139" w14:paraId="7CFD22D8" w14:textId="77777777" w:rsidTr="00F370F9">
        <w:trPr>
          <w:trHeight w:val="57"/>
          <w:jc w:val="right"/>
        </w:trPr>
        <w:tc>
          <w:tcPr>
            <w:tcW w:w="3811" w:type="dxa"/>
            <w:gridSpan w:val="2"/>
            <w:vAlign w:val="center"/>
          </w:tcPr>
          <w:p w14:paraId="1E01ABD5" w14:textId="77777777" w:rsidR="00CC73DD" w:rsidRPr="00361139" w:rsidRDefault="00CC73DD" w:rsidP="00E579DE">
            <w:pPr>
              <w:pStyle w:val="Normal-pool-Table"/>
              <w:rPr>
                <w:i/>
                <w:iCs/>
                <w:lang w:val="en-GB"/>
              </w:rPr>
            </w:pPr>
            <w:r w:rsidRPr="00361139">
              <w:rPr>
                <w:i/>
                <w:iCs/>
                <w:lang w:val="en-GB"/>
              </w:rPr>
              <w:t xml:space="preserve">(a) Information submitted by Parties on their experiences gained through their interactions with the financial mechanism, organized according to the performance criteria set forth in section D of the present terms of reference; </w:t>
            </w:r>
          </w:p>
        </w:tc>
        <w:tc>
          <w:tcPr>
            <w:tcW w:w="4496" w:type="dxa"/>
            <w:vAlign w:val="center"/>
          </w:tcPr>
          <w:p w14:paraId="4129D5D5" w14:textId="77777777" w:rsidR="00CC73DD" w:rsidRPr="00361139" w:rsidRDefault="00CC73DD" w:rsidP="000C76AC">
            <w:pPr>
              <w:pStyle w:val="Normal-pool-Table"/>
              <w:numPr>
                <w:ilvl w:val="0"/>
                <w:numId w:val="25"/>
              </w:numPr>
              <w:ind w:left="357" w:hanging="357"/>
              <w:rPr>
                <w:lang w:val="en-GB"/>
              </w:rPr>
            </w:pPr>
            <w:r w:rsidRPr="00361139">
              <w:rPr>
                <w:lang w:val="en-GB"/>
              </w:rPr>
              <w:t>1 Party’s submission (USA)</w:t>
            </w:r>
          </w:p>
        </w:tc>
      </w:tr>
      <w:tr w:rsidR="00CC73DD" w:rsidRPr="00361139" w14:paraId="6EAC5448" w14:textId="77777777" w:rsidTr="00F370F9">
        <w:trPr>
          <w:trHeight w:val="57"/>
          <w:jc w:val="right"/>
        </w:trPr>
        <w:tc>
          <w:tcPr>
            <w:tcW w:w="3811" w:type="dxa"/>
            <w:gridSpan w:val="2"/>
            <w:vAlign w:val="center"/>
          </w:tcPr>
          <w:p w14:paraId="162EA9D7" w14:textId="77777777" w:rsidR="00CC73DD" w:rsidRPr="00361139" w:rsidRDefault="00CC73DD" w:rsidP="00E579DE">
            <w:pPr>
              <w:pStyle w:val="Normal-pool-Table"/>
              <w:rPr>
                <w:i/>
                <w:iCs/>
                <w:lang w:val="en-GB"/>
              </w:rPr>
            </w:pPr>
            <w:r w:rsidRPr="00361139">
              <w:rPr>
                <w:i/>
                <w:iCs/>
                <w:lang w:val="en-GB"/>
              </w:rPr>
              <w:t xml:space="preserve">(b) Reports submitted to the Conference of the Parties by the entities entrusted with the operation of the financial mechanism; </w:t>
            </w:r>
          </w:p>
        </w:tc>
        <w:tc>
          <w:tcPr>
            <w:tcW w:w="4496" w:type="dxa"/>
            <w:vAlign w:val="center"/>
          </w:tcPr>
          <w:p w14:paraId="173649D7" w14:textId="77777777" w:rsidR="00CC73DD" w:rsidRPr="00361139" w:rsidRDefault="00CC73DD" w:rsidP="000C76AC">
            <w:pPr>
              <w:pStyle w:val="Normal-pool-Table"/>
              <w:numPr>
                <w:ilvl w:val="0"/>
                <w:numId w:val="25"/>
              </w:numPr>
              <w:ind w:left="357" w:hanging="357"/>
              <w:rPr>
                <w:lang w:val="en-GB"/>
              </w:rPr>
            </w:pPr>
            <w:r w:rsidRPr="00361139">
              <w:rPr>
                <w:lang w:val="en-GB"/>
              </w:rPr>
              <w:t>6 SIP Governing Board final reports (GB1-06, GB2-07, GB3-07, GB4-05, GB5-04, GB6-04);</w:t>
            </w:r>
          </w:p>
          <w:p w14:paraId="18BB8171" w14:textId="77777777" w:rsidR="00CC73DD" w:rsidRPr="00361139" w:rsidRDefault="00CC73DD" w:rsidP="000C76AC">
            <w:pPr>
              <w:pStyle w:val="Normal-pool-Table"/>
              <w:numPr>
                <w:ilvl w:val="0"/>
                <w:numId w:val="25"/>
              </w:numPr>
              <w:ind w:left="357" w:hanging="357"/>
              <w:rPr>
                <w:lang w:val="en-GB"/>
              </w:rPr>
            </w:pPr>
            <w:r w:rsidRPr="00361139">
              <w:rPr>
                <w:lang w:val="en-GB"/>
              </w:rPr>
              <w:t>4 GEF-Sec reports to COPs (COP1-INF03, COP2-INF03, COP3-INF02, COP4-INF07);</w:t>
            </w:r>
          </w:p>
          <w:p w14:paraId="6C6198B3" w14:textId="77777777" w:rsidR="00CC73DD" w:rsidRPr="00361139" w:rsidRDefault="00CC73DD" w:rsidP="000C76AC">
            <w:pPr>
              <w:pStyle w:val="Normal-pool-Table"/>
              <w:numPr>
                <w:ilvl w:val="0"/>
                <w:numId w:val="25"/>
              </w:numPr>
              <w:ind w:left="357" w:hanging="357"/>
              <w:rPr>
                <w:lang w:val="en-GB"/>
              </w:rPr>
            </w:pPr>
            <w:r w:rsidRPr="00361139">
              <w:rPr>
                <w:lang w:val="en-GB"/>
              </w:rPr>
              <w:t>1 GEF-Sec Executive Summary to COP4 (COP4-09-Add1);</w:t>
            </w:r>
          </w:p>
          <w:p w14:paraId="772C0442" w14:textId="77777777" w:rsidR="00CC73DD" w:rsidRPr="00361139" w:rsidRDefault="00CC73DD" w:rsidP="00E579DE">
            <w:pPr>
              <w:pStyle w:val="Normal-pool-Table"/>
              <w:rPr>
                <w:i/>
                <w:iCs/>
                <w:lang w:val="en-GB"/>
              </w:rPr>
            </w:pPr>
            <w:r w:rsidRPr="00361139">
              <w:rPr>
                <w:i/>
                <w:iCs/>
                <w:lang w:val="en-GB"/>
              </w:rPr>
              <w:t>All available on the MC web site.</w:t>
            </w:r>
          </w:p>
        </w:tc>
      </w:tr>
      <w:tr w:rsidR="00CC73DD" w:rsidRPr="00361139" w14:paraId="51E1BD23" w14:textId="77777777" w:rsidTr="00F370F9">
        <w:trPr>
          <w:trHeight w:val="57"/>
          <w:jc w:val="right"/>
        </w:trPr>
        <w:tc>
          <w:tcPr>
            <w:tcW w:w="3811" w:type="dxa"/>
            <w:gridSpan w:val="2"/>
            <w:vAlign w:val="center"/>
          </w:tcPr>
          <w:p w14:paraId="642A352E" w14:textId="77777777" w:rsidR="00CC73DD" w:rsidRPr="00361139" w:rsidRDefault="00CC73DD" w:rsidP="00E579DE">
            <w:pPr>
              <w:pStyle w:val="Normal-pool-Table"/>
              <w:rPr>
                <w:i/>
                <w:iCs/>
                <w:lang w:val="en-GB"/>
              </w:rPr>
            </w:pPr>
            <w:r w:rsidRPr="00361139">
              <w:rPr>
                <w:i/>
                <w:iCs/>
                <w:lang w:val="en-GB"/>
              </w:rPr>
              <w:t xml:space="preserve">(c) Other reports provided by the entities entrusted with the operation of the financial mechanism, including, among other things, reports of the Independent Evaluation Office of the Global Environment Facility, terminal evaluations of Completed projects of the Specific International Programme and reporting from ongoing projects of the Specific International Programme; </w:t>
            </w:r>
          </w:p>
        </w:tc>
        <w:tc>
          <w:tcPr>
            <w:tcW w:w="4496" w:type="dxa"/>
            <w:vAlign w:val="center"/>
          </w:tcPr>
          <w:p w14:paraId="42471C9F" w14:textId="77777777" w:rsidR="00CC73DD" w:rsidRPr="00361139" w:rsidRDefault="00CC73DD" w:rsidP="000C76AC">
            <w:pPr>
              <w:pStyle w:val="Normal-pool-Table"/>
              <w:numPr>
                <w:ilvl w:val="0"/>
                <w:numId w:val="25"/>
              </w:numPr>
              <w:ind w:left="357" w:hanging="357"/>
              <w:rPr>
                <w:lang w:val="en-GB"/>
              </w:rPr>
            </w:pPr>
            <w:r w:rsidRPr="00361139">
              <w:rPr>
                <w:lang w:val="en-GB"/>
              </w:rPr>
              <w:t xml:space="preserve">22 legal agreements of SIP projects </w:t>
            </w:r>
            <w:r w:rsidRPr="00361139">
              <w:rPr>
                <w:i/>
                <w:iCs/>
                <w:lang w:val="en-GB"/>
              </w:rPr>
              <w:t>(marked as “confidential” and made available for this review);</w:t>
            </w:r>
          </w:p>
          <w:p w14:paraId="3D21E3B7" w14:textId="11611BA2" w:rsidR="00CC73DD" w:rsidRPr="00361139" w:rsidRDefault="00CC73DD" w:rsidP="000C76AC">
            <w:pPr>
              <w:pStyle w:val="Normal-pool-Table"/>
              <w:numPr>
                <w:ilvl w:val="0"/>
                <w:numId w:val="25"/>
              </w:numPr>
              <w:ind w:left="357" w:hanging="357"/>
              <w:rPr>
                <w:lang w:val="en-GB"/>
              </w:rPr>
            </w:pPr>
            <w:r w:rsidRPr="00361139">
              <w:rPr>
                <w:lang w:val="en-GB"/>
              </w:rPr>
              <w:t xml:space="preserve">15 project </w:t>
            </w:r>
            <w:r w:rsidRPr="00361139">
              <w:rPr>
                <w:i/>
                <w:iCs/>
                <w:lang w:val="en-GB"/>
              </w:rPr>
              <w:t>summaries (all available on the MC web site)</w:t>
            </w:r>
            <w:r w:rsidRPr="00361139">
              <w:rPr>
                <w:lang w:val="en-GB"/>
              </w:rPr>
              <w:t>,</w:t>
            </w:r>
            <w:r w:rsidR="00334B82" w:rsidRPr="00361139">
              <w:rPr>
                <w:lang w:val="en-GB"/>
              </w:rPr>
              <w:t xml:space="preserve"> </w:t>
            </w:r>
            <w:r w:rsidRPr="00361139">
              <w:rPr>
                <w:lang w:val="en-GB"/>
              </w:rPr>
              <w:t xml:space="preserve">4 final report and 1 terminal evaluation </w:t>
            </w:r>
            <w:r w:rsidRPr="00361139">
              <w:rPr>
                <w:i/>
                <w:iCs/>
                <w:lang w:val="en-GB"/>
              </w:rPr>
              <w:t>(marked as “confidential” and made available for this review)</w:t>
            </w:r>
            <w:r w:rsidRPr="00361139">
              <w:rPr>
                <w:lang w:val="en-GB"/>
              </w:rPr>
              <w:t xml:space="preserve"> of the SIP projects approved in the first two </w:t>
            </w:r>
            <w:proofErr w:type="gramStart"/>
            <w:r w:rsidRPr="00361139">
              <w:rPr>
                <w:lang w:val="en-GB"/>
              </w:rPr>
              <w:t>rounds</w:t>
            </w:r>
            <w:proofErr w:type="gramEnd"/>
            <w:r w:rsidRPr="00361139">
              <w:rPr>
                <w:lang w:val="en-GB"/>
              </w:rPr>
              <w:t xml:space="preserve"> </w:t>
            </w:r>
          </w:p>
          <w:p w14:paraId="5829C928" w14:textId="77777777" w:rsidR="00CC73DD" w:rsidRPr="00361139" w:rsidRDefault="00CC73DD" w:rsidP="000C76AC">
            <w:pPr>
              <w:pStyle w:val="Normal-pool-Table"/>
              <w:numPr>
                <w:ilvl w:val="0"/>
                <w:numId w:val="25"/>
              </w:numPr>
              <w:ind w:left="357" w:hanging="357"/>
              <w:rPr>
                <w:lang w:val="en-GB"/>
              </w:rPr>
            </w:pPr>
            <w:r w:rsidRPr="00361139">
              <w:rPr>
                <w:lang w:val="en-GB"/>
              </w:rPr>
              <w:t xml:space="preserve">Background documents (prepared by the MC Secretariat) of the 7th meeting of the SIP Governing Board </w:t>
            </w:r>
            <w:r w:rsidRPr="00361139">
              <w:rPr>
                <w:i/>
                <w:iCs/>
                <w:lang w:val="en-GB"/>
              </w:rPr>
              <w:t>(marked as “confidential” and made available for this review);</w:t>
            </w:r>
          </w:p>
          <w:p w14:paraId="5616F007" w14:textId="70AEC33A" w:rsidR="00CC73DD" w:rsidRPr="00361139" w:rsidRDefault="00CC73DD" w:rsidP="00A838A6">
            <w:pPr>
              <w:pStyle w:val="Normal-pool-Table"/>
              <w:ind w:left="357"/>
              <w:rPr>
                <w:lang w:val="en-GB"/>
              </w:rPr>
            </w:pPr>
            <w:r w:rsidRPr="00361139">
              <w:rPr>
                <w:lang w:val="en-GB"/>
              </w:rPr>
              <w:t xml:space="preserve">No background documents </w:t>
            </w:r>
            <w:proofErr w:type="gramStart"/>
            <w:r w:rsidRPr="00361139">
              <w:rPr>
                <w:lang w:val="en-GB"/>
              </w:rPr>
              <w:t>has</w:t>
            </w:r>
            <w:proofErr w:type="gramEnd"/>
            <w:r w:rsidRPr="00361139">
              <w:rPr>
                <w:lang w:val="en-GB"/>
              </w:rPr>
              <w:t xml:space="preserve"> been made available for the SIP GB</w:t>
            </w:r>
            <w:r w:rsidR="00334B82" w:rsidRPr="00361139">
              <w:rPr>
                <w:lang w:val="en-GB"/>
              </w:rPr>
              <w:t xml:space="preserve"> </w:t>
            </w:r>
            <w:r w:rsidRPr="00361139">
              <w:rPr>
                <w:lang w:val="en-GB"/>
              </w:rPr>
              <w:t>first six meetings (round 1-3)</w:t>
            </w:r>
          </w:p>
          <w:p w14:paraId="490316FB" w14:textId="77777777" w:rsidR="00CC73DD" w:rsidRPr="00361139" w:rsidRDefault="00CC73DD" w:rsidP="000C76AC">
            <w:pPr>
              <w:pStyle w:val="Normal-pool-Table"/>
              <w:numPr>
                <w:ilvl w:val="0"/>
                <w:numId w:val="25"/>
              </w:numPr>
              <w:ind w:left="357" w:hanging="357"/>
              <w:rPr>
                <w:lang w:val="en-GB"/>
              </w:rPr>
            </w:pPr>
            <w:r w:rsidRPr="00361139">
              <w:rPr>
                <w:lang w:val="en-GB"/>
              </w:rPr>
              <w:t xml:space="preserve">Contact details of SIP GB Members </w:t>
            </w:r>
            <w:r w:rsidRPr="00361139">
              <w:rPr>
                <w:i/>
                <w:iCs/>
                <w:lang w:val="en-GB"/>
              </w:rPr>
              <w:t>(marked as “confidential” and made available for this review);</w:t>
            </w:r>
          </w:p>
          <w:p w14:paraId="16957E3E" w14:textId="77777777" w:rsidR="00CC73DD" w:rsidRPr="00361139" w:rsidRDefault="00CC73DD" w:rsidP="000C76AC">
            <w:pPr>
              <w:pStyle w:val="Normal-pool-Table"/>
              <w:numPr>
                <w:ilvl w:val="0"/>
                <w:numId w:val="25"/>
              </w:numPr>
              <w:ind w:left="357" w:hanging="357"/>
              <w:rPr>
                <w:lang w:val="en-GB"/>
              </w:rPr>
            </w:pPr>
            <w:r w:rsidRPr="00361139">
              <w:rPr>
                <w:lang w:val="en-GB"/>
              </w:rPr>
              <w:t xml:space="preserve">GEF Secretariat submission for the 2nd review </w:t>
            </w:r>
          </w:p>
          <w:p w14:paraId="0018C8F3" w14:textId="77777777" w:rsidR="00CC73DD" w:rsidRPr="00361139" w:rsidRDefault="00CC73DD" w:rsidP="000C76AC">
            <w:pPr>
              <w:pStyle w:val="Normal-pool-Table"/>
              <w:numPr>
                <w:ilvl w:val="0"/>
                <w:numId w:val="25"/>
              </w:numPr>
              <w:ind w:left="357" w:hanging="357"/>
              <w:rPr>
                <w:lang w:val="en-GB"/>
              </w:rPr>
            </w:pPr>
            <w:r w:rsidRPr="00361139">
              <w:rPr>
                <w:lang w:val="en-GB"/>
              </w:rPr>
              <w:t xml:space="preserve">Project documents (and in some cases project reports and terminal evaluations) of the GEF funded Minamata projects </w:t>
            </w:r>
            <w:r w:rsidRPr="00361139">
              <w:rPr>
                <w:i/>
                <w:iCs/>
                <w:lang w:val="en-GB"/>
              </w:rPr>
              <w:t>(available on the GEF project database website);</w:t>
            </w:r>
          </w:p>
        </w:tc>
      </w:tr>
      <w:tr w:rsidR="00CC73DD" w:rsidRPr="00361139" w14:paraId="62EB0183" w14:textId="77777777" w:rsidTr="00F370F9">
        <w:trPr>
          <w:trHeight w:val="57"/>
          <w:jc w:val="right"/>
        </w:trPr>
        <w:tc>
          <w:tcPr>
            <w:tcW w:w="3811" w:type="dxa"/>
            <w:gridSpan w:val="2"/>
            <w:vAlign w:val="center"/>
          </w:tcPr>
          <w:p w14:paraId="5C21BDA8" w14:textId="77777777" w:rsidR="00CC73DD" w:rsidRPr="00361139" w:rsidRDefault="00CC73DD" w:rsidP="00E579DE">
            <w:pPr>
              <w:pStyle w:val="Normal-pool-Table"/>
              <w:rPr>
                <w:i/>
                <w:iCs/>
                <w:lang w:val="en-GB"/>
              </w:rPr>
            </w:pPr>
            <w:r w:rsidRPr="00361139">
              <w:rPr>
                <w:i/>
                <w:iCs/>
                <w:lang w:val="en-GB"/>
              </w:rPr>
              <w:t xml:space="preserve">(d) Relevant reports and information submitted by intergovernmental and non-governmental organizations; stakeholders; other entities providing multilateral, regional and bilateral financial and technical assistance pursuant to paragraphs 1 and 3 of article 13 of the Convention; the Special Programme to support institutional strengthening at the national level for implementation of the Basel, Rotterdam and Stockholm conventions, the Minamata Convention and the Strategic Approach to International Chemicals Management (with respect to complementarity and avoiding duplication); and the Global Mercury Partnership (relative to its interaction with the financial mechanism in advancing the implementation of the Convention); </w:t>
            </w:r>
          </w:p>
        </w:tc>
        <w:tc>
          <w:tcPr>
            <w:tcW w:w="4496" w:type="dxa"/>
            <w:vAlign w:val="center"/>
          </w:tcPr>
          <w:p w14:paraId="1575CA9F" w14:textId="77777777" w:rsidR="00CC73DD" w:rsidRPr="00361139" w:rsidRDefault="00CC73DD" w:rsidP="000C76AC">
            <w:pPr>
              <w:pStyle w:val="Normal-pool-Table"/>
              <w:numPr>
                <w:ilvl w:val="0"/>
                <w:numId w:val="25"/>
              </w:numPr>
              <w:ind w:left="357" w:hanging="357"/>
              <w:rPr>
                <w:lang w:val="en-GB"/>
              </w:rPr>
            </w:pPr>
            <w:r w:rsidRPr="00361139">
              <w:rPr>
                <w:lang w:val="en-GB"/>
              </w:rPr>
              <w:t>2 submissions (Special Programme, and Global Mercury Partnership Advisory Group).</w:t>
            </w:r>
          </w:p>
        </w:tc>
      </w:tr>
      <w:tr w:rsidR="00CC73DD" w:rsidRPr="00361139" w14:paraId="10D7F391" w14:textId="77777777" w:rsidTr="00F370F9">
        <w:trPr>
          <w:trHeight w:val="57"/>
          <w:jc w:val="right"/>
        </w:trPr>
        <w:tc>
          <w:tcPr>
            <w:tcW w:w="3811" w:type="dxa"/>
            <w:gridSpan w:val="2"/>
            <w:vAlign w:val="center"/>
          </w:tcPr>
          <w:p w14:paraId="6CA5F0EE" w14:textId="77777777" w:rsidR="00CC73DD" w:rsidRPr="00361139" w:rsidRDefault="00CC73DD" w:rsidP="00E579DE">
            <w:pPr>
              <w:pStyle w:val="Normal-pool-Table"/>
              <w:rPr>
                <w:i/>
                <w:iCs/>
                <w:lang w:val="en-GB"/>
              </w:rPr>
            </w:pPr>
            <w:r w:rsidRPr="00361139">
              <w:rPr>
                <w:i/>
                <w:iCs/>
                <w:lang w:val="en-GB"/>
              </w:rPr>
              <w:t xml:space="preserve">(e) Reports submitted by Parties pursuant to article 21 of the Convention. </w:t>
            </w:r>
          </w:p>
        </w:tc>
        <w:tc>
          <w:tcPr>
            <w:tcW w:w="4496" w:type="dxa"/>
            <w:vAlign w:val="center"/>
          </w:tcPr>
          <w:p w14:paraId="3518BB58" w14:textId="77777777" w:rsidR="00CC73DD" w:rsidRPr="00361139" w:rsidRDefault="00CC73DD" w:rsidP="000C76AC">
            <w:pPr>
              <w:pStyle w:val="Normal-pool-Table"/>
              <w:numPr>
                <w:ilvl w:val="0"/>
                <w:numId w:val="25"/>
              </w:numPr>
              <w:ind w:left="357" w:hanging="357"/>
              <w:rPr>
                <w:lang w:val="en-GB"/>
              </w:rPr>
            </w:pPr>
            <w:r w:rsidRPr="00361139">
              <w:rPr>
                <w:lang w:val="en-GB"/>
              </w:rPr>
              <w:t>118 “2021 National reports” (plus attachments) (all available on the MC web site).</w:t>
            </w:r>
          </w:p>
        </w:tc>
      </w:tr>
      <w:tr w:rsidR="00CC73DD" w:rsidRPr="00361139" w14:paraId="4485E173" w14:textId="77777777" w:rsidTr="00F370F9">
        <w:trPr>
          <w:trHeight w:val="57"/>
          <w:jc w:val="right"/>
        </w:trPr>
        <w:tc>
          <w:tcPr>
            <w:tcW w:w="3811" w:type="dxa"/>
            <w:gridSpan w:val="2"/>
            <w:vAlign w:val="center"/>
          </w:tcPr>
          <w:p w14:paraId="47A7B7EC" w14:textId="77777777" w:rsidR="00CC73DD" w:rsidRPr="00361139" w:rsidRDefault="00CC73DD" w:rsidP="00E579DE">
            <w:pPr>
              <w:pStyle w:val="Normal-pool-Table"/>
              <w:rPr>
                <w:i/>
                <w:iCs/>
                <w:lang w:val="en-GB"/>
              </w:rPr>
            </w:pPr>
            <w:r w:rsidRPr="00361139">
              <w:rPr>
                <w:i/>
                <w:iCs/>
                <w:lang w:val="en-GB"/>
              </w:rPr>
              <w:t xml:space="preserve">(f) Report of the Executive Director of the United Nations Environment Programme entitled “Strengthening the Specific International Programme to Support Capacity-Building and Technical Assistance of the Minamata Convention on Mercury: enhancing the effective functioning of the Programme (UNEP/MC/COP.4/13); </w:t>
            </w:r>
          </w:p>
        </w:tc>
        <w:tc>
          <w:tcPr>
            <w:tcW w:w="4496" w:type="dxa"/>
            <w:vAlign w:val="center"/>
          </w:tcPr>
          <w:p w14:paraId="0847C60F" w14:textId="77777777" w:rsidR="00CC73DD" w:rsidRPr="00361139" w:rsidRDefault="00CC73DD" w:rsidP="00E579DE">
            <w:pPr>
              <w:pStyle w:val="Normal-pool-Table"/>
              <w:rPr>
                <w:i/>
                <w:iCs/>
                <w:lang w:val="en-GB"/>
              </w:rPr>
            </w:pPr>
            <w:r w:rsidRPr="00361139">
              <w:rPr>
                <w:i/>
                <w:iCs/>
                <w:lang w:val="en-GB"/>
              </w:rPr>
              <w:t>(</w:t>
            </w:r>
            <w:proofErr w:type="gramStart"/>
            <w:r w:rsidRPr="00361139">
              <w:rPr>
                <w:i/>
                <w:iCs/>
                <w:lang w:val="en-GB"/>
              </w:rPr>
              <w:t>available</w:t>
            </w:r>
            <w:proofErr w:type="gramEnd"/>
            <w:r w:rsidRPr="00361139">
              <w:rPr>
                <w:i/>
                <w:iCs/>
                <w:lang w:val="en-GB"/>
              </w:rPr>
              <w:t xml:space="preserve"> on the MC web site)</w:t>
            </w:r>
          </w:p>
        </w:tc>
      </w:tr>
      <w:tr w:rsidR="00CC73DD" w:rsidRPr="00361139" w14:paraId="6FC10530" w14:textId="77777777" w:rsidTr="00F370F9">
        <w:trPr>
          <w:trHeight w:val="57"/>
          <w:jc w:val="right"/>
        </w:trPr>
        <w:tc>
          <w:tcPr>
            <w:tcW w:w="8307" w:type="dxa"/>
            <w:gridSpan w:val="3"/>
            <w:shd w:val="clear" w:color="auto" w:fill="B6DDE8"/>
            <w:vAlign w:val="center"/>
          </w:tcPr>
          <w:p w14:paraId="5F26D4DD" w14:textId="77777777" w:rsidR="00CC73DD" w:rsidRPr="00361139" w:rsidRDefault="00CC73DD" w:rsidP="00E579DE">
            <w:pPr>
              <w:pStyle w:val="Normal-pool-Table"/>
              <w:rPr>
                <w:lang w:val="en-GB"/>
              </w:rPr>
            </w:pPr>
            <w:r w:rsidRPr="00361139">
              <w:rPr>
                <w:b/>
                <w:bCs/>
                <w:i/>
                <w:iCs/>
                <w:lang w:val="en-GB"/>
              </w:rPr>
              <w:lastRenderedPageBreak/>
              <w:t>COPs relevant document</w:t>
            </w:r>
            <w:r w:rsidRPr="00361139">
              <w:rPr>
                <w:lang w:val="en-GB"/>
              </w:rPr>
              <w:t xml:space="preserve"> </w:t>
            </w:r>
            <w:r w:rsidRPr="00361139">
              <w:rPr>
                <w:i/>
                <w:iCs/>
                <w:lang w:val="en-GB"/>
              </w:rPr>
              <w:t>(all available on the MC web site)</w:t>
            </w:r>
          </w:p>
        </w:tc>
      </w:tr>
      <w:tr w:rsidR="00BB3A7A" w:rsidRPr="00361139" w14:paraId="458ECE83" w14:textId="77777777" w:rsidTr="000C12D0">
        <w:trPr>
          <w:trHeight w:val="57"/>
          <w:jc w:val="right"/>
        </w:trPr>
        <w:tc>
          <w:tcPr>
            <w:tcW w:w="704" w:type="dxa"/>
            <w:vAlign w:val="center"/>
          </w:tcPr>
          <w:p w14:paraId="5AF0F9A6" w14:textId="77777777" w:rsidR="00BB3A7A" w:rsidRPr="00361139" w:rsidRDefault="00BB3A7A" w:rsidP="00BB3A7A">
            <w:pPr>
              <w:pStyle w:val="Normal-pool-Table"/>
              <w:rPr>
                <w:lang w:val="en-GB"/>
              </w:rPr>
            </w:pPr>
            <w:r w:rsidRPr="00361139">
              <w:rPr>
                <w:lang w:val="en-GB"/>
              </w:rPr>
              <w:t>COP1</w:t>
            </w:r>
          </w:p>
        </w:tc>
        <w:tc>
          <w:tcPr>
            <w:tcW w:w="7603" w:type="dxa"/>
            <w:gridSpan w:val="2"/>
            <w:vAlign w:val="center"/>
          </w:tcPr>
          <w:p w14:paraId="68B409A9" w14:textId="77777777" w:rsidR="00BB3A7A" w:rsidRPr="00361139" w:rsidRDefault="00BB3A7A" w:rsidP="000C76AC">
            <w:pPr>
              <w:pStyle w:val="Normal-pool-Table"/>
              <w:numPr>
                <w:ilvl w:val="0"/>
                <w:numId w:val="26"/>
              </w:numPr>
              <w:ind w:left="357" w:hanging="357"/>
              <w:rPr>
                <w:lang w:val="en-GB"/>
              </w:rPr>
            </w:pPr>
            <w:r w:rsidRPr="00361139">
              <w:rPr>
                <w:b/>
                <w:i/>
                <w:lang w:val="en-GB"/>
              </w:rPr>
              <w:t>Final Report:</w:t>
            </w:r>
            <w:r w:rsidRPr="00361139">
              <w:rPr>
                <w:lang w:val="en-GB"/>
              </w:rPr>
              <w:t xml:space="preserve"> MC/COP.1/29; including Decision MC-1/5, and Decision MC-1/6;</w:t>
            </w:r>
          </w:p>
          <w:p w14:paraId="5DE37FF2"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GEF:</w:t>
            </w:r>
            <w:r w:rsidRPr="00361139">
              <w:rPr>
                <w:lang w:val="en-GB"/>
              </w:rPr>
              <w:t xml:space="preserve"> MC/COP.1/INF/3, MC/COP.1/15, and MC/COP.1/8;</w:t>
            </w:r>
          </w:p>
          <w:p w14:paraId="269F3A5D" w14:textId="7BB041CC" w:rsidR="00BB3A7A" w:rsidRPr="00361139" w:rsidRDefault="00BB3A7A" w:rsidP="000C76AC">
            <w:pPr>
              <w:pStyle w:val="Normal-pool-Table"/>
              <w:numPr>
                <w:ilvl w:val="0"/>
                <w:numId w:val="26"/>
              </w:numPr>
              <w:ind w:left="357" w:hanging="357"/>
              <w:rPr>
                <w:lang w:val="en-GB"/>
              </w:rPr>
            </w:pPr>
            <w:r w:rsidRPr="00361139">
              <w:rPr>
                <w:b/>
                <w:i/>
                <w:lang w:val="en-GB"/>
              </w:rPr>
              <w:t>Background documents on SIP:</w:t>
            </w:r>
            <w:r w:rsidRPr="00361139">
              <w:rPr>
                <w:lang w:val="en-GB"/>
              </w:rPr>
              <w:t xml:space="preserve"> MC/COP.1/9.</w:t>
            </w:r>
          </w:p>
        </w:tc>
      </w:tr>
      <w:tr w:rsidR="00BB3A7A" w:rsidRPr="00361139" w14:paraId="14BF0B81" w14:textId="77777777" w:rsidTr="000C12D0">
        <w:trPr>
          <w:trHeight w:val="57"/>
          <w:jc w:val="right"/>
        </w:trPr>
        <w:tc>
          <w:tcPr>
            <w:tcW w:w="704" w:type="dxa"/>
            <w:vAlign w:val="center"/>
          </w:tcPr>
          <w:p w14:paraId="1295516F" w14:textId="77777777" w:rsidR="00BB3A7A" w:rsidRPr="00361139" w:rsidRDefault="00BB3A7A" w:rsidP="00BB3A7A">
            <w:pPr>
              <w:pStyle w:val="Normal-pool-Table"/>
              <w:rPr>
                <w:lang w:val="en-GB"/>
              </w:rPr>
            </w:pPr>
            <w:r w:rsidRPr="00361139">
              <w:rPr>
                <w:lang w:val="en-GB"/>
              </w:rPr>
              <w:t>COP2</w:t>
            </w:r>
          </w:p>
        </w:tc>
        <w:tc>
          <w:tcPr>
            <w:tcW w:w="7603" w:type="dxa"/>
            <w:gridSpan w:val="2"/>
            <w:vAlign w:val="center"/>
          </w:tcPr>
          <w:p w14:paraId="2FDEABE1" w14:textId="77777777" w:rsidR="00BB3A7A" w:rsidRPr="00361139" w:rsidRDefault="00BB3A7A" w:rsidP="000C76AC">
            <w:pPr>
              <w:pStyle w:val="Normal-pool-Table"/>
              <w:numPr>
                <w:ilvl w:val="0"/>
                <w:numId w:val="26"/>
              </w:numPr>
              <w:ind w:left="357" w:hanging="357"/>
              <w:rPr>
                <w:lang w:val="en-GB"/>
              </w:rPr>
            </w:pPr>
            <w:r w:rsidRPr="00361139">
              <w:rPr>
                <w:b/>
                <w:i/>
                <w:lang w:val="en-GB"/>
              </w:rPr>
              <w:t>Final Report:</w:t>
            </w:r>
            <w:r w:rsidRPr="00361139">
              <w:rPr>
                <w:lang w:val="en-GB"/>
              </w:rPr>
              <w:t xml:space="preserve"> MC/COP.2/19; including GEF MoU at Para 83 and SIP document in Annex II;</w:t>
            </w:r>
          </w:p>
          <w:p w14:paraId="0C74AA36"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GEF:</w:t>
            </w:r>
            <w:r w:rsidRPr="00361139">
              <w:rPr>
                <w:lang w:val="en-GB"/>
              </w:rPr>
              <w:t xml:space="preserve"> MC/COP.2/INF/3, and MC/COP.2/8;</w:t>
            </w:r>
          </w:p>
          <w:p w14:paraId="205FC2C0" w14:textId="72B29A6D" w:rsidR="00BB3A7A" w:rsidRPr="00361139" w:rsidRDefault="00BB3A7A" w:rsidP="000C76AC">
            <w:pPr>
              <w:pStyle w:val="Normal-pool-Table"/>
              <w:numPr>
                <w:ilvl w:val="0"/>
                <w:numId w:val="26"/>
              </w:numPr>
              <w:ind w:left="357" w:hanging="357"/>
              <w:rPr>
                <w:lang w:val="en-GB"/>
              </w:rPr>
            </w:pPr>
            <w:r w:rsidRPr="00361139">
              <w:rPr>
                <w:b/>
                <w:i/>
                <w:lang w:val="en-GB"/>
              </w:rPr>
              <w:t>Background documents on SIP:</w:t>
            </w:r>
            <w:r w:rsidRPr="00361139">
              <w:rPr>
                <w:lang w:val="en-GB"/>
              </w:rPr>
              <w:t xml:space="preserve"> MC/COP.2/INF/16, and MC/COP.2/9.</w:t>
            </w:r>
          </w:p>
        </w:tc>
      </w:tr>
      <w:tr w:rsidR="00BB3A7A" w:rsidRPr="00361139" w14:paraId="684C85F5" w14:textId="77777777" w:rsidTr="000C12D0">
        <w:trPr>
          <w:trHeight w:val="57"/>
          <w:jc w:val="right"/>
        </w:trPr>
        <w:tc>
          <w:tcPr>
            <w:tcW w:w="704" w:type="dxa"/>
            <w:vAlign w:val="center"/>
          </w:tcPr>
          <w:p w14:paraId="00291FD8" w14:textId="77777777" w:rsidR="00BB3A7A" w:rsidRPr="00361139" w:rsidRDefault="00BB3A7A" w:rsidP="00BB3A7A">
            <w:pPr>
              <w:pStyle w:val="Normal-pool-Table"/>
              <w:rPr>
                <w:lang w:val="en-GB"/>
              </w:rPr>
            </w:pPr>
            <w:r w:rsidRPr="00361139">
              <w:rPr>
                <w:lang w:val="en-GB"/>
              </w:rPr>
              <w:t>COP3</w:t>
            </w:r>
          </w:p>
        </w:tc>
        <w:tc>
          <w:tcPr>
            <w:tcW w:w="7603" w:type="dxa"/>
            <w:gridSpan w:val="2"/>
            <w:vAlign w:val="center"/>
          </w:tcPr>
          <w:p w14:paraId="200DAD42" w14:textId="77777777" w:rsidR="00BB3A7A" w:rsidRPr="00361139" w:rsidRDefault="00BB3A7A" w:rsidP="000C76AC">
            <w:pPr>
              <w:pStyle w:val="Normal-pool-Table"/>
              <w:numPr>
                <w:ilvl w:val="0"/>
                <w:numId w:val="26"/>
              </w:numPr>
              <w:ind w:left="357" w:hanging="357"/>
              <w:rPr>
                <w:lang w:val="en-GB"/>
              </w:rPr>
            </w:pPr>
            <w:r w:rsidRPr="00361139">
              <w:rPr>
                <w:b/>
                <w:i/>
                <w:lang w:val="en-GB"/>
              </w:rPr>
              <w:t>Final Report:</w:t>
            </w:r>
            <w:r w:rsidRPr="00361139">
              <w:rPr>
                <w:lang w:val="en-GB"/>
              </w:rPr>
              <w:t xml:space="preserve"> MC/COP.3/23; including decision MC-3/7 and recommendation in Para 109 and GB members election in Para110;</w:t>
            </w:r>
          </w:p>
          <w:p w14:paraId="47BC8129"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the financial mechanism:</w:t>
            </w:r>
            <w:r w:rsidRPr="00361139">
              <w:rPr>
                <w:lang w:val="en-GB"/>
              </w:rPr>
              <w:t xml:space="preserve"> MC/COP.3/11;</w:t>
            </w:r>
          </w:p>
          <w:p w14:paraId="25B3E6FA"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GEF:</w:t>
            </w:r>
            <w:r w:rsidRPr="00361139">
              <w:rPr>
                <w:lang w:val="en-GB"/>
              </w:rPr>
              <w:t xml:space="preserve"> MC/COP.3/INF/2, MC/COP.3/9, and MC/COP.3/9/Add.1;</w:t>
            </w:r>
          </w:p>
          <w:p w14:paraId="7BC24E8E" w14:textId="01B0B993" w:rsidR="00BB3A7A" w:rsidRPr="00361139" w:rsidRDefault="00BB3A7A" w:rsidP="000C76AC">
            <w:pPr>
              <w:pStyle w:val="Normal-pool-Table"/>
              <w:numPr>
                <w:ilvl w:val="0"/>
                <w:numId w:val="26"/>
              </w:numPr>
              <w:ind w:left="357" w:hanging="357"/>
              <w:rPr>
                <w:lang w:val="en-GB"/>
              </w:rPr>
            </w:pPr>
            <w:r w:rsidRPr="00361139">
              <w:rPr>
                <w:b/>
                <w:i/>
                <w:lang w:val="en-GB"/>
              </w:rPr>
              <w:t>Background documents on SIP:</w:t>
            </w:r>
            <w:r w:rsidRPr="00361139">
              <w:rPr>
                <w:lang w:val="en-GB"/>
              </w:rPr>
              <w:t xml:space="preserve"> MC/COP.3/INF/3, MC/COP.3/INF/5/Rev.1, MC/COP.3/10, and MC/COP.3/10/Add.1.</w:t>
            </w:r>
          </w:p>
        </w:tc>
      </w:tr>
      <w:tr w:rsidR="00BB3A7A" w:rsidRPr="00361139" w14:paraId="605A8CCD" w14:textId="77777777" w:rsidTr="000C12D0">
        <w:trPr>
          <w:trHeight w:val="57"/>
          <w:jc w:val="right"/>
        </w:trPr>
        <w:tc>
          <w:tcPr>
            <w:tcW w:w="704" w:type="dxa"/>
            <w:vAlign w:val="center"/>
          </w:tcPr>
          <w:p w14:paraId="5ABC0941" w14:textId="77777777" w:rsidR="00BB3A7A" w:rsidRPr="00361139" w:rsidRDefault="00BB3A7A" w:rsidP="00BB3A7A">
            <w:pPr>
              <w:pStyle w:val="Normal-pool-Table"/>
              <w:rPr>
                <w:lang w:val="en-GB"/>
              </w:rPr>
            </w:pPr>
            <w:r w:rsidRPr="00361139">
              <w:rPr>
                <w:lang w:val="en-GB"/>
              </w:rPr>
              <w:t>COP4</w:t>
            </w:r>
          </w:p>
        </w:tc>
        <w:tc>
          <w:tcPr>
            <w:tcW w:w="7603" w:type="dxa"/>
            <w:gridSpan w:val="2"/>
            <w:vAlign w:val="center"/>
          </w:tcPr>
          <w:p w14:paraId="710664B0" w14:textId="77777777" w:rsidR="00BB3A7A" w:rsidRPr="00361139" w:rsidRDefault="00BB3A7A" w:rsidP="000C76AC">
            <w:pPr>
              <w:pStyle w:val="Normal-pool-Table"/>
              <w:numPr>
                <w:ilvl w:val="0"/>
                <w:numId w:val="26"/>
              </w:numPr>
              <w:ind w:left="357" w:hanging="357"/>
              <w:rPr>
                <w:lang w:val="en-GB"/>
              </w:rPr>
            </w:pPr>
            <w:r w:rsidRPr="00361139">
              <w:rPr>
                <w:b/>
                <w:i/>
                <w:lang w:val="en-GB"/>
              </w:rPr>
              <w:t>Final Reports:</w:t>
            </w:r>
            <w:r w:rsidRPr="00361139">
              <w:rPr>
                <w:lang w:val="en-GB"/>
              </w:rPr>
              <w:t xml:space="preserve"> MC/COP.4/</w:t>
            </w:r>
            <w:proofErr w:type="gramStart"/>
            <w:r w:rsidRPr="00361139">
              <w:rPr>
                <w:lang w:val="en-GB"/>
              </w:rPr>
              <w:t>28,  MC</w:t>
            </w:r>
            <w:proofErr w:type="gramEnd"/>
            <w:r w:rsidRPr="00361139">
              <w:rPr>
                <w:lang w:val="en-GB"/>
              </w:rPr>
              <w:t>/COP.4/28/Add.1; including decision MC-4/7 and GB members election in Para 23;</w:t>
            </w:r>
          </w:p>
          <w:p w14:paraId="1D519F9D"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the financial mechanism:</w:t>
            </w:r>
            <w:r w:rsidRPr="00361139">
              <w:rPr>
                <w:lang w:val="en-GB"/>
              </w:rPr>
              <w:t xml:space="preserve"> MC/COP.4/INF/22 including Activity 13; and MC/COP.4/12;</w:t>
            </w:r>
          </w:p>
          <w:p w14:paraId="5F64FE42" w14:textId="77777777" w:rsidR="00BB3A7A" w:rsidRPr="00361139" w:rsidRDefault="00BB3A7A" w:rsidP="000C76AC">
            <w:pPr>
              <w:pStyle w:val="Normal-pool-Table"/>
              <w:numPr>
                <w:ilvl w:val="0"/>
                <w:numId w:val="26"/>
              </w:numPr>
              <w:ind w:left="357" w:hanging="357"/>
              <w:rPr>
                <w:lang w:val="en-GB"/>
              </w:rPr>
            </w:pPr>
            <w:r w:rsidRPr="00361139">
              <w:rPr>
                <w:b/>
                <w:i/>
                <w:lang w:val="en-GB"/>
              </w:rPr>
              <w:t>Background documents on GEF:</w:t>
            </w:r>
            <w:r w:rsidRPr="00361139">
              <w:rPr>
                <w:lang w:val="en-GB"/>
              </w:rPr>
              <w:t xml:space="preserve"> MC/COP.4/INF/7, MC/COP.4/INF/8, MC/COP.4/9, MC/COP.4/9/Add.1, and MC/COP.4/10;</w:t>
            </w:r>
          </w:p>
          <w:p w14:paraId="5112FC01" w14:textId="407B1AF8" w:rsidR="00BB3A7A" w:rsidRPr="00361139" w:rsidRDefault="00BB3A7A" w:rsidP="000C76AC">
            <w:pPr>
              <w:pStyle w:val="Normal-pool-Table"/>
              <w:numPr>
                <w:ilvl w:val="0"/>
                <w:numId w:val="26"/>
              </w:numPr>
              <w:ind w:left="357" w:hanging="357"/>
              <w:rPr>
                <w:lang w:val="en-GB"/>
              </w:rPr>
            </w:pPr>
            <w:r w:rsidRPr="00361139">
              <w:rPr>
                <w:b/>
                <w:i/>
                <w:lang w:val="en-GB"/>
              </w:rPr>
              <w:t>Background documents on SIP:</w:t>
            </w:r>
            <w:r w:rsidRPr="00361139">
              <w:rPr>
                <w:lang w:val="en-GB"/>
              </w:rPr>
              <w:t xml:space="preserve"> MC/COP.4/INF/9, MC/COP.4/11, MC/COP.4/11/Add.1, and MC/COP.4/13.</w:t>
            </w:r>
          </w:p>
        </w:tc>
      </w:tr>
      <w:tr w:rsidR="00BB3A7A" w:rsidRPr="00361139" w14:paraId="676E54D3" w14:textId="77777777" w:rsidTr="00F370F9">
        <w:trPr>
          <w:trHeight w:val="57"/>
          <w:jc w:val="right"/>
        </w:trPr>
        <w:tc>
          <w:tcPr>
            <w:tcW w:w="8307" w:type="dxa"/>
            <w:gridSpan w:val="3"/>
            <w:shd w:val="clear" w:color="auto" w:fill="B6DDE8"/>
            <w:vAlign w:val="center"/>
          </w:tcPr>
          <w:p w14:paraId="0CD87788" w14:textId="77777777" w:rsidR="00BB3A7A" w:rsidRPr="00361139" w:rsidRDefault="00BB3A7A" w:rsidP="00BB3A7A">
            <w:pPr>
              <w:pStyle w:val="Normal-pool-Table"/>
              <w:rPr>
                <w:lang w:val="en-GB"/>
              </w:rPr>
            </w:pPr>
            <w:r w:rsidRPr="00361139">
              <w:rPr>
                <w:b/>
                <w:bCs/>
                <w:i/>
                <w:iCs/>
                <w:lang w:val="en-GB"/>
              </w:rPr>
              <w:t>Other relevant documents</w:t>
            </w:r>
            <w:r w:rsidRPr="00361139">
              <w:rPr>
                <w:lang w:val="en-GB"/>
              </w:rPr>
              <w:t xml:space="preserve"> (*available on the MC web site)</w:t>
            </w:r>
          </w:p>
        </w:tc>
      </w:tr>
      <w:tr w:rsidR="00CC73DD" w:rsidRPr="00361139" w14:paraId="686D1797" w14:textId="77777777" w:rsidTr="00F370F9">
        <w:trPr>
          <w:trHeight w:val="57"/>
          <w:jc w:val="right"/>
        </w:trPr>
        <w:tc>
          <w:tcPr>
            <w:tcW w:w="8307" w:type="dxa"/>
            <w:gridSpan w:val="3"/>
            <w:vAlign w:val="center"/>
          </w:tcPr>
          <w:p w14:paraId="0EB91A3E" w14:textId="77777777" w:rsidR="00CC73DD" w:rsidRPr="00361139" w:rsidRDefault="00CC73DD" w:rsidP="00E579DE">
            <w:pPr>
              <w:pStyle w:val="Normal-pool-Table"/>
              <w:rPr>
                <w:b/>
                <w:bCs/>
                <w:i/>
                <w:iCs/>
                <w:lang w:val="en-GB"/>
              </w:rPr>
            </w:pPr>
            <w:r w:rsidRPr="00361139">
              <w:rPr>
                <w:b/>
                <w:bCs/>
                <w:i/>
                <w:iCs/>
                <w:lang w:val="en-GB"/>
              </w:rPr>
              <w:t>About the Convention</w:t>
            </w:r>
          </w:p>
          <w:p w14:paraId="6E306C1A"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Text of the Minamata Convention*;</w:t>
            </w:r>
          </w:p>
          <w:p w14:paraId="52B00865"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Progress Report 2020 - Overview of the Minamata Convention on Mercury activities; Secretariat of the Minamata Convention on Mercury, February 2020*;</w:t>
            </w:r>
          </w:p>
          <w:p w14:paraId="463EFAB6" w14:textId="77777777" w:rsidR="00CC73DD" w:rsidRPr="00361139" w:rsidRDefault="00CC73DD" w:rsidP="00E579DE">
            <w:pPr>
              <w:pStyle w:val="Normal-pool-Table"/>
              <w:rPr>
                <w:b/>
                <w:bCs/>
                <w:i/>
                <w:iCs/>
                <w:lang w:val="en-GB"/>
              </w:rPr>
            </w:pPr>
            <w:r w:rsidRPr="00361139">
              <w:rPr>
                <w:b/>
                <w:bCs/>
                <w:i/>
                <w:iCs/>
                <w:lang w:val="en-GB"/>
              </w:rPr>
              <w:t>About SIP</w:t>
            </w:r>
          </w:p>
          <w:p w14:paraId="7924E0CB"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List of the Members of the SIP Governing Board*;</w:t>
            </w:r>
          </w:p>
          <w:p w14:paraId="16D0D34B"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Status of contributions to the Specific Trust*;</w:t>
            </w:r>
          </w:p>
          <w:p w14:paraId="6446AE59"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Fund of the Minamata Convention (32MCP) - as of 31 October 2022*;</w:t>
            </w:r>
          </w:p>
          <w:p w14:paraId="069B7ED4"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Communication and visibility guidelines for projects receiving funding from the Specific International Programme*;</w:t>
            </w:r>
          </w:p>
          <w:p w14:paraId="165D2D1C"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 xml:space="preserve">SIP Projects Guidelines and templates: Applications (Rounds 1-3); terminal review; and terminal </w:t>
            </w:r>
            <w:proofErr w:type="gramStart"/>
            <w:r w:rsidRPr="00361139">
              <w:rPr>
                <w:lang w:val="en-GB"/>
              </w:rPr>
              <w:t>evaluation.*</w:t>
            </w:r>
            <w:proofErr w:type="gramEnd"/>
          </w:p>
          <w:p w14:paraId="0F985774"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Summary Preliminary Findings of the Mid Term Evaluation of the Specific International Programme (Courtesy of the MC Secretariat, revised February 2023)</w:t>
            </w:r>
          </w:p>
          <w:p w14:paraId="625FAD2B" w14:textId="77777777" w:rsidR="00CC73DD" w:rsidRPr="00361139" w:rsidRDefault="00CC73DD" w:rsidP="00E579DE">
            <w:pPr>
              <w:pStyle w:val="Normal-pool-Table"/>
              <w:rPr>
                <w:b/>
                <w:bCs/>
                <w:i/>
                <w:iCs/>
                <w:lang w:val="en-GB"/>
              </w:rPr>
            </w:pPr>
            <w:r w:rsidRPr="00361139">
              <w:rPr>
                <w:b/>
                <w:bCs/>
                <w:i/>
                <w:iCs/>
                <w:lang w:val="en-GB"/>
              </w:rPr>
              <w:t>About GEF</w:t>
            </w:r>
          </w:p>
          <w:p w14:paraId="0B833506"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List of MC Initial Assessments (MIAs) reports;</w:t>
            </w:r>
          </w:p>
          <w:p w14:paraId="4395D7F5"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GEF Interventions in the Artisanal and Small-Scale Gold Mining Sector; Evaluation Report No. 146, GEF Independent Evaluation Office (GEF-IEO), January 2022;</w:t>
            </w:r>
          </w:p>
          <w:p w14:paraId="668AB55B" w14:textId="6242DB3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Minamata Initial Assessment Report - Suggested Structure and Contents;</w:t>
            </w:r>
            <w:r w:rsidR="00334B82" w:rsidRPr="00361139">
              <w:rPr>
                <w:lang w:val="en-GB"/>
              </w:rPr>
              <w:t xml:space="preserve"> </w:t>
            </w:r>
            <w:r w:rsidRPr="00361139">
              <w:rPr>
                <w:lang w:val="en-GB"/>
              </w:rPr>
              <w:t>Inter-Organisation Programme for the Sound Management of Chemicals (IOMC), October 2020;</w:t>
            </w:r>
          </w:p>
          <w:p w14:paraId="725C5EB7"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Chemicals and Waste Focal Area Study; Evaluation Report No. 115, GEF Independent Evaluation Office (GEF-IEO), November 2018.</w:t>
            </w:r>
          </w:p>
          <w:p w14:paraId="5CAA7995"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Policy On Co-Financing (FI/PL/01), Approved by GEF Council on June 26, 2018</w:t>
            </w:r>
          </w:p>
          <w:p w14:paraId="13072093"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Guidelines On Co-Financing (FI/GN/01), Approved by GEF CEO on June 26, 2018</w:t>
            </w:r>
          </w:p>
          <w:p w14:paraId="137959E8"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Country Engagement Strategy Implementation Arrangements for GEF-8; GEF/C.63/05, October 31, 2022.</w:t>
            </w:r>
          </w:p>
          <w:p w14:paraId="317ADD18" w14:textId="77777777"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Developing a National Action Plan to reduce and, where feasible, eliminate mercury use in Artisanal and Small-Scale Gold Mining; UNEP Global Mercury Partnership ASGM Partnership Area, September 2017;</w:t>
            </w:r>
          </w:p>
          <w:p w14:paraId="4F1EB75C" w14:textId="449D2F28" w:rsidR="00CC73DD" w:rsidRPr="00361139" w:rsidRDefault="00CC73DD" w:rsidP="000C76AC">
            <w:pPr>
              <w:pStyle w:val="Normal-pool-Table"/>
              <w:numPr>
                <w:ilvl w:val="0"/>
                <w:numId w:val="27"/>
              </w:numPr>
              <w:tabs>
                <w:tab w:val="clear" w:pos="624"/>
              </w:tabs>
              <w:ind w:left="697" w:hanging="340"/>
              <w:rPr>
                <w:lang w:val="en-GB"/>
              </w:rPr>
            </w:pPr>
            <w:r w:rsidRPr="00361139">
              <w:rPr>
                <w:lang w:val="en-GB"/>
              </w:rPr>
              <w:t>Initial Guidelines for Enabling Activities for the Minamata Convention on Mercury; GEF/C.45/Inf.05/Rev.01, January 2014.</w:t>
            </w:r>
          </w:p>
        </w:tc>
      </w:tr>
    </w:tbl>
    <w:p w14:paraId="0FA448DE" w14:textId="239F7F20" w:rsidR="00CC73DD" w:rsidRPr="00361139" w:rsidRDefault="00CC73DD" w:rsidP="003C3FF7">
      <w:pPr>
        <w:pStyle w:val="ZZAnxheader"/>
        <w:rPr>
          <w:lang w:val="en-GB"/>
        </w:rPr>
      </w:pPr>
      <w:bookmarkStart w:id="376" w:name="_Toc139975487"/>
      <w:r w:rsidRPr="00361139">
        <w:rPr>
          <w:lang w:val="en-GB"/>
        </w:rPr>
        <w:lastRenderedPageBreak/>
        <w:t>Annex II</w:t>
      </w:r>
      <w:bookmarkEnd w:id="376"/>
      <w:r w:rsidR="00985A93" w:rsidRPr="00361139">
        <w:rPr>
          <w:szCs w:val="18"/>
          <w:lang w:val="en-GB"/>
        </w:rPr>
        <w:footnoteReference w:customMarkFollows="1" w:id="61"/>
        <w:t>*</w:t>
      </w:r>
    </w:p>
    <w:p w14:paraId="2C8C18A2" w14:textId="005B4C82" w:rsidR="00CC73DD" w:rsidRPr="00361139" w:rsidRDefault="00CC73DD" w:rsidP="003C3FF7">
      <w:pPr>
        <w:pStyle w:val="ZZAnxtitle"/>
        <w:rPr>
          <w:lang w:val="en-GB"/>
        </w:rPr>
      </w:pPr>
      <w:bookmarkStart w:id="377" w:name="_Toc139975488"/>
      <w:r w:rsidRPr="00361139">
        <w:rPr>
          <w:lang w:val="en-GB"/>
        </w:rPr>
        <w:t xml:space="preserve">Submissions </w:t>
      </w:r>
      <w:r w:rsidR="004E405E" w:rsidRPr="00361139">
        <w:rPr>
          <w:lang w:val="en-GB"/>
        </w:rPr>
        <w:t>r</w:t>
      </w:r>
      <w:r w:rsidRPr="00361139">
        <w:rPr>
          <w:lang w:val="en-GB"/>
        </w:rPr>
        <w:t xml:space="preserve">eceived from </w:t>
      </w:r>
      <w:proofErr w:type="gramStart"/>
      <w:r w:rsidR="004E405E" w:rsidRPr="00361139">
        <w:rPr>
          <w:lang w:val="en-GB"/>
        </w:rPr>
        <w:t>p</w:t>
      </w:r>
      <w:r w:rsidRPr="00361139">
        <w:rPr>
          <w:lang w:val="en-GB"/>
        </w:rPr>
        <w:t>arties</w:t>
      </w:r>
      <w:bookmarkEnd w:id="377"/>
      <w:proofErr w:type="gramEnd"/>
    </w:p>
    <w:p w14:paraId="1599CA3B" w14:textId="77777777" w:rsidR="00CC73DD" w:rsidRPr="00361139" w:rsidRDefault="00CC73DD" w:rsidP="00A85B20">
      <w:pPr>
        <w:pStyle w:val="NormalNonumber"/>
        <w:rPr>
          <w:b/>
          <w:bCs/>
          <w:lang w:val="en-GB"/>
        </w:rPr>
      </w:pPr>
      <w:r w:rsidRPr="00361139">
        <w:rPr>
          <w:b/>
          <w:bCs/>
          <w:lang w:val="en-GB"/>
        </w:rPr>
        <w:t>United States comments on the second review of the financial mechanism</w:t>
      </w:r>
    </w:p>
    <w:p w14:paraId="47F008EF" w14:textId="7F579F50" w:rsidR="00CC73DD" w:rsidRPr="00361139" w:rsidRDefault="00CC73DD" w:rsidP="00A85B20">
      <w:pPr>
        <w:pStyle w:val="NormalNonumber"/>
        <w:rPr>
          <w:lang w:val="en-GB"/>
        </w:rPr>
      </w:pPr>
      <w:r w:rsidRPr="00361139">
        <w:rPr>
          <w:lang w:val="en-GB"/>
        </w:rPr>
        <w:t>The United States is a strong supporter of a well-functioning financial mechanism for the Minamata Convention, capable of providing adequate, predictable and timely financial resources to developing-country parties and parties with economies in transition in support of their implementation of obligations under the Convention. We are pleased to submit comments on the second review of the financial mechanism.</w:t>
      </w:r>
      <w:r w:rsidR="00334B82" w:rsidRPr="00361139">
        <w:rPr>
          <w:lang w:val="en-GB"/>
        </w:rPr>
        <w:t xml:space="preserve"> </w:t>
      </w:r>
      <w:r w:rsidRPr="00361139">
        <w:rPr>
          <w:lang w:val="en-GB"/>
        </w:rPr>
        <w:t xml:space="preserve">We submit views pursuant to the </w:t>
      </w:r>
      <w:proofErr w:type="gramStart"/>
      <w:r w:rsidRPr="00361139">
        <w:rPr>
          <w:lang w:val="en-GB"/>
        </w:rPr>
        <w:t>time period</w:t>
      </w:r>
      <w:proofErr w:type="gramEnd"/>
      <w:r w:rsidRPr="00361139">
        <w:rPr>
          <w:lang w:val="en-GB"/>
        </w:rPr>
        <w:t xml:space="preserve"> August 2019 to July 2022 on</w:t>
      </w:r>
      <w:r w:rsidRPr="00361139">
        <w:rPr>
          <w:color w:val="292623"/>
          <w:lang w:val="en-GB"/>
        </w:rPr>
        <w:t xml:space="preserve"> the following performance criteria, with a focus on the Global Environment Facility:</w:t>
      </w:r>
    </w:p>
    <w:p w14:paraId="5E9387F2" w14:textId="77777777" w:rsidR="00CC73DD" w:rsidRPr="00361139" w:rsidRDefault="00CC73DD" w:rsidP="000C76AC">
      <w:pPr>
        <w:pStyle w:val="NormalNonumber"/>
        <w:numPr>
          <w:ilvl w:val="0"/>
          <w:numId w:val="17"/>
        </w:numPr>
        <w:ind w:left="1871" w:hanging="624"/>
        <w:rPr>
          <w:lang w:val="en-GB"/>
        </w:rPr>
      </w:pPr>
      <w:r w:rsidRPr="00361139">
        <w:rPr>
          <w:lang w:val="en-GB"/>
        </w:rPr>
        <w:t>Responsiveness of the Global Environment Facility and the Specific International Programme to the guidance adopted by or provided by the Conference of the Parties;</w:t>
      </w:r>
    </w:p>
    <w:p w14:paraId="5CD347EC" w14:textId="77777777" w:rsidR="00CC73DD" w:rsidRPr="00361139" w:rsidRDefault="00CC73DD" w:rsidP="000C76AC">
      <w:pPr>
        <w:pStyle w:val="NormalNonumber"/>
        <w:numPr>
          <w:ilvl w:val="0"/>
          <w:numId w:val="17"/>
        </w:numPr>
        <w:ind w:left="1871" w:hanging="624"/>
        <w:rPr>
          <w:lang w:val="en-GB"/>
        </w:rPr>
      </w:pPr>
      <w:r w:rsidRPr="00361139">
        <w:rPr>
          <w:lang w:val="en-GB"/>
        </w:rPr>
        <w:t>Extent to which the projects funded by the financial mechanism have reduced, or are expected to reduce, the supply, use, emissions and releases of mercury, and deliver other benefits in terms of Convention implementation;</w:t>
      </w:r>
    </w:p>
    <w:p w14:paraId="307B0FFD" w14:textId="77777777" w:rsidR="00CC73DD" w:rsidRPr="00361139" w:rsidRDefault="00CC73DD" w:rsidP="00A85B20">
      <w:pPr>
        <w:pStyle w:val="NormalNonumber"/>
        <w:rPr>
          <w:rFonts w:asciiTheme="majorBidi" w:eastAsia="Yu Mincho" w:hAnsiTheme="majorBidi" w:cstheme="majorBidi"/>
          <w:b/>
          <w:bCs/>
          <w:lang w:val="en-GB"/>
        </w:rPr>
      </w:pPr>
      <w:r w:rsidRPr="00361139">
        <w:rPr>
          <w:rFonts w:asciiTheme="majorBidi" w:hAnsiTheme="majorBidi" w:cstheme="majorBidi"/>
          <w:b/>
          <w:bCs/>
          <w:lang w:val="en-GB"/>
        </w:rPr>
        <w:t>A wider range of potential metrics can be used for describing and measuring the funding impact.</w:t>
      </w:r>
    </w:p>
    <w:p w14:paraId="7C211BEC" w14:textId="77777777" w:rsidR="00CC73DD" w:rsidRPr="00361139" w:rsidRDefault="00CC73DD" w:rsidP="000C76AC">
      <w:pPr>
        <w:pStyle w:val="NormalNonumber"/>
        <w:numPr>
          <w:ilvl w:val="0"/>
          <w:numId w:val="18"/>
        </w:numPr>
        <w:ind w:left="1871" w:hanging="624"/>
        <w:rPr>
          <w:lang w:val="en-GB"/>
        </w:rPr>
      </w:pPr>
      <w:r w:rsidRPr="00361139">
        <w:rPr>
          <w:lang w:val="en-GB"/>
        </w:rPr>
        <w:t>The current single metric for GEF-funded projects is “total mercury reduced.”</w:t>
      </w:r>
    </w:p>
    <w:p w14:paraId="1D3923B9" w14:textId="758BC696" w:rsidR="00CC73DD" w:rsidRPr="00361139" w:rsidRDefault="00CC73DD" w:rsidP="000C76AC">
      <w:pPr>
        <w:pStyle w:val="NormalNonumber"/>
        <w:numPr>
          <w:ilvl w:val="0"/>
          <w:numId w:val="18"/>
        </w:numPr>
        <w:ind w:left="1871" w:hanging="624"/>
        <w:rPr>
          <w:lang w:val="en-GB"/>
        </w:rPr>
      </w:pPr>
      <w:r w:rsidRPr="00361139">
        <w:rPr>
          <w:lang w:val="en-GB"/>
        </w:rPr>
        <w:t>While this current metric should be maintained, grant recipients should be encouraged to include other metrics that are reflective or more precisely align with the objectives for which they are seeking funding.</w:t>
      </w:r>
      <w:r w:rsidR="00334B82" w:rsidRPr="00361139">
        <w:rPr>
          <w:lang w:val="en-GB"/>
        </w:rPr>
        <w:t xml:space="preserve"> </w:t>
      </w:r>
      <w:r w:rsidRPr="00361139">
        <w:rPr>
          <w:lang w:val="en-GB"/>
        </w:rPr>
        <w:t>Data collection associated with such metrics should be supported by the project financing.</w:t>
      </w:r>
    </w:p>
    <w:p w14:paraId="341C34C4" w14:textId="77777777" w:rsidR="00CC73DD" w:rsidRPr="00361139" w:rsidRDefault="00CC73DD" w:rsidP="000C76AC">
      <w:pPr>
        <w:pStyle w:val="NormalNonumber"/>
        <w:numPr>
          <w:ilvl w:val="0"/>
          <w:numId w:val="18"/>
        </w:numPr>
        <w:ind w:left="1871" w:hanging="624"/>
        <w:rPr>
          <w:lang w:val="en-GB"/>
        </w:rPr>
      </w:pPr>
      <w:r w:rsidRPr="00361139">
        <w:rPr>
          <w:lang w:val="en-GB"/>
        </w:rPr>
        <w:t xml:space="preserve">Additional indicators could also be considered during the next round of GEF Results Framework deliberations, likely </w:t>
      </w:r>
      <w:proofErr w:type="gramStart"/>
      <w:r w:rsidRPr="00361139">
        <w:rPr>
          <w:lang w:val="en-GB"/>
        </w:rPr>
        <w:t>during the course of</w:t>
      </w:r>
      <w:proofErr w:type="gramEnd"/>
      <w:r w:rsidRPr="00361139">
        <w:rPr>
          <w:lang w:val="en-GB"/>
        </w:rPr>
        <w:t xml:space="preserve"> GEF-9.</w:t>
      </w:r>
    </w:p>
    <w:p w14:paraId="392124C3" w14:textId="77777777" w:rsidR="00CC73DD" w:rsidRPr="00361139" w:rsidRDefault="00CC73DD" w:rsidP="000C76AC">
      <w:pPr>
        <w:pStyle w:val="NormalNonumber"/>
        <w:numPr>
          <w:ilvl w:val="0"/>
          <w:numId w:val="18"/>
        </w:numPr>
        <w:ind w:left="1871" w:hanging="624"/>
        <w:rPr>
          <w:lang w:val="en-GB"/>
        </w:rPr>
      </w:pPr>
      <w:r w:rsidRPr="00361139">
        <w:rPr>
          <w:lang w:val="en-GB"/>
        </w:rPr>
        <w:t xml:space="preserve">In addition, the COP will be considering possible indicators for evaluating the effectiveness of the Convention. These indicators could include useful additional metrics for consideration, as appropriate and relevant, </w:t>
      </w:r>
      <w:proofErr w:type="gramStart"/>
      <w:r w:rsidRPr="00361139">
        <w:rPr>
          <w:lang w:val="en-GB"/>
        </w:rPr>
        <w:t>in order to</w:t>
      </w:r>
      <w:proofErr w:type="gramEnd"/>
      <w:r w:rsidRPr="00361139">
        <w:rPr>
          <w:lang w:val="en-GB"/>
        </w:rPr>
        <w:t xml:space="preserve"> draw additional linkages between the actions of the GEF and the effectiveness of the Convention.</w:t>
      </w:r>
    </w:p>
    <w:p w14:paraId="478C1359" w14:textId="77777777" w:rsidR="00CC73DD" w:rsidRPr="00361139" w:rsidRDefault="00CC73DD" w:rsidP="000C76AC">
      <w:pPr>
        <w:pStyle w:val="NormalNonumber"/>
        <w:numPr>
          <w:ilvl w:val="0"/>
          <w:numId w:val="17"/>
        </w:numPr>
        <w:ind w:left="1871" w:hanging="624"/>
        <w:rPr>
          <w:rFonts w:asciiTheme="majorBidi" w:hAnsiTheme="majorBidi" w:cstheme="majorBidi"/>
          <w:color w:val="292623"/>
          <w:lang w:val="en-GB"/>
        </w:rPr>
      </w:pPr>
      <w:r w:rsidRPr="00361139">
        <w:rPr>
          <w:lang w:val="en-GB"/>
        </w:rPr>
        <w:t>Transparency</w:t>
      </w:r>
      <w:r w:rsidRPr="00361139">
        <w:rPr>
          <w:rFonts w:asciiTheme="majorBidi" w:hAnsiTheme="majorBidi" w:cstheme="majorBidi"/>
          <w:color w:val="292623"/>
          <w:lang w:val="en-GB"/>
        </w:rPr>
        <w:t xml:space="preserve"> and timeliness of the project approval processes.</w:t>
      </w:r>
    </w:p>
    <w:p w14:paraId="63CF143F" w14:textId="77777777" w:rsidR="00CC73DD" w:rsidRPr="00361139" w:rsidRDefault="00CC73DD" w:rsidP="00B07A72">
      <w:pPr>
        <w:pStyle w:val="NormalNonumber"/>
        <w:rPr>
          <w:rFonts w:asciiTheme="majorBidi" w:eastAsia="Yu Mincho" w:hAnsiTheme="majorBidi" w:cstheme="majorBidi"/>
          <w:b/>
          <w:bCs/>
          <w:lang w:val="en-GB"/>
        </w:rPr>
      </w:pPr>
      <w:r w:rsidRPr="00361139">
        <w:rPr>
          <w:rFonts w:asciiTheme="majorBidi" w:hAnsiTheme="majorBidi" w:cstheme="majorBidi"/>
          <w:b/>
          <w:bCs/>
          <w:lang w:val="en-GB"/>
        </w:rPr>
        <w:t xml:space="preserve">We recognize the GEF as a highly transparent institution, with a relatively timely project approval process. We would recommend that the GEF double down on the communication of its available expedited modalities to relevant Minamata parties, including the recently expanded cap on medium sized projects that do not require Council approval, and the option to pursue project, rather than programmatic modalities. </w:t>
      </w:r>
    </w:p>
    <w:p w14:paraId="1A48A9B4" w14:textId="77777777" w:rsidR="00CC73DD" w:rsidRPr="00361139" w:rsidRDefault="00CC73DD" w:rsidP="000C76AC">
      <w:pPr>
        <w:pStyle w:val="NormalNonumber"/>
        <w:numPr>
          <w:ilvl w:val="0"/>
          <w:numId w:val="17"/>
        </w:numPr>
        <w:ind w:left="1871" w:hanging="624"/>
        <w:rPr>
          <w:lang w:val="en-GB"/>
        </w:rPr>
      </w:pPr>
      <w:r w:rsidRPr="00361139">
        <w:rPr>
          <w:lang w:val="en-GB"/>
        </w:rPr>
        <w:t>Simplicity, flexibility and expeditiousness of the procedures for accessing funds and for implementing and reporting on projects.</w:t>
      </w:r>
    </w:p>
    <w:p w14:paraId="70A318AF" w14:textId="77777777" w:rsidR="00CC73DD" w:rsidRPr="00361139" w:rsidRDefault="00CC73DD" w:rsidP="000C76AC">
      <w:pPr>
        <w:pStyle w:val="NormalNonumber"/>
        <w:numPr>
          <w:ilvl w:val="0"/>
          <w:numId w:val="17"/>
        </w:numPr>
        <w:ind w:left="1871" w:hanging="624"/>
        <w:rPr>
          <w:lang w:val="en-GB"/>
        </w:rPr>
      </w:pPr>
      <w:r w:rsidRPr="00361139">
        <w:rPr>
          <w:lang w:val="en-GB"/>
        </w:rPr>
        <w:t>Adequacy and sustainability of the available resources.</w:t>
      </w:r>
    </w:p>
    <w:p w14:paraId="3BF6D78D" w14:textId="77777777" w:rsidR="00CC73DD" w:rsidRPr="00361139" w:rsidRDefault="00CC73DD" w:rsidP="00B07A72">
      <w:pPr>
        <w:pStyle w:val="NormalNonumber"/>
        <w:rPr>
          <w:rFonts w:asciiTheme="majorBidi" w:hAnsiTheme="majorBidi" w:cstheme="majorBidi"/>
          <w:color w:val="292623"/>
          <w:lang w:val="en-GB"/>
        </w:rPr>
      </w:pPr>
      <w:r w:rsidRPr="00361139">
        <w:rPr>
          <w:rFonts w:asciiTheme="majorBidi" w:hAnsiTheme="majorBidi" w:cstheme="majorBidi"/>
          <w:b/>
          <w:bCs/>
          <w:lang w:val="en-GB"/>
        </w:rPr>
        <w:t xml:space="preserve">We recognize the GEF as a provider of adequate and sustainable resources. We note that the volume of GEF resources available for Minamata implementation has significantly increased under GEF-8. </w:t>
      </w:r>
    </w:p>
    <w:p w14:paraId="07B81E4F" w14:textId="77777777" w:rsidR="00CC73DD" w:rsidRPr="00361139" w:rsidRDefault="00CC73DD" w:rsidP="000C76AC">
      <w:pPr>
        <w:pStyle w:val="NormalNonumber"/>
        <w:numPr>
          <w:ilvl w:val="0"/>
          <w:numId w:val="17"/>
        </w:numPr>
        <w:ind w:left="1871" w:hanging="624"/>
        <w:rPr>
          <w:lang w:val="en-GB"/>
        </w:rPr>
      </w:pPr>
      <w:r w:rsidRPr="00361139">
        <w:rPr>
          <w:lang w:val="en-GB"/>
        </w:rPr>
        <w:t>Country ownership of activities funded by the financial mechanism.</w:t>
      </w:r>
    </w:p>
    <w:p w14:paraId="3D6F6742" w14:textId="77777777" w:rsidR="00CC73DD" w:rsidRPr="00361139" w:rsidRDefault="00CC73DD" w:rsidP="00B07A72">
      <w:pPr>
        <w:pStyle w:val="NormalNonumber"/>
        <w:rPr>
          <w:rFonts w:asciiTheme="majorBidi" w:hAnsiTheme="majorBidi" w:cstheme="majorBidi"/>
          <w:b/>
          <w:bCs/>
          <w:lang w:val="en-GB"/>
        </w:rPr>
      </w:pPr>
      <w:r w:rsidRPr="00361139">
        <w:rPr>
          <w:rFonts w:asciiTheme="majorBidi" w:hAnsiTheme="majorBidi" w:cstheme="majorBidi"/>
          <w:b/>
          <w:bCs/>
          <w:lang w:val="en-GB"/>
        </w:rPr>
        <w:t xml:space="preserve">We recognize the GEF as an institution that respects and operates under a paradigm of country ownership. We hope and expect that shifts in the support offered to country focal points under GEF-8 will further support this country-ownership principle. </w:t>
      </w:r>
    </w:p>
    <w:p w14:paraId="75D92F68" w14:textId="77777777" w:rsidR="00CC73DD" w:rsidRPr="00361139" w:rsidRDefault="00CC73DD" w:rsidP="000C76AC">
      <w:pPr>
        <w:pStyle w:val="NormalNonumber"/>
        <w:numPr>
          <w:ilvl w:val="0"/>
          <w:numId w:val="17"/>
        </w:numPr>
        <w:ind w:left="1871" w:hanging="624"/>
        <w:rPr>
          <w:lang w:val="en-GB"/>
        </w:rPr>
      </w:pPr>
      <w:r w:rsidRPr="00361139">
        <w:rPr>
          <w:lang w:val="en-GB"/>
        </w:rPr>
        <w:t>Level of stakeholder involvement.</w:t>
      </w:r>
    </w:p>
    <w:p w14:paraId="27FCA038" w14:textId="77777777" w:rsidR="00CC73DD" w:rsidRPr="00361139" w:rsidRDefault="00CC73DD" w:rsidP="000C76AC">
      <w:pPr>
        <w:pStyle w:val="NormalNonumber"/>
        <w:numPr>
          <w:ilvl w:val="0"/>
          <w:numId w:val="17"/>
        </w:numPr>
        <w:ind w:left="1871" w:hanging="624"/>
        <w:rPr>
          <w:lang w:val="en-GB"/>
        </w:rPr>
      </w:pPr>
      <w:r w:rsidRPr="00361139">
        <w:rPr>
          <w:lang w:val="en-GB"/>
        </w:rPr>
        <w:t>Any other significant issues raised by the parties.</w:t>
      </w:r>
    </w:p>
    <w:p w14:paraId="219B4C80" w14:textId="77777777" w:rsidR="00CC73DD" w:rsidRPr="00361139" w:rsidRDefault="00CC73DD" w:rsidP="00B07A72">
      <w:pPr>
        <w:pStyle w:val="NormalNonumber"/>
        <w:rPr>
          <w:rFonts w:asciiTheme="majorBidi" w:eastAsia="Yu Mincho" w:hAnsiTheme="majorBidi" w:cstheme="majorBidi"/>
          <w:b/>
          <w:bCs/>
          <w:lang w:val="en-GB"/>
        </w:rPr>
      </w:pPr>
      <w:r w:rsidRPr="00361139">
        <w:rPr>
          <w:rFonts w:asciiTheme="majorBidi" w:hAnsiTheme="majorBidi" w:cstheme="majorBidi"/>
          <w:b/>
          <w:bCs/>
          <w:lang w:val="en-GB"/>
        </w:rPr>
        <w:lastRenderedPageBreak/>
        <w:t>While funding should continue to prioritize supporting parties meeting obligations and implementation activities, when possible, requests for support for technical and scientific assessment tools should be encouraged as part of GEF projects.</w:t>
      </w:r>
    </w:p>
    <w:p w14:paraId="5DD2A144"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The U.S. strongly believes that funding under the Convention must be prioritized to supporting parties meeting their Convention obligations and for implementation activities and recognizes that requests for GEF support emerge from a country-driven process.</w:t>
      </w:r>
    </w:p>
    <w:p w14:paraId="74819494"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 xml:space="preserve">We also believe that there may be opportunities to integrate information collection methodologies and </w:t>
      </w:r>
      <w:r w:rsidRPr="00361139">
        <w:rPr>
          <w:lang w:val="en-GB"/>
        </w:rPr>
        <w:t>elements</w:t>
      </w:r>
      <w:r w:rsidRPr="00361139">
        <w:rPr>
          <w:rFonts w:asciiTheme="majorBidi" w:hAnsiTheme="majorBidi" w:cstheme="majorBidi"/>
          <w:lang w:val="en-GB"/>
        </w:rPr>
        <w:t xml:space="preserve"> into projects intended to primarily implement actions towards the reduction of mercury releases and emissions. Support for complementary information collection can lead to a better understanding of the impacts of actions taken to meet an obligation, while also providing information that can be used for broader monitoring purposes. </w:t>
      </w:r>
    </w:p>
    <w:p w14:paraId="2A2DDAAB"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Instruments like UNEP’s Mercury Inventory Toolkit have enabled a very useful general analysis as part of activities such as the Minamata Initial Assessment.</w:t>
      </w:r>
    </w:p>
    <w:p w14:paraId="3C2A90FD"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 xml:space="preserve">We recognize a need for further development and refinement of party-specific information relevant to </w:t>
      </w:r>
      <w:r w:rsidRPr="00361139">
        <w:rPr>
          <w:lang w:val="en-GB"/>
        </w:rPr>
        <w:t>reduction</w:t>
      </w:r>
      <w:r w:rsidRPr="00361139">
        <w:rPr>
          <w:rFonts w:asciiTheme="majorBidi" w:hAnsiTheme="majorBidi" w:cstheme="majorBidi"/>
          <w:lang w:val="en-GB"/>
        </w:rPr>
        <w:t xml:space="preserve"> of mercury emissions and releases as a function of Convention activities.</w:t>
      </w:r>
    </w:p>
    <w:p w14:paraId="4808FC99"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 xml:space="preserve">Approaches that meet these dual purposes would increase the effectiveness of the GEF as a </w:t>
      </w:r>
      <w:r w:rsidRPr="00361139">
        <w:rPr>
          <w:lang w:val="en-GB"/>
        </w:rPr>
        <w:t>financial</w:t>
      </w:r>
      <w:r w:rsidRPr="00361139">
        <w:rPr>
          <w:rFonts w:asciiTheme="majorBidi" w:hAnsiTheme="majorBidi" w:cstheme="majorBidi"/>
          <w:lang w:val="en-GB"/>
        </w:rPr>
        <w:t xml:space="preserve"> mechanism.</w:t>
      </w:r>
    </w:p>
    <w:p w14:paraId="1BCF4663"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lang w:val="en-GB"/>
        </w:rPr>
        <w:t>This</w:t>
      </w:r>
      <w:r w:rsidRPr="00361139">
        <w:rPr>
          <w:rFonts w:asciiTheme="majorBidi" w:hAnsiTheme="majorBidi" w:cstheme="majorBidi"/>
          <w:lang w:val="en-GB"/>
        </w:rPr>
        <w:t xml:space="preserve"> funding might also include regional cooperative technical efforts with clear scientific aims consistent with Article 14 of the Convention.</w:t>
      </w:r>
    </w:p>
    <w:p w14:paraId="79CBFE68" w14:textId="77777777" w:rsidR="00CC73DD" w:rsidRPr="00361139" w:rsidRDefault="00CC73DD" w:rsidP="00B07A72">
      <w:pPr>
        <w:pStyle w:val="NormalNonumber"/>
        <w:rPr>
          <w:rFonts w:asciiTheme="majorBidi" w:eastAsia="Yu Mincho" w:hAnsiTheme="majorBidi" w:cstheme="majorBidi"/>
          <w:b/>
          <w:bCs/>
          <w:lang w:val="en-GB"/>
        </w:rPr>
      </w:pPr>
      <w:r w:rsidRPr="00361139">
        <w:rPr>
          <w:rFonts w:asciiTheme="majorBidi" w:hAnsiTheme="majorBidi" w:cstheme="majorBidi"/>
          <w:b/>
          <w:bCs/>
          <w:lang w:val="en-GB"/>
        </w:rPr>
        <w:t>Enhance coordination and engagement with UNEP’s Global Mercury Partnership (GMP) in GEF-funded projects.</w:t>
      </w:r>
    </w:p>
    <w:p w14:paraId="21EBCFB3"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 xml:space="preserve">We </w:t>
      </w:r>
      <w:r w:rsidRPr="00361139">
        <w:rPr>
          <w:lang w:val="en-GB"/>
        </w:rPr>
        <w:t>think</w:t>
      </w:r>
      <w:r w:rsidRPr="00361139">
        <w:rPr>
          <w:rFonts w:asciiTheme="majorBidi" w:hAnsiTheme="majorBidi" w:cstheme="majorBidi"/>
          <w:lang w:val="en-GB"/>
        </w:rPr>
        <w:t xml:space="preserve"> that more direct and explicit linkages to the UNEP’s Global Mercury Partnership (GMP) in project formulation and workplan development would add value and reduce duplication. </w:t>
      </w:r>
    </w:p>
    <w:p w14:paraId="6E8BB980"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 xml:space="preserve">The capabilities and coverage of organizations such as the GMP has increased substantially in the last </w:t>
      </w:r>
      <w:r w:rsidRPr="00361139">
        <w:rPr>
          <w:lang w:val="en-GB"/>
        </w:rPr>
        <w:t>decade</w:t>
      </w:r>
      <w:r w:rsidRPr="00361139">
        <w:rPr>
          <w:rFonts w:asciiTheme="majorBidi" w:hAnsiTheme="majorBidi" w:cstheme="majorBidi"/>
          <w:lang w:val="en-GB"/>
        </w:rPr>
        <w:t>.</w:t>
      </w:r>
    </w:p>
    <w:p w14:paraId="01585B8A" w14:textId="6ED1807A"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rFonts w:asciiTheme="majorBidi" w:hAnsiTheme="majorBidi" w:cstheme="majorBidi"/>
          <w:lang w:val="en-GB"/>
        </w:rPr>
        <w:t>The GMP has played a significant role in support of the work of GEF- and SIP- funding recipients.</w:t>
      </w:r>
      <w:r w:rsidR="00334B82" w:rsidRPr="00361139">
        <w:rPr>
          <w:rFonts w:asciiTheme="majorBidi" w:hAnsiTheme="majorBidi" w:cstheme="majorBidi"/>
          <w:lang w:val="en-GB"/>
        </w:rPr>
        <w:t xml:space="preserve"> </w:t>
      </w:r>
      <w:r w:rsidRPr="00361139">
        <w:rPr>
          <w:lang w:val="en-GB"/>
        </w:rPr>
        <w:t>These</w:t>
      </w:r>
      <w:r w:rsidRPr="00361139">
        <w:rPr>
          <w:rFonts w:asciiTheme="majorBidi" w:hAnsiTheme="majorBidi" w:cstheme="majorBidi"/>
          <w:lang w:val="en-GB"/>
        </w:rPr>
        <w:t xml:space="preserve"> include the development of NAPs, MIAs and specific elements of SIP funded projects. </w:t>
      </w:r>
    </w:p>
    <w:p w14:paraId="35BC704F" w14:textId="77777777" w:rsidR="00CC73DD" w:rsidRPr="00361139" w:rsidRDefault="00CC73DD" w:rsidP="000C76AC">
      <w:pPr>
        <w:pStyle w:val="NormalNonumber"/>
        <w:numPr>
          <w:ilvl w:val="0"/>
          <w:numId w:val="18"/>
        </w:numPr>
        <w:ind w:left="1871" w:hanging="624"/>
        <w:rPr>
          <w:rFonts w:asciiTheme="majorBidi" w:hAnsiTheme="majorBidi" w:cstheme="majorBidi"/>
          <w:lang w:val="en-GB"/>
        </w:rPr>
      </w:pPr>
      <w:r w:rsidRPr="00361139">
        <w:rPr>
          <w:lang w:val="en-GB"/>
        </w:rPr>
        <w:t>Both</w:t>
      </w:r>
      <w:r w:rsidRPr="00361139">
        <w:rPr>
          <w:rFonts w:asciiTheme="majorBidi" w:hAnsiTheme="majorBidi" w:cstheme="majorBidi"/>
          <w:lang w:val="en-GB"/>
        </w:rPr>
        <w:t xml:space="preserve"> the GMP and countries receiving GEF funding would benefit from efforts to offer the GMP as a resource to member partners through funded projects. </w:t>
      </w:r>
    </w:p>
    <w:p w14:paraId="0EAE7665" w14:textId="77777777" w:rsidR="003C3FF7" w:rsidRPr="00361139" w:rsidRDefault="003C3FF7" w:rsidP="003C3FF7">
      <w:pPr>
        <w:pStyle w:val="Normal-pool"/>
        <w:rPr>
          <w:lang w:val="en-GB"/>
        </w:rPr>
      </w:pPr>
    </w:p>
    <w:p w14:paraId="192D62DD" w14:textId="77777777" w:rsidR="003C3FF7" w:rsidRPr="00361139" w:rsidRDefault="003C3FF7" w:rsidP="003C3FF7">
      <w:pPr>
        <w:pStyle w:val="Normal-pool"/>
        <w:rPr>
          <w:lang w:val="en-GB"/>
        </w:rPr>
        <w:sectPr w:rsidR="003C3FF7" w:rsidRPr="00361139" w:rsidSect="00446EAC">
          <w:footnotePr>
            <w:numRestart w:val="eachSect"/>
          </w:footnotePr>
          <w:pgSz w:w="11907" w:h="16839"/>
          <w:pgMar w:top="907" w:right="992" w:bottom="1418" w:left="1418" w:header="539" w:footer="975" w:gutter="0"/>
          <w:cols w:space="720"/>
          <w:docGrid w:linePitch="272"/>
        </w:sectPr>
      </w:pPr>
    </w:p>
    <w:p w14:paraId="7D368742" w14:textId="52D4F550" w:rsidR="00CC73DD" w:rsidRPr="00361139" w:rsidRDefault="00CC73DD" w:rsidP="003C3FF7">
      <w:pPr>
        <w:pStyle w:val="ZZAnxheader"/>
        <w:rPr>
          <w:lang w:val="en-GB"/>
        </w:rPr>
      </w:pPr>
      <w:bookmarkStart w:id="378" w:name="_Toc139975489"/>
      <w:bookmarkStart w:id="379" w:name="_Hlk137825186"/>
      <w:r w:rsidRPr="00361139">
        <w:rPr>
          <w:lang w:val="en-GB"/>
        </w:rPr>
        <w:lastRenderedPageBreak/>
        <w:t>Annex III</w:t>
      </w:r>
      <w:bookmarkEnd w:id="378"/>
      <w:r w:rsidR="00985A93" w:rsidRPr="00361139">
        <w:rPr>
          <w:szCs w:val="18"/>
          <w:lang w:val="en-GB"/>
        </w:rPr>
        <w:footnoteReference w:customMarkFollows="1" w:id="62"/>
        <w:t>*</w:t>
      </w:r>
    </w:p>
    <w:p w14:paraId="2FEFDA0D" w14:textId="77777777" w:rsidR="00CC73DD" w:rsidRPr="00361139" w:rsidRDefault="00CC73DD" w:rsidP="00CD55DE">
      <w:pPr>
        <w:pStyle w:val="CH2"/>
        <w:rPr>
          <w:lang w:val="en-GB"/>
        </w:rPr>
      </w:pPr>
    </w:p>
    <w:bookmarkEnd w:id="379"/>
    <w:p w14:paraId="1F8CEDEE" w14:textId="77777777" w:rsidR="00CC73DD" w:rsidRPr="00361139" w:rsidRDefault="00CC73DD" w:rsidP="00CD55DE">
      <w:pPr>
        <w:pStyle w:val="NormalNonumber"/>
        <w:rPr>
          <w:lang w:val="en-GB"/>
        </w:rPr>
      </w:pPr>
      <w:r w:rsidRPr="00361139">
        <w:rPr>
          <w:noProof/>
          <w:lang w:val="en-GB"/>
        </w:rPr>
        <w:drawing>
          <wp:inline distT="0" distB="0" distL="0" distR="0" wp14:anchorId="29CEE228" wp14:editId="00C6DF58">
            <wp:extent cx="4239084" cy="972311"/>
            <wp:effectExtent l="0" t="0" r="0" b="0"/>
            <wp:docPr id="43" name="Picture 43"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logo with green text&#10;&#10;Description automatically generated"/>
                    <pic:cNvPicPr/>
                  </pic:nvPicPr>
                  <pic:blipFill>
                    <a:blip r:embed="rId25" cstate="print"/>
                    <a:stretch>
                      <a:fillRect/>
                    </a:stretch>
                  </pic:blipFill>
                  <pic:spPr>
                    <a:xfrm>
                      <a:off x="0" y="0"/>
                      <a:ext cx="4239084" cy="972311"/>
                    </a:xfrm>
                    <a:prstGeom prst="rect">
                      <a:avLst/>
                    </a:prstGeom>
                  </pic:spPr>
                </pic:pic>
              </a:graphicData>
            </a:graphic>
          </wp:inline>
        </w:drawing>
      </w:r>
    </w:p>
    <w:p w14:paraId="7C9088B1" w14:textId="77777777" w:rsidR="00CC73DD" w:rsidRPr="00361139" w:rsidRDefault="00CC73DD" w:rsidP="00CD55DE">
      <w:pPr>
        <w:pStyle w:val="NormalNonumber"/>
        <w:rPr>
          <w:lang w:val="en-GB"/>
        </w:rPr>
      </w:pPr>
    </w:p>
    <w:p w14:paraId="4FD8E835" w14:textId="77777777" w:rsidR="00CC73DD" w:rsidRPr="00361139" w:rsidRDefault="00CC73DD" w:rsidP="00CD55DE">
      <w:pPr>
        <w:pStyle w:val="NormalNonumber"/>
        <w:rPr>
          <w:lang w:val="en-GB"/>
        </w:rPr>
      </w:pPr>
    </w:p>
    <w:p w14:paraId="4F512779" w14:textId="77777777" w:rsidR="00CC73DD" w:rsidRPr="00361139" w:rsidRDefault="00CC73DD" w:rsidP="00CD55DE">
      <w:pPr>
        <w:pStyle w:val="NormalNonumber"/>
        <w:rPr>
          <w:lang w:val="en-GB"/>
        </w:rPr>
      </w:pPr>
    </w:p>
    <w:p w14:paraId="77642E36" w14:textId="77777777" w:rsidR="00CC73DD" w:rsidRPr="00361139" w:rsidRDefault="00CC73DD" w:rsidP="00CD55DE">
      <w:pPr>
        <w:pStyle w:val="NormalNonumber"/>
        <w:rPr>
          <w:sz w:val="18"/>
          <w:lang w:val="en-GB"/>
        </w:rPr>
      </w:pPr>
      <w:r w:rsidRPr="00361139">
        <w:rPr>
          <w:noProof/>
          <w:lang w:val="en-GB"/>
        </w:rPr>
        <mc:AlternateContent>
          <mc:Choice Requires="wps">
            <w:drawing>
              <wp:anchor distT="0" distB="0" distL="0" distR="0" simplePos="0" relativeHeight="251658241" behindDoc="1" locked="0" layoutInCell="1" allowOverlap="1" wp14:anchorId="6872D908" wp14:editId="18FCEC3D">
                <wp:simplePos x="0" y="0"/>
                <wp:positionH relativeFrom="page">
                  <wp:posOffset>838200</wp:posOffset>
                </wp:positionH>
                <wp:positionV relativeFrom="paragraph">
                  <wp:posOffset>149860</wp:posOffset>
                </wp:positionV>
                <wp:extent cx="6091555" cy="1270"/>
                <wp:effectExtent l="19050" t="17145" r="13970" b="19685"/>
                <wp:wrapTopAndBottom/>
                <wp:docPr id="54" name="Freeform: 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1555" cy="1270"/>
                        </a:xfrm>
                        <a:custGeom>
                          <a:avLst/>
                          <a:gdLst>
                            <a:gd name="T0" fmla="+- 0 1320 1320"/>
                            <a:gd name="T1" fmla="*/ T0 w 9593"/>
                            <a:gd name="T2" fmla="+- 0 10913 1320"/>
                            <a:gd name="T3" fmla="*/ T2 w 9593"/>
                          </a:gdLst>
                          <a:ahLst/>
                          <a:cxnLst>
                            <a:cxn ang="0">
                              <a:pos x="T1" y="0"/>
                            </a:cxn>
                            <a:cxn ang="0">
                              <a:pos x="T3" y="0"/>
                            </a:cxn>
                          </a:cxnLst>
                          <a:rect l="0" t="0" r="r" b="b"/>
                          <a:pathLst>
                            <a:path w="9593">
                              <a:moveTo>
                                <a:pt x="0" y="0"/>
                              </a:moveTo>
                              <a:lnTo>
                                <a:pt x="9593" y="0"/>
                              </a:lnTo>
                            </a:path>
                          </a:pathLst>
                        </a:custGeom>
                        <a:noFill/>
                        <a:ln w="274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c="http://schemas.openxmlformats.org/drawingml/2006/chart" xmlns:a16="http://schemas.microsoft.com/office/drawing/2014/main" xmlns:a14="http://schemas.microsoft.com/office/drawing/2010/main" xmlns:pic="http://schemas.openxmlformats.org/drawingml/2006/picture" xmlns:a="http://schemas.openxmlformats.org/drawingml/2006/main" xmlns:w16du="http://schemas.microsoft.com/office/word/2023/wordml/word16du">
            <w:pict w14:anchorId="29736979">
              <v:shape id="Freeform: Shape 54" style="position:absolute;margin-left:66pt;margin-top:11.8pt;width:479.6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93,1270" o:spid="_x0000_s1026" filled="f" strokeweight="2.16pt" path="m,l95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" w14:anchorId="6CDD8211">
                <v:path arrowok="t" o:connecttype="custom" o:connectlocs="0,0;6091555,0" o:connectangles="0,0"/>
                <w10:wrap type="topAndBottom" anchorx="page"/>
              </v:shape>
            </w:pict>
          </mc:Fallback>
        </mc:AlternateContent>
      </w:r>
    </w:p>
    <w:p w14:paraId="594DC4FA" w14:textId="77777777" w:rsidR="00CC73DD" w:rsidRPr="00361139" w:rsidRDefault="00CC73DD" w:rsidP="00CD55DE">
      <w:pPr>
        <w:pStyle w:val="NormalNonumber"/>
        <w:rPr>
          <w:lang w:val="en-GB"/>
        </w:rPr>
      </w:pPr>
    </w:p>
    <w:p w14:paraId="178A924D" w14:textId="77777777" w:rsidR="00CC73DD" w:rsidRPr="00361139" w:rsidRDefault="00CC73DD" w:rsidP="00CD55DE">
      <w:pPr>
        <w:pStyle w:val="NormalNonumber"/>
        <w:rPr>
          <w:lang w:val="en-GB"/>
        </w:rPr>
      </w:pPr>
    </w:p>
    <w:p w14:paraId="3A1B4188" w14:textId="77777777" w:rsidR="00CC73DD" w:rsidRPr="00361139" w:rsidRDefault="00CC73DD" w:rsidP="00CD55DE">
      <w:pPr>
        <w:pStyle w:val="NormalNonumber"/>
        <w:rPr>
          <w:lang w:val="en-GB"/>
        </w:rPr>
      </w:pPr>
    </w:p>
    <w:p w14:paraId="42ADC2AB" w14:textId="77777777" w:rsidR="00CC73DD" w:rsidRPr="00361139" w:rsidRDefault="00CC73DD" w:rsidP="00CD55DE">
      <w:pPr>
        <w:pStyle w:val="NormalNonumber"/>
        <w:rPr>
          <w:lang w:val="en-GB"/>
        </w:rPr>
      </w:pPr>
    </w:p>
    <w:p w14:paraId="1F11DFCF" w14:textId="77777777" w:rsidR="00CC73DD" w:rsidRPr="00361139" w:rsidRDefault="00CC73DD" w:rsidP="00CD55DE">
      <w:pPr>
        <w:pStyle w:val="NormalNonumber"/>
        <w:rPr>
          <w:lang w:val="en-GB"/>
        </w:rPr>
      </w:pPr>
    </w:p>
    <w:p w14:paraId="0BC3B8D5" w14:textId="77777777" w:rsidR="00CC73DD" w:rsidRPr="00361139" w:rsidRDefault="00CC73DD" w:rsidP="00CD55DE">
      <w:pPr>
        <w:pStyle w:val="NormalNonumber"/>
        <w:rPr>
          <w:lang w:val="en-GB"/>
        </w:rPr>
      </w:pPr>
    </w:p>
    <w:p w14:paraId="6E96726E" w14:textId="77777777" w:rsidR="00CC73DD" w:rsidRPr="00361139" w:rsidRDefault="00CC73DD" w:rsidP="00CD55DE">
      <w:pPr>
        <w:pStyle w:val="NormalNonumber"/>
        <w:rPr>
          <w:lang w:val="en-GB"/>
        </w:rPr>
      </w:pPr>
    </w:p>
    <w:p w14:paraId="1CB0E8DD" w14:textId="77777777" w:rsidR="00CC73DD" w:rsidRPr="00361139" w:rsidRDefault="00CC73DD" w:rsidP="00CD55DE">
      <w:pPr>
        <w:pStyle w:val="NormalNonumber"/>
        <w:rPr>
          <w:lang w:val="en-GB"/>
        </w:rPr>
      </w:pPr>
    </w:p>
    <w:p w14:paraId="49E22659" w14:textId="77777777" w:rsidR="00CC73DD" w:rsidRPr="00361139" w:rsidRDefault="00CC73DD" w:rsidP="00CD55DE">
      <w:pPr>
        <w:pStyle w:val="NormalNonumber"/>
        <w:rPr>
          <w:lang w:val="en-GB"/>
        </w:rPr>
      </w:pPr>
    </w:p>
    <w:p w14:paraId="03E609CA" w14:textId="77777777" w:rsidR="00CC73DD" w:rsidRPr="00361139" w:rsidRDefault="00CC73DD" w:rsidP="00CD55DE">
      <w:pPr>
        <w:pStyle w:val="NormalNonumber"/>
        <w:rPr>
          <w:lang w:val="en-GB"/>
        </w:rPr>
      </w:pPr>
    </w:p>
    <w:p w14:paraId="2B123B9D" w14:textId="77777777" w:rsidR="00CC73DD" w:rsidRPr="00361139" w:rsidRDefault="00CC73DD" w:rsidP="00CD55DE">
      <w:pPr>
        <w:pStyle w:val="NormalNonumber"/>
        <w:rPr>
          <w:lang w:val="en-GB"/>
        </w:rPr>
      </w:pPr>
    </w:p>
    <w:p w14:paraId="7585B678" w14:textId="77777777" w:rsidR="00CC73DD" w:rsidRPr="00361139" w:rsidRDefault="00CC73DD" w:rsidP="00CD55DE">
      <w:pPr>
        <w:pStyle w:val="NormalNonumber"/>
        <w:rPr>
          <w:lang w:val="en-GB"/>
        </w:rPr>
      </w:pPr>
    </w:p>
    <w:p w14:paraId="25B621E4" w14:textId="77777777" w:rsidR="00CC73DD" w:rsidRPr="00361139" w:rsidRDefault="00CC73DD" w:rsidP="00CD55DE">
      <w:pPr>
        <w:pStyle w:val="BBTitle"/>
        <w:spacing w:before="0" w:after="0"/>
        <w:ind w:left="0" w:right="0"/>
        <w:jc w:val="center"/>
        <w:rPr>
          <w:i/>
          <w:iCs/>
          <w:sz w:val="36"/>
          <w:szCs w:val="36"/>
          <w:lang w:val="en-GB"/>
        </w:rPr>
      </w:pPr>
      <w:r w:rsidRPr="00361139">
        <w:rPr>
          <w:sz w:val="36"/>
          <w:szCs w:val="36"/>
          <w:lang w:val="en-GB"/>
        </w:rPr>
        <w:t>INFORMATION PROVIDED BY THE GLOBAL ENVIRONMENT FACILITY AS AN INPUT INTO THE SECOND</w:t>
      </w:r>
      <w:r w:rsidRPr="00361139">
        <w:rPr>
          <w:spacing w:val="-11"/>
          <w:sz w:val="36"/>
          <w:szCs w:val="36"/>
          <w:lang w:val="en-GB"/>
        </w:rPr>
        <w:t xml:space="preserve"> </w:t>
      </w:r>
      <w:r w:rsidRPr="00361139">
        <w:rPr>
          <w:sz w:val="36"/>
          <w:szCs w:val="36"/>
          <w:lang w:val="en-GB"/>
        </w:rPr>
        <w:t>REVIEW</w:t>
      </w:r>
      <w:r w:rsidRPr="00361139">
        <w:rPr>
          <w:spacing w:val="-7"/>
          <w:sz w:val="36"/>
          <w:szCs w:val="36"/>
          <w:lang w:val="en-GB"/>
        </w:rPr>
        <w:t xml:space="preserve"> </w:t>
      </w:r>
      <w:r w:rsidRPr="00361139">
        <w:rPr>
          <w:sz w:val="36"/>
          <w:szCs w:val="36"/>
          <w:lang w:val="en-GB"/>
        </w:rPr>
        <w:t>OF</w:t>
      </w:r>
      <w:r w:rsidRPr="00361139">
        <w:rPr>
          <w:spacing w:val="-12"/>
          <w:sz w:val="36"/>
          <w:szCs w:val="36"/>
          <w:lang w:val="en-GB"/>
        </w:rPr>
        <w:t xml:space="preserve"> </w:t>
      </w:r>
      <w:r w:rsidRPr="00361139">
        <w:rPr>
          <w:sz w:val="36"/>
          <w:szCs w:val="36"/>
          <w:lang w:val="en-GB"/>
        </w:rPr>
        <w:t>THE</w:t>
      </w:r>
      <w:r w:rsidRPr="00361139">
        <w:rPr>
          <w:spacing w:val="-13"/>
          <w:sz w:val="36"/>
          <w:szCs w:val="36"/>
          <w:lang w:val="en-GB"/>
        </w:rPr>
        <w:t xml:space="preserve"> </w:t>
      </w:r>
      <w:r w:rsidRPr="00361139">
        <w:rPr>
          <w:sz w:val="36"/>
          <w:szCs w:val="36"/>
          <w:lang w:val="en-GB"/>
        </w:rPr>
        <w:t>FINANCIAL</w:t>
      </w:r>
      <w:r w:rsidRPr="00361139">
        <w:rPr>
          <w:spacing w:val="-8"/>
          <w:sz w:val="36"/>
          <w:szCs w:val="36"/>
          <w:lang w:val="en-GB"/>
        </w:rPr>
        <w:t xml:space="preserve"> </w:t>
      </w:r>
      <w:r w:rsidRPr="00361139">
        <w:rPr>
          <w:sz w:val="36"/>
          <w:szCs w:val="36"/>
          <w:lang w:val="en-GB"/>
        </w:rPr>
        <w:t xml:space="preserve">MECHANISM OF THE MINAMATA CONVENTION ON MERCURY – MC-4/7: SECOND REVIEW OF THE FINANCIAL </w:t>
      </w:r>
      <w:r w:rsidRPr="00361139">
        <w:rPr>
          <w:spacing w:val="-2"/>
          <w:sz w:val="36"/>
          <w:szCs w:val="36"/>
          <w:lang w:val="en-GB"/>
        </w:rPr>
        <w:t>MECHANISM</w:t>
      </w:r>
    </w:p>
    <w:p w14:paraId="3789D106" w14:textId="77777777" w:rsidR="009F16F7" w:rsidRPr="00361139" w:rsidRDefault="009F16F7" w:rsidP="00CD55DE">
      <w:pPr>
        <w:pStyle w:val="Normal-pool"/>
        <w:rPr>
          <w:sz w:val="32"/>
          <w:szCs w:val="32"/>
          <w:lang w:val="en-GB"/>
        </w:rPr>
      </w:pPr>
    </w:p>
    <w:p w14:paraId="1A804E49" w14:textId="77777777" w:rsidR="009F16F7" w:rsidRPr="00361139" w:rsidRDefault="009F16F7" w:rsidP="00CD55DE">
      <w:pPr>
        <w:pStyle w:val="Normal-pool"/>
        <w:rPr>
          <w:sz w:val="32"/>
          <w:szCs w:val="32"/>
          <w:lang w:val="en-GB"/>
        </w:rPr>
      </w:pPr>
    </w:p>
    <w:p w14:paraId="1D0E36E0" w14:textId="77777777" w:rsidR="009F16F7" w:rsidRPr="00361139" w:rsidRDefault="009F16F7" w:rsidP="00CD55DE">
      <w:pPr>
        <w:pStyle w:val="Normal-pool"/>
        <w:rPr>
          <w:sz w:val="32"/>
          <w:szCs w:val="32"/>
          <w:lang w:val="en-GB"/>
        </w:rPr>
      </w:pPr>
    </w:p>
    <w:p w14:paraId="2934E1A4" w14:textId="77777777" w:rsidR="009F16F7" w:rsidRPr="00361139" w:rsidRDefault="009F16F7" w:rsidP="00CD55DE">
      <w:pPr>
        <w:pStyle w:val="Normal-pool"/>
        <w:rPr>
          <w:sz w:val="32"/>
          <w:szCs w:val="32"/>
          <w:lang w:val="en-GB"/>
        </w:rPr>
      </w:pPr>
    </w:p>
    <w:p w14:paraId="25E08E2C" w14:textId="77777777" w:rsidR="009F16F7" w:rsidRPr="00361139" w:rsidRDefault="009F16F7" w:rsidP="00CD55DE">
      <w:pPr>
        <w:pStyle w:val="Normal-pool"/>
        <w:rPr>
          <w:sz w:val="32"/>
          <w:szCs w:val="32"/>
          <w:lang w:val="en-GB"/>
        </w:rPr>
      </w:pPr>
    </w:p>
    <w:p w14:paraId="32BAB28A" w14:textId="77777777" w:rsidR="009F16F7" w:rsidRPr="00361139" w:rsidRDefault="009F16F7" w:rsidP="00CD55DE">
      <w:pPr>
        <w:pStyle w:val="Normal-pool"/>
        <w:rPr>
          <w:sz w:val="32"/>
          <w:szCs w:val="32"/>
          <w:lang w:val="en-GB"/>
        </w:rPr>
      </w:pPr>
    </w:p>
    <w:p w14:paraId="0D657618" w14:textId="77777777" w:rsidR="009F16F7" w:rsidRPr="00361139" w:rsidRDefault="009F16F7" w:rsidP="00CD55DE">
      <w:pPr>
        <w:pStyle w:val="Normal-pool"/>
        <w:rPr>
          <w:sz w:val="32"/>
          <w:szCs w:val="32"/>
          <w:lang w:val="en-GB"/>
        </w:rPr>
      </w:pPr>
    </w:p>
    <w:p w14:paraId="643258E6" w14:textId="77777777" w:rsidR="009F16F7" w:rsidRPr="00361139" w:rsidRDefault="009F16F7" w:rsidP="00CD55DE">
      <w:pPr>
        <w:pStyle w:val="Normal-pool"/>
        <w:rPr>
          <w:sz w:val="32"/>
          <w:szCs w:val="32"/>
          <w:lang w:val="en-GB"/>
        </w:rPr>
      </w:pPr>
    </w:p>
    <w:p w14:paraId="5138164C" w14:textId="408E5E42" w:rsidR="00CC73DD" w:rsidRPr="00361139" w:rsidRDefault="00CC73DD" w:rsidP="00315336">
      <w:pPr>
        <w:pStyle w:val="CH2"/>
        <w:spacing w:before="2" w:after="0"/>
        <w:ind w:left="1678" w:right="493"/>
        <w:jc w:val="center"/>
        <w:rPr>
          <w:b w:val="0"/>
          <w:bCs/>
          <w:lang w:val="en-GB"/>
        </w:rPr>
      </w:pPr>
      <w:bookmarkStart w:id="380" w:name="_Toc139982258"/>
      <w:bookmarkStart w:id="381" w:name="_Toc139983970"/>
      <w:bookmarkStart w:id="382" w:name="_Toc139984210"/>
      <w:r w:rsidRPr="00361139">
        <w:rPr>
          <w:b w:val="0"/>
          <w:bCs/>
          <w:lang w:val="en-GB"/>
        </w:rPr>
        <w:t>November</w:t>
      </w:r>
      <w:r w:rsidRPr="00361139">
        <w:rPr>
          <w:b w:val="0"/>
          <w:bCs/>
          <w:spacing w:val="-11"/>
          <w:lang w:val="en-GB"/>
        </w:rPr>
        <w:t xml:space="preserve"> </w:t>
      </w:r>
      <w:r w:rsidRPr="00361139">
        <w:rPr>
          <w:b w:val="0"/>
          <w:bCs/>
          <w:spacing w:val="-4"/>
          <w:lang w:val="en-GB"/>
        </w:rPr>
        <w:t>2022</w:t>
      </w:r>
      <w:bookmarkEnd w:id="380"/>
      <w:bookmarkEnd w:id="381"/>
      <w:bookmarkEnd w:id="382"/>
    </w:p>
    <w:p w14:paraId="6FBC4689" w14:textId="77777777" w:rsidR="00CC73DD" w:rsidRPr="00361139" w:rsidRDefault="00CC73DD" w:rsidP="00315336">
      <w:pPr>
        <w:pStyle w:val="Normal-pool"/>
        <w:rPr>
          <w:lang w:val="en-GB"/>
        </w:rPr>
        <w:sectPr w:rsidR="00CC73DD" w:rsidRPr="00361139" w:rsidSect="00446EAC">
          <w:footnotePr>
            <w:numRestart w:val="eachSect"/>
          </w:footnotePr>
          <w:pgSz w:w="11907" w:h="16839"/>
          <w:pgMar w:top="907" w:right="992" w:bottom="1418" w:left="1418" w:header="539" w:footer="975" w:gutter="0"/>
          <w:cols w:space="720"/>
          <w:docGrid w:linePitch="272"/>
        </w:sectPr>
      </w:pPr>
    </w:p>
    <w:p w14:paraId="24EAE950" w14:textId="5067E5DE" w:rsidR="00CC73DD" w:rsidRPr="00361139" w:rsidRDefault="005B77D9" w:rsidP="005B77D9">
      <w:pPr>
        <w:pStyle w:val="CH1"/>
        <w:rPr>
          <w:lang w:val="en-GB"/>
        </w:rPr>
      </w:pPr>
      <w:bookmarkStart w:id="383" w:name="_Toc138845702"/>
      <w:bookmarkStart w:id="384" w:name="_Toc139975490"/>
      <w:bookmarkStart w:id="385" w:name="_Toc139976242"/>
      <w:r w:rsidRPr="00361139">
        <w:rPr>
          <w:lang w:val="en-GB"/>
        </w:rPr>
        <w:lastRenderedPageBreak/>
        <w:tab/>
      </w:r>
      <w:r w:rsidRPr="00361139">
        <w:rPr>
          <w:lang w:val="en-GB"/>
        </w:rPr>
        <w:tab/>
      </w:r>
      <w:bookmarkStart w:id="386" w:name="_Toc139982259"/>
      <w:bookmarkStart w:id="387" w:name="_Toc139983971"/>
      <w:bookmarkStart w:id="388" w:name="_Toc139984211"/>
      <w:r w:rsidR="00CC73DD" w:rsidRPr="00361139">
        <w:rPr>
          <w:lang w:val="en-GB"/>
        </w:rPr>
        <w:t>Table</w:t>
      </w:r>
      <w:r w:rsidR="00CC73DD" w:rsidRPr="00361139">
        <w:rPr>
          <w:spacing w:val="-6"/>
          <w:lang w:val="en-GB"/>
        </w:rPr>
        <w:t xml:space="preserve"> </w:t>
      </w:r>
      <w:r w:rsidR="00CC73DD" w:rsidRPr="00361139">
        <w:rPr>
          <w:lang w:val="en-GB"/>
        </w:rPr>
        <w:t>of</w:t>
      </w:r>
      <w:r w:rsidR="00CC73DD" w:rsidRPr="00361139">
        <w:rPr>
          <w:spacing w:val="-3"/>
          <w:lang w:val="en-GB"/>
        </w:rPr>
        <w:t xml:space="preserve"> </w:t>
      </w:r>
      <w:r w:rsidR="00CC73DD" w:rsidRPr="00361139">
        <w:rPr>
          <w:lang w:val="en-GB"/>
        </w:rPr>
        <w:t>Contents</w:t>
      </w:r>
      <w:bookmarkEnd w:id="383"/>
      <w:bookmarkEnd w:id="384"/>
      <w:bookmarkEnd w:id="385"/>
      <w:bookmarkEnd w:id="386"/>
      <w:bookmarkEnd w:id="387"/>
      <w:bookmarkEnd w:id="388"/>
    </w:p>
    <w:sdt>
      <w:sdtPr>
        <w:rPr>
          <w:lang w:val="en-GB"/>
        </w:rPr>
        <w:id w:val="1588260866"/>
        <w:docPartObj>
          <w:docPartGallery w:val="Table of Contents"/>
          <w:docPartUnique/>
        </w:docPartObj>
      </w:sdtPr>
      <w:sdtEndPr>
        <w:rPr>
          <w:b/>
          <w:bCs/>
          <w:noProof/>
        </w:rPr>
      </w:sdtEndPr>
      <w:sdtContent>
        <w:p w14:paraId="7D443EAA" w14:textId="5ABC8B36" w:rsidR="00F67EE5" w:rsidRPr="00361139" w:rsidRDefault="00F67EE5" w:rsidP="008B1FC0">
          <w:pPr>
            <w:pStyle w:val="Normal-pool"/>
            <w:rPr>
              <w:lang w:val="en-GB"/>
            </w:rPr>
          </w:pPr>
        </w:p>
        <w:p w14:paraId="4C50AEA8" w14:textId="0FB79AA5" w:rsidR="00F67EE5" w:rsidRPr="00361139" w:rsidRDefault="00F67EE5" w:rsidP="00CC5507">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r w:rsidRPr="00361139">
            <w:rPr>
              <w:noProof/>
              <w:lang w:val="en-GB"/>
            </w:rPr>
            <w:fldChar w:fldCharType="begin"/>
          </w:r>
          <w:r w:rsidRPr="00361139">
            <w:rPr>
              <w:noProof/>
              <w:lang w:val="en-GB"/>
            </w:rPr>
            <w:instrText xml:space="preserve"> TOC \h \z \t "CH1,1,CH2,2" </w:instrText>
          </w:r>
          <w:r w:rsidRPr="00361139">
            <w:rPr>
              <w:noProof/>
              <w:lang w:val="en-GB"/>
            </w:rPr>
            <w:fldChar w:fldCharType="separate"/>
          </w:r>
          <w:hyperlink w:anchor="_Toc139984211" w:history="1">
            <w:r w:rsidRPr="00361139">
              <w:rPr>
                <w:rStyle w:val="Hyperlink"/>
                <w:noProof/>
                <w:lang w:val="en-GB"/>
              </w:rPr>
              <w:t>Table</w:t>
            </w:r>
            <w:r w:rsidRPr="00361139">
              <w:rPr>
                <w:rStyle w:val="Hyperlink"/>
                <w:noProof/>
                <w:spacing w:val="-6"/>
                <w:lang w:val="en-GB"/>
              </w:rPr>
              <w:t xml:space="preserve"> </w:t>
            </w:r>
            <w:r w:rsidRPr="00361139">
              <w:rPr>
                <w:rStyle w:val="Hyperlink"/>
                <w:noProof/>
                <w:lang w:val="en-GB"/>
              </w:rPr>
              <w:t>of</w:t>
            </w:r>
            <w:r w:rsidRPr="00361139">
              <w:rPr>
                <w:rStyle w:val="Hyperlink"/>
                <w:noProof/>
                <w:spacing w:val="-3"/>
                <w:lang w:val="en-GB"/>
              </w:rPr>
              <w:t xml:space="preserve"> </w:t>
            </w:r>
            <w:r w:rsidRPr="00361139">
              <w:rPr>
                <w:rStyle w:val="Hyperlink"/>
                <w:noProof/>
                <w:lang w:val="en-GB"/>
              </w:rPr>
              <w:t>Contents</w:t>
            </w:r>
            <w:r w:rsidRPr="00361139">
              <w:rPr>
                <w:noProof/>
                <w:webHidden/>
                <w:lang w:val="en-GB"/>
              </w:rPr>
              <w:tab/>
            </w:r>
            <w:r w:rsidRPr="00361139">
              <w:rPr>
                <w:noProof/>
                <w:webHidden/>
                <w:lang w:val="en-GB"/>
              </w:rPr>
              <w:fldChar w:fldCharType="begin"/>
            </w:r>
            <w:r w:rsidRPr="00361139">
              <w:rPr>
                <w:noProof/>
                <w:webHidden/>
                <w:lang w:val="en-GB"/>
              </w:rPr>
              <w:instrText xml:space="preserve"> PAGEREF _Toc139984211 \h </w:instrText>
            </w:r>
            <w:r w:rsidRPr="00361139">
              <w:rPr>
                <w:noProof/>
                <w:webHidden/>
                <w:lang w:val="en-GB"/>
              </w:rPr>
            </w:r>
            <w:r w:rsidRPr="00361139">
              <w:rPr>
                <w:noProof/>
                <w:webHidden/>
                <w:lang w:val="en-GB"/>
              </w:rPr>
              <w:fldChar w:fldCharType="separate"/>
            </w:r>
            <w:r w:rsidR="00C2090E">
              <w:rPr>
                <w:noProof/>
                <w:webHidden/>
                <w:lang w:val="en-GB"/>
              </w:rPr>
              <w:t>76</w:t>
            </w:r>
            <w:r w:rsidRPr="00361139">
              <w:rPr>
                <w:noProof/>
                <w:webHidden/>
                <w:lang w:val="en-GB"/>
              </w:rPr>
              <w:fldChar w:fldCharType="end"/>
            </w:r>
          </w:hyperlink>
        </w:p>
        <w:p w14:paraId="4E494F14" w14:textId="5291BCF4" w:rsidR="00F67EE5" w:rsidRPr="00361139" w:rsidRDefault="00551D55" w:rsidP="00CC5507">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12" w:history="1">
            <w:r w:rsidR="00F67EE5" w:rsidRPr="00361139">
              <w:rPr>
                <w:rStyle w:val="Hyperlink"/>
                <w:noProof/>
                <w:lang w:val="en-GB"/>
              </w:rPr>
              <w:t>Abbreviations</w:t>
            </w:r>
            <w:r w:rsidR="00F67EE5" w:rsidRPr="00361139">
              <w:rPr>
                <w:rStyle w:val="Hyperlink"/>
                <w:noProof/>
                <w:spacing w:val="-10"/>
                <w:lang w:val="en-GB"/>
              </w:rPr>
              <w:t xml:space="preserve"> </w:t>
            </w:r>
            <w:r w:rsidR="00F67EE5" w:rsidRPr="00361139">
              <w:rPr>
                <w:rStyle w:val="Hyperlink"/>
                <w:noProof/>
                <w:lang w:val="en-GB"/>
              </w:rPr>
              <w:t>and</w:t>
            </w:r>
            <w:r w:rsidR="00F67EE5" w:rsidRPr="00361139">
              <w:rPr>
                <w:rStyle w:val="Hyperlink"/>
                <w:noProof/>
                <w:spacing w:val="-6"/>
                <w:lang w:val="en-GB"/>
              </w:rPr>
              <w:t xml:space="preserve"> </w:t>
            </w:r>
            <w:r w:rsidR="00F67EE5" w:rsidRPr="00361139">
              <w:rPr>
                <w:rStyle w:val="Hyperlink"/>
                <w:noProof/>
                <w:spacing w:val="-2"/>
                <w:lang w:val="en-GB"/>
              </w:rPr>
              <w:t>Acronyms</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_Toc139984212 \h </w:instrText>
            </w:r>
            <w:r w:rsidR="00F67EE5" w:rsidRPr="00361139">
              <w:rPr>
                <w:noProof/>
                <w:webHidden/>
                <w:lang w:val="en-GB"/>
              </w:rPr>
            </w:r>
            <w:r w:rsidR="00F67EE5" w:rsidRPr="00361139">
              <w:rPr>
                <w:noProof/>
                <w:webHidden/>
                <w:lang w:val="en-GB"/>
              </w:rPr>
              <w:fldChar w:fldCharType="separate"/>
            </w:r>
            <w:r w:rsidR="00C2090E">
              <w:rPr>
                <w:noProof/>
                <w:webHidden/>
                <w:lang w:val="en-GB"/>
              </w:rPr>
              <w:t>77</w:t>
            </w:r>
            <w:r w:rsidR="00F67EE5" w:rsidRPr="00361139">
              <w:rPr>
                <w:noProof/>
                <w:webHidden/>
                <w:lang w:val="en-GB"/>
              </w:rPr>
              <w:fldChar w:fldCharType="end"/>
            </w:r>
          </w:hyperlink>
        </w:p>
        <w:p w14:paraId="6D6B8941" w14:textId="018EA3CB" w:rsidR="00F67EE5" w:rsidRPr="00361139" w:rsidRDefault="00551D55" w:rsidP="00CC5507">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bCs w:val="0"/>
              <w:noProof/>
              <w:kern w:val="2"/>
              <w:sz w:val="22"/>
              <w:szCs w:val="22"/>
              <w:lang w:val="en-GB" w:eastAsia="en-GB"/>
              <w14:ligatures w14:val="standardContextual"/>
            </w:rPr>
          </w:pPr>
          <w:hyperlink w:anchor="_Toc139984213" w:history="1">
            <w:r w:rsidR="00F67EE5" w:rsidRPr="00361139">
              <w:rPr>
                <w:rStyle w:val="Hyperlink"/>
                <w:noProof/>
                <w:lang w:val="en-GB"/>
              </w:rPr>
              <w:t>Background:</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_Toc139984213 \h </w:instrText>
            </w:r>
            <w:r w:rsidR="00F67EE5" w:rsidRPr="00361139">
              <w:rPr>
                <w:noProof/>
                <w:webHidden/>
                <w:lang w:val="en-GB"/>
              </w:rPr>
            </w:r>
            <w:r w:rsidR="00F67EE5" w:rsidRPr="00361139">
              <w:rPr>
                <w:noProof/>
                <w:webHidden/>
                <w:lang w:val="en-GB"/>
              </w:rPr>
              <w:fldChar w:fldCharType="separate"/>
            </w:r>
            <w:r w:rsidR="00C2090E">
              <w:rPr>
                <w:noProof/>
                <w:webHidden/>
                <w:lang w:val="en-GB"/>
              </w:rPr>
              <w:t>78</w:t>
            </w:r>
            <w:r w:rsidR="00F67EE5" w:rsidRPr="00361139">
              <w:rPr>
                <w:noProof/>
                <w:webHidden/>
                <w:lang w:val="en-GB"/>
              </w:rPr>
              <w:fldChar w:fldCharType="end"/>
            </w:r>
          </w:hyperlink>
        </w:p>
        <w:p w14:paraId="5666C53A" w14:textId="01CEBB7E" w:rsidR="00F67EE5" w:rsidRPr="00361139" w:rsidRDefault="00551D55" w:rsidP="009A14BE">
          <w:pPr>
            <w:pStyle w:val="TOC1"/>
            <w:spacing w:after="120"/>
            <w:rPr>
              <w:rFonts w:asciiTheme="minorHAnsi" w:eastAsiaTheme="minorEastAsia" w:hAnsiTheme="minorHAnsi" w:cstheme="minorBidi"/>
              <w:bCs w:val="0"/>
              <w:noProof/>
              <w:kern w:val="2"/>
              <w:sz w:val="22"/>
              <w:szCs w:val="22"/>
              <w:lang w:val="en-GB" w:eastAsia="en-GB"/>
              <w14:ligatures w14:val="standardContextual"/>
            </w:rPr>
          </w:pPr>
          <w:hyperlink w:anchor="_Toc139984215" w:history="1">
            <w:r w:rsidR="00F67EE5" w:rsidRPr="00361139">
              <w:rPr>
                <w:rStyle w:val="Hyperlink"/>
                <w:noProof/>
                <w:lang w:val="en-GB"/>
              </w:rPr>
              <w:t>Information provided for the second review of the financial mechanism:</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_Toc139984215 \h </w:instrText>
            </w:r>
            <w:r w:rsidR="00F67EE5" w:rsidRPr="00361139">
              <w:rPr>
                <w:noProof/>
                <w:webHidden/>
                <w:lang w:val="en-GB"/>
              </w:rPr>
            </w:r>
            <w:r w:rsidR="00F67EE5" w:rsidRPr="00361139">
              <w:rPr>
                <w:noProof/>
                <w:webHidden/>
                <w:lang w:val="en-GB"/>
              </w:rPr>
              <w:fldChar w:fldCharType="separate"/>
            </w:r>
            <w:r w:rsidR="00C2090E">
              <w:rPr>
                <w:noProof/>
                <w:webHidden/>
                <w:lang w:val="en-GB"/>
              </w:rPr>
              <w:t>78</w:t>
            </w:r>
            <w:r w:rsidR="00F67EE5" w:rsidRPr="00361139">
              <w:rPr>
                <w:noProof/>
                <w:webHidden/>
                <w:lang w:val="en-GB"/>
              </w:rPr>
              <w:fldChar w:fldCharType="end"/>
            </w:r>
          </w:hyperlink>
        </w:p>
        <w:p w14:paraId="3FA9286C" w14:textId="34D40B06"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16" w:history="1">
            <w:r w:rsidR="00F67EE5" w:rsidRPr="00361139">
              <w:rPr>
                <w:rStyle w:val="Hyperlink"/>
                <w:noProof/>
                <w:lang w:val="en-GB"/>
              </w:rPr>
              <w:t>(a)</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 xml:space="preserve">Responsiveness of the Global Environment Facility to the guidance adopted by </w:t>
            </w:r>
            <w:r w:rsidR="009A14BE" w:rsidRPr="00361139">
              <w:rPr>
                <w:rStyle w:val="Hyperlink"/>
                <w:noProof/>
                <w:lang w:val="en-GB"/>
              </w:rPr>
              <w:br/>
            </w:r>
            <w:r w:rsidR="00F67EE5" w:rsidRPr="00361139">
              <w:rPr>
                <w:rStyle w:val="Hyperlink"/>
                <w:noProof/>
                <w:lang w:val="en-GB"/>
              </w:rPr>
              <w:t>or provided by the Conference of the Parties</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_Toc139984216 \h </w:instrText>
            </w:r>
            <w:r w:rsidR="00F67EE5" w:rsidRPr="00361139">
              <w:rPr>
                <w:noProof/>
                <w:webHidden/>
                <w:lang w:val="en-GB"/>
              </w:rPr>
            </w:r>
            <w:r w:rsidR="00F67EE5" w:rsidRPr="00361139">
              <w:rPr>
                <w:noProof/>
                <w:webHidden/>
                <w:lang w:val="en-GB"/>
              </w:rPr>
              <w:fldChar w:fldCharType="separate"/>
            </w:r>
            <w:r w:rsidR="00C2090E">
              <w:rPr>
                <w:noProof/>
                <w:webHidden/>
                <w:lang w:val="en-GB"/>
              </w:rPr>
              <w:t>78</w:t>
            </w:r>
            <w:r w:rsidR="00F67EE5" w:rsidRPr="00361139">
              <w:rPr>
                <w:noProof/>
                <w:webHidden/>
                <w:lang w:val="en-GB"/>
              </w:rPr>
              <w:fldChar w:fldCharType="end"/>
            </w:r>
          </w:hyperlink>
        </w:p>
        <w:p w14:paraId="7AFC8F8D" w14:textId="311D230C"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18" w:history="1">
            <w:r w:rsidR="00F67EE5" w:rsidRPr="00361139">
              <w:rPr>
                <w:rStyle w:val="Hyperlink"/>
                <w:noProof/>
                <w:lang w:val="en-GB"/>
              </w:rPr>
              <w:t>(b)</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 xml:space="preserve">Extent to which the projects funded by the financial mechanism have reduced, or are expected to reduce, the supply, use, emissions and releases of mercury, and deliver </w:t>
            </w:r>
            <w:r w:rsidR="009A14BE" w:rsidRPr="00361139">
              <w:rPr>
                <w:rStyle w:val="Hyperlink"/>
                <w:noProof/>
                <w:lang w:val="en-GB"/>
              </w:rPr>
              <w:br/>
            </w:r>
            <w:r w:rsidR="00F67EE5" w:rsidRPr="00361139">
              <w:rPr>
                <w:rStyle w:val="Hyperlink"/>
                <w:noProof/>
                <w:lang w:val="en-GB"/>
              </w:rPr>
              <w:t>other benefits in terms of Convention implementation</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_Toc139984218 \h </w:instrText>
            </w:r>
            <w:r w:rsidR="00F67EE5" w:rsidRPr="00361139">
              <w:rPr>
                <w:noProof/>
                <w:webHidden/>
                <w:lang w:val="en-GB"/>
              </w:rPr>
            </w:r>
            <w:r w:rsidR="00F67EE5" w:rsidRPr="00361139">
              <w:rPr>
                <w:noProof/>
                <w:webHidden/>
                <w:lang w:val="en-GB"/>
              </w:rPr>
              <w:fldChar w:fldCharType="separate"/>
            </w:r>
            <w:r w:rsidR="00C2090E">
              <w:rPr>
                <w:noProof/>
                <w:webHidden/>
                <w:lang w:val="en-GB"/>
              </w:rPr>
              <w:t>83</w:t>
            </w:r>
            <w:r w:rsidR="00F67EE5" w:rsidRPr="00361139">
              <w:rPr>
                <w:noProof/>
                <w:webHidden/>
                <w:lang w:val="en-GB"/>
              </w:rPr>
              <w:fldChar w:fldCharType="end"/>
            </w:r>
          </w:hyperlink>
        </w:p>
        <w:p w14:paraId="461C2103" w14:textId="49CE15B4"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19" w:history="1">
            <w:r w:rsidR="00F67EE5" w:rsidRPr="00361139">
              <w:rPr>
                <w:rStyle w:val="Hyperlink"/>
                <w:noProof/>
                <w:lang w:val="en-GB"/>
              </w:rPr>
              <w:t>(c)</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Transparency and timeliness of the project approval processes</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_Toc139984219 \h </w:instrText>
            </w:r>
            <w:r w:rsidR="00F67EE5" w:rsidRPr="00361139">
              <w:rPr>
                <w:noProof/>
                <w:webHidden/>
                <w:lang w:val="en-GB"/>
              </w:rPr>
            </w:r>
            <w:r w:rsidR="00F67EE5" w:rsidRPr="00361139">
              <w:rPr>
                <w:noProof/>
                <w:webHidden/>
                <w:lang w:val="en-GB"/>
              </w:rPr>
              <w:fldChar w:fldCharType="separate"/>
            </w:r>
            <w:r w:rsidR="00C2090E">
              <w:rPr>
                <w:noProof/>
                <w:webHidden/>
                <w:lang w:val="en-GB"/>
              </w:rPr>
              <w:t>83</w:t>
            </w:r>
            <w:r w:rsidR="00F67EE5" w:rsidRPr="00361139">
              <w:rPr>
                <w:noProof/>
                <w:webHidden/>
                <w:lang w:val="en-GB"/>
              </w:rPr>
              <w:fldChar w:fldCharType="end"/>
            </w:r>
          </w:hyperlink>
        </w:p>
        <w:p w14:paraId="402B559E" w14:textId="23576251"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20" w:history="1">
            <w:r w:rsidR="00F67EE5" w:rsidRPr="00361139">
              <w:rPr>
                <w:rStyle w:val="Hyperlink"/>
                <w:noProof/>
                <w:lang w:val="en-GB"/>
              </w:rPr>
              <w:t>(d)</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Simplicity, flexibility and expeditiousness of the procedures for accessing funds and for implementing and reporting on projects</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_Toc139984220 \h </w:instrText>
            </w:r>
            <w:r w:rsidR="00F67EE5" w:rsidRPr="00361139">
              <w:rPr>
                <w:noProof/>
                <w:webHidden/>
                <w:lang w:val="en-GB"/>
              </w:rPr>
            </w:r>
            <w:r w:rsidR="00F67EE5" w:rsidRPr="00361139">
              <w:rPr>
                <w:noProof/>
                <w:webHidden/>
                <w:lang w:val="en-GB"/>
              </w:rPr>
              <w:fldChar w:fldCharType="separate"/>
            </w:r>
            <w:r w:rsidR="00C2090E">
              <w:rPr>
                <w:noProof/>
                <w:webHidden/>
                <w:lang w:val="en-GB"/>
              </w:rPr>
              <w:t>84</w:t>
            </w:r>
            <w:r w:rsidR="00F67EE5" w:rsidRPr="00361139">
              <w:rPr>
                <w:noProof/>
                <w:webHidden/>
                <w:lang w:val="en-GB"/>
              </w:rPr>
              <w:fldChar w:fldCharType="end"/>
            </w:r>
          </w:hyperlink>
        </w:p>
        <w:p w14:paraId="59806CF5" w14:textId="076A4E81"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21" w:history="1">
            <w:r w:rsidR="00F67EE5" w:rsidRPr="00361139">
              <w:rPr>
                <w:rStyle w:val="Hyperlink"/>
                <w:noProof/>
                <w:lang w:val="en-GB"/>
              </w:rPr>
              <w:t>(e)</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Adequacy and sustainability of the available resources</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_Toc139984221 \h </w:instrText>
            </w:r>
            <w:r w:rsidR="00F67EE5" w:rsidRPr="00361139">
              <w:rPr>
                <w:noProof/>
                <w:webHidden/>
                <w:lang w:val="en-GB"/>
              </w:rPr>
            </w:r>
            <w:r w:rsidR="00F67EE5" w:rsidRPr="00361139">
              <w:rPr>
                <w:noProof/>
                <w:webHidden/>
                <w:lang w:val="en-GB"/>
              </w:rPr>
              <w:fldChar w:fldCharType="separate"/>
            </w:r>
            <w:r w:rsidR="00C2090E">
              <w:rPr>
                <w:noProof/>
                <w:webHidden/>
                <w:lang w:val="en-GB"/>
              </w:rPr>
              <w:t>84</w:t>
            </w:r>
            <w:r w:rsidR="00F67EE5" w:rsidRPr="00361139">
              <w:rPr>
                <w:noProof/>
                <w:webHidden/>
                <w:lang w:val="en-GB"/>
              </w:rPr>
              <w:fldChar w:fldCharType="end"/>
            </w:r>
          </w:hyperlink>
        </w:p>
        <w:p w14:paraId="2EE0D5B0" w14:textId="39920367" w:rsidR="00F67EE5" w:rsidRPr="00361139" w:rsidRDefault="00551D55" w:rsidP="009A14BE">
          <w:pPr>
            <w:pStyle w:val="TOC2"/>
            <w:spacing w:after="120"/>
            <w:rPr>
              <w:rFonts w:asciiTheme="minorHAnsi" w:eastAsiaTheme="minorEastAsia" w:hAnsiTheme="minorHAnsi" w:cstheme="minorBidi"/>
              <w:noProof/>
              <w:kern w:val="2"/>
              <w:sz w:val="22"/>
              <w:szCs w:val="22"/>
              <w:lang w:val="en-GB" w:eastAsia="en-GB"/>
              <w14:ligatures w14:val="standardContextual"/>
            </w:rPr>
          </w:pPr>
          <w:hyperlink w:anchor="_Toc139984222" w:history="1">
            <w:r w:rsidR="00F67EE5" w:rsidRPr="00361139">
              <w:rPr>
                <w:rStyle w:val="Hyperlink"/>
                <w:noProof/>
                <w:lang w:val="en-GB"/>
              </w:rPr>
              <w:t>(f)</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Country ownership of activities funded by the financial mechanism</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_Toc139984222 \h </w:instrText>
            </w:r>
            <w:r w:rsidR="00F67EE5" w:rsidRPr="00361139">
              <w:rPr>
                <w:noProof/>
                <w:webHidden/>
                <w:lang w:val="en-GB"/>
              </w:rPr>
            </w:r>
            <w:r w:rsidR="00F67EE5" w:rsidRPr="00361139">
              <w:rPr>
                <w:noProof/>
                <w:webHidden/>
                <w:lang w:val="en-GB"/>
              </w:rPr>
              <w:fldChar w:fldCharType="separate"/>
            </w:r>
            <w:r w:rsidR="00C2090E">
              <w:rPr>
                <w:noProof/>
                <w:webHidden/>
                <w:lang w:val="en-GB"/>
              </w:rPr>
              <w:t>84</w:t>
            </w:r>
            <w:r w:rsidR="00F67EE5" w:rsidRPr="00361139">
              <w:rPr>
                <w:noProof/>
                <w:webHidden/>
                <w:lang w:val="en-GB"/>
              </w:rPr>
              <w:fldChar w:fldCharType="end"/>
            </w:r>
          </w:hyperlink>
        </w:p>
        <w:p w14:paraId="02727CE2" w14:textId="650E6A23" w:rsidR="00F67EE5" w:rsidRPr="00361139" w:rsidRDefault="00551D55">
          <w:pPr>
            <w:pStyle w:val="TOC2"/>
            <w:rPr>
              <w:rStyle w:val="Hyperlink"/>
              <w:noProof/>
              <w:color w:val="auto"/>
              <w:lang w:val="en-GB"/>
            </w:rPr>
          </w:pPr>
          <w:hyperlink w:anchor="_Toc139984223" w:history="1">
            <w:r w:rsidR="00F67EE5" w:rsidRPr="00361139">
              <w:rPr>
                <w:rStyle w:val="Hyperlink"/>
                <w:noProof/>
                <w:lang w:val="en-GB"/>
              </w:rPr>
              <w:t>(g)</w:t>
            </w:r>
            <w:r w:rsidR="00F67EE5" w:rsidRPr="00361139">
              <w:rPr>
                <w:rFonts w:asciiTheme="minorHAnsi" w:eastAsiaTheme="minorEastAsia" w:hAnsiTheme="minorHAnsi" w:cstheme="minorBidi"/>
                <w:noProof/>
                <w:kern w:val="2"/>
                <w:sz w:val="22"/>
                <w:szCs w:val="22"/>
                <w:lang w:val="en-GB" w:eastAsia="en-GB"/>
                <w14:ligatures w14:val="standardContextual"/>
              </w:rPr>
              <w:tab/>
            </w:r>
            <w:r w:rsidR="00F67EE5" w:rsidRPr="00361139">
              <w:rPr>
                <w:rStyle w:val="Hyperlink"/>
                <w:noProof/>
                <w:lang w:val="en-GB"/>
              </w:rPr>
              <w:t>Level of stakeholder involvement</w:t>
            </w:r>
            <w:r w:rsidR="00F67EE5" w:rsidRPr="00361139">
              <w:rPr>
                <w:noProof/>
                <w:webHidden/>
                <w:lang w:val="en-GB"/>
              </w:rPr>
              <w:tab/>
            </w:r>
            <w:r w:rsidR="00F67EE5" w:rsidRPr="00361139">
              <w:rPr>
                <w:noProof/>
                <w:webHidden/>
                <w:lang w:val="en-GB"/>
              </w:rPr>
              <w:fldChar w:fldCharType="begin"/>
            </w:r>
            <w:r w:rsidR="00F67EE5" w:rsidRPr="00361139">
              <w:rPr>
                <w:noProof/>
                <w:webHidden/>
                <w:lang w:val="en-GB"/>
              </w:rPr>
              <w:instrText xml:space="preserve"> PAGEREF _Toc139984223 \h </w:instrText>
            </w:r>
            <w:r w:rsidR="00F67EE5" w:rsidRPr="00361139">
              <w:rPr>
                <w:noProof/>
                <w:webHidden/>
                <w:lang w:val="en-GB"/>
              </w:rPr>
            </w:r>
            <w:r w:rsidR="00F67EE5" w:rsidRPr="00361139">
              <w:rPr>
                <w:noProof/>
                <w:webHidden/>
                <w:lang w:val="en-GB"/>
              </w:rPr>
              <w:fldChar w:fldCharType="separate"/>
            </w:r>
            <w:r w:rsidR="00C2090E">
              <w:rPr>
                <w:noProof/>
                <w:webHidden/>
                <w:lang w:val="en-GB"/>
              </w:rPr>
              <w:t>85</w:t>
            </w:r>
            <w:r w:rsidR="00F67EE5" w:rsidRPr="00361139">
              <w:rPr>
                <w:noProof/>
                <w:webHidden/>
                <w:lang w:val="en-GB"/>
              </w:rPr>
              <w:fldChar w:fldCharType="end"/>
            </w:r>
          </w:hyperlink>
        </w:p>
        <w:p w14:paraId="5BB952B9" w14:textId="3AD1B14E" w:rsidR="005A1A25" w:rsidRPr="00361139" w:rsidRDefault="005A1A25" w:rsidP="00A23C49">
          <w:pPr>
            <w:pStyle w:val="Normal-pool"/>
            <w:spacing w:before="360" w:after="120"/>
            <w:ind w:left="1247"/>
            <w:rPr>
              <w:noProof/>
              <w:lang w:val="en-GB"/>
            </w:rPr>
          </w:pPr>
          <w:r w:rsidRPr="00361139">
            <w:rPr>
              <w:noProof/>
              <w:lang w:val="en-GB"/>
            </w:rPr>
            <w:t>List of Tables</w:t>
          </w:r>
        </w:p>
        <w:p w14:paraId="0D103EFC" w14:textId="354D8EF0" w:rsidR="0050096A" w:rsidRPr="00361139" w:rsidRDefault="00551D55" w:rsidP="005A1A25">
          <w:pPr>
            <w:pStyle w:val="TOC1"/>
            <w:tabs>
              <w:tab w:val="clear" w:pos="624"/>
              <w:tab w:val="clear" w:pos="1247"/>
              <w:tab w:val="clear" w:pos="1871"/>
              <w:tab w:val="clear" w:pos="2495"/>
              <w:tab w:val="clear" w:pos="3119"/>
              <w:tab w:val="clear" w:pos="3742"/>
              <w:tab w:val="clear" w:pos="4366"/>
            </w:tabs>
            <w:spacing w:before="0"/>
            <w:rPr>
              <w:rFonts w:asciiTheme="minorHAnsi" w:eastAsiaTheme="minorEastAsia" w:hAnsiTheme="minorHAnsi" w:cstheme="minorBidi"/>
              <w:noProof/>
              <w:kern w:val="2"/>
              <w:sz w:val="22"/>
              <w:szCs w:val="22"/>
              <w:lang w:val="en-GB" w:eastAsia="en-GB"/>
              <w14:ligatures w14:val="standardContextual"/>
            </w:rPr>
          </w:pPr>
          <w:hyperlink w:anchor="_Toc139984214" w:history="1">
            <w:r w:rsidR="0050096A" w:rsidRPr="00361139">
              <w:rPr>
                <w:rStyle w:val="Hyperlink"/>
                <w:noProof/>
                <w:lang w:val="en-GB"/>
              </w:rPr>
              <w:t>Table 1  Resources Programmed for Mercury Projects</w:t>
            </w:r>
            <w:r w:rsidR="0050096A" w:rsidRPr="00361139">
              <w:rPr>
                <w:noProof/>
                <w:webHidden/>
                <w:lang w:val="en-GB"/>
              </w:rPr>
              <w:tab/>
            </w:r>
            <w:r w:rsidR="0050096A" w:rsidRPr="00361139">
              <w:rPr>
                <w:noProof/>
                <w:webHidden/>
                <w:lang w:val="en-GB"/>
              </w:rPr>
              <w:fldChar w:fldCharType="begin"/>
            </w:r>
            <w:r w:rsidR="0050096A" w:rsidRPr="00361139">
              <w:rPr>
                <w:noProof/>
                <w:webHidden/>
                <w:lang w:val="en-GB"/>
              </w:rPr>
              <w:instrText xml:space="preserve"> PAGEREF _Toc139984214 \h </w:instrText>
            </w:r>
            <w:r w:rsidR="0050096A" w:rsidRPr="00361139">
              <w:rPr>
                <w:noProof/>
                <w:webHidden/>
                <w:lang w:val="en-GB"/>
              </w:rPr>
            </w:r>
            <w:r w:rsidR="0050096A" w:rsidRPr="00361139">
              <w:rPr>
                <w:noProof/>
                <w:webHidden/>
                <w:lang w:val="en-GB"/>
              </w:rPr>
              <w:fldChar w:fldCharType="separate"/>
            </w:r>
            <w:r w:rsidR="00C2090E">
              <w:rPr>
                <w:noProof/>
                <w:webHidden/>
                <w:lang w:val="en-GB"/>
              </w:rPr>
              <w:t>78</w:t>
            </w:r>
            <w:r w:rsidR="0050096A" w:rsidRPr="00361139">
              <w:rPr>
                <w:noProof/>
                <w:webHidden/>
                <w:lang w:val="en-GB"/>
              </w:rPr>
              <w:fldChar w:fldCharType="end"/>
            </w:r>
          </w:hyperlink>
        </w:p>
        <w:p w14:paraId="26C93649" w14:textId="4576ACA6" w:rsidR="0050096A" w:rsidRPr="00361139" w:rsidRDefault="00551D55" w:rsidP="0050096A">
          <w:pPr>
            <w:pStyle w:val="TOC1"/>
            <w:tabs>
              <w:tab w:val="clear" w:pos="624"/>
              <w:tab w:val="clear" w:pos="1247"/>
              <w:tab w:val="clear" w:pos="1871"/>
              <w:tab w:val="clear" w:pos="2495"/>
              <w:tab w:val="clear" w:pos="3119"/>
              <w:tab w:val="clear" w:pos="3742"/>
              <w:tab w:val="clear" w:pos="4366"/>
            </w:tabs>
            <w:rPr>
              <w:rFonts w:asciiTheme="minorHAnsi" w:eastAsiaTheme="minorEastAsia" w:hAnsiTheme="minorHAnsi" w:cstheme="minorBidi"/>
              <w:noProof/>
              <w:kern w:val="2"/>
              <w:sz w:val="22"/>
              <w:szCs w:val="22"/>
              <w:lang w:val="en-GB" w:eastAsia="en-GB"/>
              <w14:ligatures w14:val="standardContextual"/>
            </w:rPr>
          </w:pPr>
          <w:hyperlink w:anchor="_Toc139984217" w:history="1">
            <w:r w:rsidR="0050096A" w:rsidRPr="00361139">
              <w:rPr>
                <w:rStyle w:val="Hyperlink"/>
                <w:noProof/>
                <w:lang w:val="en-GB"/>
              </w:rPr>
              <w:t>Table 2  Response to the Guidance from the Conference of the Parties to the Minamata Convention</w:t>
            </w:r>
            <w:r w:rsidR="0050096A" w:rsidRPr="00361139">
              <w:rPr>
                <w:noProof/>
                <w:webHidden/>
                <w:lang w:val="en-GB"/>
              </w:rPr>
              <w:tab/>
            </w:r>
            <w:r w:rsidR="0050096A" w:rsidRPr="00361139">
              <w:rPr>
                <w:noProof/>
                <w:webHidden/>
                <w:lang w:val="en-GB"/>
              </w:rPr>
              <w:fldChar w:fldCharType="begin"/>
            </w:r>
            <w:r w:rsidR="0050096A" w:rsidRPr="00361139">
              <w:rPr>
                <w:noProof/>
                <w:webHidden/>
                <w:lang w:val="en-GB"/>
              </w:rPr>
              <w:instrText xml:space="preserve"> PAGEREF _Toc139984217 \h </w:instrText>
            </w:r>
            <w:r w:rsidR="0050096A" w:rsidRPr="00361139">
              <w:rPr>
                <w:noProof/>
                <w:webHidden/>
                <w:lang w:val="en-GB"/>
              </w:rPr>
            </w:r>
            <w:r w:rsidR="0050096A" w:rsidRPr="00361139">
              <w:rPr>
                <w:noProof/>
                <w:webHidden/>
                <w:lang w:val="en-GB"/>
              </w:rPr>
              <w:fldChar w:fldCharType="separate"/>
            </w:r>
            <w:r w:rsidR="00C2090E">
              <w:rPr>
                <w:noProof/>
                <w:webHidden/>
                <w:lang w:val="en-GB"/>
              </w:rPr>
              <w:t>79</w:t>
            </w:r>
            <w:r w:rsidR="0050096A" w:rsidRPr="00361139">
              <w:rPr>
                <w:noProof/>
                <w:webHidden/>
                <w:lang w:val="en-GB"/>
              </w:rPr>
              <w:fldChar w:fldCharType="end"/>
            </w:r>
          </w:hyperlink>
        </w:p>
        <w:p w14:paraId="3E24ED27" w14:textId="4A680235" w:rsidR="00F67EE5" w:rsidRPr="00361139" w:rsidRDefault="00F67EE5" w:rsidP="00B8419B">
          <w:pPr>
            <w:pStyle w:val="Normal-pool"/>
            <w:rPr>
              <w:lang w:val="en-GB"/>
            </w:rPr>
          </w:pPr>
          <w:r w:rsidRPr="00361139">
            <w:rPr>
              <w:noProof/>
              <w:lang w:val="en-GB"/>
            </w:rPr>
            <w:fldChar w:fldCharType="end"/>
          </w:r>
        </w:p>
      </w:sdtContent>
    </w:sdt>
    <w:p w14:paraId="4429D7D8" w14:textId="77777777" w:rsidR="00B3136F" w:rsidRPr="00361139" w:rsidRDefault="00B3136F" w:rsidP="0086011E">
      <w:pPr>
        <w:pStyle w:val="Normal-pool"/>
        <w:rPr>
          <w:lang w:val="en-GB"/>
        </w:rPr>
      </w:pPr>
    </w:p>
    <w:p w14:paraId="2EBCE2D1" w14:textId="77777777" w:rsidR="00B8419B" w:rsidRPr="00361139" w:rsidRDefault="00B8419B" w:rsidP="0086011E">
      <w:pPr>
        <w:pStyle w:val="Normal-pool"/>
        <w:rPr>
          <w:lang w:val="en-GB"/>
        </w:rPr>
      </w:pPr>
    </w:p>
    <w:p w14:paraId="535B4889" w14:textId="77777777" w:rsidR="003B12B1" w:rsidRPr="00361139" w:rsidRDefault="003B12B1" w:rsidP="009F16F7">
      <w:pPr>
        <w:pStyle w:val="Normal-pool"/>
        <w:rPr>
          <w:lang w:val="en-GB"/>
        </w:rPr>
      </w:pPr>
    </w:p>
    <w:p w14:paraId="5ABE0D1C" w14:textId="77777777" w:rsidR="00CC73DD" w:rsidRPr="00361139" w:rsidRDefault="00CC73DD" w:rsidP="009F16F7">
      <w:pPr>
        <w:pStyle w:val="Normal-pool"/>
        <w:rPr>
          <w:lang w:val="en-GB"/>
        </w:rPr>
        <w:sectPr w:rsidR="00CC73DD" w:rsidRPr="00361139" w:rsidSect="00446EAC">
          <w:headerReference w:type="first" r:id="rId26"/>
          <w:footerReference w:type="first" r:id="rId27"/>
          <w:footnotePr>
            <w:numRestart w:val="eachSect"/>
          </w:footnotePr>
          <w:pgSz w:w="11907" w:h="16839"/>
          <w:pgMar w:top="907" w:right="992" w:bottom="1418" w:left="1418" w:header="539" w:footer="975" w:gutter="0"/>
          <w:cols w:space="720"/>
          <w:docGrid w:linePitch="272"/>
        </w:sectPr>
      </w:pPr>
    </w:p>
    <w:p w14:paraId="4809C0D1" w14:textId="4B37A251" w:rsidR="00CC73DD" w:rsidRPr="00361139" w:rsidRDefault="005B77D9" w:rsidP="005B77D9">
      <w:pPr>
        <w:pStyle w:val="CH1"/>
        <w:rPr>
          <w:lang w:val="en-GB"/>
        </w:rPr>
      </w:pPr>
      <w:bookmarkStart w:id="389" w:name="_Toc138845703"/>
      <w:r w:rsidRPr="00361139">
        <w:rPr>
          <w:lang w:val="en-GB"/>
        </w:rPr>
        <w:lastRenderedPageBreak/>
        <w:tab/>
      </w:r>
      <w:r w:rsidRPr="00361139">
        <w:rPr>
          <w:lang w:val="en-GB"/>
        </w:rPr>
        <w:tab/>
      </w:r>
      <w:bookmarkStart w:id="390" w:name="_Toc139982260"/>
      <w:bookmarkStart w:id="391" w:name="_Toc139983972"/>
      <w:bookmarkStart w:id="392" w:name="_Toc139984212"/>
      <w:r w:rsidR="00CC73DD" w:rsidRPr="00361139">
        <w:rPr>
          <w:lang w:val="en-GB"/>
        </w:rPr>
        <w:t>Abbreviations</w:t>
      </w:r>
      <w:r w:rsidR="00CC73DD" w:rsidRPr="00361139">
        <w:rPr>
          <w:spacing w:val="-10"/>
          <w:lang w:val="en-GB"/>
        </w:rPr>
        <w:t xml:space="preserve"> </w:t>
      </w:r>
      <w:r w:rsidR="00CC73DD" w:rsidRPr="00361139">
        <w:rPr>
          <w:lang w:val="en-GB"/>
        </w:rPr>
        <w:t>and</w:t>
      </w:r>
      <w:r w:rsidR="00CC73DD" w:rsidRPr="00361139">
        <w:rPr>
          <w:spacing w:val="-6"/>
          <w:lang w:val="en-GB"/>
        </w:rPr>
        <w:t xml:space="preserve"> </w:t>
      </w:r>
      <w:r w:rsidR="00CC73DD" w:rsidRPr="00361139">
        <w:rPr>
          <w:spacing w:val="-2"/>
          <w:lang w:val="en-GB"/>
        </w:rPr>
        <w:t>Acronyms</w:t>
      </w:r>
      <w:bookmarkEnd w:id="389"/>
      <w:bookmarkEnd w:id="390"/>
      <w:bookmarkEnd w:id="391"/>
      <w:bookmarkEnd w:id="392"/>
    </w:p>
    <w:p w14:paraId="3936DD01" w14:textId="450CC4C2"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4"/>
          <w:lang w:val="en-GB"/>
        </w:rPr>
        <w:t>ASGM</w:t>
      </w:r>
      <w:r w:rsidRPr="00361139">
        <w:rPr>
          <w:lang w:val="en-GB"/>
        </w:rPr>
        <w:tab/>
        <w:t>Artisanal</w:t>
      </w:r>
      <w:r w:rsidRPr="00361139">
        <w:rPr>
          <w:spacing w:val="-10"/>
          <w:lang w:val="en-GB"/>
        </w:rPr>
        <w:t xml:space="preserve"> </w:t>
      </w:r>
      <w:r w:rsidRPr="00361139">
        <w:rPr>
          <w:lang w:val="en-GB"/>
        </w:rPr>
        <w:t>and</w:t>
      </w:r>
      <w:r w:rsidRPr="00361139">
        <w:rPr>
          <w:spacing w:val="-9"/>
          <w:lang w:val="en-GB"/>
        </w:rPr>
        <w:t xml:space="preserve"> </w:t>
      </w:r>
      <w:r w:rsidRPr="00361139">
        <w:rPr>
          <w:lang w:val="en-GB"/>
        </w:rPr>
        <w:t>Small-scale</w:t>
      </w:r>
      <w:r w:rsidRPr="00361139">
        <w:rPr>
          <w:spacing w:val="-9"/>
          <w:lang w:val="en-GB"/>
        </w:rPr>
        <w:t xml:space="preserve"> </w:t>
      </w:r>
      <w:r w:rsidRPr="00361139">
        <w:rPr>
          <w:spacing w:val="-2"/>
          <w:lang w:val="en-GB"/>
        </w:rPr>
        <w:t>Mining</w:t>
      </w:r>
    </w:p>
    <w:p w14:paraId="08C9495B" w14:textId="22CADF15"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COP</w:t>
      </w:r>
      <w:r w:rsidRPr="00361139">
        <w:rPr>
          <w:lang w:val="en-GB"/>
        </w:rPr>
        <w:tab/>
        <w:t>Conference</w:t>
      </w:r>
      <w:r w:rsidRPr="00361139">
        <w:rPr>
          <w:spacing w:val="-8"/>
          <w:lang w:val="en-GB"/>
        </w:rPr>
        <w:t xml:space="preserve"> </w:t>
      </w:r>
      <w:r w:rsidRPr="00361139">
        <w:rPr>
          <w:lang w:val="en-GB"/>
        </w:rPr>
        <w:t>of</w:t>
      </w:r>
      <w:r w:rsidRPr="00361139">
        <w:rPr>
          <w:spacing w:val="-6"/>
          <w:lang w:val="en-GB"/>
        </w:rPr>
        <w:t xml:space="preserve"> </w:t>
      </w:r>
      <w:r w:rsidRPr="00361139">
        <w:rPr>
          <w:lang w:val="en-GB"/>
        </w:rPr>
        <w:t>the</w:t>
      </w:r>
      <w:r w:rsidRPr="00361139">
        <w:rPr>
          <w:spacing w:val="-6"/>
          <w:lang w:val="en-GB"/>
        </w:rPr>
        <w:t xml:space="preserve"> </w:t>
      </w:r>
      <w:r w:rsidRPr="00361139">
        <w:rPr>
          <w:spacing w:val="-2"/>
          <w:lang w:val="en-GB"/>
        </w:rPr>
        <w:t>Parties</w:t>
      </w:r>
    </w:p>
    <w:p w14:paraId="2D0FE14E" w14:textId="29F9F9F5"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EA</w:t>
      </w:r>
      <w:r w:rsidRPr="00361139">
        <w:rPr>
          <w:lang w:val="en-GB"/>
        </w:rPr>
        <w:tab/>
        <w:t>Enabling</w:t>
      </w:r>
      <w:r w:rsidRPr="00361139">
        <w:rPr>
          <w:spacing w:val="-11"/>
          <w:lang w:val="en-GB"/>
        </w:rPr>
        <w:t xml:space="preserve"> </w:t>
      </w:r>
      <w:r w:rsidRPr="00361139">
        <w:rPr>
          <w:spacing w:val="-2"/>
          <w:lang w:val="en-GB"/>
        </w:rPr>
        <w:t>Activity</w:t>
      </w:r>
    </w:p>
    <w:p w14:paraId="55433E7B" w14:textId="7D38A863"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FSP</w:t>
      </w:r>
      <w:r w:rsidRPr="00361139">
        <w:rPr>
          <w:lang w:val="en-GB"/>
        </w:rPr>
        <w:tab/>
        <w:t>Full-sized</w:t>
      </w:r>
      <w:r w:rsidRPr="00361139">
        <w:rPr>
          <w:spacing w:val="-12"/>
          <w:lang w:val="en-GB"/>
        </w:rPr>
        <w:t xml:space="preserve"> </w:t>
      </w:r>
      <w:r w:rsidRPr="00361139">
        <w:rPr>
          <w:spacing w:val="-2"/>
          <w:lang w:val="en-GB"/>
        </w:rPr>
        <w:t>Project</w:t>
      </w:r>
    </w:p>
    <w:p w14:paraId="0FC0EA06" w14:textId="4AB78CC4"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GEB</w:t>
      </w:r>
      <w:r w:rsidRPr="00361139">
        <w:rPr>
          <w:lang w:val="en-GB"/>
        </w:rPr>
        <w:tab/>
        <w:t>Global</w:t>
      </w:r>
      <w:r w:rsidRPr="00361139">
        <w:rPr>
          <w:spacing w:val="-11"/>
          <w:lang w:val="en-GB"/>
        </w:rPr>
        <w:t xml:space="preserve"> </w:t>
      </w:r>
      <w:r w:rsidRPr="00361139">
        <w:rPr>
          <w:lang w:val="en-GB"/>
        </w:rPr>
        <w:t>Environmental</w:t>
      </w:r>
      <w:r w:rsidRPr="00361139">
        <w:rPr>
          <w:spacing w:val="-10"/>
          <w:lang w:val="en-GB"/>
        </w:rPr>
        <w:t xml:space="preserve"> </w:t>
      </w:r>
      <w:r w:rsidRPr="00361139">
        <w:rPr>
          <w:spacing w:val="-2"/>
          <w:lang w:val="en-GB"/>
        </w:rPr>
        <w:t>Benefit</w:t>
      </w:r>
    </w:p>
    <w:p w14:paraId="76DEACE3" w14:textId="14EAB0A1"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GEF</w:t>
      </w:r>
      <w:r w:rsidRPr="00361139">
        <w:rPr>
          <w:lang w:val="en-GB"/>
        </w:rPr>
        <w:tab/>
        <w:t>Global</w:t>
      </w:r>
      <w:r w:rsidRPr="00361139">
        <w:rPr>
          <w:spacing w:val="-10"/>
          <w:lang w:val="en-GB"/>
        </w:rPr>
        <w:t xml:space="preserve"> </w:t>
      </w:r>
      <w:r w:rsidRPr="00361139">
        <w:rPr>
          <w:lang w:val="en-GB"/>
        </w:rPr>
        <w:t>Environment</w:t>
      </w:r>
      <w:r w:rsidRPr="00361139">
        <w:rPr>
          <w:spacing w:val="-6"/>
          <w:lang w:val="en-GB"/>
        </w:rPr>
        <w:t xml:space="preserve"> </w:t>
      </w:r>
      <w:r w:rsidRPr="00361139">
        <w:rPr>
          <w:spacing w:val="-2"/>
          <w:lang w:val="en-GB"/>
        </w:rPr>
        <w:t>Facility</w:t>
      </w:r>
    </w:p>
    <w:p w14:paraId="579B6FF5" w14:textId="4262F420"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2"/>
          <w:lang w:val="en-GB"/>
        </w:rPr>
        <w:t>GOLD+</w:t>
      </w:r>
      <w:r w:rsidRPr="00361139">
        <w:rPr>
          <w:lang w:val="en-GB"/>
        </w:rPr>
        <w:tab/>
        <w:t>Global</w:t>
      </w:r>
      <w:r w:rsidRPr="00361139">
        <w:rPr>
          <w:spacing w:val="-7"/>
          <w:lang w:val="en-GB"/>
        </w:rPr>
        <w:t xml:space="preserve"> </w:t>
      </w:r>
      <w:r w:rsidRPr="00361139">
        <w:rPr>
          <w:lang w:val="en-GB"/>
        </w:rPr>
        <w:t>Opportunities</w:t>
      </w:r>
      <w:r w:rsidRPr="00361139">
        <w:rPr>
          <w:spacing w:val="-4"/>
          <w:lang w:val="en-GB"/>
        </w:rPr>
        <w:t xml:space="preserve"> </w:t>
      </w:r>
      <w:r w:rsidRPr="00361139">
        <w:rPr>
          <w:lang w:val="en-GB"/>
        </w:rPr>
        <w:t>for</w:t>
      </w:r>
      <w:r w:rsidRPr="00361139">
        <w:rPr>
          <w:spacing w:val="-7"/>
          <w:lang w:val="en-GB"/>
        </w:rPr>
        <w:t xml:space="preserve"> </w:t>
      </w:r>
      <w:r w:rsidRPr="00361139">
        <w:rPr>
          <w:lang w:val="en-GB"/>
        </w:rPr>
        <w:t>Long-term</w:t>
      </w:r>
      <w:r w:rsidRPr="00361139">
        <w:rPr>
          <w:spacing w:val="-5"/>
          <w:lang w:val="en-GB"/>
        </w:rPr>
        <w:t xml:space="preserve"> </w:t>
      </w:r>
      <w:r w:rsidRPr="00361139">
        <w:rPr>
          <w:lang w:val="en-GB"/>
        </w:rPr>
        <w:t>Development</w:t>
      </w:r>
      <w:r w:rsidRPr="00361139">
        <w:rPr>
          <w:spacing w:val="-9"/>
          <w:lang w:val="en-GB"/>
        </w:rPr>
        <w:t xml:space="preserve"> </w:t>
      </w:r>
      <w:r w:rsidRPr="00361139">
        <w:rPr>
          <w:lang w:val="en-GB"/>
        </w:rPr>
        <w:t>of</w:t>
      </w:r>
      <w:r w:rsidRPr="00361139">
        <w:rPr>
          <w:spacing w:val="-3"/>
          <w:lang w:val="en-GB"/>
        </w:rPr>
        <w:t xml:space="preserve"> </w:t>
      </w:r>
      <w:r w:rsidRPr="00361139">
        <w:rPr>
          <w:lang w:val="en-GB"/>
        </w:rPr>
        <w:t>Artisanal</w:t>
      </w:r>
      <w:r w:rsidRPr="00361139">
        <w:rPr>
          <w:spacing w:val="-7"/>
          <w:lang w:val="en-GB"/>
        </w:rPr>
        <w:t xml:space="preserve"> </w:t>
      </w:r>
      <w:r w:rsidRPr="00361139">
        <w:rPr>
          <w:lang w:val="en-GB"/>
        </w:rPr>
        <w:t>and</w:t>
      </w:r>
      <w:r w:rsidRPr="00361139">
        <w:rPr>
          <w:spacing w:val="-7"/>
          <w:lang w:val="en-GB"/>
        </w:rPr>
        <w:t xml:space="preserve"> </w:t>
      </w:r>
      <w:r w:rsidRPr="00361139">
        <w:rPr>
          <w:lang w:val="en-GB"/>
        </w:rPr>
        <w:t>Small- scale Gold Mining Sector Plus</w:t>
      </w:r>
    </w:p>
    <w:p w14:paraId="0122EEA3" w14:textId="2B0C129E"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INC</w:t>
      </w:r>
      <w:r w:rsidRPr="00361139">
        <w:rPr>
          <w:lang w:val="en-GB"/>
        </w:rPr>
        <w:tab/>
      </w:r>
      <w:r w:rsidRPr="00361139">
        <w:rPr>
          <w:spacing w:val="-2"/>
          <w:lang w:val="en-GB"/>
        </w:rPr>
        <w:t>Intergovernmental</w:t>
      </w:r>
      <w:r w:rsidRPr="00361139">
        <w:rPr>
          <w:spacing w:val="10"/>
          <w:lang w:val="en-GB"/>
        </w:rPr>
        <w:t xml:space="preserve"> </w:t>
      </w:r>
      <w:r w:rsidRPr="00361139">
        <w:rPr>
          <w:spacing w:val="-2"/>
          <w:lang w:val="en-GB"/>
        </w:rPr>
        <w:t>Negotiating</w:t>
      </w:r>
      <w:r w:rsidRPr="00361139">
        <w:rPr>
          <w:spacing w:val="13"/>
          <w:lang w:val="en-GB"/>
        </w:rPr>
        <w:t xml:space="preserve"> </w:t>
      </w:r>
      <w:r w:rsidRPr="00361139">
        <w:rPr>
          <w:spacing w:val="-2"/>
          <w:lang w:val="en-GB"/>
        </w:rPr>
        <w:t>Committee</w:t>
      </w:r>
    </w:p>
    <w:p w14:paraId="34299485" w14:textId="0B1DDE5D"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2"/>
          <w:lang w:val="en-GB"/>
        </w:rPr>
        <w:t>ISLANDS</w:t>
      </w:r>
      <w:r w:rsidRPr="00361139">
        <w:rPr>
          <w:lang w:val="en-GB"/>
        </w:rPr>
        <w:tab/>
        <w:t>Implementing</w:t>
      </w:r>
      <w:r w:rsidRPr="00361139">
        <w:rPr>
          <w:spacing w:val="-8"/>
          <w:lang w:val="en-GB"/>
        </w:rPr>
        <w:t xml:space="preserve"> </w:t>
      </w:r>
      <w:r w:rsidRPr="00361139">
        <w:rPr>
          <w:lang w:val="en-GB"/>
        </w:rPr>
        <w:t>Sustainable</w:t>
      </w:r>
      <w:r w:rsidRPr="00361139">
        <w:rPr>
          <w:spacing w:val="-6"/>
          <w:lang w:val="en-GB"/>
        </w:rPr>
        <w:t xml:space="preserve"> </w:t>
      </w:r>
      <w:r w:rsidRPr="00361139">
        <w:rPr>
          <w:lang w:val="en-GB"/>
        </w:rPr>
        <w:t>Low</w:t>
      </w:r>
      <w:r w:rsidRPr="00361139">
        <w:rPr>
          <w:spacing w:val="-6"/>
          <w:lang w:val="en-GB"/>
        </w:rPr>
        <w:t xml:space="preserve"> </w:t>
      </w:r>
      <w:r w:rsidRPr="00361139">
        <w:rPr>
          <w:lang w:val="en-GB"/>
        </w:rPr>
        <w:t>and</w:t>
      </w:r>
      <w:r w:rsidRPr="00361139">
        <w:rPr>
          <w:spacing w:val="-7"/>
          <w:lang w:val="en-GB"/>
        </w:rPr>
        <w:t xml:space="preserve"> </w:t>
      </w:r>
      <w:r w:rsidRPr="00361139">
        <w:rPr>
          <w:lang w:val="en-GB"/>
        </w:rPr>
        <w:t>Non-Chemical</w:t>
      </w:r>
      <w:r w:rsidRPr="00361139">
        <w:rPr>
          <w:spacing w:val="-8"/>
          <w:lang w:val="en-GB"/>
        </w:rPr>
        <w:t xml:space="preserve"> </w:t>
      </w:r>
      <w:r w:rsidRPr="00361139">
        <w:rPr>
          <w:lang w:val="en-GB"/>
        </w:rPr>
        <w:t>Development</w:t>
      </w:r>
      <w:r w:rsidRPr="00361139">
        <w:rPr>
          <w:spacing w:val="-7"/>
          <w:lang w:val="en-GB"/>
        </w:rPr>
        <w:t xml:space="preserve"> </w:t>
      </w:r>
      <w:r w:rsidRPr="00361139">
        <w:rPr>
          <w:lang w:val="en-GB"/>
        </w:rPr>
        <w:t>in</w:t>
      </w:r>
      <w:r w:rsidRPr="00361139">
        <w:rPr>
          <w:spacing w:val="-7"/>
          <w:lang w:val="en-GB"/>
        </w:rPr>
        <w:t xml:space="preserve"> </w:t>
      </w:r>
      <w:r w:rsidRPr="00361139">
        <w:rPr>
          <w:lang w:val="en-GB"/>
        </w:rPr>
        <w:t xml:space="preserve">small island developing </w:t>
      </w:r>
      <w:proofErr w:type="gramStart"/>
      <w:r w:rsidRPr="00361139">
        <w:rPr>
          <w:lang w:val="en-GB"/>
        </w:rPr>
        <w:t>States</w:t>
      </w:r>
      <w:proofErr w:type="gramEnd"/>
    </w:p>
    <w:p w14:paraId="3A3379BA" w14:textId="346EBA3C"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LDC</w:t>
      </w:r>
      <w:r w:rsidRPr="00361139">
        <w:rPr>
          <w:lang w:val="en-GB"/>
        </w:rPr>
        <w:tab/>
        <w:t>Least</w:t>
      </w:r>
      <w:r w:rsidRPr="00361139">
        <w:rPr>
          <w:spacing w:val="-8"/>
          <w:lang w:val="en-GB"/>
        </w:rPr>
        <w:t xml:space="preserve"> </w:t>
      </w:r>
      <w:r w:rsidRPr="00361139">
        <w:rPr>
          <w:lang w:val="en-GB"/>
        </w:rPr>
        <w:t>Developed</w:t>
      </w:r>
      <w:r w:rsidRPr="00361139">
        <w:rPr>
          <w:spacing w:val="-9"/>
          <w:lang w:val="en-GB"/>
        </w:rPr>
        <w:t xml:space="preserve"> </w:t>
      </w:r>
      <w:r w:rsidRPr="00361139">
        <w:rPr>
          <w:spacing w:val="-2"/>
          <w:lang w:val="en-GB"/>
        </w:rPr>
        <w:t>Country</w:t>
      </w:r>
    </w:p>
    <w:p w14:paraId="63D19784" w14:textId="48B75F2D"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MIA</w:t>
      </w:r>
      <w:r w:rsidRPr="00361139">
        <w:rPr>
          <w:lang w:val="en-GB"/>
        </w:rPr>
        <w:tab/>
        <w:t>Minamata</w:t>
      </w:r>
      <w:r w:rsidRPr="00361139">
        <w:rPr>
          <w:spacing w:val="-6"/>
          <w:lang w:val="en-GB"/>
        </w:rPr>
        <w:t xml:space="preserve"> </w:t>
      </w:r>
      <w:r w:rsidRPr="00361139">
        <w:rPr>
          <w:lang w:val="en-GB"/>
        </w:rPr>
        <w:t>Initial</w:t>
      </w:r>
      <w:r w:rsidRPr="00361139">
        <w:rPr>
          <w:spacing w:val="-11"/>
          <w:lang w:val="en-GB"/>
        </w:rPr>
        <w:t xml:space="preserve"> </w:t>
      </w:r>
      <w:r w:rsidRPr="00361139">
        <w:rPr>
          <w:spacing w:val="-2"/>
          <w:lang w:val="en-GB"/>
        </w:rPr>
        <w:t>Assessment</w:t>
      </w:r>
    </w:p>
    <w:p w14:paraId="7AAE9B49" w14:textId="667072D0"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MSP</w:t>
      </w:r>
      <w:r w:rsidRPr="00361139">
        <w:rPr>
          <w:lang w:val="en-GB"/>
        </w:rPr>
        <w:tab/>
      </w:r>
      <w:r w:rsidRPr="00361139">
        <w:rPr>
          <w:spacing w:val="-2"/>
          <w:lang w:val="en-GB"/>
        </w:rPr>
        <w:t>Medium-sized</w:t>
      </w:r>
      <w:r w:rsidRPr="00361139">
        <w:rPr>
          <w:spacing w:val="8"/>
          <w:lang w:val="en-GB"/>
        </w:rPr>
        <w:t xml:space="preserve"> </w:t>
      </w:r>
      <w:r w:rsidRPr="00361139">
        <w:rPr>
          <w:spacing w:val="-2"/>
          <w:lang w:val="en-GB"/>
        </w:rPr>
        <w:t>Project</w:t>
      </w:r>
    </w:p>
    <w:p w14:paraId="178834C9" w14:textId="7FA7BE3D"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NAP</w:t>
      </w:r>
      <w:r w:rsidRPr="00361139">
        <w:rPr>
          <w:lang w:val="en-GB"/>
        </w:rPr>
        <w:tab/>
        <w:t>National</w:t>
      </w:r>
      <w:r w:rsidRPr="00361139">
        <w:rPr>
          <w:spacing w:val="-9"/>
          <w:lang w:val="en-GB"/>
        </w:rPr>
        <w:t xml:space="preserve"> </w:t>
      </w:r>
      <w:r w:rsidRPr="00361139">
        <w:rPr>
          <w:lang w:val="en-GB"/>
        </w:rPr>
        <w:t>Action</w:t>
      </w:r>
      <w:r w:rsidRPr="00361139">
        <w:rPr>
          <w:spacing w:val="-9"/>
          <w:lang w:val="en-GB"/>
        </w:rPr>
        <w:t xml:space="preserve"> </w:t>
      </w:r>
      <w:r w:rsidRPr="00361139">
        <w:rPr>
          <w:spacing w:val="-4"/>
          <w:lang w:val="en-GB"/>
        </w:rPr>
        <w:t>Plan</w:t>
      </w:r>
    </w:p>
    <w:p w14:paraId="5F5DC0D5" w14:textId="065F8C34"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POP</w:t>
      </w:r>
      <w:r w:rsidRPr="00361139">
        <w:rPr>
          <w:lang w:val="en-GB"/>
        </w:rPr>
        <w:tab/>
        <w:t>Persistent</w:t>
      </w:r>
      <w:r w:rsidRPr="00361139">
        <w:rPr>
          <w:spacing w:val="-8"/>
          <w:lang w:val="en-GB"/>
        </w:rPr>
        <w:t xml:space="preserve"> </w:t>
      </w:r>
      <w:r w:rsidRPr="00361139">
        <w:rPr>
          <w:lang w:val="en-GB"/>
        </w:rPr>
        <w:t>Organic</w:t>
      </w:r>
      <w:r w:rsidRPr="00361139">
        <w:rPr>
          <w:spacing w:val="-12"/>
          <w:lang w:val="en-GB"/>
        </w:rPr>
        <w:t xml:space="preserve"> </w:t>
      </w:r>
      <w:r w:rsidRPr="00361139">
        <w:rPr>
          <w:spacing w:val="-2"/>
          <w:lang w:val="en-GB"/>
        </w:rPr>
        <w:t>Pollutant</w:t>
      </w:r>
    </w:p>
    <w:p w14:paraId="2ABBA5F7" w14:textId="019BB63E"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PPG</w:t>
      </w:r>
      <w:r w:rsidRPr="00361139">
        <w:rPr>
          <w:lang w:val="en-GB"/>
        </w:rPr>
        <w:tab/>
        <w:t>Project</w:t>
      </w:r>
      <w:r w:rsidRPr="00361139">
        <w:rPr>
          <w:spacing w:val="-11"/>
          <w:lang w:val="en-GB"/>
        </w:rPr>
        <w:t xml:space="preserve"> </w:t>
      </w:r>
      <w:r w:rsidRPr="00361139">
        <w:rPr>
          <w:lang w:val="en-GB"/>
        </w:rPr>
        <w:t>Preparation</w:t>
      </w:r>
      <w:r w:rsidRPr="00361139">
        <w:rPr>
          <w:spacing w:val="-10"/>
          <w:lang w:val="en-GB"/>
        </w:rPr>
        <w:t xml:space="preserve"> </w:t>
      </w:r>
      <w:r w:rsidRPr="00361139">
        <w:rPr>
          <w:spacing w:val="-4"/>
          <w:lang w:val="en-GB"/>
        </w:rPr>
        <w:t>Grant</w:t>
      </w:r>
    </w:p>
    <w:p w14:paraId="7BDAAE7F" w14:textId="7E5A9624"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4"/>
          <w:lang w:val="en-GB"/>
        </w:rPr>
        <w:t>PSES</w:t>
      </w:r>
      <w:r w:rsidRPr="00361139">
        <w:rPr>
          <w:lang w:val="en-GB"/>
        </w:rPr>
        <w:tab/>
        <w:t>Private</w:t>
      </w:r>
      <w:r w:rsidRPr="00361139">
        <w:rPr>
          <w:spacing w:val="-10"/>
          <w:lang w:val="en-GB"/>
        </w:rPr>
        <w:t xml:space="preserve"> </w:t>
      </w:r>
      <w:r w:rsidRPr="00361139">
        <w:rPr>
          <w:lang w:val="en-GB"/>
        </w:rPr>
        <w:t>Sector</w:t>
      </w:r>
      <w:r w:rsidRPr="00361139">
        <w:rPr>
          <w:spacing w:val="-10"/>
          <w:lang w:val="en-GB"/>
        </w:rPr>
        <w:t xml:space="preserve"> </w:t>
      </w:r>
      <w:r w:rsidRPr="00361139">
        <w:rPr>
          <w:lang w:val="en-GB"/>
        </w:rPr>
        <w:t>Engagement</w:t>
      </w:r>
      <w:r w:rsidRPr="00361139">
        <w:rPr>
          <w:spacing w:val="-7"/>
          <w:lang w:val="en-GB"/>
        </w:rPr>
        <w:t xml:space="preserve"> </w:t>
      </w:r>
      <w:r w:rsidRPr="00361139">
        <w:rPr>
          <w:spacing w:val="-2"/>
          <w:lang w:val="en-GB"/>
        </w:rPr>
        <w:t>Strategy</w:t>
      </w:r>
    </w:p>
    <w:p w14:paraId="0F654011" w14:textId="422E3AD2"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4"/>
          <w:lang w:val="en-GB"/>
        </w:rPr>
        <w:t>SIDS</w:t>
      </w:r>
      <w:r w:rsidRPr="00361139">
        <w:rPr>
          <w:lang w:val="en-GB"/>
        </w:rPr>
        <w:tab/>
        <w:t>Small</w:t>
      </w:r>
      <w:r w:rsidRPr="00361139">
        <w:rPr>
          <w:spacing w:val="-11"/>
          <w:lang w:val="en-GB"/>
        </w:rPr>
        <w:t xml:space="preserve"> </w:t>
      </w:r>
      <w:r w:rsidRPr="00361139">
        <w:rPr>
          <w:lang w:val="en-GB"/>
        </w:rPr>
        <w:t>Island</w:t>
      </w:r>
      <w:r w:rsidRPr="00361139">
        <w:rPr>
          <w:spacing w:val="-8"/>
          <w:lang w:val="en-GB"/>
        </w:rPr>
        <w:t xml:space="preserve"> </w:t>
      </w:r>
      <w:r w:rsidRPr="00361139">
        <w:rPr>
          <w:lang w:val="en-GB"/>
        </w:rPr>
        <w:t>Developing</w:t>
      </w:r>
      <w:r w:rsidRPr="00361139">
        <w:rPr>
          <w:spacing w:val="-9"/>
          <w:lang w:val="en-GB"/>
        </w:rPr>
        <w:t xml:space="preserve"> </w:t>
      </w:r>
      <w:r w:rsidRPr="00361139">
        <w:rPr>
          <w:spacing w:val="-4"/>
          <w:lang w:val="en-GB"/>
        </w:rPr>
        <w:t>State</w:t>
      </w:r>
    </w:p>
    <w:p w14:paraId="3A577E74" w14:textId="69ACB8C4"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5"/>
          <w:lang w:val="en-GB"/>
        </w:rPr>
        <w:t>SLP</w:t>
      </w:r>
      <w:r w:rsidRPr="00361139">
        <w:rPr>
          <w:lang w:val="en-GB"/>
        </w:rPr>
        <w:tab/>
        <w:t>Skin</w:t>
      </w:r>
      <w:r w:rsidRPr="00361139">
        <w:rPr>
          <w:spacing w:val="-10"/>
          <w:lang w:val="en-GB"/>
        </w:rPr>
        <w:t xml:space="preserve"> </w:t>
      </w:r>
      <w:r w:rsidRPr="00361139">
        <w:rPr>
          <w:lang w:val="en-GB"/>
        </w:rPr>
        <w:t>Lightening</w:t>
      </w:r>
      <w:r w:rsidRPr="00361139">
        <w:rPr>
          <w:spacing w:val="-9"/>
          <w:lang w:val="en-GB"/>
        </w:rPr>
        <w:t xml:space="preserve"> </w:t>
      </w:r>
      <w:r w:rsidRPr="00361139">
        <w:rPr>
          <w:spacing w:val="-2"/>
          <w:lang w:val="en-GB"/>
        </w:rPr>
        <w:t>Product</w:t>
      </w:r>
    </w:p>
    <w:p w14:paraId="499AFD69" w14:textId="01C6AB04" w:rsidR="00CC73DD" w:rsidRPr="00361139" w:rsidRDefault="00CC73DD" w:rsidP="009F16F7">
      <w:pPr>
        <w:pStyle w:val="NormalNonumber"/>
        <w:tabs>
          <w:tab w:val="clear" w:pos="624"/>
          <w:tab w:val="clear" w:pos="1247"/>
          <w:tab w:val="clear" w:pos="1871"/>
          <w:tab w:val="clear" w:pos="2495"/>
          <w:tab w:val="clear" w:pos="3119"/>
          <w:tab w:val="clear" w:pos="3742"/>
          <w:tab w:val="clear" w:pos="4366"/>
        </w:tabs>
        <w:ind w:left="2552" w:hanging="1305"/>
        <w:rPr>
          <w:lang w:val="en-GB"/>
        </w:rPr>
      </w:pPr>
      <w:r w:rsidRPr="00361139">
        <w:rPr>
          <w:spacing w:val="-4"/>
          <w:lang w:val="en-GB"/>
        </w:rPr>
        <w:t>UPOP</w:t>
      </w:r>
      <w:r w:rsidRPr="00361139">
        <w:rPr>
          <w:lang w:val="en-GB"/>
        </w:rPr>
        <w:tab/>
        <w:t>Unintentional</w:t>
      </w:r>
      <w:r w:rsidRPr="00361139">
        <w:rPr>
          <w:spacing w:val="-12"/>
          <w:lang w:val="en-GB"/>
        </w:rPr>
        <w:t xml:space="preserve"> </w:t>
      </w:r>
      <w:r w:rsidRPr="00361139">
        <w:rPr>
          <w:lang w:val="en-GB"/>
        </w:rPr>
        <w:t>Persistent</w:t>
      </w:r>
      <w:r w:rsidRPr="00361139">
        <w:rPr>
          <w:spacing w:val="-8"/>
          <w:lang w:val="en-GB"/>
        </w:rPr>
        <w:t xml:space="preserve"> </w:t>
      </w:r>
      <w:r w:rsidRPr="00361139">
        <w:rPr>
          <w:lang w:val="en-GB"/>
        </w:rPr>
        <w:t>Organic</w:t>
      </w:r>
      <w:r w:rsidRPr="00361139">
        <w:rPr>
          <w:spacing w:val="-10"/>
          <w:lang w:val="en-GB"/>
        </w:rPr>
        <w:t xml:space="preserve"> </w:t>
      </w:r>
      <w:r w:rsidRPr="00361139">
        <w:rPr>
          <w:spacing w:val="-2"/>
          <w:lang w:val="en-GB"/>
        </w:rPr>
        <w:t>Pollutant</w:t>
      </w:r>
    </w:p>
    <w:p w14:paraId="1786D711" w14:textId="77777777" w:rsidR="009F16F7" w:rsidRPr="00361139" w:rsidRDefault="009F16F7" w:rsidP="009F16F7">
      <w:pPr>
        <w:pStyle w:val="Normal-pool"/>
        <w:rPr>
          <w:lang w:val="en-GB"/>
        </w:rPr>
      </w:pPr>
    </w:p>
    <w:p w14:paraId="59F873BE" w14:textId="77777777" w:rsidR="009F16F7" w:rsidRPr="00361139" w:rsidRDefault="009F16F7" w:rsidP="009F16F7">
      <w:pPr>
        <w:pStyle w:val="Normal-pool"/>
        <w:rPr>
          <w:lang w:val="en-GB"/>
        </w:rPr>
        <w:sectPr w:rsidR="009F16F7" w:rsidRPr="00361139" w:rsidSect="00446EAC">
          <w:headerReference w:type="first" r:id="rId28"/>
          <w:footerReference w:type="first" r:id="rId29"/>
          <w:footnotePr>
            <w:numRestart w:val="eachSect"/>
          </w:footnotePr>
          <w:pgSz w:w="11907" w:h="16839"/>
          <w:pgMar w:top="907" w:right="992" w:bottom="1418" w:left="1418" w:header="539" w:footer="975" w:gutter="0"/>
          <w:cols w:space="720"/>
          <w:docGrid w:linePitch="272"/>
        </w:sectPr>
      </w:pPr>
    </w:p>
    <w:p w14:paraId="2B7D2E9F" w14:textId="57F66CF3" w:rsidR="00CC73DD" w:rsidRPr="00361139" w:rsidRDefault="004A6C76" w:rsidP="004A6C76">
      <w:pPr>
        <w:pStyle w:val="CH1"/>
        <w:rPr>
          <w:lang w:val="en-GB"/>
        </w:rPr>
      </w:pPr>
      <w:bookmarkStart w:id="393" w:name="_Toc138845704"/>
      <w:r w:rsidRPr="00361139">
        <w:rPr>
          <w:lang w:val="en-GB"/>
        </w:rPr>
        <w:lastRenderedPageBreak/>
        <w:tab/>
      </w:r>
      <w:r w:rsidRPr="00361139">
        <w:rPr>
          <w:lang w:val="en-GB"/>
        </w:rPr>
        <w:tab/>
      </w:r>
      <w:bookmarkStart w:id="394" w:name="_Toc139975491"/>
      <w:bookmarkStart w:id="395" w:name="_Toc139976243"/>
      <w:bookmarkStart w:id="396" w:name="_Toc139982261"/>
      <w:bookmarkStart w:id="397" w:name="_Toc139983973"/>
      <w:bookmarkStart w:id="398" w:name="_Toc139984213"/>
      <w:r w:rsidR="00CC73DD" w:rsidRPr="00361139">
        <w:rPr>
          <w:lang w:val="en-GB"/>
        </w:rPr>
        <w:t>Background:</w:t>
      </w:r>
      <w:bookmarkEnd w:id="393"/>
      <w:bookmarkEnd w:id="394"/>
      <w:bookmarkEnd w:id="395"/>
      <w:bookmarkEnd w:id="396"/>
      <w:bookmarkEnd w:id="397"/>
      <w:bookmarkEnd w:id="398"/>
    </w:p>
    <w:p w14:paraId="7C724121"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pPr>
      <w:r w:rsidRPr="00361139">
        <w:t>Article 13 of the Minamata Convention includes the Global Environment Facility (GEF) in the Financial Mechanism to provide new, predictable, adequate and timely financial resources to meet costs in support of implementation of this Convention as agreed by the Conference of the Parties (COP).</w:t>
      </w:r>
    </w:p>
    <w:p w14:paraId="4639981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Support</w:t>
      </w:r>
      <w:r w:rsidRPr="00361139">
        <w:rPr>
          <w:rFonts w:asciiTheme="majorBidi" w:hAnsiTheme="majorBidi" w:cstheme="majorBidi"/>
          <w:spacing w:val="-5"/>
        </w:rPr>
        <w:t xml:space="preserve"> </w:t>
      </w:r>
      <w:r w:rsidRPr="00361139">
        <w:rPr>
          <w:rFonts w:asciiTheme="majorBidi" w:hAnsiTheme="majorBidi" w:cstheme="majorBidi"/>
        </w:rPr>
        <w:t>to</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t>Convention</w:t>
      </w:r>
      <w:r w:rsidRPr="00361139">
        <w:rPr>
          <w:rFonts w:asciiTheme="majorBidi" w:hAnsiTheme="majorBidi" w:cstheme="majorBidi"/>
          <w:spacing w:val="-4"/>
        </w:rPr>
        <w:t xml:space="preserve"> </w:t>
      </w:r>
      <w:r w:rsidRPr="00361139">
        <w:rPr>
          <w:rFonts w:asciiTheme="majorBidi" w:hAnsiTheme="majorBidi" w:cstheme="majorBidi"/>
        </w:rPr>
        <w:t>is</w:t>
      </w:r>
      <w:r w:rsidRPr="00361139">
        <w:rPr>
          <w:rFonts w:asciiTheme="majorBidi" w:hAnsiTheme="majorBidi" w:cstheme="majorBidi"/>
          <w:spacing w:val="-3"/>
        </w:rPr>
        <w:t xml:space="preserve"> </w:t>
      </w:r>
      <w:r w:rsidRPr="00361139">
        <w:rPr>
          <w:rFonts w:asciiTheme="majorBidi" w:hAnsiTheme="majorBidi" w:cstheme="majorBidi"/>
        </w:rPr>
        <w:t>done</w:t>
      </w:r>
      <w:r w:rsidRPr="00361139">
        <w:rPr>
          <w:rFonts w:asciiTheme="majorBidi" w:hAnsiTheme="majorBidi" w:cstheme="majorBidi"/>
          <w:spacing w:val="-3"/>
        </w:rPr>
        <w:t xml:space="preserve"> </w:t>
      </w:r>
      <w:r w:rsidRPr="00361139">
        <w:rPr>
          <w:rFonts w:asciiTheme="majorBidi" w:hAnsiTheme="majorBidi" w:cstheme="majorBidi"/>
        </w:rPr>
        <w:t>through</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Chemicals</w:t>
      </w:r>
      <w:r w:rsidRPr="00361139">
        <w:rPr>
          <w:rFonts w:asciiTheme="majorBidi" w:hAnsiTheme="majorBidi" w:cstheme="majorBidi"/>
          <w:spacing w:val="-4"/>
        </w:rPr>
        <w:t xml:space="preserve"> </w:t>
      </w:r>
      <w:r w:rsidRPr="00361139">
        <w:rPr>
          <w:rFonts w:asciiTheme="majorBidi" w:hAnsiTheme="majorBidi" w:cstheme="majorBidi"/>
        </w:rPr>
        <w:t>and</w:t>
      </w:r>
      <w:r w:rsidRPr="00361139">
        <w:rPr>
          <w:rFonts w:asciiTheme="majorBidi" w:hAnsiTheme="majorBidi" w:cstheme="majorBidi"/>
          <w:spacing w:val="-1"/>
        </w:rPr>
        <w:t xml:space="preserve"> </w:t>
      </w:r>
      <w:r w:rsidRPr="00361139">
        <w:rPr>
          <w:rFonts w:asciiTheme="majorBidi" w:hAnsiTheme="majorBidi" w:cstheme="majorBidi"/>
        </w:rPr>
        <w:t>Waste</w:t>
      </w:r>
      <w:r w:rsidRPr="00361139">
        <w:rPr>
          <w:rFonts w:asciiTheme="majorBidi" w:hAnsiTheme="majorBidi" w:cstheme="majorBidi"/>
          <w:spacing w:val="-5"/>
        </w:rPr>
        <w:t xml:space="preserve"> </w:t>
      </w:r>
      <w:r w:rsidRPr="00361139">
        <w:rPr>
          <w:rFonts w:asciiTheme="majorBidi" w:hAnsiTheme="majorBidi" w:cstheme="majorBidi"/>
        </w:rPr>
        <w:t>focal</w:t>
      </w:r>
      <w:r w:rsidRPr="00361139">
        <w:rPr>
          <w:rFonts w:asciiTheme="majorBidi" w:hAnsiTheme="majorBidi" w:cstheme="majorBidi"/>
          <w:spacing w:val="-4"/>
        </w:rPr>
        <w:t xml:space="preserve"> </w:t>
      </w:r>
      <w:r w:rsidRPr="00361139">
        <w:rPr>
          <w:rFonts w:asciiTheme="majorBidi" w:hAnsiTheme="majorBidi" w:cstheme="majorBidi"/>
        </w:rPr>
        <w:t>area</w:t>
      </w:r>
      <w:r w:rsidRPr="00361139">
        <w:rPr>
          <w:rFonts w:asciiTheme="majorBidi" w:hAnsiTheme="majorBidi" w:cstheme="majorBidi"/>
          <w:spacing w:val="-3"/>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 xml:space="preserve">the </w:t>
      </w:r>
      <w:r w:rsidRPr="00361139">
        <w:rPr>
          <w:rFonts w:asciiTheme="majorBidi" w:hAnsiTheme="majorBidi" w:cstheme="majorBidi"/>
          <w:spacing w:val="-4"/>
        </w:rPr>
        <w:t>GEF.</w:t>
      </w:r>
    </w:p>
    <w:p w14:paraId="2A8D2D3C"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The</w:t>
      </w:r>
      <w:r w:rsidRPr="00361139">
        <w:rPr>
          <w:rFonts w:asciiTheme="majorBidi" w:hAnsiTheme="majorBidi" w:cstheme="majorBidi"/>
          <w:spacing w:val="-1"/>
        </w:rPr>
        <w:t xml:space="preserve"> </w:t>
      </w:r>
      <w:r w:rsidRPr="00361139">
        <w:rPr>
          <w:rFonts w:asciiTheme="majorBidi" w:hAnsiTheme="majorBidi" w:cstheme="majorBidi"/>
        </w:rPr>
        <w:t>GEF</w:t>
      </w:r>
      <w:r w:rsidRPr="00361139">
        <w:rPr>
          <w:rFonts w:asciiTheme="majorBidi" w:hAnsiTheme="majorBidi" w:cstheme="majorBidi"/>
          <w:spacing w:val="-6"/>
        </w:rPr>
        <w:t xml:space="preserve"> </w:t>
      </w:r>
      <w:r w:rsidRPr="00361139">
        <w:rPr>
          <w:rFonts w:asciiTheme="majorBidi" w:hAnsiTheme="majorBidi" w:cstheme="majorBidi"/>
        </w:rPr>
        <w:t>has</w:t>
      </w:r>
      <w:r w:rsidRPr="00361139">
        <w:rPr>
          <w:rFonts w:asciiTheme="majorBidi" w:hAnsiTheme="majorBidi" w:cstheme="majorBidi"/>
          <w:spacing w:val="-6"/>
        </w:rPr>
        <w:t xml:space="preserve"> </w:t>
      </w:r>
      <w:r w:rsidRPr="00361139">
        <w:t>supported</w:t>
      </w:r>
      <w:r w:rsidRPr="00361139">
        <w:rPr>
          <w:rFonts w:asciiTheme="majorBidi" w:hAnsiTheme="majorBidi" w:cstheme="majorBidi"/>
          <w:spacing w:val="-4"/>
        </w:rPr>
        <w:t xml:space="preserve"> </w:t>
      </w:r>
      <w:r w:rsidRPr="00361139">
        <w:rPr>
          <w:rFonts w:asciiTheme="majorBidi" w:hAnsiTheme="majorBidi" w:cstheme="majorBidi"/>
        </w:rPr>
        <w:t>work</w:t>
      </w:r>
      <w:r w:rsidRPr="00361139">
        <w:rPr>
          <w:rFonts w:asciiTheme="majorBidi" w:hAnsiTheme="majorBidi" w:cstheme="majorBidi"/>
          <w:spacing w:val="-5"/>
        </w:rPr>
        <w:t xml:space="preserve"> </w:t>
      </w:r>
      <w:r w:rsidRPr="00361139">
        <w:rPr>
          <w:rFonts w:asciiTheme="majorBidi" w:hAnsiTheme="majorBidi" w:cstheme="majorBidi"/>
        </w:rPr>
        <w:t>relevant</w:t>
      </w:r>
      <w:r w:rsidRPr="00361139">
        <w:rPr>
          <w:rFonts w:asciiTheme="majorBidi" w:hAnsiTheme="majorBidi" w:cstheme="majorBidi"/>
          <w:spacing w:val="-5"/>
        </w:rPr>
        <w:t xml:space="preserve"> </w:t>
      </w:r>
      <w:r w:rsidRPr="00361139">
        <w:rPr>
          <w:rFonts w:asciiTheme="majorBidi" w:hAnsiTheme="majorBidi" w:cstheme="majorBidi"/>
        </w:rPr>
        <w:t>to the</w:t>
      </w:r>
      <w:r w:rsidRPr="00361139">
        <w:rPr>
          <w:rFonts w:asciiTheme="majorBidi" w:hAnsiTheme="majorBidi" w:cstheme="majorBidi"/>
          <w:spacing w:val="-5"/>
        </w:rPr>
        <w:t xml:space="preserve"> </w:t>
      </w:r>
      <w:r w:rsidRPr="00361139">
        <w:rPr>
          <w:rFonts w:asciiTheme="majorBidi" w:hAnsiTheme="majorBidi" w:cstheme="majorBidi"/>
        </w:rPr>
        <w:t>negotiations</w:t>
      </w:r>
      <w:r w:rsidRPr="00361139">
        <w:rPr>
          <w:rFonts w:asciiTheme="majorBidi" w:hAnsiTheme="majorBidi" w:cstheme="majorBidi"/>
          <w:spacing w:val="-5"/>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Minamata</w:t>
      </w:r>
      <w:r w:rsidRPr="00361139">
        <w:rPr>
          <w:rFonts w:asciiTheme="majorBidi" w:hAnsiTheme="majorBidi" w:cstheme="majorBidi"/>
          <w:spacing w:val="-4"/>
        </w:rPr>
        <w:t xml:space="preserve"> </w:t>
      </w:r>
      <w:r w:rsidRPr="00361139">
        <w:rPr>
          <w:rFonts w:asciiTheme="majorBidi" w:hAnsiTheme="majorBidi" w:cstheme="majorBidi"/>
        </w:rPr>
        <w:t>Convention during the Intergovernmental Negotiation process and the implementation of the Minamata Convention since it entered into force in August 2017.</w:t>
      </w:r>
    </w:p>
    <w:p w14:paraId="050D2015"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From</w:t>
      </w:r>
      <w:r w:rsidRPr="00361139">
        <w:rPr>
          <w:rFonts w:asciiTheme="majorBidi" w:hAnsiTheme="majorBidi" w:cstheme="majorBidi"/>
        </w:rPr>
        <w:t xml:space="preserve"> GEF-5 to GEF-7 covering the period from July 2010 to June 2022, the GEF has programmed</w:t>
      </w:r>
      <w:r w:rsidRPr="00361139">
        <w:rPr>
          <w:rFonts w:asciiTheme="majorBidi" w:hAnsiTheme="majorBidi" w:cstheme="majorBidi"/>
          <w:spacing w:val="-4"/>
        </w:rPr>
        <w:t xml:space="preserve"> </w:t>
      </w:r>
      <w:r w:rsidRPr="00361139">
        <w:rPr>
          <w:rFonts w:asciiTheme="majorBidi" w:hAnsiTheme="majorBidi" w:cstheme="majorBidi"/>
        </w:rPr>
        <w:t>$340</w:t>
      </w:r>
      <w:r w:rsidRPr="00361139">
        <w:rPr>
          <w:rFonts w:asciiTheme="majorBidi" w:hAnsiTheme="majorBidi" w:cstheme="majorBidi"/>
          <w:spacing w:val="-4"/>
        </w:rPr>
        <w:t xml:space="preserve"> </w:t>
      </w:r>
      <w:r w:rsidRPr="00361139">
        <w:rPr>
          <w:rFonts w:asciiTheme="majorBidi" w:hAnsiTheme="majorBidi" w:cstheme="majorBidi"/>
        </w:rPr>
        <w:t>million</w:t>
      </w:r>
      <w:r w:rsidRPr="00361139">
        <w:rPr>
          <w:rFonts w:asciiTheme="majorBidi" w:hAnsiTheme="majorBidi" w:cstheme="majorBidi"/>
          <w:spacing w:val="-4"/>
        </w:rPr>
        <w:t xml:space="preserve"> </w:t>
      </w:r>
      <w:r w:rsidRPr="00361139">
        <w:rPr>
          <w:rFonts w:asciiTheme="majorBidi" w:hAnsiTheme="majorBidi" w:cstheme="majorBidi"/>
        </w:rPr>
        <w:t>in</w:t>
      </w:r>
      <w:r w:rsidRPr="00361139">
        <w:rPr>
          <w:rFonts w:asciiTheme="majorBidi" w:hAnsiTheme="majorBidi" w:cstheme="majorBidi"/>
          <w:spacing w:val="-5"/>
        </w:rPr>
        <w:t xml:space="preserve"> </w:t>
      </w:r>
      <w:r w:rsidRPr="00361139">
        <w:rPr>
          <w:rFonts w:asciiTheme="majorBidi" w:hAnsiTheme="majorBidi" w:cstheme="majorBidi"/>
        </w:rPr>
        <w:t>project</w:t>
      </w:r>
      <w:r w:rsidRPr="00361139">
        <w:rPr>
          <w:rFonts w:asciiTheme="majorBidi" w:hAnsiTheme="majorBidi" w:cstheme="majorBidi"/>
          <w:spacing w:val="-5"/>
        </w:rPr>
        <w:t xml:space="preserve"> </w:t>
      </w:r>
      <w:r w:rsidRPr="00361139">
        <w:t>financing</w:t>
      </w:r>
      <w:r w:rsidRPr="00361139">
        <w:rPr>
          <w:rFonts w:asciiTheme="majorBidi" w:hAnsiTheme="majorBidi" w:cstheme="majorBidi"/>
          <w:spacing w:val="-4"/>
        </w:rPr>
        <w:t xml:space="preserve"> </w:t>
      </w:r>
      <w:r w:rsidRPr="00361139">
        <w:rPr>
          <w:rFonts w:asciiTheme="majorBidi" w:hAnsiTheme="majorBidi" w:cstheme="majorBidi"/>
        </w:rPr>
        <w:t>to</w:t>
      </w:r>
      <w:r w:rsidRPr="00361139">
        <w:rPr>
          <w:rFonts w:asciiTheme="majorBidi" w:hAnsiTheme="majorBidi" w:cstheme="majorBidi"/>
          <w:spacing w:val="-5"/>
        </w:rPr>
        <w:t xml:space="preserve"> </w:t>
      </w:r>
      <w:r w:rsidRPr="00361139">
        <w:rPr>
          <w:rFonts w:asciiTheme="majorBidi" w:hAnsiTheme="majorBidi" w:cstheme="majorBidi"/>
        </w:rPr>
        <w:t>support</w:t>
      </w:r>
      <w:r w:rsidRPr="00361139">
        <w:rPr>
          <w:rFonts w:asciiTheme="majorBidi" w:hAnsiTheme="majorBidi" w:cstheme="majorBidi"/>
          <w:spacing w:val="-4"/>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implementation</w:t>
      </w:r>
      <w:r w:rsidRPr="00361139">
        <w:rPr>
          <w:rFonts w:asciiTheme="majorBidi" w:hAnsiTheme="majorBidi" w:cstheme="majorBidi"/>
          <w:spacing w:val="-4"/>
        </w:rPr>
        <w:t xml:space="preserve"> </w:t>
      </w:r>
      <w:r w:rsidRPr="00361139">
        <w:rPr>
          <w:rFonts w:asciiTheme="majorBidi" w:hAnsiTheme="majorBidi" w:cstheme="majorBidi"/>
        </w:rPr>
        <w:t>of</w:t>
      </w:r>
      <w:r w:rsidRPr="00361139">
        <w:rPr>
          <w:rFonts w:asciiTheme="majorBidi" w:hAnsiTheme="majorBidi" w:cstheme="majorBidi"/>
          <w:spacing w:val="-4"/>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 xml:space="preserve">Minamata Convention for activities in countries, excluding agency fees and project preparation grants </w:t>
      </w:r>
      <w:r w:rsidRPr="00361139">
        <w:rPr>
          <w:rFonts w:asciiTheme="majorBidi" w:hAnsiTheme="majorBidi" w:cstheme="majorBidi"/>
          <w:spacing w:val="-2"/>
        </w:rPr>
        <w:t>(PPG).</w:t>
      </w:r>
    </w:p>
    <w:p w14:paraId="63946B77" w14:textId="6AC282CE" w:rsidR="00CC73DD" w:rsidRPr="00361139" w:rsidRDefault="00CC73DD" w:rsidP="00621EB2">
      <w:pPr>
        <w:pStyle w:val="CH2"/>
        <w:spacing w:before="0" w:after="60"/>
        <w:ind w:firstLine="0"/>
        <w:rPr>
          <w:bCs/>
          <w:sz w:val="20"/>
          <w:szCs w:val="20"/>
          <w:lang w:val="en-GB"/>
        </w:rPr>
      </w:pPr>
      <w:bookmarkStart w:id="399" w:name="_Toc139982262"/>
      <w:bookmarkStart w:id="400" w:name="_Toc139983974"/>
      <w:bookmarkStart w:id="401" w:name="_Toc139984214"/>
      <w:r w:rsidRPr="00361139">
        <w:rPr>
          <w:b w:val="0"/>
          <w:sz w:val="20"/>
          <w:szCs w:val="20"/>
          <w:lang w:val="en-GB"/>
        </w:rPr>
        <w:t>Table 1</w:t>
      </w:r>
      <w:r w:rsidR="00DA15D7" w:rsidRPr="00361139">
        <w:rPr>
          <w:b w:val="0"/>
          <w:sz w:val="20"/>
          <w:szCs w:val="20"/>
          <w:lang w:val="en-GB"/>
        </w:rPr>
        <w:t xml:space="preserve"> </w:t>
      </w:r>
      <w:r w:rsidR="00DA15D7" w:rsidRPr="00361139">
        <w:rPr>
          <w:b w:val="0"/>
          <w:sz w:val="20"/>
          <w:szCs w:val="20"/>
          <w:lang w:val="en-GB"/>
        </w:rPr>
        <w:br/>
      </w:r>
      <w:r w:rsidRPr="00361139">
        <w:rPr>
          <w:bCs/>
          <w:sz w:val="20"/>
          <w:szCs w:val="20"/>
          <w:lang w:val="en-GB"/>
        </w:rPr>
        <w:t>Resources Programmed for Mercury Projects</w:t>
      </w:r>
      <w:bookmarkEnd w:id="399"/>
      <w:bookmarkEnd w:id="400"/>
      <w:bookmarkEnd w:id="401"/>
    </w:p>
    <w:tbl>
      <w:tblPr>
        <w:tblStyle w:val="TableGrid"/>
        <w:tblW w:w="8307" w:type="dxa"/>
        <w:jc w:val="right"/>
        <w:tblLook w:val="01E0" w:firstRow="1" w:lastRow="1" w:firstColumn="1" w:lastColumn="1" w:noHBand="0" w:noVBand="0"/>
      </w:tblPr>
      <w:tblGrid>
        <w:gridCol w:w="2547"/>
        <w:gridCol w:w="1920"/>
        <w:gridCol w:w="1920"/>
        <w:gridCol w:w="1920"/>
      </w:tblGrid>
      <w:tr w:rsidR="00AD27E1" w:rsidRPr="00361139" w14:paraId="61F15759" w14:textId="77777777" w:rsidTr="00CD2112">
        <w:trPr>
          <w:trHeight w:val="57"/>
          <w:jc w:val="right"/>
        </w:trPr>
        <w:tc>
          <w:tcPr>
            <w:tcW w:w="2547" w:type="dxa"/>
            <w:vAlign w:val="bottom"/>
          </w:tcPr>
          <w:p w14:paraId="4FEBAA04" w14:textId="77777777" w:rsidR="00CC73DD" w:rsidRPr="00361139" w:rsidRDefault="00CC73DD" w:rsidP="00B00C99">
            <w:pPr>
              <w:pStyle w:val="Normal-pool-Table"/>
              <w:rPr>
                <w:i/>
                <w:iCs/>
                <w:lang w:val="en-GB"/>
              </w:rPr>
            </w:pPr>
            <w:r w:rsidRPr="00361139">
              <w:rPr>
                <w:i/>
                <w:iCs/>
                <w:lang w:val="en-GB"/>
              </w:rPr>
              <w:t>Project Type and Mercury</w:t>
            </w:r>
            <w:r w:rsidRPr="00361139">
              <w:rPr>
                <w:i/>
                <w:iCs/>
                <w:spacing w:val="-14"/>
                <w:lang w:val="en-GB"/>
              </w:rPr>
              <w:t xml:space="preserve"> </w:t>
            </w:r>
            <w:r w:rsidRPr="00361139">
              <w:rPr>
                <w:i/>
                <w:iCs/>
                <w:lang w:val="en-GB"/>
              </w:rPr>
              <w:t xml:space="preserve">Reduction </w:t>
            </w:r>
            <w:r w:rsidRPr="00361139">
              <w:rPr>
                <w:i/>
                <w:iCs/>
                <w:spacing w:val="-2"/>
                <w:lang w:val="en-GB"/>
              </w:rPr>
              <w:t>Volume</w:t>
            </w:r>
          </w:p>
        </w:tc>
        <w:tc>
          <w:tcPr>
            <w:tcW w:w="1920" w:type="dxa"/>
            <w:vAlign w:val="bottom"/>
          </w:tcPr>
          <w:p w14:paraId="392B65DD" w14:textId="77777777" w:rsidR="00B00C99" w:rsidRPr="00361139" w:rsidRDefault="00CC73DD" w:rsidP="00AD27E1">
            <w:pPr>
              <w:pStyle w:val="Normal-pool-Table"/>
              <w:jc w:val="right"/>
              <w:rPr>
                <w:i/>
                <w:iCs/>
                <w:spacing w:val="-2"/>
                <w:lang w:val="en-GB"/>
              </w:rPr>
            </w:pPr>
            <w:r w:rsidRPr="00361139">
              <w:rPr>
                <w:i/>
                <w:iCs/>
                <w:spacing w:val="-2"/>
                <w:lang w:val="en-GB"/>
              </w:rPr>
              <w:t>GEF-5</w:t>
            </w:r>
          </w:p>
          <w:p w14:paraId="03B0AC3A" w14:textId="2CE0FE06" w:rsidR="00CC73DD" w:rsidRPr="00361139" w:rsidRDefault="00CC73DD" w:rsidP="00AD27E1">
            <w:pPr>
              <w:pStyle w:val="Normal-pool-Table"/>
              <w:jc w:val="right"/>
              <w:rPr>
                <w:i/>
                <w:iCs/>
                <w:lang w:val="en-GB"/>
              </w:rPr>
            </w:pPr>
            <w:r w:rsidRPr="00361139">
              <w:rPr>
                <w:i/>
                <w:iCs/>
                <w:lang w:val="en-GB"/>
              </w:rPr>
              <w:t>(July</w:t>
            </w:r>
            <w:r w:rsidRPr="00361139">
              <w:rPr>
                <w:i/>
                <w:iCs/>
                <w:spacing w:val="-6"/>
                <w:lang w:val="en-GB"/>
              </w:rPr>
              <w:t xml:space="preserve"> </w:t>
            </w:r>
            <w:r w:rsidRPr="00361139">
              <w:rPr>
                <w:i/>
                <w:iCs/>
                <w:lang w:val="en-GB"/>
              </w:rPr>
              <w:t>2010</w:t>
            </w:r>
            <w:r w:rsidRPr="00361139">
              <w:rPr>
                <w:i/>
                <w:iCs/>
                <w:spacing w:val="-5"/>
                <w:lang w:val="en-GB"/>
              </w:rPr>
              <w:t xml:space="preserve"> </w:t>
            </w:r>
            <w:r w:rsidRPr="00361139">
              <w:rPr>
                <w:i/>
                <w:iCs/>
                <w:spacing w:val="-10"/>
                <w:lang w:val="en-GB"/>
              </w:rPr>
              <w:t>–</w:t>
            </w:r>
            <w:r w:rsidRPr="00361139">
              <w:rPr>
                <w:i/>
                <w:iCs/>
                <w:lang w:val="en-GB"/>
              </w:rPr>
              <w:t>June</w:t>
            </w:r>
            <w:r w:rsidRPr="00361139">
              <w:rPr>
                <w:i/>
                <w:iCs/>
                <w:spacing w:val="-4"/>
                <w:lang w:val="en-GB"/>
              </w:rPr>
              <w:t xml:space="preserve"> 2014)</w:t>
            </w:r>
          </w:p>
        </w:tc>
        <w:tc>
          <w:tcPr>
            <w:tcW w:w="1920" w:type="dxa"/>
            <w:vAlign w:val="bottom"/>
          </w:tcPr>
          <w:p w14:paraId="2BCBED96" w14:textId="77777777" w:rsidR="00CC73DD" w:rsidRPr="00361139" w:rsidRDefault="00CC73DD" w:rsidP="00AD27E1">
            <w:pPr>
              <w:pStyle w:val="Normal-pool-Table"/>
              <w:jc w:val="right"/>
              <w:rPr>
                <w:i/>
                <w:iCs/>
                <w:spacing w:val="-2"/>
                <w:lang w:val="en-GB"/>
              </w:rPr>
            </w:pPr>
            <w:r w:rsidRPr="00361139">
              <w:rPr>
                <w:i/>
                <w:iCs/>
                <w:spacing w:val="-2"/>
                <w:lang w:val="en-GB"/>
              </w:rPr>
              <w:t>GEF-6</w:t>
            </w:r>
          </w:p>
          <w:p w14:paraId="49665607" w14:textId="77777777" w:rsidR="00CC73DD" w:rsidRPr="00361139" w:rsidRDefault="00CC73DD" w:rsidP="00AD27E1">
            <w:pPr>
              <w:pStyle w:val="Normal-pool-Table"/>
              <w:jc w:val="right"/>
              <w:rPr>
                <w:i/>
                <w:iCs/>
                <w:spacing w:val="-2"/>
                <w:lang w:val="en-GB"/>
              </w:rPr>
            </w:pPr>
            <w:r w:rsidRPr="00361139">
              <w:rPr>
                <w:i/>
                <w:iCs/>
                <w:spacing w:val="-2"/>
                <w:lang w:val="en-GB"/>
              </w:rPr>
              <w:t>(July 2014 –June 2018)</w:t>
            </w:r>
          </w:p>
        </w:tc>
        <w:tc>
          <w:tcPr>
            <w:tcW w:w="1920" w:type="dxa"/>
            <w:vAlign w:val="bottom"/>
          </w:tcPr>
          <w:p w14:paraId="75FF2FC5" w14:textId="77777777" w:rsidR="00CC73DD" w:rsidRPr="00361139" w:rsidRDefault="00CC73DD" w:rsidP="00AD27E1">
            <w:pPr>
              <w:pStyle w:val="Normal-pool-Table"/>
              <w:jc w:val="right"/>
              <w:rPr>
                <w:i/>
                <w:iCs/>
                <w:spacing w:val="-2"/>
                <w:lang w:val="en-GB"/>
              </w:rPr>
            </w:pPr>
            <w:r w:rsidRPr="00361139">
              <w:rPr>
                <w:i/>
                <w:iCs/>
                <w:spacing w:val="-2"/>
                <w:lang w:val="en-GB"/>
              </w:rPr>
              <w:t>GEF-7</w:t>
            </w:r>
          </w:p>
          <w:p w14:paraId="59D8819D" w14:textId="77777777" w:rsidR="00CC73DD" w:rsidRPr="00361139" w:rsidRDefault="00CC73DD" w:rsidP="00AD27E1">
            <w:pPr>
              <w:pStyle w:val="Normal-pool-Table"/>
              <w:jc w:val="right"/>
              <w:rPr>
                <w:i/>
                <w:iCs/>
                <w:spacing w:val="-2"/>
                <w:lang w:val="en-GB"/>
              </w:rPr>
            </w:pPr>
            <w:r w:rsidRPr="00361139">
              <w:rPr>
                <w:i/>
                <w:iCs/>
                <w:spacing w:val="-2"/>
                <w:lang w:val="en-GB"/>
              </w:rPr>
              <w:t>(July 2018 –June 2022)</w:t>
            </w:r>
          </w:p>
        </w:tc>
      </w:tr>
      <w:tr w:rsidR="008D5E10" w:rsidRPr="00361139" w14:paraId="4CA611DE" w14:textId="77777777" w:rsidTr="00CD2112">
        <w:trPr>
          <w:trHeight w:val="57"/>
          <w:jc w:val="right"/>
        </w:trPr>
        <w:tc>
          <w:tcPr>
            <w:tcW w:w="2547" w:type="dxa"/>
          </w:tcPr>
          <w:p w14:paraId="02B0E015" w14:textId="77777777" w:rsidR="00CC73DD" w:rsidRPr="00361139" w:rsidRDefault="00CC73DD" w:rsidP="00B00C99">
            <w:pPr>
              <w:pStyle w:val="Normal-pool-Table"/>
              <w:rPr>
                <w:lang w:val="en-GB"/>
              </w:rPr>
            </w:pPr>
            <w:r w:rsidRPr="00361139">
              <w:rPr>
                <w:lang w:val="en-GB"/>
              </w:rPr>
              <w:t>Enabling</w:t>
            </w:r>
            <w:r w:rsidRPr="00361139">
              <w:rPr>
                <w:spacing w:val="-8"/>
                <w:lang w:val="en-GB"/>
              </w:rPr>
              <w:t xml:space="preserve"> </w:t>
            </w:r>
            <w:r w:rsidRPr="00361139">
              <w:rPr>
                <w:lang w:val="en-GB"/>
              </w:rPr>
              <w:t>Activities</w:t>
            </w:r>
            <w:r w:rsidRPr="00361139">
              <w:rPr>
                <w:spacing w:val="-11"/>
                <w:lang w:val="en-GB"/>
              </w:rPr>
              <w:t xml:space="preserve"> </w:t>
            </w:r>
            <w:r w:rsidRPr="00361139">
              <w:rPr>
                <w:spacing w:val="-4"/>
                <w:lang w:val="en-GB"/>
              </w:rPr>
              <w:t>($)</w:t>
            </w:r>
            <w:r w:rsidRPr="00361139">
              <w:rPr>
                <w:rStyle w:val="FootnoteReference"/>
                <w:rFonts w:asciiTheme="majorBidi" w:hAnsiTheme="majorBidi" w:cstheme="majorBidi"/>
                <w:spacing w:val="-4"/>
                <w:sz w:val="18"/>
                <w:lang w:val="en-GB"/>
              </w:rPr>
              <w:footnoteReference w:id="63"/>
            </w:r>
          </w:p>
        </w:tc>
        <w:tc>
          <w:tcPr>
            <w:tcW w:w="1920" w:type="dxa"/>
          </w:tcPr>
          <w:p w14:paraId="56912493" w14:textId="77777777" w:rsidR="00CC73DD" w:rsidRPr="00361139" w:rsidRDefault="00CC73DD" w:rsidP="00B00C99">
            <w:pPr>
              <w:pStyle w:val="Normal-pool-Table"/>
              <w:jc w:val="right"/>
              <w:rPr>
                <w:lang w:val="en-GB"/>
              </w:rPr>
            </w:pPr>
            <w:r w:rsidRPr="00361139">
              <w:rPr>
                <w:spacing w:val="-2"/>
                <w:lang w:val="en-GB"/>
              </w:rPr>
              <w:t>7,917,923</w:t>
            </w:r>
          </w:p>
        </w:tc>
        <w:tc>
          <w:tcPr>
            <w:tcW w:w="1920" w:type="dxa"/>
          </w:tcPr>
          <w:p w14:paraId="1934F5EC" w14:textId="77777777" w:rsidR="00CC73DD" w:rsidRPr="00361139" w:rsidRDefault="00CC73DD" w:rsidP="00B00C99">
            <w:pPr>
              <w:pStyle w:val="Normal-pool-Table"/>
              <w:jc w:val="right"/>
              <w:rPr>
                <w:lang w:val="en-GB"/>
              </w:rPr>
            </w:pPr>
            <w:r w:rsidRPr="00361139">
              <w:rPr>
                <w:spacing w:val="-2"/>
                <w:lang w:val="en-GB"/>
              </w:rPr>
              <w:t>34,322,045</w:t>
            </w:r>
          </w:p>
        </w:tc>
        <w:tc>
          <w:tcPr>
            <w:tcW w:w="1920" w:type="dxa"/>
          </w:tcPr>
          <w:p w14:paraId="1FCB1309" w14:textId="77777777" w:rsidR="00CC73DD" w:rsidRPr="00361139" w:rsidRDefault="00CC73DD" w:rsidP="00B00C99">
            <w:pPr>
              <w:pStyle w:val="Normal-pool-Table"/>
              <w:jc w:val="right"/>
              <w:rPr>
                <w:lang w:val="en-GB"/>
              </w:rPr>
            </w:pPr>
            <w:r w:rsidRPr="00361139">
              <w:rPr>
                <w:spacing w:val="-2"/>
                <w:lang w:val="en-GB"/>
              </w:rPr>
              <w:t>10,885,000</w:t>
            </w:r>
          </w:p>
        </w:tc>
      </w:tr>
      <w:tr w:rsidR="008D5E10" w:rsidRPr="00361139" w14:paraId="0D65F139" w14:textId="77777777" w:rsidTr="00CD2112">
        <w:trPr>
          <w:trHeight w:val="57"/>
          <w:jc w:val="right"/>
        </w:trPr>
        <w:tc>
          <w:tcPr>
            <w:tcW w:w="2547" w:type="dxa"/>
          </w:tcPr>
          <w:p w14:paraId="1A084412" w14:textId="77777777" w:rsidR="00CC73DD" w:rsidRPr="00361139" w:rsidRDefault="00CC73DD" w:rsidP="00B00C99">
            <w:pPr>
              <w:pStyle w:val="Normal-pool-Table"/>
              <w:rPr>
                <w:lang w:val="en-GB"/>
              </w:rPr>
            </w:pPr>
            <w:r w:rsidRPr="00361139">
              <w:rPr>
                <w:lang w:val="en-GB"/>
              </w:rPr>
              <w:t>Full-sized</w:t>
            </w:r>
            <w:r w:rsidRPr="00361139">
              <w:rPr>
                <w:spacing w:val="-14"/>
                <w:lang w:val="en-GB"/>
              </w:rPr>
              <w:t xml:space="preserve"> </w:t>
            </w:r>
            <w:r w:rsidRPr="00361139">
              <w:rPr>
                <w:lang w:val="en-GB"/>
              </w:rPr>
              <w:t>projects</w:t>
            </w:r>
            <w:r w:rsidRPr="00361139">
              <w:rPr>
                <w:spacing w:val="-14"/>
                <w:lang w:val="en-GB"/>
              </w:rPr>
              <w:t xml:space="preserve"> </w:t>
            </w:r>
            <w:r w:rsidRPr="00361139">
              <w:rPr>
                <w:lang w:val="en-GB"/>
              </w:rPr>
              <w:t>and Programs ($)</w:t>
            </w:r>
            <w:r w:rsidRPr="00361139">
              <w:rPr>
                <w:vertAlign w:val="superscript"/>
                <w:lang w:val="en-GB"/>
              </w:rPr>
              <w:t>1</w:t>
            </w:r>
          </w:p>
        </w:tc>
        <w:tc>
          <w:tcPr>
            <w:tcW w:w="1920" w:type="dxa"/>
          </w:tcPr>
          <w:p w14:paraId="4A2838E3" w14:textId="77777777" w:rsidR="00CC73DD" w:rsidRPr="00361139" w:rsidRDefault="00CC73DD" w:rsidP="00B00C99">
            <w:pPr>
              <w:pStyle w:val="Normal-pool-Table"/>
              <w:jc w:val="right"/>
              <w:rPr>
                <w:lang w:val="en-GB"/>
              </w:rPr>
            </w:pPr>
            <w:r w:rsidRPr="00361139">
              <w:rPr>
                <w:spacing w:val="-2"/>
                <w:lang w:val="en-GB"/>
              </w:rPr>
              <w:t>1,904,848</w:t>
            </w:r>
          </w:p>
        </w:tc>
        <w:tc>
          <w:tcPr>
            <w:tcW w:w="1920" w:type="dxa"/>
          </w:tcPr>
          <w:p w14:paraId="041B27D9" w14:textId="77777777" w:rsidR="00CC73DD" w:rsidRPr="00361139" w:rsidRDefault="00CC73DD" w:rsidP="00B00C99">
            <w:pPr>
              <w:pStyle w:val="Normal-pool-Table"/>
              <w:jc w:val="right"/>
              <w:rPr>
                <w:lang w:val="en-GB"/>
              </w:rPr>
            </w:pPr>
            <w:r w:rsidRPr="00361139">
              <w:rPr>
                <w:spacing w:val="-2"/>
                <w:lang w:val="en-GB"/>
              </w:rPr>
              <w:t>1,069,800</w:t>
            </w:r>
          </w:p>
        </w:tc>
        <w:tc>
          <w:tcPr>
            <w:tcW w:w="1920" w:type="dxa"/>
          </w:tcPr>
          <w:p w14:paraId="20D458F8" w14:textId="77777777" w:rsidR="00CC73DD" w:rsidRPr="00361139" w:rsidRDefault="00CC73DD" w:rsidP="00B00C99">
            <w:pPr>
              <w:pStyle w:val="Normal-pool-Table"/>
              <w:jc w:val="right"/>
              <w:rPr>
                <w:lang w:val="en-GB"/>
              </w:rPr>
            </w:pPr>
            <w:r w:rsidRPr="00361139">
              <w:rPr>
                <w:spacing w:val="-2"/>
                <w:lang w:val="en-GB"/>
              </w:rPr>
              <w:t>166,845,706</w:t>
            </w:r>
          </w:p>
        </w:tc>
      </w:tr>
      <w:tr w:rsidR="008D5E10" w:rsidRPr="00361139" w14:paraId="241C55A6" w14:textId="77777777" w:rsidTr="00CD2112">
        <w:trPr>
          <w:trHeight w:val="57"/>
          <w:jc w:val="right"/>
        </w:trPr>
        <w:tc>
          <w:tcPr>
            <w:tcW w:w="2547" w:type="dxa"/>
          </w:tcPr>
          <w:p w14:paraId="1AE3C3FE" w14:textId="77777777" w:rsidR="00CC73DD" w:rsidRPr="00361139" w:rsidRDefault="00CC73DD" w:rsidP="00B00C99">
            <w:pPr>
              <w:pStyle w:val="Normal-pool-Table"/>
              <w:rPr>
                <w:lang w:val="en-GB"/>
              </w:rPr>
            </w:pPr>
            <w:r w:rsidRPr="00361139">
              <w:rPr>
                <w:lang w:val="en-GB"/>
              </w:rPr>
              <w:t>Medium-sized</w:t>
            </w:r>
            <w:r w:rsidRPr="00361139">
              <w:rPr>
                <w:spacing w:val="-14"/>
                <w:lang w:val="en-GB"/>
              </w:rPr>
              <w:t xml:space="preserve"> </w:t>
            </w:r>
            <w:r w:rsidRPr="00361139">
              <w:rPr>
                <w:lang w:val="en-GB"/>
              </w:rPr>
              <w:t xml:space="preserve">projects </w:t>
            </w:r>
            <w:r w:rsidRPr="00361139">
              <w:rPr>
                <w:spacing w:val="-4"/>
                <w:lang w:val="en-GB"/>
              </w:rPr>
              <w:t>($)</w:t>
            </w:r>
            <w:r w:rsidRPr="00361139">
              <w:rPr>
                <w:spacing w:val="-4"/>
                <w:vertAlign w:val="superscript"/>
                <w:lang w:val="en-GB"/>
              </w:rPr>
              <w:t>1</w:t>
            </w:r>
          </w:p>
        </w:tc>
        <w:tc>
          <w:tcPr>
            <w:tcW w:w="1920" w:type="dxa"/>
          </w:tcPr>
          <w:p w14:paraId="2EE2A82A" w14:textId="77777777" w:rsidR="00CC73DD" w:rsidRPr="00361139" w:rsidRDefault="00CC73DD" w:rsidP="00B00C99">
            <w:pPr>
              <w:pStyle w:val="Normal-pool-Table"/>
              <w:jc w:val="right"/>
              <w:rPr>
                <w:lang w:val="en-GB"/>
              </w:rPr>
            </w:pPr>
            <w:r w:rsidRPr="00361139">
              <w:rPr>
                <w:spacing w:val="-2"/>
                <w:lang w:val="en-GB"/>
              </w:rPr>
              <w:t>11,309,900</w:t>
            </w:r>
          </w:p>
        </w:tc>
        <w:tc>
          <w:tcPr>
            <w:tcW w:w="1920" w:type="dxa"/>
          </w:tcPr>
          <w:p w14:paraId="485A1246" w14:textId="77777777" w:rsidR="00CC73DD" w:rsidRPr="00361139" w:rsidRDefault="00CC73DD" w:rsidP="00B00C99">
            <w:pPr>
              <w:pStyle w:val="Normal-pool-Table"/>
              <w:jc w:val="right"/>
              <w:rPr>
                <w:lang w:val="en-GB"/>
              </w:rPr>
            </w:pPr>
            <w:r w:rsidRPr="00361139">
              <w:rPr>
                <w:spacing w:val="-2"/>
                <w:lang w:val="en-GB"/>
              </w:rPr>
              <w:t>98,903,626</w:t>
            </w:r>
          </w:p>
        </w:tc>
        <w:tc>
          <w:tcPr>
            <w:tcW w:w="1920" w:type="dxa"/>
          </w:tcPr>
          <w:p w14:paraId="427BD80D" w14:textId="77777777" w:rsidR="00CC73DD" w:rsidRPr="00361139" w:rsidRDefault="00CC73DD" w:rsidP="00B00C99">
            <w:pPr>
              <w:pStyle w:val="Normal-pool-Table"/>
              <w:jc w:val="right"/>
              <w:rPr>
                <w:lang w:val="en-GB"/>
              </w:rPr>
            </w:pPr>
            <w:r w:rsidRPr="00361139">
              <w:rPr>
                <w:spacing w:val="-2"/>
                <w:lang w:val="en-GB"/>
              </w:rPr>
              <w:t>6,375,000</w:t>
            </w:r>
          </w:p>
        </w:tc>
      </w:tr>
      <w:tr w:rsidR="008D5E10" w:rsidRPr="00361139" w14:paraId="211B2EE1" w14:textId="77777777" w:rsidTr="00CD2112">
        <w:trPr>
          <w:trHeight w:val="57"/>
          <w:jc w:val="right"/>
        </w:trPr>
        <w:tc>
          <w:tcPr>
            <w:tcW w:w="2547" w:type="dxa"/>
          </w:tcPr>
          <w:p w14:paraId="6E0E7C7F" w14:textId="77777777" w:rsidR="00CC73DD" w:rsidRPr="00361139" w:rsidRDefault="00CC73DD" w:rsidP="00B00C99">
            <w:pPr>
              <w:pStyle w:val="Normal-pool-Table"/>
              <w:rPr>
                <w:lang w:val="en-GB"/>
              </w:rPr>
            </w:pPr>
            <w:r w:rsidRPr="00361139">
              <w:rPr>
                <w:lang w:val="en-GB"/>
              </w:rPr>
              <w:t>Total</w:t>
            </w:r>
            <w:r w:rsidRPr="00361139">
              <w:rPr>
                <w:spacing w:val="-8"/>
                <w:lang w:val="en-GB"/>
              </w:rPr>
              <w:t xml:space="preserve"> </w:t>
            </w:r>
            <w:r w:rsidRPr="00361139">
              <w:rPr>
                <w:lang w:val="en-GB"/>
              </w:rPr>
              <w:t>Resources</w:t>
            </w:r>
            <w:r w:rsidRPr="00361139">
              <w:rPr>
                <w:spacing w:val="-6"/>
                <w:lang w:val="en-GB"/>
              </w:rPr>
              <w:t xml:space="preserve"> </w:t>
            </w:r>
            <w:r w:rsidRPr="00361139">
              <w:rPr>
                <w:spacing w:val="-4"/>
                <w:lang w:val="en-GB"/>
              </w:rPr>
              <w:t>($)</w:t>
            </w:r>
            <w:r w:rsidRPr="00361139">
              <w:rPr>
                <w:spacing w:val="-4"/>
                <w:vertAlign w:val="superscript"/>
                <w:lang w:val="en-GB"/>
              </w:rPr>
              <w:t>1</w:t>
            </w:r>
          </w:p>
        </w:tc>
        <w:tc>
          <w:tcPr>
            <w:tcW w:w="1920" w:type="dxa"/>
          </w:tcPr>
          <w:p w14:paraId="3CCB0102" w14:textId="77777777" w:rsidR="00CC73DD" w:rsidRPr="00361139" w:rsidRDefault="00CC73DD" w:rsidP="00B00C99">
            <w:pPr>
              <w:pStyle w:val="Normal-pool-Table"/>
              <w:jc w:val="right"/>
              <w:rPr>
                <w:lang w:val="en-GB"/>
              </w:rPr>
            </w:pPr>
            <w:r w:rsidRPr="00361139">
              <w:rPr>
                <w:spacing w:val="-2"/>
                <w:lang w:val="en-GB"/>
              </w:rPr>
              <w:t>21,132,671</w:t>
            </w:r>
          </w:p>
        </w:tc>
        <w:tc>
          <w:tcPr>
            <w:tcW w:w="1920" w:type="dxa"/>
          </w:tcPr>
          <w:p w14:paraId="52F280B8" w14:textId="77777777" w:rsidR="00CC73DD" w:rsidRPr="00361139" w:rsidRDefault="00CC73DD" w:rsidP="00B00C99">
            <w:pPr>
              <w:pStyle w:val="Normal-pool-Table"/>
              <w:jc w:val="right"/>
              <w:rPr>
                <w:lang w:val="en-GB"/>
              </w:rPr>
            </w:pPr>
            <w:r w:rsidRPr="00361139">
              <w:rPr>
                <w:spacing w:val="-2"/>
                <w:lang w:val="en-GB"/>
              </w:rPr>
              <w:t>134,295,471</w:t>
            </w:r>
          </w:p>
        </w:tc>
        <w:tc>
          <w:tcPr>
            <w:tcW w:w="1920" w:type="dxa"/>
          </w:tcPr>
          <w:p w14:paraId="3C40E843" w14:textId="77777777" w:rsidR="00CC73DD" w:rsidRPr="00361139" w:rsidRDefault="00CC73DD" w:rsidP="00B00C99">
            <w:pPr>
              <w:pStyle w:val="Normal-pool-Table"/>
              <w:jc w:val="right"/>
              <w:rPr>
                <w:lang w:val="en-GB"/>
              </w:rPr>
            </w:pPr>
            <w:r w:rsidRPr="00361139">
              <w:rPr>
                <w:spacing w:val="-2"/>
                <w:lang w:val="en-GB"/>
              </w:rPr>
              <w:t>184,105,706</w:t>
            </w:r>
          </w:p>
        </w:tc>
      </w:tr>
      <w:tr w:rsidR="00B50E10" w:rsidRPr="00361139" w14:paraId="5B9B0C39" w14:textId="77777777" w:rsidTr="00CD2112">
        <w:trPr>
          <w:trHeight w:val="57"/>
          <w:jc w:val="right"/>
        </w:trPr>
        <w:tc>
          <w:tcPr>
            <w:tcW w:w="2547" w:type="dxa"/>
          </w:tcPr>
          <w:p w14:paraId="2AE22DBB" w14:textId="77777777" w:rsidR="00CC73DD" w:rsidRPr="00361139" w:rsidDel="00B43ADD" w:rsidRDefault="00CC73DD" w:rsidP="00B00C99">
            <w:pPr>
              <w:pStyle w:val="Normal-pool-Table"/>
              <w:rPr>
                <w:b/>
                <w:lang w:val="en-GB"/>
              </w:rPr>
            </w:pPr>
            <w:r w:rsidRPr="00361139">
              <w:rPr>
                <w:lang w:val="en-GB"/>
              </w:rPr>
              <w:t>Tons</w:t>
            </w:r>
            <w:r w:rsidRPr="00361139">
              <w:rPr>
                <w:spacing w:val="-14"/>
                <w:lang w:val="en-GB"/>
              </w:rPr>
              <w:t xml:space="preserve"> </w:t>
            </w:r>
            <w:r w:rsidRPr="00361139">
              <w:rPr>
                <w:lang w:val="en-GB"/>
              </w:rPr>
              <w:t>of</w:t>
            </w:r>
            <w:r w:rsidRPr="00361139">
              <w:rPr>
                <w:spacing w:val="-14"/>
                <w:lang w:val="en-GB"/>
              </w:rPr>
              <w:t xml:space="preserve"> </w:t>
            </w:r>
            <w:r w:rsidRPr="00361139">
              <w:rPr>
                <w:lang w:val="en-GB"/>
              </w:rPr>
              <w:t>mercury managed (MT)</w:t>
            </w:r>
          </w:p>
        </w:tc>
        <w:tc>
          <w:tcPr>
            <w:tcW w:w="1920" w:type="dxa"/>
          </w:tcPr>
          <w:p w14:paraId="4201170E" w14:textId="77777777" w:rsidR="00CC73DD" w:rsidRPr="00361139" w:rsidDel="00B43ADD" w:rsidRDefault="00CC73DD" w:rsidP="00B00C99">
            <w:pPr>
              <w:pStyle w:val="Normal-pool-Table"/>
              <w:jc w:val="right"/>
              <w:rPr>
                <w:b/>
                <w:lang w:val="en-GB"/>
              </w:rPr>
            </w:pPr>
            <w:r w:rsidRPr="00361139">
              <w:rPr>
                <w:spacing w:val="-4"/>
                <w:lang w:val="en-GB"/>
              </w:rPr>
              <w:t>N/A</w:t>
            </w:r>
            <w:r w:rsidRPr="00361139">
              <w:rPr>
                <w:rStyle w:val="FootnoteReference"/>
                <w:rFonts w:asciiTheme="majorBidi" w:hAnsiTheme="majorBidi" w:cstheme="majorBidi"/>
                <w:spacing w:val="-4"/>
                <w:sz w:val="18"/>
                <w:lang w:val="en-GB"/>
              </w:rPr>
              <w:footnoteReference w:id="64"/>
            </w:r>
          </w:p>
        </w:tc>
        <w:tc>
          <w:tcPr>
            <w:tcW w:w="1920" w:type="dxa"/>
          </w:tcPr>
          <w:p w14:paraId="3EDE4FCC" w14:textId="77777777" w:rsidR="00CC73DD" w:rsidRPr="00361139" w:rsidDel="00B43ADD" w:rsidRDefault="00CC73DD" w:rsidP="00B00C99">
            <w:pPr>
              <w:pStyle w:val="Normal-pool-Table"/>
              <w:jc w:val="right"/>
              <w:rPr>
                <w:b/>
                <w:lang w:val="en-GB"/>
              </w:rPr>
            </w:pPr>
            <w:r w:rsidRPr="00361139">
              <w:rPr>
                <w:spacing w:val="-5"/>
                <w:lang w:val="en-GB"/>
              </w:rPr>
              <w:t>638</w:t>
            </w:r>
          </w:p>
        </w:tc>
        <w:tc>
          <w:tcPr>
            <w:tcW w:w="1920" w:type="dxa"/>
          </w:tcPr>
          <w:p w14:paraId="71A82B89" w14:textId="77777777" w:rsidR="00CC73DD" w:rsidRPr="00361139" w:rsidDel="00B43ADD" w:rsidRDefault="00CC73DD" w:rsidP="00B00C99">
            <w:pPr>
              <w:pStyle w:val="Normal-pool-Table"/>
              <w:jc w:val="right"/>
              <w:rPr>
                <w:b/>
                <w:lang w:val="en-GB"/>
              </w:rPr>
            </w:pPr>
            <w:r w:rsidRPr="00361139">
              <w:rPr>
                <w:spacing w:val="-2"/>
                <w:lang w:val="en-GB"/>
              </w:rPr>
              <w:t>1,629</w:t>
            </w:r>
          </w:p>
        </w:tc>
      </w:tr>
    </w:tbl>
    <w:p w14:paraId="6630BE72"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spacing w:before="240"/>
        <w:ind w:left="1247" w:firstLine="0"/>
        <w:rPr>
          <w:rFonts w:asciiTheme="majorBidi" w:hAnsiTheme="majorBidi" w:cstheme="majorBidi"/>
        </w:rPr>
      </w:pPr>
      <w:r w:rsidRPr="00361139">
        <w:t>Negotiations</w:t>
      </w:r>
      <w:r w:rsidRPr="00361139">
        <w:rPr>
          <w:rFonts w:asciiTheme="majorBidi" w:hAnsiTheme="majorBidi" w:cstheme="majorBidi"/>
        </w:rPr>
        <w:t xml:space="preserve"> of the eighth replenishment of the GEF trust fund was completed in April 2022conducted.</w:t>
      </w:r>
      <w:r w:rsidRPr="00361139">
        <w:rPr>
          <w:rFonts w:asciiTheme="majorBidi" w:hAnsiTheme="majorBidi" w:cstheme="majorBidi"/>
          <w:spacing w:val="-4"/>
        </w:rPr>
        <w:t xml:space="preserve"> </w:t>
      </w:r>
      <w:r w:rsidRPr="00361139">
        <w:rPr>
          <w:rFonts w:asciiTheme="majorBidi" w:hAnsiTheme="majorBidi" w:cstheme="majorBidi"/>
        </w:rPr>
        <w:t>$269</w:t>
      </w:r>
      <w:r w:rsidRPr="00361139">
        <w:rPr>
          <w:rFonts w:asciiTheme="majorBidi" w:hAnsiTheme="majorBidi" w:cstheme="majorBidi"/>
          <w:spacing w:val="-2"/>
        </w:rPr>
        <w:t xml:space="preserve"> </w:t>
      </w:r>
      <w:r w:rsidRPr="00361139">
        <w:rPr>
          <w:rFonts w:asciiTheme="majorBidi" w:hAnsiTheme="majorBidi" w:cstheme="majorBidi"/>
        </w:rPr>
        <w:t>million</w:t>
      </w:r>
      <w:r w:rsidRPr="00361139">
        <w:rPr>
          <w:rFonts w:asciiTheme="majorBidi" w:hAnsiTheme="majorBidi" w:cstheme="majorBidi"/>
          <w:spacing w:val="-6"/>
        </w:rPr>
        <w:t xml:space="preserve"> </w:t>
      </w:r>
      <w:r w:rsidRPr="00361139">
        <w:rPr>
          <w:rFonts w:asciiTheme="majorBidi" w:hAnsiTheme="majorBidi" w:cstheme="majorBidi"/>
        </w:rPr>
        <w:t>has</w:t>
      </w:r>
      <w:r w:rsidRPr="00361139">
        <w:rPr>
          <w:rFonts w:asciiTheme="majorBidi" w:hAnsiTheme="majorBidi" w:cstheme="majorBidi"/>
          <w:spacing w:val="-7"/>
        </w:rPr>
        <w:t xml:space="preserve"> </w:t>
      </w:r>
      <w:r w:rsidRPr="00361139">
        <w:rPr>
          <w:rFonts w:asciiTheme="majorBidi" w:hAnsiTheme="majorBidi" w:cstheme="majorBidi"/>
        </w:rPr>
        <w:t>been</w:t>
      </w:r>
      <w:r w:rsidRPr="00361139">
        <w:rPr>
          <w:rFonts w:asciiTheme="majorBidi" w:hAnsiTheme="majorBidi" w:cstheme="majorBidi"/>
          <w:spacing w:val="-6"/>
        </w:rPr>
        <w:t xml:space="preserve"> </w:t>
      </w:r>
      <w:r w:rsidRPr="00361139">
        <w:rPr>
          <w:rFonts w:asciiTheme="majorBidi" w:hAnsiTheme="majorBidi" w:cstheme="majorBidi"/>
        </w:rPr>
        <w:t>allocated</w:t>
      </w:r>
      <w:r w:rsidRPr="00361139">
        <w:rPr>
          <w:rFonts w:asciiTheme="majorBidi" w:hAnsiTheme="majorBidi" w:cstheme="majorBidi"/>
          <w:spacing w:val="-7"/>
        </w:rPr>
        <w:t xml:space="preserve"> </w:t>
      </w:r>
      <w:r w:rsidRPr="00361139">
        <w:rPr>
          <w:rFonts w:asciiTheme="majorBidi" w:hAnsiTheme="majorBidi" w:cstheme="majorBidi"/>
        </w:rPr>
        <w:t>for</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implementation</w:t>
      </w:r>
      <w:r w:rsidRPr="00361139">
        <w:rPr>
          <w:rFonts w:asciiTheme="majorBidi" w:hAnsiTheme="majorBidi" w:cstheme="majorBidi"/>
          <w:spacing w:val="-6"/>
        </w:rPr>
        <w:t xml:space="preserve"> </w:t>
      </w:r>
      <w:r w:rsidRPr="00361139">
        <w:rPr>
          <w:rFonts w:asciiTheme="majorBidi" w:hAnsiTheme="majorBidi" w:cstheme="majorBidi"/>
        </w:rPr>
        <w:t>of</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Convention</w:t>
      </w:r>
      <w:r w:rsidRPr="00361139">
        <w:rPr>
          <w:rFonts w:asciiTheme="majorBidi" w:hAnsiTheme="majorBidi" w:cstheme="majorBidi"/>
          <w:spacing w:val="-7"/>
        </w:rPr>
        <w:t xml:space="preserve"> </w:t>
      </w:r>
      <w:r w:rsidRPr="00361139">
        <w:rPr>
          <w:rFonts w:asciiTheme="majorBidi" w:hAnsiTheme="majorBidi" w:cstheme="majorBidi"/>
        </w:rPr>
        <w:t xml:space="preserve">for the GEF-8 period, which is from July 1, </w:t>
      </w:r>
      <w:proofErr w:type="gramStart"/>
      <w:r w:rsidRPr="00361139">
        <w:rPr>
          <w:rFonts w:asciiTheme="majorBidi" w:hAnsiTheme="majorBidi" w:cstheme="majorBidi"/>
        </w:rPr>
        <w:t>2022</w:t>
      </w:r>
      <w:proofErr w:type="gramEnd"/>
      <w:r w:rsidRPr="00361139">
        <w:rPr>
          <w:rFonts w:asciiTheme="majorBidi" w:hAnsiTheme="majorBidi" w:cstheme="majorBidi"/>
        </w:rPr>
        <w:t xml:space="preserve"> to June 30, 2026.</w:t>
      </w:r>
      <w:r w:rsidRPr="00361139">
        <w:rPr>
          <w:rStyle w:val="FootnoteReference"/>
          <w:rFonts w:asciiTheme="majorBidi" w:hAnsiTheme="majorBidi" w:cstheme="majorBidi"/>
        </w:rPr>
        <w:footnoteReference w:id="65"/>
      </w:r>
    </w:p>
    <w:p w14:paraId="77071026" w14:textId="55A07F2B" w:rsidR="00CC73DD" w:rsidRPr="00361139" w:rsidRDefault="00B00C99" w:rsidP="00B00C99">
      <w:pPr>
        <w:pStyle w:val="CH1"/>
        <w:rPr>
          <w:lang w:val="en-GB"/>
        </w:rPr>
      </w:pPr>
      <w:bookmarkStart w:id="402" w:name="_Toc138845705"/>
      <w:r w:rsidRPr="00361139">
        <w:rPr>
          <w:lang w:val="en-GB"/>
        </w:rPr>
        <w:tab/>
      </w:r>
      <w:r w:rsidRPr="00361139">
        <w:rPr>
          <w:lang w:val="en-GB"/>
        </w:rPr>
        <w:tab/>
      </w:r>
      <w:bookmarkStart w:id="403" w:name="_Toc139975492"/>
      <w:bookmarkStart w:id="404" w:name="_Toc139976244"/>
      <w:bookmarkStart w:id="405" w:name="_Toc139982263"/>
      <w:bookmarkStart w:id="406" w:name="_Toc139983975"/>
      <w:bookmarkStart w:id="407" w:name="_Toc139984215"/>
      <w:r w:rsidR="00CC73DD" w:rsidRPr="00361139">
        <w:rPr>
          <w:lang w:val="en-GB"/>
        </w:rPr>
        <w:t>Information provided for the second review of the financial mechanism:</w:t>
      </w:r>
      <w:bookmarkEnd w:id="402"/>
      <w:bookmarkEnd w:id="403"/>
      <w:bookmarkEnd w:id="404"/>
      <w:bookmarkEnd w:id="405"/>
      <w:bookmarkEnd w:id="406"/>
      <w:bookmarkEnd w:id="407"/>
    </w:p>
    <w:p w14:paraId="650381D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Data</w:t>
      </w:r>
      <w:r w:rsidRPr="00361139">
        <w:rPr>
          <w:rFonts w:asciiTheme="majorBidi" w:hAnsiTheme="majorBidi" w:cstheme="majorBidi"/>
          <w:spacing w:val="-5"/>
        </w:rPr>
        <w:t xml:space="preserve"> </w:t>
      </w:r>
      <w:r w:rsidRPr="00361139">
        <w:rPr>
          <w:rFonts w:asciiTheme="majorBidi" w:hAnsiTheme="majorBidi" w:cstheme="majorBidi"/>
        </w:rPr>
        <w:t>compiled</w:t>
      </w:r>
      <w:r w:rsidRPr="00361139">
        <w:rPr>
          <w:rFonts w:asciiTheme="majorBidi" w:hAnsiTheme="majorBidi" w:cstheme="majorBidi"/>
          <w:spacing w:val="-3"/>
        </w:rPr>
        <w:t xml:space="preserve"> </w:t>
      </w:r>
      <w:r w:rsidRPr="00361139">
        <w:rPr>
          <w:rFonts w:asciiTheme="majorBidi" w:hAnsiTheme="majorBidi" w:cstheme="majorBidi"/>
        </w:rPr>
        <w:t>in</w:t>
      </w:r>
      <w:r w:rsidRPr="00361139">
        <w:rPr>
          <w:rFonts w:asciiTheme="majorBidi" w:hAnsiTheme="majorBidi" w:cstheme="majorBidi"/>
          <w:spacing w:val="-3"/>
        </w:rPr>
        <w:t xml:space="preserve"> </w:t>
      </w:r>
      <w:r w:rsidRPr="00361139">
        <w:rPr>
          <w:rFonts w:asciiTheme="majorBidi" w:hAnsiTheme="majorBidi" w:cstheme="majorBidi"/>
        </w:rPr>
        <w:t>Annex</w:t>
      </w:r>
      <w:r w:rsidRPr="00361139">
        <w:rPr>
          <w:rFonts w:asciiTheme="majorBidi" w:hAnsiTheme="majorBidi" w:cstheme="majorBidi"/>
          <w:spacing w:val="-7"/>
        </w:rPr>
        <w:t xml:space="preserve"> </w:t>
      </w:r>
      <w:r w:rsidRPr="00361139">
        <w:rPr>
          <w:rFonts w:asciiTheme="majorBidi" w:hAnsiTheme="majorBidi" w:cstheme="majorBidi"/>
        </w:rPr>
        <w:t>1</w:t>
      </w:r>
      <w:r w:rsidRPr="00361139">
        <w:rPr>
          <w:rFonts w:asciiTheme="majorBidi" w:hAnsiTheme="majorBidi" w:cstheme="majorBidi"/>
          <w:spacing w:val="-3"/>
        </w:rPr>
        <w:t xml:space="preserve"> </w:t>
      </w:r>
      <w:r w:rsidRPr="00361139">
        <w:rPr>
          <w:rFonts w:asciiTheme="majorBidi" w:hAnsiTheme="majorBidi" w:cstheme="majorBidi"/>
        </w:rPr>
        <w:t>covers</w:t>
      </w:r>
      <w:r w:rsidRPr="00361139">
        <w:rPr>
          <w:rFonts w:asciiTheme="majorBidi" w:hAnsiTheme="majorBidi" w:cstheme="majorBidi"/>
          <w:spacing w:val="-6"/>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work of</w:t>
      </w:r>
      <w:r w:rsidRPr="00361139">
        <w:rPr>
          <w:rFonts w:asciiTheme="majorBidi" w:hAnsiTheme="majorBidi" w:cstheme="majorBidi"/>
          <w:spacing w:val="-4"/>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GEF</w:t>
      </w:r>
      <w:r w:rsidRPr="00361139">
        <w:rPr>
          <w:rFonts w:asciiTheme="majorBidi" w:hAnsiTheme="majorBidi" w:cstheme="majorBidi"/>
          <w:spacing w:val="-3"/>
        </w:rPr>
        <w:t xml:space="preserve"> </w:t>
      </w:r>
      <w:r w:rsidRPr="00361139">
        <w:rPr>
          <w:rFonts w:asciiTheme="majorBidi" w:hAnsiTheme="majorBidi" w:cstheme="majorBidi"/>
        </w:rPr>
        <w:t>in</w:t>
      </w:r>
      <w:r w:rsidRPr="00361139">
        <w:rPr>
          <w:rFonts w:asciiTheme="majorBidi" w:hAnsiTheme="majorBidi" w:cstheme="majorBidi"/>
          <w:spacing w:val="-1"/>
        </w:rPr>
        <w:t xml:space="preserve"> </w:t>
      </w:r>
      <w:r w:rsidRPr="00361139">
        <w:rPr>
          <w:rFonts w:asciiTheme="majorBidi" w:hAnsiTheme="majorBidi" w:cstheme="majorBidi"/>
        </w:rPr>
        <w:t>fulfilling its</w:t>
      </w:r>
      <w:r w:rsidRPr="00361139">
        <w:rPr>
          <w:rFonts w:asciiTheme="majorBidi" w:hAnsiTheme="majorBidi" w:cstheme="majorBidi"/>
          <w:spacing w:val="-3"/>
        </w:rPr>
        <w:t xml:space="preserve"> </w:t>
      </w:r>
      <w:r w:rsidRPr="00361139">
        <w:rPr>
          <w:rFonts w:asciiTheme="majorBidi" w:hAnsiTheme="majorBidi" w:cstheme="majorBidi"/>
        </w:rPr>
        <w:t>mandate</w:t>
      </w:r>
      <w:r w:rsidRPr="00361139">
        <w:rPr>
          <w:rFonts w:asciiTheme="majorBidi" w:hAnsiTheme="majorBidi" w:cstheme="majorBidi"/>
          <w:spacing w:val="-4"/>
        </w:rPr>
        <w:t xml:space="preserve"> </w:t>
      </w:r>
      <w:r w:rsidRPr="00361139">
        <w:rPr>
          <w:rFonts w:asciiTheme="majorBidi" w:hAnsiTheme="majorBidi" w:cstheme="majorBidi"/>
        </w:rPr>
        <w:t>under</w:t>
      </w:r>
      <w:r w:rsidRPr="00361139">
        <w:rPr>
          <w:rFonts w:asciiTheme="majorBidi" w:hAnsiTheme="majorBidi" w:cstheme="majorBidi"/>
          <w:spacing w:val="-4"/>
        </w:rPr>
        <w:t xml:space="preserve"> </w:t>
      </w:r>
      <w:r w:rsidRPr="00361139">
        <w:rPr>
          <w:rFonts w:asciiTheme="majorBidi" w:hAnsiTheme="majorBidi" w:cstheme="majorBidi"/>
        </w:rPr>
        <w:t xml:space="preserve">the Minamata Convention during GEF-7 (July 1, </w:t>
      </w:r>
      <w:proofErr w:type="gramStart"/>
      <w:r w:rsidRPr="00361139">
        <w:rPr>
          <w:rFonts w:asciiTheme="majorBidi" w:hAnsiTheme="majorBidi" w:cstheme="majorBidi"/>
        </w:rPr>
        <w:t>2018</w:t>
      </w:r>
      <w:proofErr w:type="gramEnd"/>
      <w:r w:rsidRPr="00361139">
        <w:rPr>
          <w:rFonts w:asciiTheme="majorBidi" w:hAnsiTheme="majorBidi" w:cstheme="majorBidi"/>
        </w:rPr>
        <w:t xml:space="preserve"> and June 30, 2022).</w:t>
      </w:r>
    </w:p>
    <w:p w14:paraId="529998B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In</w:t>
      </w:r>
      <w:r w:rsidRPr="00361139">
        <w:rPr>
          <w:rFonts w:asciiTheme="majorBidi" w:hAnsiTheme="majorBidi" w:cstheme="majorBidi"/>
        </w:rPr>
        <w:t xml:space="preserve"> GEF-7, $206 million was allocated to support the implementation of Minamata Convention. Of this project financing was $184.1 Million for activities in countries, while $1.5 million</w:t>
      </w:r>
      <w:r w:rsidRPr="00361139">
        <w:rPr>
          <w:rFonts w:asciiTheme="majorBidi" w:hAnsiTheme="majorBidi" w:cstheme="majorBidi"/>
          <w:spacing w:val="-1"/>
        </w:rPr>
        <w:t xml:space="preserve"> </w:t>
      </w:r>
      <w:r w:rsidRPr="00361139">
        <w:rPr>
          <w:rFonts w:asciiTheme="majorBidi" w:hAnsiTheme="majorBidi" w:cstheme="majorBidi"/>
        </w:rPr>
        <w:t>was</w:t>
      </w:r>
      <w:r w:rsidRPr="00361139">
        <w:rPr>
          <w:rFonts w:asciiTheme="majorBidi" w:hAnsiTheme="majorBidi" w:cstheme="majorBidi"/>
          <w:spacing w:val="-3"/>
        </w:rPr>
        <w:t xml:space="preserve"> </w:t>
      </w:r>
      <w:r w:rsidRPr="00361139">
        <w:rPr>
          <w:rFonts w:asciiTheme="majorBidi" w:hAnsiTheme="majorBidi" w:cstheme="majorBidi"/>
        </w:rPr>
        <w:t>allocated</w:t>
      </w:r>
      <w:r w:rsidRPr="00361139">
        <w:rPr>
          <w:rFonts w:asciiTheme="majorBidi" w:hAnsiTheme="majorBidi" w:cstheme="majorBidi"/>
          <w:spacing w:val="-1"/>
        </w:rPr>
        <w:t xml:space="preserve"> </w:t>
      </w:r>
      <w:r w:rsidRPr="00361139">
        <w:rPr>
          <w:rFonts w:asciiTheme="majorBidi" w:hAnsiTheme="majorBidi" w:cstheme="majorBidi"/>
        </w:rPr>
        <w:t>to</w:t>
      </w:r>
      <w:r w:rsidRPr="00361139">
        <w:rPr>
          <w:rFonts w:asciiTheme="majorBidi" w:hAnsiTheme="majorBidi" w:cstheme="majorBidi"/>
          <w:spacing w:val="-4"/>
        </w:rPr>
        <w:t xml:space="preserve"> </w:t>
      </w:r>
      <w:r w:rsidRPr="00361139">
        <w:rPr>
          <w:rFonts w:asciiTheme="majorBidi" w:hAnsiTheme="majorBidi" w:cstheme="majorBidi"/>
        </w:rPr>
        <w:t>PPG</w:t>
      </w:r>
      <w:r w:rsidRPr="00361139">
        <w:rPr>
          <w:rFonts w:asciiTheme="majorBidi" w:hAnsiTheme="majorBidi" w:cstheme="majorBidi"/>
          <w:spacing w:val="-3"/>
        </w:rPr>
        <w:t xml:space="preserve"> </w:t>
      </w:r>
      <w:r w:rsidRPr="00361139">
        <w:rPr>
          <w:rFonts w:asciiTheme="majorBidi" w:hAnsiTheme="majorBidi" w:cstheme="majorBidi"/>
        </w:rPr>
        <w:t>and</w:t>
      </w:r>
      <w:r w:rsidRPr="00361139">
        <w:rPr>
          <w:rFonts w:asciiTheme="majorBidi" w:hAnsiTheme="majorBidi" w:cstheme="majorBidi"/>
          <w:spacing w:val="-1"/>
        </w:rPr>
        <w:t xml:space="preserve"> </w:t>
      </w:r>
      <w:r w:rsidRPr="00361139">
        <w:rPr>
          <w:rFonts w:asciiTheme="majorBidi" w:hAnsiTheme="majorBidi" w:cstheme="majorBidi"/>
        </w:rPr>
        <w:t>$16.9</w:t>
      </w:r>
      <w:r w:rsidRPr="00361139">
        <w:rPr>
          <w:rFonts w:asciiTheme="majorBidi" w:hAnsiTheme="majorBidi" w:cstheme="majorBidi"/>
          <w:spacing w:val="-3"/>
        </w:rPr>
        <w:t xml:space="preserve"> </w:t>
      </w:r>
      <w:r w:rsidRPr="00361139">
        <w:rPr>
          <w:rFonts w:asciiTheme="majorBidi" w:hAnsiTheme="majorBidi" w:cstheme="majorBidi"/>
        </w:rPr>
        <w:t>million</w:t>
      </w:r>
      <w:r w:rsidRPr="00361139">
        <w:rPr>
          <w:rFonts w:asciiTheme="majorBidi" w:hAnsiTheme="majorBidi" w:cstheme="majorBidi"/>
          <w:spacing w:val="-4"/>
        </w:rPr>
        <w:t xml:space="preserve"> </w:t>
      </w:r>
      <w:r w:rsidRPr="00361139">
        <w:rPr>
          <w:rFonts w:asciiTheme="majorBidi" w:hAnsiTheme="majorBidi" w:cstheme="majorBidi"/>
        </w:rPr>
        <w:t>to</w:t>
      </w:r>
      <w:r w:rsidRPr="00361139">
        <w:rPr>
          <w:rFonts w:asciiTheme="majorBidi" w:hAnsiTheme="majorBidi" w:cstheme="majorBidi"/>
          <w:spacing w:val="-3"/>
        </w:rPr>
        <w:t xml:space="preserve"> </w:t>
      </w:r>
      <w:r w:rsidRPr="00361139">
        <w:rPr>
          <w:rFonts w:asciiTheme="majorBidi" w:hAnsiTheme="majorBidi" w:cstheme="majorBidi"/>
        </w:rPr>
        <w:t>agency</w:t>
      </w:r>
      <w:r w:rsidRPr="00361139">
        <w:rPr>
          <w:rFonts w:asciiTheme="majorBidi" w:hAnsiTheme="majorBidi" w:cstheme="majorBidi"/>
          <w:spacing w:val="-3"/>
        </w:rPr>
        <w:t xml:space="preserve"> </w:t>
      </w:r>
      <w:r w:rsidRPr="00361139">
        <w:rPr>
          <w:rFonts w:asciiTheme="majorBidi" w:hAnsiTheme="majorBidi" w:cstheme="majorBidi"/>
        </w:rPr>
        <w:t>fees.</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total</w:t>
      </w:r>
      <w:r w:rsidRPr="00361139">
        <w:rPr>
          <w:rFonts w:asciiTheme="majorBidi" w:hAnsiTheme="majorBidi" w:cstheme="majorBidi"/>
          <w:spacing w:val="-4"/>
        </w:rPr>
        <w:t xml:space="preserve"> </w:t>
      </w:r>
      <w:r w:rsidRPr="00361139">
        <w:rPr>
          <w:rFonts w:asciiTheme="majorBidi" w:hAnsiTheme="majorBidi" w:cstheme="majorBidi"/>
        </w:rPr>
        <w:t>utilization</w:t>
      </w:r>
      <w:r w:rsidRPr="00361139">
        <w:rPr>
          <w:rFonts w:asciiTheme="majorBidi" w:hAnsiTheme="majorBidi" w:cstheme="majorBidi"/>
          <w:spacing w:val="-3"/>
        </w:rPr>
        <w:t xml:space="preserve"> </w:t>
      </w:r>
      <w:r w:rsidRPr="00361139">
        <w:rPr>
          <w:rFonts w:asciiTheme="majorBidi" w:hAnsiTheme="majorBidi" w:cstheme="majorBidi"/>
        </w:rPr>
        <w:t>in</w:t>
      </w:r>
      <w:r w:rsidRPr="00361139">
        <w:rPr>
          <w:rFonts w:asciiTheme="majorBidi" w:hAnsiTheme="majorBidi" w:cstheme="majorBidi"/>
          <w:spacing w:val="-3"/>
        </w:rPr>
        <w:t xml:space="preserve"> </w:t>
      </w:r>
      <w:r w:rsidRPr="00361139">
        <w:rPr>
          <w:rFonts w:asciiTheme="majorBidi" w:hAnsiTheme="majorBidi" w:cstheme="majorBidi"/>
        </w:rPr>
        <w:t>GEF</w:t>
      </w:r>
      <w:r w:rsidRPr="00361139">
        <w:rPr>
          <w:rFonts w:asciiTheme="majorBidi" w:hAnsiTheme="majorBidi" w:cstheme="majorBidi"/>
          <w:spacing w:val="-5"/>
        </w:rPr>
        <w:t xml:space="preserve"> </w:t>
      </w:r>
      <w:r w:rsidRPr="00361139">
        <w:rPr>
          <w:rFonts w:asciiTheme="majorBidi" w:hAnsiTheme="majorBidi" w:cstheme="majorBidi"/>
        </w:rPr>
        <w:t>7</w:t>
      </w:r>
      <w:r w:rsidRPr="00361139">
        <w:rPr>
          <w:rFonts w:asciiTheme="majorBidi" w:hAnsiTheme="majorBidi" w:cstheme="majorBidi"/>
          <w:spacing w:val="-3"/>
        </w:rPr>
        <w:t xml:space="preserve"> </w:t>
      </w:r>
      <w:r w:rsidRPr="00361139">
        <w:rPr>
          <w:rFonts w:asciiTheme="majorBidi" w:hAnsiTheme="majorBidi" w:cstheme="majorBidi"/>
        </w:rPr>
        <w:t>was therefore 98.3 percent.</w:t>
      </w:r>
    </w:p>
    <w:p w14:paraId="69852688"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t>In</w:t>
      </w:r>
      <w:r w:rsidRPr="00361139">
        <w:rPr>
          <w:rFonts w:asciiTheme="majorBidi" w:hAnsiTheme="majorBidi" w:cstheme="majorBidi"/>
          <w:spacing w:val="-5"/>
        </w:rPr>
        <w:t xml:space="preserve"> </w:t>
      </w:r>
      <w:r w:rsidRPr="00361139">
        <w:rPr>
          <w:rFonts w:asciiTheme="majorBidi" w:hAnsiTheme="majorBidi" w:cstheme="majorBidi"/>
        </w:rPr>
        <w:t>GEF-7,</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resources</w:t>
      </w:r>
      <w:r w:rsidRPr="00361139">
        <w:rPr>
          <w:rFonts w:asciiTheme="majorBidi" w:hAnsiTheme="majorBidi" w:cstheme="majorBidi"/>
          <w:spacing w:val="-6"/>
        </w:rPr>
        <w:t xml:space="preserve"> </w:t>
      </w:r>
      <w:r w:rsidRPr="00361139">
        <w:rPr>
          <w:rFonts w:asciiTheme="majorBidi" w:hAnsiTheme="majorBidi" w:cstheme="majorBidi"/>
        </w:rPr>
        <w:t>were</w:t>
      </w:r>
      <w:r w:rsidRPr="00361139">
        <w:rPr>
          <w:rFonts w:asciiTheme="majorBidi" w:hAnsiTheme="majorBidi" w:cstheme="majorBidi"/>
          <w:spacing w:val="-6"/>
        </w:rPr>
        <w:t xml:space="preserve"> </w:t>
      </w:r>
      <w:r w:rsidRPr="00361139">
        <w:t>programmed</w:t>
      </w:r>
      <w:r w:rsidRPr="00361139">
        <w:rPr>
          <w:rFonts w:asciiTheme="majorBidi" w:hAnsiTheme="majorBidi" w:cstheme="majorBidi"/>
          <w:spacing w:val="-5"/>
        </w:rPr>
        <w:t xml:space="preserve"> </w:t>
      </w:r>
      <w:r w:rsidRPr="00361139">
        <w:rPr>
          <w:rFonts w:asciiTheme="majorBidi" w:hAnsiTheme="majorBidi" w:cstheme="majorBidi"/>
        </w:rPr>
        <w:t>in</w:t>
      </w:r>
      <w:r w:rsidRPr="00361139">
        <w:rPr>
          <w:rFonts w:asciiTheme="majorBidi" w:hAnsiTheme="majorBidi" w:cstheme="majorBidi"/>
          <w:spacing w:val="-5"/>
        </w:rPr>
        <w:t xml:space="preserve"> </w:t>
      </w:r>
      <w:r w:rsidRPr="00361139">
        <w:rPr>
          <w:rFonts w:asciiTheme="majorBidi" w:hAnsiTheme="majorBidi" w:cstheme="majorBidi"/>
        </w:rPr>
        <w:t>16</w:t>
      </w:r>
      <w:r w:rsidRPr="00361139">
        <w:rPr>
          <w:rFonts w:asciiTheme="majorBidi" w:hAnsiTheme="majorBidi" w:cstheme="majorBidi"/>
          <w:spacing w:val="-6"/>
        </w:rPr>
        <w:t xml:space="preserve"> </w:t>
      </w:r>
      <w:r w:rsidRPr="00361139">
        <w:rPr>
          <w:rFonts w:asciiTheme="majorBidi" w:hAnsiTheme="majorBidi" w:cstheme="majorBidi"/>
        </w:rPr>
        <w:t>full-sized</w:t>
      </w:r>
      <w:r w:rsidRPr="00361139">
        <w:rPr>
          <w:rFonts w:asciiTheme="majorBidi" w:hAnsiTheme="majorBidi" w:cstheme="majorBidi"/>
          <w:spacing w:val="-5"/>
        </w:rPr>
        <w:t xml:space="preserve"> </w:t>
      </w:r>
      <w:r w:rsidRPr="00361139">
        <w:rPr>
          <w:rFonts w:asciiTheme="majorBidi" w:hAnsiTheme="majorBidi" w:cstheme="majorBidi"/>
        </w:rPr>
        <w:t>projects</w:t>
      </w:r>
      <w:r w:rsidRPr="00361139">
        <w:rPr>
          <w:rFonts w:asciiTheme="majorBidi" w:hAnsiTheme="majorBidi" w:cstheme="majorBidi"/>
          <w:spacing w:val="-4"/>
        </w:rPr>
        <w:t xml:space="preserve"> </w:t>
      </w:r>
      <w:r w:rsidRPr="00361139">
        <w:rPr>
          <w:rFonts w:asciiTheme="majorBidi" w:hAnsiTheme="majorBidi" w:cstheme="majorBidi"/>
        </w:rPr>
        <w:t>(FSPs)</w:t>
      </w:r>
      <w:r w:rsidRPr="00361139">
        <w:rPr>
          <w:rFonts w:asciiTheme="majorBidi" w:hAnsiTheme="majorBidi" w:cstheme="majorBidi"/>
          <w:spacing w:val="-8"/>
        </w:rPr>
        <w:t xml:space="preserve"> </w:t>
      </w:r>
      <w:r w:rsidRPr="00361139">
        <w:rPr>
          <w:rFonts w:asciiTheme="majorBidi" w:hAnsiTheme="majorBidi" w:cstheme="majorBidi"/>
        </w:rPr>
        <w:t>covering</w:t>
      </w:r>
      <w:r w:rsidRPr="00361139">
        <w:rPr>
          <w:rFonts w:asciiTheme="majorBidi" w:hAnsiTheme="majorBidi" w:cstheme="majorBidi"/>
          <w:spacing w:val="-2"/>
        </w:rPr>
        <w:t xml:space="preserve"> </w:t>
      </w:r>
      <w:r w:rsidRPr="00361139">
        <w:rPr>
          <w:rFonts w:asciiTheme="majorBidi" w:hAnsiTheme="majorBidi" w:cstheme="majorBidi"/>
        </w:rPr>
        <w:t>30 countries, five medium-sized projects (MSPs), two programs covering 37 countries, and 25 enabling activity (EA) projects.</w:t>
      </w:r>
      <w:r w:rsidRPr="00361139">
        <w:rPr>
          <w:rStyle w:val="FootnoteReference"/>
          <w:rFonts w:asciiTheme="majorBidi" w:hAnsiTheme="majorBidi" w:cstheme="majorBidi"/>
        </w:rPr>
        <w:footnoteReference w:id="66"/>
      </w:r>
    </w:p>
    <w:p w14:paraId="34241F20" w14:textId="37961769" w:rsidR="00CC73DD" w:rsidRPr="00361139" w:rsidRDefault="00B00C99" w:rsidP="00B00C99">
      <w:pPr>
        <w:pStyle w:val="CH2"/>
        <w:rPr>
          <w:lang w:val="en-GB"/>
        </w:rPr>
      </w:pPr>
      <w:bookmarkStart w:id="408" w:name="_Toc138847851"/>
      <w:bookmarkEnd w:id="408"/>
      <w:r w:rsidRPr="00361139">
        <w:rPr>
          <w:lang w:val="en-GB"/>
        </w:rPr>
        <w:tab/>
      </w:r>
      <w:bookmarkStart w:id="409" w:name="_Toc139975493"/>
      <w:bookmarkStart w:id="410" w:name="_Toc139976245"/>
      <w:bookmarkStart w:id="411" w:name="_Toc139982264"/>
      <w:bookmarkStart w:id="412" w:name="_Toc139983976"/>
      <w:bookmarkStart w:id="413" w:name="_Toc139984216"/>
      <w:r w:rsidRPr="00361139">
        <w:rPr>
          <w:lang w:val="en-GB"/>
        </w:rPr>
        <w:t>(a)</w:t>
      </w:r>
      <w:r w:rsidRPr="00361139">
        <w:rPr>
          <w:lang w:val="en-GB"/>
        </w:rPr>
        <w:tab/>
      </w:r>
      <w:r w:rsidR="00CC73DD" w:rsidRPr="00361139">
        <w:rPr>
          <w:lang w:val="en-GB"/>
        </w:rPr>
        <w:t>Responsiveness of the Global Environment Facility to the guidance adopted by or provided by the Conference of the Parties</w:t>
      </w:r>
      <w:bookmarkEnd w:id="409"/>
      <w:bookmarkEnd w:id="410"/>
      <w:bookmarkEnd w:id="411"/>
      <w:bookmarkEnd w:id="412"/>
      <w:bookmarkEnd w:id="413"/>
    </w:p>
    <w:p w14:paraId="68CAE1C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first COP to the Minamata Convention on Mercury was held in 2017. The COP provided</w:t>
      </w:r>
      <w:r w:rsidRPr="00361139">
        <w:rPr>
          <w:rFonts w:asciiTheme="majorBidi" w:hAnsiTheme="majorBidi" w:cstheme="majorBidi"/>
          <w:spacing w:val="-1"/>
        </w:rPr>
        <w:t xml:space="preserve"> </w:t>
      </w:r>
      <w:r w:rsidRPr="00361139">
        <w:rPr>
          <w:rFonts w:asciiTheme="majorBidi" w:hAnsiTheme="majorBidi" w:cstheme="majorBidi"/>
        </w:rPr>
        <w:t>guidance</w:t>
      </w:r>
      <w:r w:rsidRPr="00361139">
        <w:rPr>
          <w:rFonts w:asciiTheme="majorBidi" w:hAnsiTheme="majorBidi" w:cstheme="majorBidi"/>
          <w:spacing w:val="-6"/>
        </w:rPr>
        <w:t xml:space="preserve"> </w:t>
      </w:r>
      <w:r w:rsidRPr="00361139">
        <w:rPr>
          <w:rFonts w:asciiTheme="majorBidi" w:hAnsiTheme="majorBidi" w:cstheme="majorBidi"/>
        </w:rPr>
        <w:t>to</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6"/>
        </w:rPr>
        <w:t xml:space="preserve"> </w:t>
      </w:r>
      <w:r w:rsidRPr="00361139">
        <w:rPr>
          <w:rFonts w:asciiTheme="majorBidi" w:hAnsiTheme="majorBidi" w:cstheme="majorBidi"/>
        </w:rPr>
        <w:t>GEF</w:t>
      </w:r>
      <w:r w:rsidRPr="00361139">
        <w:rPr>
          <w:rFonts w:asciiTheme="majorBidi" w:hAnsiTheme="majorBidi" w:cstheme="majorBidi"/>
          <w:spacing w:val="-5"/>
        </w:rPr>
        <w:t xml:space="preserve"> </w:t>
      </w:r>
      <w:r w:rsidRPr="00361139">
        <w:rPr>
          <w:rFonts w:asciiTheme="majorBidi" w:hAnsiTheme="majorBidi" w:cstheme="majorBidi"/>
        </w:rPr>
        <w:t>on</w:t>
      </w:r>
      <w:r w:rsidRPr="00361139">
        <w:rPr>
          <w:rFonts w:asciiTheme="majorBidi" w:hAnsiTheme="majorBidi" w:cstheme="majorBidi"/>
          <w:spacing w:val="-5"/>
        </w:rPr>
        <w:t xml:space="preserve"> </w:t>
      </w:r>
      <w:r w:rsidRPr="00361139">
        <w:rPr>
          <w:rFonts w:asciiTheme="majorBidi" w:hAnsiTheme="majorBidi" w:cstheme="majorBidi"/>
        </w:rPr>
        <w:t>overall</w:t>
      </w:r>
      <w:r w:rsidRPr="00361139">
        <w:rPr>
          <w:rFonts w:asciiTheme="majorBidi" w:hAnsiTheme="majorBidi" w:cstheme="majorBidi"/>
          <w:spacing w:val="-5"/>
        </w:rPr>
        <w:t xml:space="preserve"> </w:t>
      </w:r>
      <w:r w:rsidRPr="00361139">
        <w:rPr>
          <w:rFonts w:asciiTheme="majorBidi" w:hAnsiTheme="majorBidi" w:cstheme="majorBidi"/>
        </w:rPr>
        <w:t>strategies,</w:t>
      </w:r>
      <w:r w:rsidRPr="00361139">
        <w:rPr>
          <w:rFonts w:asciiTheme="majorBidi" w:hAnsiTheme="majorBidi" w:cstheme="majorBidi"/>
          <w:spacing w:val="-5"/>
        </w:rPr>
        <w:t xml:space="preserve"> </w:t>
      </w:r>
      <w:r w:rsidRPr="00361139">
        <w:rPr>
          <w:rFonts w:asciiTheme="majorBidi" w:hAnsiTheme="majorBidi" w:cstheme="majorBidi"/>
        </w:rPr>
        <w:t>policies,</w:t>
      </w:r>
      <w:r w:rsidRPr="00361139">
        <w:rPr>
          <w:rFonts w:asciiTheme="majorBidi" w:hAnsiTheme="majorBidi" w:cstheme="majorBidi"/>
          <w:spacing w:val="-6"/>
        </w:rPr>
        <w:t xml:space="preserve"> </w:t>
      </w:r>
      <w:r w:rsidRPr="00361139">
        <w:rPr>
          <w:rFonts w:asciiTheme="majorBidi" w:hAnsiTheme="majorBidi" w:cstheme="majorBidi"/>
        </w:rPr>
        <w:t>program</w:t>
      </w:r>
      <w:r w:rsidRPr="00361139">
        <w:rPr>
          <w:rFonts w:asciiTheme="majorBidi" w:hAnsiTheme="majorBidi" w:cstheme="majorBidi"/>
          <w:spacing w:val="-5"/>
        </w:rPr>
        <w:t xml:space="preserve"> </w:t>
      </w:r>
      <w:r w:rsidRPr="00361139">
        <w:rPr>
          <w:rFonts w:asciiTheme="majorBidi" w:hAnsiTheme="majorBidi" w:cstheme="majorBidi"/>
        </w:rPr>
        <w:t>priorities</w:t>
      </w:r>
      <w:r w:rsidRPr="00361139">
        <w:rPr>
          <w:rFonts w:asciiTheme="majorBidi" w:hAnsiTheme="majorBidi" w:cstheme="majorBidi"/>
          <w:spacing w:val="-5"/>
        </w:rPr>
        <w:t xml:space="preserve"> </w:t>
      </w:r>
      <w:r w:rsidRPr="00361139">
        <w:rPr>
          <w:rFonts w:asciiTheme="majorBidi" w:hAnsiTheme="majorBidi" w:cstheme="majorBidi"/>
        </w:rPr>
        <w:t>and</w:t>
      </w:r>
      <w:r w:rsidRPr="00361139">
        <w:rPr>
          <w:rFonts w:asciiTheme="majorBidi" w:hAnsiTheme="majorBidi" w:cstheme="majorBidi"/>
          <w:spacing w:val="-6"/>
        </w:rPr>
        <w:t xml:space="preserve"> </w:t>
      </w:r>
      <w:r w:rsidRPr="00361139">
        <w:rPr>
          <w:rFonts w:asciiTheme="majorBidi" w:hAnsiTheme="majorBidi" w:cstheme="majorBidi"/>
        </w:rPr>
        <w:t xml:space="preserve">eligibility for, access to, and utilization of financial resources. The COP also provided guidance on an indicative list of categories </w:t>
      </w:r>
      <w:r w:rsidRPr="00361139">
        <w:rPr>
          <w:rFonts w:asciiTheme="majorBidi" w:hAnsiTheme="majorBidi" w:cstheme="majorBidi"/>
        </w:rPr>
        <w:lastRenderedPageBreak/>
        <w:t>of activities that could receive support from the GEF Trust Fund.</w:t>
      </w:r>
      <w:r w:rsidRPr="00361139">
        <w:rPr>
          <w:rStyle w:val="FootnoteReference"/>
          <w:rFonts w:asciiTheme="majorBidi" w:hAnsiTheme="majorBidi" w:cstheme="majorBidi"/>
        </w:rPr>
        <w:footnoteReference w:id="67"/>
      </w:r>
      <w:r w:rsidRPr="00361139">
        <w:rPr>
          <w:rFonts w:asciiTheme="majorBidi" w:hAnsiTheme="majorBidi" w:cstheme="majorBidi"/>
        </w:rPr>
        <w:t xml:space="preserve"> The following table includes the complete list of guidance and the GEF’s response.</w:t>
      </w:r>
    </w:p>
    <w:p w14:paraId="4A451A69" w14:textId="4482E6BE" w:rsidR="00CC73DD" w:rsidRPr="00361139" w:rsidRDefault="00CC73DD" w:rsidP="00621EB2">
      <w:pPr>
        <w:pStyle w:val="CH2"/>
        <w:spacing w:before="0" w:after="60"/>
        <w:ind w:firstLine="0"/>
        <w:rPr>
          <w:sz w:val="20"/>
          <w:szCs w:val="20"/>
          <w:lang w:val="en-GB"/>
        </w:rPr>
      </w:pPr>
      <w:bookmarkStart w:id="414" w:name="_Toc139982265"/>
      <w:bookmarkStart w:id="415" w:name="_Toc139983977"/>
      <w:bookmarkStart w:id="416" w:name="_Toc139984217"/>
      <w:r w:rsidRPr="00361139">
        <w:rPr>
          <w:b w:val="0"/>
          <w:sz w:val="20"/>
          <w:szCs w:val="20"/>
          <w:lang w:val="en-GB"/>
        </w:rPr>
        <w:t>Table 2</w:t>
      </w:r>
      <w:r w:rsidR="00DA15D7" w:rsidRPr="00361139">
        <w:rPr>
          <w:bCs/>
          <w:sz w:val="20"/>
          <w:szCs w:val="20"/>
          <w:lang w:val="en-GB"/>
        </w:rPr>
        <w:t xml:space="preserve"> </w:t>
      </w:r>
      <w:r w:rsidR="00DA15D7" w:rsidRPr="00361139">
        <w:rPr>
          <w:bCs/>
          <w:sz w:val="20"/>
          <w:szCs w:val="20"/>
          <w:lang w:val="en-GB"/>
        </w:rPr>
        <w:br/>
      </w:r>
      <w:r w:rsidRPr="00361139">
        <w:rPr>
          <w:sz w:val="20"/>
          <w:szCs w:val="20"/>
          <w:lang w:val="en-GB"/>
        </w:rPr>
        <w:t>Response to the Guidance from the Conference of the Parties to the Minamata Convention</w:t>
      </w:r>
      <w:bookmarkEnd w:id="414"/>
      <w:bookmarkEnd w:id="415"/>
      <w:bookmarkEnd w:id="416"/>
    </w:p>
    <w:tbl>
      <w:tblPr>
        <w:tblStyle w:val="TableGrid"/>
        <w:tblW w:w="5000" w:type="pct"/>
        <w:jc w:val="right"/>
        <w:tblLayout w:type="fixed"/>
        <w:tblLook w:val="01E0" w:firstRow="1" w:lastRow="1" w:firstColumn="1" w:lastColumn="1" w:noHBand="0" w:noVBand="0"/>
      </w:tblPr>
      <w:tblGrid>
        <w:gridCol w:w="453"/>
        <w:gridCol w:w="4516"/>
        <w:gridCol w:w="4517"/>
      </w:tblGrid>
      <w:tr w:rsidR="00CC73DD" w:rsidRPr="00361139" w14:paraId="75F91902" w14:textId="77777777" w:rsidTr="00B83F19">
        <w:trPr>
          <w:trHeight w:val="57"/>
          <w:tblHeader/>
          <w:jc w:val="right"/>
        </w:trPr>
        <w:tc>
          <w:tcPr>
            <w:tcW w:w="4969" w:type="dxa"/>
            <w:gridSpan w:val="2"/>
            <w:vAlign w:val="bottom"/>
          </w:tcPr>
          <w:p w14:paraId="58131D0A" w14:textId="77777777" w:rsidR="00CC73DD" w:rsidRPr="00361139" w:rsidRDefault="00CC73DD" w:rsidP="00F249E7">
            <w:pPr>
              <w:pStyle w:val="Normal-pool-Table"/>
              <w:rPr>
                <w:b/>
                <w:bCs/>
                <w:i/>
                <w:iCs/>
                <w:lang w:val="en-GB"/>
              </w:rPr>
            </w:pPr>
            <w:r w:rsidRPr="00361139">
              <w:rPr>
                <w:b/>
                <w:bCs/>
                <w:i/>
                <w:iCs/>
                <w:lang w:val="en-GB"/>
              </w:rPr>
              <w:t>COP Guidance</w:t>
            </w:r>
          </w:p>
        </w:tc>
        <w:tc>
          <w:tcPr>
            <w:tcW w:w="4517" w:type="dxa"/>
            <w:vAlign w:val="bottom"/>
          </w:tcPr>
          <w:p w14:paraId="704DDBE0" w14:textId="77777777" w:rsidR="00CC73DD" w:rsidRPr="00361139" w:rsidRDefault="00CC73DD" w:rsidP="00F249E7">
            <w:pPr>
              <w:pStyle w:val="Normal-pool-Table"/>
              <w:rPr>
                <w:b/>
                <w:bCs/>
                <w:i/>
                <w:iCs/>
                <w:lang w:val="en-GB"/>
              </w:rPr>
            </w:pPr>
            <w:r w:rsidRPr="00361139">
              <w:rPr>
                <w:b/>
                <w:bCs/>
                <w:i/>
                <w:iCs/>
                <w:lang w:val="en-GB"/>
              </w:rPr>
              <w:t>GEF’s Response</w:t>
            </w:r>
          </w:p>
        </w:tc>
      </w:tr>
      <w:tr w:rsidR="00CC73DD" w:rsidRPr="00361139" w14:paraId="14265DF0" w14:textId="77777777" w:rsidTr="00773BFB">
        <w:trPr>
          <w:trHeight w:val="57"/>
          <w:jc w:val="right"/>
        </w:trPr>
        <w:tc>
          <w:tcPr>
            <w:tcW w:w="9486" w:type="dxa"/>
            <w:gridSpan w:val="3"/>
          </w:tcPr>
          <w:p w14:paraId="70414CA6" w14:textId="372EA939" w:rsidR="00CC73DD" w:rsidRPr="00361139" w:rsidRDefault="00CC73DD" w:rsidP="000C76AC">
            <w:pPr>
              <w:pStyle w:val="Normal-pool-Table"/>
              <w:numPr>
                <w:ilvl w:val="0"/>
                <w:numId w:val="21"/>
              </w:numPr>
              <w:tabs>
                <w:tab w:val="clear" w:pos="624"/>
              </w:tabs>
              <w:ind w:left="454" w:hanging="454"/>
              <w:rPr>
                <w:b/>
                <w:bCs/>
                <w:lang w:val="en-GB"/>
              </w:rPr>
            </w:pPr>
            <w:r w:rsidRPr="00361139">
              <w:rPr>
                <w:b/>
                <w:bCs/>
                <w:lang w:val="en-GB"/>
              </w:rPr>
              <w:t>Eligibility</w:t>
            </w:r>
            <w:r w:rsidRPr="00361139">
              <w:rPr>
                <w:b/>
                <w:bCs/>
                <w:spacing w:val="-1"/>
                <w:lang w:val="en-GB"/>
              </w:rPr>
              <w:t xml:space="preserve"> </w:t>
            </w:r>
            <w:r w:rsidRPr="00361139">
              <w:rPr>
                <w:b/>
                <w:bCs/>
                <w:lang w:val="en-GB"/>
              </w:rPr>
              <w:t>for</w:t>
            </w:r>
            <w:r w:rsidRPr="00361139">
              <w:rPr>
                <w:b/>
                <w:bCs/>
                <w:spacing w:val="-1"/>
                <w:lang w:val="en-GB"/>
              </w:rPr>
              <w:t xml:space="preserve"> </w:t>
            </w:r>
            <w:r w:rsidRPr="00361139">
              <w:rPr>
                <w:b/>
                <w:bCs/>
                <w:lang w:val="en-GB"/>
              </w:rPr>
              <w:t>access</w:t>
            </w:r>
            <w:r w:rsidRPr="00361139">
              <w:rPr>
                <w:b/>
                <w:bCs/>
                <w:spacing w:val="-4"/>
                <w:lang w:val="en-GB"/>
              </w:rPr>
              <w:t xml:space="preserve"> </w:t>
            </w:r>
            <w:r w:rsidRPr="00361139">
              <w:rPr>
                <w:b/>
                <w:bCs/>
                <w:lang w:val="en-GB"/>
              </w:rPr>
              <w:t>to</w:t>
            </w:r>
            <w:r w:rsidRPr="00361139">
              <w:rPr>
                <w:b/>
                <w:bCs/>
                <w:spacing w:val="-3"/>
                <w:lang w:val="en-GB"/>
              </w:rPr>
              <w:t xml:space="preserve"> </w:t>
            </w:r>
            <w:r w:rsidRPr="00361139">
              <w:rPr>
                <w:b/>
                <w:bCs/>
                <w:lang w:val="en-GB"/>
              </w:rPr>
              <w:t>and utilization</w:t>
            </w:r>
            <w:r w:rsidRPr="00361139">
              <w:rPr>
                <w:b/>
                <w:bCs/>
                <w:spacing w:val="-3"/>
                <w:lang w:val="en-GB"/>
              </w:rPr>
              <w:t xml:space="preserve"> </w:t>
            </w:r>
            <w:r w:rsidRPr="00361139">
              <w:rPr>
                <w:b/>
                <w:bCs/>
                <w:lang w:val="en-GB"/>
              </w:rPr>
              <w:t>of financial</w:t>
            </w:r>
            <w:r w:rsidRPr="00361139">
              <w:rPr>
                <w:b/>
                <w:bCs/>
                <w:spacing w:val="-3"/>
                <w:lang w:val="en-GB"/>
              </w:rPr>
              <w:t xml:space="preserve"> </w:t>
            </w:r>
            <w:r w:rsidRPr="00361139">
              <w:rPr>
                <w:b/>
                <w:bCs/>
                <w:lang w:val="en-GB"/>
              </w:rPr>
              <w:t>resources</w:t>
            </w:r>
          </w:p>
        </w:tc>
      </w:tr>
      <w:tr w:rsidR="00CC73DD" w:rsidRPr="00361139" w14:paraId="0E6EE6E7" w14:textId="77777777" w:rsidTr="00773BFB">
        <w:trPr>
          <w:trHeight w:val="57"/>
          <w:jc w:val="right"/>
        </w:trPr>
        <w:tc>
          <w:tcPr>
            <w:tcW w:w="453" w:type="dxa"/>
          </w:tcPr>
          <w:p w14:paraId="1EEE8DBE" w14:textId="77777777" w:rsidR="00CC73DD" w:rsidRPr="00361139" w:rsidRDefault="00CC73DD" w:rsidP="00F249E7">
            <w:pPr>
              <w:pStyle w:val="Normal-pool-Table"/>
              <w:rPr>
                <w:lang w:val="en-GB"/>
              </w:rPr>
            </w:pPr>
            <w:r w:rsidRPr="00361139">
              <w:rPr>
                <w:lang w:val="en-GB"/>
              </w:rPr>
              <w:t>2</w:t>
            </w:r>
          </w:p>
        </w:tc>
        <w:tc>
          <w:tcPr>
            <w:tcW w:w="4516" w:type="dxa"/>
          </w:tcPr>
          <w:p w14:paraId="40C0656D" w14:textId="77777777" w:rsidR="00CC73DD" w:rsidRPr="00361139" w:rsidRDefault="00CC73DD" w:rsidP="00F249E7">
            <w:pPr>
              <w:pStyle w:val="Normal-pool-Table"/>
              <w:rPr>
                <w:lang w:val="en-GB"/>
              </w:rPr>
            </w:pPr>
            <w:r w:rsidRPr="00361139">
              <w:rPr>
                <w:lang w:val="en-GB"/>
              </w:rPr>
              <w:t>To be eligible for funding from GEF as</w:t>
            </w:r>
            <w:r w:rsidRPr="00361139">
              <w:rPr>
                <w:spacing w:val="-1"/>
                <w:lang w:val="en-GB"/>
              </w:rPr>
              <w:t xml:space="preserve"> </w:t>
            </w:r>
            <w:r w:rsidRPr="00361139">
              <w:rPr>
                <w:lang w:val="en-GB"/>
              </w:rPr>
              <w:t>one of the entities comprising the financial mechanism of the</w:t>
            </w:r>
            <w:r w:rsidRPr="00361139">
              <w:rPr>
                <w:spacing w:val="-6"/>
                <w:lang w:val="en-GB"/>
              </w:rPr>
              <w:t xml:space="preserve"> </w:t>
            </w:r>
            <w:r w:rsidRPr="00361139">
              <w:rPr>
                <w:lang w:val="en-GB"/>
              </w:rPr>
              <w:t>Minamata</w:t>
            </w:r>
            <w:r w:rsidRPr="00361139">
              <w:rPr>
                <w:spacing w:val="-7"/>
                <w:lang w:val="en-GB"/>
              </w:rPr>
              <w:t xml:space="preserve"> </w:t>
            </w:r>
            <w:r w:rsidRPr="00361139">
              <w:rPr>
                <w:lang w:val="en-GB"/>
              </w:rPr>
              <w:t>Convention</w:t>
            </w:r>
            <w:r w:rsidRPr="00361139">
              <w:rPr>
                <w:spacing w:val="-9"/>
                <w:lang w:val="en-GB"/>
              </w:rPr>
              <w:t xml:space="preserve"> </w:t>
            </w:r>
            <w:r w:rsidRPr="00361139">
              <w:rPr>
                <w:lang w:val="en-GB"/>
              </w:rPr>
              <w:t>on</w:t>
            </w:r>
            <w:r w:rsidRPr="00361139">
              <w:rPr>
                <w:spacing w:val="-8"/>
                <w:lang w:val="en-GB"/>
              </w:rPr>
              <w:t xml:space="preserve"> </w:t>
            </w:r>
            <w:r w:rsidRPr="00361139">
              <w:rPr>
                <w:lang w:val="en-GB"/>
              </w:rPr>
              <w:t>Mercury,</w:t>
            </w:r>
            <w:r w:rsidRPr="00361139">
              <w:rPr>
                <w:spacing w:val="-7"/>
                <w:lang w:val="en-GB"/>
              </w:rPr>
              <w:t xml:space="preserve"> </w:t>
            </w:r>
            <w:r w:rsidRPr="00361139">
              <w:rPr>
                <w:lang w:val="en-GB"/>
              </w:rPr>
              <w:t>a</w:t>
            </w:r>
            <w:r w:rsidRPr="00361139">
              <w:rPr>
                <w:spacing w:val="-6"/>
                <w:lang w:val="en-GB"/>
              </w:rPr>
              <w:t xml:space="preserve"> </w:t>
            </w:r>
            <w:r w:rsidRPr="00361139">
              <w:rPr>
                <w:lang w:val="en-GB"/>
              </w:rPr>
              <w:t>country must</w:t>
            </w:r>
            <w:r w:rsidRPr="00361139">
              <w:rPr>
                <w:spacing w:val="-3"/>
                <w:lang w:val="en-GB"/>
              </w:rPr>
              <w:t xml:space="preserve"> </w:t>
            </w:r>
            <w:r w:rsidRPr="00361139">
              <w:rPr>
                <w:lang w:val="en-GB"/>
              </w:rPr>
              <w:t>be a</w:t>
            </w:r>
            <w:r w:rsidRPr="00361139">
              <w:rPr>
                <w:spacing w:val="-5"/>
                <w:lang w:val="en-GB"/>
              </w:rPr>
              <w:t xml:space="preserve"> </w:t>
            </w:r>
            <w:r w:rsidRPr="00361139">
              <w:rPr>
                <w:lang w:val="en-GB"/>
              </w:rPr>
              <w:t>Party to</w:t>
            </w:r>
            <w:r w:rsidRPr="00361139">
              <w:rPr>
                <w:spacing w:val="-5"/>
                <w:lang w:val="en-GB"/>
              </w:rPr>
              <w:t xml:space="preserve"> </w:t>
            </w:r>
            <w:r w:rsidRPr="00361139">
              <w:rPr>
                <w:lang w:val="en-GB"/>
              </w:rPr>
              <w:t>the</w:t>
            </w:r>
            <w:r w:rsidRPr="00361139">
              <w:rPr>
                <w:spacing w:val="-3"/>
                <w:lang w:val="en-GB"/>
              </w:rPr>
              <w:t xml:space="preserve"> </w:t>
            </w:r>
            <w:r w:rsidRPr="00361139">
              <w:rPr>
                <w:lang w:val="en-GB"/>
              </w:rPr>
              <w:t>Convention</w:t>
            </w:r>
            <w:r w:rsidRPr="00361139">
              <w:rPr>
                <w:spacing w:val="-3"/>
                <w:lang w:val="en-GB"/>
              </w:rPr>
              <w:t xml:space="preserve"> </w:t>
            </w:r>
            <w:r w:rsidRPr="00361139">
              <w:rPr>
                <w:lang w:val="en-GB"/>
              </w:rPr>
              <w:t>and</w:t>
            </w:r>
            <w:r w:rsidRPr="00361139">
              <w:rPr>
                <w:spacing w:val="-6"/>
                <w:lang w:val="en-GB"/>
              </w:rPr>
              <w:t xml:space="preserve"> </w:t>
            </w:r>
            <w:r w:rsidRPr="00361139">
              <w:rPr>
                <w:lang w:val="en-GB"/>
              </w:rPr>
              <w:t>must</w:t>
            </w:r>
            <w:r w:rsidRPr="00361139">
              <w:rPr>
                <w:spacing w:val="-3"/>
                <w:lang w:val="en-GB"/>
              </w:rPr>
              <w:t xml:space="preserve"> </w:t>
            </w:r>
            <w:r w:rsidRPr="00361139">
              <w:rPr>
                <w:lang w:val="en-GB"/>
              </w:rPr>
              <w:t>be</w:t>
            </w:r>
            <w:r w:rsidRPr="00361139">
              <w:rPr>
                <w:spacing w:val="-5"/>
                <w:lang w:val="en-GB"/>
              </w:rPr>
              <w:t xml:space="preserve"> </w:t>
            </w:r>
            <w:r w:rsidRPr="00361139">
              <w:rPr>
                <w:lang w:val="en-GB"/>
              </w:rPr>
              <w:t>a developing country or a country with an economy in transition.</w:t>
            </w:r>
          </w:p>
        </w:tc>
        <w:tc>
          <w:tcPr>
            <w:tcW w:w="4517" w:type="dxa"/>
          </w:tcPr>
          <w:p w14:paraId="2FFFD14D" w14:textId="77777777" w:rsidR="00CC73DD" w:rsidRPr="00361139" w:rsidRDefault="00CC73DD" w:rsidP="00F249E7">
            <w:pPr>
              <w:pStyle w:val="Normal-pool-Table"/>
              <w:rPr>
                <w:lang w:val="en-GB"/>
              </w:rPr>
            </w:pPr>
            <w:r w:rsidRPr="00361139">
              <w:rPr>
                <w:lang w:val="en-GB"/>
              </w:rPr>
              <w:t>The GEF’s eligibility policy for mercury incorporates the criteria for funding enabling activities (EAs). The guidelines for EAs</w:t>
            </w:r>
            <w:r w:rsidRPr="00361139">
              <w:rPr>
                <w:spacing w:val="-6"/>
                <w:lang w:val="en-GB"/>
              </w:rPr>
              <w:t xml:space="preserve"> </w:t>
            </w:r>
            <w:r w:rsidRPr="00361139">
              <w:rPr>
                <w:lang w:val="en-GB"/>
              </w:rPr>
              <w:t>are</w:t>
            </w:r>
            <w:r w:rsidRPr="00361139">
              <w:rPr>
                <w:spacing w:val="-6"/>
                <w:lang w:val="en-GB"/>
              </w:rPr>
              <w:t xml:space="preserve"> </w:t>
            </w:r>
            <w:r w:rsidRPr="00361139">
              <w:rPr>
                <w:lang w:val="en-GB"/>
              </w:rPr>
              <w:t>found</w:t>
            </w:r>
            <w:r w:rsidRPr="00361139">
              <w:rPr>
                <w:spacing w:val="-8"/>
                <w:lang w:val="en-GB"/>
              </w:rPr>
              <w:t xml:space="preserve"> </w:t>
            </w:r>
            <w:r w:rsidRPr="00361139">
              <w:rPr>
                <w:lang w:val="en-GB"/>
              </w:rPr>
              <w:t>in</w:t>
            </w:r>
            <w:r w:rsidRPr="00361139">
              <w:rPr>
                <w:spacing w:val="-8"/>
                <w:lang w:val="en-GB"/>
              </w:rPr>
              <w:t xml:space="preserve"> </w:t>
            </w:r>
            <w:r w:rsidRPr="00361139">
              <w:rPr>
                <w:lang w:val="en-GB"/>
              </w:rPr>
              <w:t>the</w:t>
            </w:r>
            <w:r w:rsidRPr="00361139">
              <w:rPr>
                <w:spacing w:val="-8"/>
                <w:lang w:val="en-GB"/>
              </w:rPr>
              <w:t xml:space="preserve"> </w:t>
            </w:r>
            <w:r w:rsidRPr="00361139">
              <w:rPr>
                <w:lang w:val="en-GB"/>
              </w:rPr>
              <w:t>information</w:t>
            </w:r>
            <w:r w:rsidRPr="00361139">
              <w:rPr>
                <w:spacing w:val="-6"/>
                <w:lang w:val="en-GB"/>
              </w:rPr>
              <w:t xml:space="preserve"> </w:t>
            </w:r>
            <w:r w:rsidRPr="00361139">
              <w:rPr>
                <w:lang w:val="en-GB"/>
              </w:rPr>
              <w:t>document of the 45</w:t>
            </w:r>
            <w:r w:rsidRPr="00361139">
              <w:rPr>
                <w:vertAlign w:val="superscript"/>
                <w:lang w:val="en-GB"/>
              </w:rPr>
              <w:t>th</w:t>
            </w:r>
            <w:r w:rsidRPr="00361139">
              <w:rPr>
                <w:lang w:val="en-GB"/>
              </w:rPr>
              <w:t xml:space="preserve"> GEF Council meeting held in January 2014.</w:t>
            </w:r>
            <w:r w:rsidRPr="00361139">
              <w:rPr>
                <w:rStyle w:val="FootnoteReference"/>
                <w:rFonts w:asciiTheme="majorBidi" w:hAnsiTheme="majorBidi" w:cstheme="majorBidi"/>
                <w:sz w:val="18"/>
                <w:lang w:val="en-GB"/>
              </w:rPr>
              <w:footnoteReference w:id="68"/>
            </w:r>
          </w:p>
          <w:p w14:paraId="040D547D" w14:textId="77777777" w:rsidR="00CC73DD" w:rsidRPr="00361139" w:rsidRDefault="00CC73DD" w:rsidP="00F249E7">
            <w:pPr>
              <w:pStyle w:val="Normal-pool-Table"/>
              <w:rPr>
                <w:lang w:val="en-GB"/>
              </w:rPr>
            </w:pPr>
            <w:r w:rsidRPr="00361139">
              <w:rPr>
                <w:lang w:val="en-GB"/>
              </w:rPr>
              <w:t>In GEF-5 and GEF-6, prior to the first COP, both signatory countries and Parties were eligible to receive funding from the GEF. In GEF-7,</w:t>
            </w:r>
            <w:r w:rsidRPr="00361139">
              <w:rPr>
                <w:spacing w:val="-6"/>
                <w:lang w:val="en-GB"/>
              </w:rPr>
              <w:t xml:space="preserve"> </w:t>
            </w:r>
            <w:r w:rsidRPr="00361139">
              <w:rPr>
                <w:lang w:val="en-GB"/>
              </w:rPr>
              <w:t>only</w:t>
            </w:r>
            <w:r w:rsidRPr="00361139">
              <w:rPr>
                <w:spacing w:val="-4"/>
                <w:lang w:val="en-GB"/>
              </w:rPr>
              <w:t xml:space="preserve"> </w:t>
            </w:r>
            <w:r w:rsidRPr="00361139">
              <w:rPr>
                <w:lang w:val="en-GB"/>
              </w:rPr>
              <w:t>Parties</w:t>
            </w:r>
            <w:r w:rsidRPr="00361139">
              <w:rPr>
                <w:spacing w:val="-4"/>
                <w:lang w:val="en-GB"/>
              </w:rPr>
              <w:t xml:space="preserve"> </w:t>
            </w:r>
            <w:r w:rsidRPr="00361139">
              <w:rPr>
                <w:lang w:val="en-GB"/>
              </w:rPr>
              <w:t>are</w:t>
            </w:r>
            <w:r w:rsidRPr="00361139">
              <w:rPr>
                <w:spacing w:val="-4"/>
                <w:lang w:val="en-GB"/>
              </w:rPr>
              <w:t xml:space="preserve"> </w:t>
            </w:r>
            <w:r w:rsidRPr="00361139">
              <w:rPr>
                <w:lang w:val="en-GB"/>
              </w:rPr>
              <w:t>eligible</w:t>
            </w:r>
            <w:r w:rsidRPr="00361139">
              <w:rPr>
                <w:spacing w:val="-4"/>
                <w:lang w:val="en-GB"/>
              </w:rPr>
              <w:t xml:space="preserve"> </w:t>
            </w:r>
            <w:r w:rsidRPr="00361139">
              <w:rPr>
                <w:lang w:val="en-GB"/>
              </w:rPr>
              <w:t>to</w:t>
            </w:r>
            <w:r w:rsidRPr="00361139">
              <w:rPr>
                <w:spacing w:val="-4"/>
                <w:lang w:val="en-GB"/>
              </w:rPr>
              <w:t xml:space="preserve"> </w:t>
            </w:r>
            <w:r w:rsidRPr="00361139">
              <w:rPr>
                <w:lang w:val="en-GB"/>
              </w:rPr>
              <w:t>access</w:t>
            </w:r>
            <w:r w:rsidRPr="00361139">
              <w:rPr>
                <w:spacing w:val="-4"/>
                <w:lang w:val="en-GB"/>
              </w:rPr>
              <w:t xml:space="preserve"> </w:t>
            </w:r>
            <w:r w:rsidRPr="00361139">
              <w:rPr>
                <w:lang w:val="en-GB"/>
              </w:rPr>
              <w:t>GEF resources, except for EAs. According to the COP</w:t>
            </w:r>
            <w:r w:rsidRPr="00361139">
              <w:rPr>
                <w:spacing w:val="-8"/>
                <w:lang w:val="en-GB"/>
              </w:rPr>
              <w:t xml:space="preserve"> </w:t>
            </w:r>
            <w:r w:rsidRPr="00361139">
              <w:rPr>
                <w:lang w:val="en-GB"/>
              </w:rPr>
              <w:t>guidance,</w:t>
            </w:r>
            <w:r w:rsidRPr="00361139">
              <w:rPr>
                <w:spacing w:val="-9"/>
                <w:lang w:val="en-GB"/>
              </w:rPr>
              <w:t xml:space="preserve"> </w:t>
            </w:r>
            <w:r w:rsidRPr="00361139">
              <w:rPr>
                <w:lang w:val="en-GB"/>
              </w:rPr>
              <w:t>signatories</w:t>
            </w:r>
            <w:r w:rsidRPr="00361139">
              <w:rPr>
                <w:spacing w:val="-9"/>
                <w:lang w:val="en-GB"/>
              </w:rPr>
              <w:t xml:space="preserve"> </w:t>
            </w:r>
            <w:r w:rsidRPr="00361139">
              <w:rPr>
                <w:lang w:val="en-GB"/>
              </w:rPr>
              <w:t>to</w:t>
            </w:r>
            <w:r w:rsidRPr="00361139">
              <w:rPr>
                <w:spacing w:val="-8"/>
                <w:lang w:val="en-GB"/>
              </w:rPr>
              <w:t xml:space="preserve"> </w:t>
            </w:r>
            <w:r w:rsidRPr="00361139">
              <w:rPr>
                <w:lang w:val="en-GB"/>
              </w:rPr>
              <w:t>the</w:t>
            </w:r>
            <w:r w:rsidRPr="00361139">
              <w:rPr>
                <w:spacing w:val="-9"/>
                <w:lang w:val="en-GB"/>
              </w:rPr>
              <w:t xml:space="preserve"> </w:t>
            </w:r>
            <w:r w:rsidRPr="00361139">
              <w:rPr>
                <w:lang w:val="en-GB"/>
              </w:rPr>
              <w:t>Convention are eligible for GEF funding from for EA, provided that any such signatory is taking meaningful</w:t>
            </w:r>
            <w:r w:rsidRPr="00361139">
              <w:rPr>
                <w:spacing w:val="-3"/>
                <w:lang w:val="en-GB"/>
              </w:rPr>
              <w:t xml:space="preserve"> </w:t>
            </w:r>
            <w:r w:rsidRPr="00361139">
              <w:rPr>
                <w:lang w:val="en-GB"/>
              </w:rPr>
              <w:t>steps</w:t>
            </w:r>
            <w:r w:rsidRPr="00361139">
              <w:rPr>
                <w:spacing w:val="-3"/>
                <w:lang w:val="en-GB"/>
              </w:rPr>
              <w:t xml:space="preserve"> </w:t>
            </w:r>
            <w:r w:rsidRPr="00361139">
              <w:rPr>
                <w:lang w:val="en-GB"/>
              </w:rPr>
              <w:t>towards</w:t>
            </w:r>
            <w:r w:rsidRPr="00361139">
              <w:rPr>
                <w:spacing w:val="-6"/>
                <w:lang w:val="en-GB"/>
              </w:rPr>
              <w:t xml:space="preserve"> </w:t>
            </w:r>
            <w:r w:rsidRPr="00361139">
              <w:rPr>
                <w:lang w:val="en-GB"/>
              </w:rPr>
              <w:t>becoming</w:t>
            </w:r>
            <w:r w:rsidRPr="00361139">
              <w:rPr>
                <w:spacing w:val="-5"/>
                <w:lang w:val="en-GB"/>
              </w:rPr>
              <w:t xml:space="preserve"> </w:t>
            </w:r>
            <w:r w:rsidRPr="00361139">
              <w:rPr>
                <w:lang w:val="en-GB"/>
              </w:rPr>
              <w:t>a</w:t>
            </w:r>
            <w:r w:rsidRPr="00361139">
              <w:rPr>
                <w:spacing w:val="-4"/>
                <w:lang w:val="en-GB"/>
              </w:rPr>
              <w:t xml:space="preserve"> </w:t>
            </w:r>
            <w:r w:rsidRPr="00361139">
              <w:rPr>
                <w:lang w:val="en-GB"/>
              </w:rPr>
              <w:t>Party.</w:t>
            </w:r>
          </w:p>
        </w:tc>
      </w:tr>
      <w:tr w:rsidR="00CC73DD" w:rsidRPr="00361139" w14:paraId="2DD1B421" w14:textId="77777777" w:rsidTr="00773BFB">
        <w:trPr>
          <w:trHeight w:val="57"/>
          <w:jc w:val="right"/>
        </w:trPr>
        <w:tc>
          <w:tcPr>
            <w:tcW w:w="453" w:type="dxa"/>
          </w:tcPr>
          <w:p w14:paraId="4F9CD4D4" w14:textId="77777777" w:rsidR="00CC73DD" w:rsidRPr="00361139" w:rsidRDefault="00CC73DD" w:rsidP="00F249E7">
            <w:pPr>
              <w:pStyle w:val="Normal-pool-Table"/>
              <w:rPr>
                <w:lang w:val="en-GB"/>
              </w:rPr>
            </w:pPr>
            <w:r w:rsidRPr="00361139">
              <w:rPr>
                <w:lang w:val="en-GB"/>
              </w:rPr>
              <w:t>3</w:t>
            </w:r>
          </w:p>
        </w:tc>
        <w:tc>
          <w:tcPr>
            <w:tcW w:w="4516" w:type="dxa"/>
          </w:tcPr>
          <w:p w14:paraId="4E9DA999" w14:textId="77777777" w:rsidR="00CC73DD" w:rsidRPr="00361139" w:rsidRDefault="00CC73DD" w:rsidP="00F249E7">
            <w:pPr>
              <w:pStyle w:val="Normal-pool-Table"/>
              <w:rPr>
                <w:lang w:val="en-GB"/>
              </w:rPr>
            </w:pPr>
            <w:r w:rsidRPr="00361139">
              <w:rPr>
                <w:lang w:val="en-GB"/>
              </w:rPr>
              <w:t>Activities that are eligible for funding from the GEF trust fund are those that seek to meet the objectives</w:t>
            </w:r>
            <w:r w:rsidRPr="00361139">
              <w:rPr>
                <w:spacing w:val="-8"/>
                <w:lang w:val="en-GB"/>
              </w:rPr>
              <w:t xml:space="preserve"> </w:t>
            </w:r>
            <w:r w:rsidRPr="00361139">
              <w:rPr>
                <w:lang w:val="en-GB"/>
              </w:rPr>
              <w:t>of</w:t>
            </w:r>
            <w:r w:rsidRPr="00361139">
              <w:rPr>
                <w:spacing w:val="-8"/>
                <w:lang w:val="en-GB"/>
              </w:rPr>
              <w:t xml:space="preserve"> </w:t>
            </w:r>
            <w:r w:rsidRPr="00361139">
              <w:rPr>
                <w:lang w:val="en-GB"/>
              </w:rPr>
              <w:t>the</w:t>
            </w:r>
            <w:r w:rsidRPr="00361139">
              <w:rPr>
                <w:spacing w:val="-8"/>
                <w:lang w:val="en-GB"/>
              </w:rPr>
              <w:t xml:space="preserve"> </w:t>
            </w:r>
            <w:r w:rsidRPr="00361139">
              <w:rPr>
                <w:lang w:val="en-GB"/>
              </w:rPr>
              <w:t>Convention</w:t>
            </w:r>
            <w:r w:rsidRPr="00361139">
              <w:rPr>
                <w:spacing w:val="-6"/>
                <w:lang w:val="en-GB"/>
              </w:rPr>
              <w:t xml:space="preserve"> </w:t>
            </w:r>
            <w:r w:rsidRPr="00361139">
              <w:rPr>
                <w:lang w:val="en-GB"/>
              </w:rPr>
              <w:t>and</w:t>
            </w:r>
            <w:r w:rsidRPr="00361139">
              <w:rPr>
                <w:spacing w:val="-6"/>
                <w:lang w:val="en-GB"/>
              </w:rPr>
              <w:t xml:space="preserve"> </w:t>
            </w:r>
            <w:r w:rsidRPr="00361139">
              <w:rPr>
                <w:lang w:val="en-GB"/>
              </w:rPr>
              <w:t>are</w:t>
            </w:r>
            <w:r w:rsidRPr="00361139">
              <w:rPr>
                <w:spacing w:val="-6"/>
                <w:lang w:val="en-GB"/>
              </w:rPr>
              <w:t xml:space="preserve"> </w:t>
            </w:r>
            <w:r w:rsidRPr="00361139">
              <w:rPr>
                <w:lang w:val="en-GB"/>
              </w:rPr>
              <w:t>consistent with the present guidance.</w:t>
            </w:r>
          </w:p>
        </w:tc>
        <w:tc>
          <w:tcPr>
            <w:tcW w:w="4517" w:type="dxa"/>
          </w:tcPr>
          <w:p w14:paraId="11803198" w14:textId="77777777" w:rsidR="00CC73DD" w:rsidRPr="00361139" w:rsidRDefault="00CC73DD" w:rsidP="00F249E7">
            <w:pPr>
              <w:pStyle w:val="Normal-pool-Table"/>
              <w:rPr>
                <w:lang w:val="en-GB"/>
              </w:rPr>
            </w:pPr>
            <w:r w:rsidRPr="00361139">
              <w:rPr>
                <w:lang w:val="en-GB"/>
              </w:rPr>
              <w:t>According</w:t>
            </w:r>
            <w:r w:rsidRPr="00361139">
              <w:rPr>
                <w:spacing w:val="-3"/>
                <w:lang w:val="en-GB"/>
              </w:rPr>
              <w:t xml:space="preserve"> </w:t>
            </w:r>
            <w:r w:rsidRPr="00361139">
              <w:rPr>
                <w:lang w:val="en-GB"/>
              </w:rPr>
              <w:t>to</w:t>
            </w:r>
            <w:r w:rsidRPr="00361139">
              <w:rPr>
                <w:spacing w:val="-3"/>
                <w:lang w:val="en-GB"/>
              </w:rPr>
              <w:t xml:space="preserve"> </w:t>
            </w:r>
            <w:r w:rsidRPr="00361139">
              <w:rPr>
                <w:lang w:val="en-GB"/>
              </w:rPr>
              <w:t>the</w:t>
            </w:r>
            <w:r w:rsidRPr="00361139">
              <w:rPr>
                <w:spacing w:val="-3"/>
                <w:lang w:val="en-GB"/>
              </w:rPr>
              <w:t xml:space="preserve"> </w:t>
            </w:r>
            <w:r w:rsidRPr="00361139">
              <w:rPr>
                <w:lang w:val="en-GB"/>
              </w:rPr>
              <w:t>GEF</w:t>
            </w:r>
            <w:r w:rsidRPr="00361139">
              <w:rPr>
                <w:spacing w:val="-5"/>
                <w:lang w:val="en-GB"/>
              </w:rPr>
              <w:t xml:space="preserve"> </w:t>
            </w:r>
            <w:r w:rsidRPr="00361139">
              <w:rPr>
                <w:lang w:val="en-GB"/>
              </w:rPr>
              <w:t>Instrument,</w:t>
            </w:r>
            <w:r w:rsidRPr="00361139">
              <w:rPr>
                <w:spacing w:val="-5"/>
                <w:lang w:val="en-GB"/>
              </w:rPr>
              <w:t xml:space="preserve"> </w:t>
            </w:r>
            <w:r w:rsidRPr="00361139">
              <w:rPr>
                <w:lang w:val="en-GB"/>
              </w:rPr>
              <w:t>paragraph 6 (e), the GEF shall: Operate as one of the entities</w:t>
            </w:r>
            <w:r w:rsidRPr="00361139">
              <w:rPr>
                <w:spacing w:val="-3"/>
                <w:lang w:val="en-GB"/>
              </w:rPr>
              <w:t xml:space="preserve"> </w:t>
            </w:r>
            <w:r w:rsidRPr="00361139">
              <w:rPr>
                <w:lang w:val="en-GB"/>
              </w:rPr>
              <w:t>comprising the financial mechanism of the Minamata Convention on Mercury, pursuant to its Article 13, paragraphs 5, 6, and 8. In such respects, the GEF shall operate under the guidance of, and be accountable to the Conference of the Parties, which shall provide guidance on overall strategies, policies, program priorities and eligibility for access to and utilization</w:t>
            </w:r>
            <w:r w:rsidRPr="00361139">
              <w:rPr>
                <w:spacing w:val="-10"/>
                <w:lang w:val="en-GB"/>
              </w:rPr>
              <w:t xml:space="preserve"> </w:t>
            </w:r>
            <w:r w:rsidRPr="00361139">
              <w:rPr>
                <w:lang w:val="en-GB"/>
              </w:rPr>
              <w:t>of</w:t>
            </w:r>
            <w:r w:rsidRPr="00361139">
              <w:rPr>
                <w:spacing w:val="-7"/>
                <w:lang w:val="en-GB"/>
              </w:rPr>
              <w:t xml:space="preserve"> </w:t>
            </w:r>
            <w:r w:rsidRPr="00361139">
              <w:rPr>
                <w:lang w:val="en-GB"/>
              </w:rPr>
              <w:t>financial</w:t>
            </w:r>
            <w:r w:rsidRPr="00361139">
              <w:rPr>
                <w:spacing w:val="-7"/>
                <w:lang w:val="en-GB"/>
              </w:rPr>
              <w:t xml:space="preserve"> </w:t>
            </w:r>
            <w:r w:rsidRPr="00361139">
              <w:rPr>
                <w:lang w:val="en-GB"/>
              </w:rPr>
              <w:t>resources.</w:t>
            </w:r>
            <w:r w:rsidRPr="00361139">
              <w:rPr>
                <w:spacing w:val="-7"/>
                <w:lang w:val="en-GB"/>
              </w:rPr>
              <w:t xml:space="preserve"> </w:t>
            </w:r>
            <w:r w:rsidRPr="00361139">
              <w:rPr>
                <w:lang w:val="en-GB"/>
              </w:rPr>
              <w:t>In</w:t>
            </w:r>
            <w:r w:rsidRPr="00361139">
              <w:rPr>
                <w:spacing w:val="-9"/>
                <w:lang w:val="en-GB"/>
              </w:rPr>
              <w:t xml:space="preserve"> </w:t>
            </w:r>
            <w:r w:rsidRPr="00361139">
              <w:rPr>
                <w:lang w:val="en-GB"/>
              </w:rPr>
              <w:t>addition, the GEF shall receive guidance from the Conference of the Parties on an indicative list of categories of activities that could receive</w:t>
            </w:r>
            <w:r w:rsidRPr="00361139">
              <w:rPr>
                <w:spacing w:val="-7"/>
                <w:lang w:val="en-GB"/>
              </w:rPr>
              <w:t xml:space="preserve"> </w:t>
            </w:r>
            <w:r w:rsidRPr="00361139">
              <w:rPr>
                <w:lang w:val="en-GB"/>
              </w:rPr>
              <w:t>support;</w:t>
            </w:r>
            <w:r w:rsidRPr="00361139">
              <w:rPr>
                <w:spacing w:val="-8"/>
                <w:lang w:val="en-GB"/>
              </w:rPr>
              <w:t xml:space="preserve"> </w:t>
            </w:r>
            <w:r w:rsidRPr="00361139">
              <w:rPr>
                <w:lang w:val="en-GB"/>
              </w:rPr>
              <w:t>and</w:t>
            </w:r>
            <w:r w:rsidRPr="00361139">
              <w:rPr>
                <w:spacing w:val="-8"/>
                <w:lang w:val="en-GB"/>
              </w:rPr>
              <w:t xml:space="preserve"> </w:t>
            </w:r>
            <w:r w:rsidRPr="00361139">
              <w:rPr>
                <w:lang w:val="en-GB"/>
              </w:rPr>
              <w:t>shall</w:t>
            </w:r>
            <w:r w:rsidRPr="00361139">
              <w:rPr>
                <w:spacing w:val="-8"/>
                <w:lang w:val="en-GB"/>
              </w:rPr>
              <w:t xml:space="preserve"> </w:t>
            </w:r>
            <w:r w:rsidRPr="00361139">
              <w:rPr>
                <w:lang w:val="en-GB"/>
              </w:rPr>
              <w:t>provide</w:t>
            </w:r>
            <w:r w:rsidRPr="00361139">
              <w:rPr>
                <w:spacing w:val="-8"/>
                <w:lang w:val="en-GB"/>
              </w:rPr>
              <w:t xml:space="preserve"> </w:t>
            </w:r>
            <w:r w:rsidRPr="00361139">
              <w:rPr>
                <w:lang w:val="en-GB"/>
              </w:rPr>
              <w:t>resources to meet the agreed incremental costs of global environmental benefits and the agreed full costs of some EAs, pursuant to Article 13, paragraph 7, of the Minamata Convention on Mercury.</w:t>
            </w:r>
          </w:p>
          <w:p w14:paraId="7DFB53FB" w14:textId="77777777" w:rsidR="00CC73DD" w:rsidRPr="00361139" w:rsidRDefault="00CC73DD" w:rsidP="00F249E7">
            <w:pPr>
              <w:pStyle w:val="Normal-pool-Table"/>
              <w:rPr>
                <w:lang w:val="en-GB"/>
              </w:rPr>
            </w:pPr>
            <w:r w:rsidRPr="00361139">
              <w:rPr>
                <w:lang w:val="en-GB"/>
              </w:rPr>
              <w:t>In GEF-7, eligible activities for funding under the Convention were defined in paragraphs 231 – 246 of the chemicals and waste strategy in the GEF-7 programming directions.</w:t>
            </w:r>
            <w:r w:rsidRPr="00361139">
              <w:rPr>
                <w:rStyle w:val="FootnoteReference"/>
                <w:rFonts w:asciiTheme="majorBidi" w:hAnsiTheme="majorBidi" w:cstheme="majorBidi"/>
                <w:sz w:val="18"/>
                <w:lang w:val="en-GB"/>
              </w:rPr>
              <w:footnoteReference w:id="69"/>
            </w:r>
          </w:p>
        </w:tc>
      </w:tr>
      <w:tr w:rsidR="00CC73DD" w:rsidRPr="00361139" w14:paraId="6F765E67" w14:textId="77777777" w:rsidTr="00773BFB">
        <w:trPr>
          <w:trHeight w:val="57"/>
          <w:jc w:val="right"/>
        </w:trPr>
        <w:tc>
          <w:tcPr>
            <w:tcW w:w="453" w:type="dxa"/>
          </w:tcPr>
          <w:p w14:paraId="60F817D9" w14:textId="77777777" w:rsidR="00CC73DD" w:rsidRPr="00361139" w:rsidRDefault="00CC73DD" w:rsidP="00F249E7">
            <w:pPr>
              <w:pStyle w:val="Normal-pool-Table"/>
              <w:rPr>
                <w:lang w:val="en-GB"/>
              </w:rPr>
            </w:pPr>
            <w:r w:rsidRPr="00361139">
              <w:rPr>
                <w:lang w:val="en-GB"/>
              </w:rPr>
              <w:t>4</w:t>
            </w:r>
          </w:p>
        </w:tc>
        <w:tc>
          <w:tcPr>
            <w:tcW w:w="4516" w:type="dxa"/>
          </w:tcPr>
          <w:p w14:paraId="28B7D313" w14:textId="77777777" w:rsidR="00CC73DD" w:rsidRPr="00361139" w:rsidRDefault="00CC73DD" w:rsidP="00F249E7">
            <w:pPr>
              <w:pStyle w:val="Normal-pool-Table"/>
              <w:rPr>
                <w:lang w:val="en-GB"/>
              </w:rPr>
            </w:pPr>
            <w:r w:rsidRPr="00361139">
              <w:rPr>
                <w:lang w:val="en-GB"/>
              </w:rPr>
              <w:t>Signatories to the Convention are eligible for funding</w:t>
            </w:r>
            <w:r w:rsidRPr="00361139">
              <w:rPr>
                <w:spacing w:val="-6"/>
                <w:lang w:val="en-GB"/>
              </w:rPr>
              <w:t xml:space="preserve"> </w:t>
            </w:r>
            <w:r w:rsidRPr="00361139">
              <w:rPr>
                <w:lang w:val="en-GB"/>
              </w:rPr>
              <w:t>from</w:t>
            </w:r>
            <w:r w:rsidRPr="00361139">
              <w:rPr>
                <w:spacing w:val="-4"/>
                <w:lang w:val="en-GB"/>
              </w:rPr>
              <w:t xml:space="preserve"> </w:t>
            </w:r>
            <w:r w:rsidRPr="00361139">
              <w:rPr>
                <w:lang w:val="en-GB"/>
              </w:rPr>
              <w:t>GEF</w:t>
            </w:r>
            <w:r w:rsidRPr="00361139">
              <w:rPr>
                <w:spacing w:val="-6"/>
                <w:lang w:val="en-GB"/>
              </w:rPr>
              <w:t xml:space="preserve"> </w:t>
            </w:r>
            <w:r w:rsidRPr="00361139">
              <w:rPr>
                <w:lang w:val="en-GB"/>
              </w:rPr>
              <w:t>for</w:t>
            </w:r>
            <w:r w:rsidRPr="00361139">
              <w:rPr>
                <w:spacing w:val="-11"/>
                <w:lang w:val="en-GB"/>
              </w:rPr>
              <w:t xml:space="preserve"> </w:t>
            </w:r>
            <w:r w:rsidRPr="00361139">
              <w:rPr>
                <w:lang w:val="en-GB"/>
              </w:rPr>
              <w:t>enabling</w:t>
            </w:r>
            <w:r w:rsidRPr="00361139">
              <w:rPr>
                <w:spacing w:val="-6"/>
                <w:lang w:val="en-GB"/>
              </w:rPr>
              <w:t xml:space="preserve"> </w:t>
            </w:r>
            <w:r w:rsidRPr="00361139">
              <w:rPr>
                <w:lang w:val="en-GB"/>
              </w:rPr>
              <w:t>activities,</w:t>
            </w:r>
            <w:r w:rsidRPr="00361139">
              <w:rPr>
                <w:spacing w:val="-6"/>
                <w:lang w:val="en-GB"/>
              </w:rPr>
              <w:t xml:space="preserve"> </w:t>
            </w:r>
            <w:r w:rsidRPr="00361139">
              <w:rPr>
                <w:lang w:val="en-GB"/>
              </w:rPr>
              <w:t>provided that</w:t>
            </w:r>
            <w:r w:rsidRPr="00361139">
              <w:rPr>
                <w:spacing w:val="-6"/>
                <w:lang w:val="en-GB"/>
              </w:rPr>
              <w:t xml:space="preserve"> </w:t>
            </w:r>
            <w:r w:rsidRPr="00361139">
              <w:rPr>
                <w:lang w:val="en-GB"/>
              </w:rPr>
              <w:t>any</w:t>
            </w:r>
            <w:r w:rsidRPr="00361139">
              <w:rPr>
                <w:spacing w:val="-6"/>
                <w:lang w:val="en-GB"/>
              </w:rPr>
              <w:t xml:space="preserve"> </w:t>
            </w:r>
            <w:r w:rsidRPr="00361139">
              <w:rPr>
                <w:lang w:val="en-GB"/>
              </w:rPr>
              <w:t>such</w:t>
            </w:r>
            <w:r w:rsidRPr="00361139">
              <w:rPr>
                <w:spacing w:val="-8"/>
                <w:lang w:val="en-GB"/>
              </w:rPr>
              <w:t xml:space="preserve"> </w:t>
            </w:r>
            <w:r w:rsidRPr="00361139">
              <w:rPr>
                <w:lang w:val="en-GB"/>
              </w:rPr>
              <w:t>signatory</w:t>
            </w:r>
            <w:r w:rsidRPr="00361139">
              <w:rPr>
                <w:spacing w:val="-5"/>
                <w:lang w:val="en-GB"/>
              </w:rPr>
              <w:t xml:space="preserve"> </w:t>
            </w:r>
            <w:r w:rsidRPr="00361139">
              <w:rPr>
                <w:lang w:val="en-GB"/>
              </w:rPr>
              <w:t>is</w:t>
            </w:r>
            <w:r w:rsidRPr="00361139">
              <w:rPr>
                <w:spacing w:val="-6"/>
                <w:lang w:val="en-GB"/>
              </w:rPr>
              <w:t xml:space="preserve"> </w:t>
            </w:r>
            <w:r w:rsidRPr="00361139">
              <w:rPr>
                <w:lang w:val="en-GB"/>
              </w:rPr>
              <w:t>taking</w:t>
            </w:r>
            <w:r w:rsidRPr="00361139">
              <w:rPr>
                <w:spacing w:val="-6"/>
                <w:lang w:val="en-GB"/>
              </w:rPr>
              <w:t xml:space="preserve"> </w:t>
            </w:r>
            <w:r w:rsidRPr="00361139">
              <w:rPr>
                <w:lang w:val="en-GB"/>
              </w:rPr>
              <w:t>meaningful</w:t>
            </w:r>
            <w:r w:rsidRPr="00361139">
              <w:rPr>
                <w:spacing w:val="-6"/>
                <w:lang w:val="en-GB"/>
              </w:rPr>
              <w:t xml:space="preserve"> </w:t>
            </w:r>
            <w:r w:rsidRPr="00361139">
              <w:rPr>
                <w:lang w:val="en-GB"/>
              </w:rPr>
              <w:t>steps towards becoming a Party as evidenced by a letter</w:t>
            </w:r>
            <w:r w:rsidRPr="00361139">
              <w:rPr>
                <w:spacing w:val="-4"/>
                <w:lang w:val="en-GB"/>
              </w:rPr>
              <w:t xml:space="preserve"> </w:t>
            </w:r>
            <w:r w:rsidRPr="00361139">
              <w:rPr>
                <w:lang w:val="en-GB"/>
              </w:rPr>
              <w:t>from</w:t>
            </w:r>
            <w:r w:rsidRPr="00361139">
              <w:rPr>
                <w:spacing w:val="-1"/>
                <w:lang w:val="en-GB"/>
              </w:rPr>
              <w:t xml:space="preserve"> </w:t>
            </w:r>
            <w:r w:rsidRPr="00361139">
              <w:rPr>
                <w:lang w:val="en-GB"/>
              </w:rPr>
              <w:t>the relevant</w:t>
            </w:r>
            <w:r w:rsidRPr="00361139">
              <w:rPr>
                <w:spacing w:val="-1"/>
                <w:lang w:val="en-GB"/>
              </w:rPr>
              <w:t xml:space="preserve"> </w:t>
            </w:r>
            <w:r w:rsidRPr="00361139">
              <w:rPr>
                <w:lang w:val="en-GB"/>
              </w:rPr>
              <w:t>minister to the Executive Director of the United Nations Environment Programme and to the Chief Executive Officer and Chairperson of the Global Environment Facility.</w:t>
            </w:r>
          </w:p>
        </w:tc>
        <w:tc>
          <w:tcPr>
            <w:tcW w:w="4517" w:type="dxa"/>
          </w:tcPr>
          <w:p w14:paraId="2F294151" w14:textId="77777777" w:rsidR="00CC73DD" w:rsidRPr="00361139" w:rsidRDefault="00CC73DD" w:rsidP="00F249E7">
            <w:pPr>
              <w:pStyle w:val="Normal-pool-Table"/>
              <w:rPr>
                <w:lang w:val="en-GB"/>
              </w:rPr>
            </w:pPr>
            <w:r w:rsidRPr="00361139">
              <w:rPr>
                <w:lang w:val="en-GB"/>
              </w:rPr>
              <w:t>Up to June 30, 2018, the GEF supported a total of 110 countries through GEF-5 and GEF-6 to implement Minamata Initial Assessments (MIAs) and 32 countries to conduct</w:t>
            </w:r>
            <w:r w:rsidRPr="00361139">
              <w:rPr>
                <w:spacing w:val="-9"/>
                <w:lang w:val="en-GB"/>
              </w:rPr>
              <w:t xml:space="preserve"> </w:t>
            </w:r>
            <w:r w:rsidRPr="00361139">
              <w:rPr>
                <w:lang w:val="en-GB"/>
              </w:rPr>
              <w:t>their</w:t>
            </w:r>
            <w:r w:rsidRPr="00361139">
              <w:rPr>
                <w:spacing w:val="-8"/>
                <w:lang w:val="en-GB"/>
              </w:rPr>
              <w:t xml:space="preserve"> </w:t>
            </w:r>
            <w:r w:rsidRPr="00361139">
              <w:rPr>
                <w:lang w:val="en-GB"/>
              </w:rPr>
              <w:t>Artisanal</w:t>
            </w:r>
            <w:r w:rsidRPr="00361139">
              <w:rPr>
                <w:spacing w:val="-9"/>
                <w:lang w:val="en-GB"/>
              </w:rPr>
              <w:t xml:space="preserve"> </w:t>
            </w:r>
            <w:r w:rsidRPr="00361139">
              <w:rPr>
                <w:lang w:val="en-GB"/>
              </w:rPr>
              <w:t>and</w:t>
            </w:r>
            <w:r w:rsidRPr="00361139">
              <w:rPr>
                <w:spacing w:val="-8"/>
                <w:lang w:val="en-GB"/>
              </w:rPr>
              <w:t xml:space="preserve"> </w:t>
            </w:r>
            <w:r w:rsidRPr="00361139">
              <w:rPr>
                <w:lang w:val="en-GB"/>
              </w:rPr>
              <w:t>Small-scale</w:t>
            </w:r>
            <w:r w:rsidRPr="00361139">
              <w:rPr>
                <w:spacing w:val="-8"/>
                <w:lang w:val="en-GB"/>
              </w:rPr>
              <w:t xml:space="preserve"> </w:t>
            </w:r>
            <w:r w:rsidRPr="00361139">
              <w:rPr>
                <w:lang w:val="en-GB"/>
              </w:rPr>
              <w:t>Gold Mining (ASGM) National Action Plans (NAPs). Seventy-eight out of 89 signatories received funding for these EAs. Of the remaining eleven countries, six have become Parties as at June 30, 2018.</w:t>
            </w:r>
          </w:p>
          <w:p w14:paraId="5CBB89DB" w14:textId="77777777" w:rsidR="00CC73DD" w:rsidRPr="00361139" w:rsidRDefault="00CC73DD" w:rsidP="00F249E7">
            <w:pPr>
              <w:pStyle w:val="Normal-pool-Table"/>
              <w:rPr>
                <w:lang w:val="en-GB"/>
              </w:rPr>
            </w:pPr>
            <w:r w:rsidRPr="00361139">
              <w:rPr>
                <w:lang w:val="en-GB"/>
              </w:rPr>
              <w:t>Twenty-three</w:t>
            </w:r>
            <w:r w:rsidRPr="00361139">
              <w:rPr>
                <w:spacing w:val="-4"/>
                <w:lang w:val="en-GB"/>
              </w:rPr>
              <w:t xml:space="preserve"> </w:t>
            </w:r>
            <w:r w:rsidRPr="00361139">
              <w:rPr>
                <w:lang w:val="en-GB"/>
              </w:rPr>
              <w:t>countries</w:t>
            </w:r>
            <w:r w:rsidRPr="00361139">
              <w:rPr>
                <w:spacing w:val="-6"/>
                <w:lang w:val="en-GB"/>
              </w:rPr>
              <w:t xml:space="preserve"> </w:t>
            </w:r>
            <w:r w:rsidRPr="00361139">
              <w:rPr>
                <w:lang w:val="en-GB"/>
              </w:rPr>
              <w:t>that</w:t>
            </w:r>
            <w:r w:rsidRPr="00361139">
              <w:rPr>
                <w:spacing w:val="-3"/>
                <w:lang w:val="en-GB"/>
              </w:rPr>
              <w:t xml:space="preserve"> </w:t>
            </w:r>
            <w:r w:rsidRPr="00361139">
              <w:rPr>
                <w:spacing w:val="-4"/>
                <w:lang w:val="en-GB"/>
              </w:rPr>
              <w:t xml:space="preserve">were </w:t>
            </w:r>
            <w:r w:rsidRPr="00361139">
              <w:rPr>
                <w:lang w:val="en-GB"/>
              </w:rPr>
              <w:t>non-signatory</w:t>
            </w:r>
            <w:r w:rsidRPr="00361139">
              <w:rPr>
                <w:spacing w:val="-10"/>
                <w:lang w:val="en-GB"/>
              </w:rPr>
              <w:t xml:space="preserve"> </w:t>
            </w:r>
            <w:r w:rsidRPr="00361139">
              <w:rPr>
                <w:lang w:val="en-GB"/>
              </w:rPr>
              <w:t>and</w:t>
            </w:r>
            <w:r w:rsidRPr="00361139">
              <w:rPr>
                <w:spacing w:val="-10"/>
                <w:lang w:val="en-GB"/>
              </w:rPr>
              <w:t xml:space="preserve"> </w:t>
            </w:r>
            <w:r w:rsidRPr="00361139">
              <w:rPr>
                <w:lang w:val="en-GB"/>
              </w:rPr>
              <w:t>non-Party</w:t>
            </w:r>
            <w:r w:rsidRPr="00361139">
              <w:rPr>
                <w:spacing w:val="-10"/>
                <w:lang w:val="en-GB"/>
              </w:rPr>
              <w:t xml:space="preserve"> </w:t>
            </w:r>
            <w:r w:rsidRPr="00361139">
              <w:rPr>
                <w:lang w:val="en-GB"/>
              </w:rPr>
              <w:t>have</w:t>
            </w:r>
            <w:r w:rsidRPr="00361139">
              <w:rPr>
                <w:spacing w:val="-10"/>
                <w:lang w:val="en-GB"/>
              </w:rPr>
              <w:t xml:space="preserve"> </w:t>
            </w:r>
            <w:r w:rsidRPr="00361139">
              <w:rPr>
                <w:lang w:val="en-GB"/>
              </w:rPr>
              <w:t>accessed EA resources; at the request of the sixth session of the intergovernmental negotiating committee on mercury (INC 6) to allow non-signatory, non-Party States to access resources for EAs from the GEF, the GEF Council varied the eligibility criteria through a decision by mail on January 14, 2015. This variation of the eligibility for</w:t>
            </w:r>
            <w:r w:rsidRPr="00361139">
              <w:rPr>
                <w:spacing w:val="-3"/>
                <w:lang w:val="en-GB"/>
              </w:rPr>
              <w:t xml:space="preserve"> </w:t>
            </w:r>
            <w:r w:rsidRPr="00361139">
              <w:rPr>
                <w:lang w:val="en-GB"/>
              </w:rPr>
              <w:t>non-signatories,</w:t>
            </w:r>
            <w:r w:rsidRPr="00361139">
              <w:rPr>
                <w:spacing w:val="-3"/>
                <w:lang w:val="en-GB"/>
              </w:rPr>
              <w:t xml:space="preserve"> </w:t>
            </w:r>
            <w:r w:rsidRPr="00361139">
              <w:rPr>
                <w:lang w:val="en-GB"/>
              </w:rPr>
              <w:t>non-Parties</w:t>
            </w:r>
            <w:r w:rsidRPr="00361139">
              <w:rPr>
                <w:spacing w:val="-3"/>
                <w:lang w:val="en-GB"/>
              </w:rPr>
              <w:t xml:space="preserve"> </w:t>
            </w:r>
            <w:r w:rsidRPr="00361139">
              <w:rPr>
                <w:lang w:val="en-GB"/>
              </w:rPr>
              <w:t>is no</w:t>
            </w:r>
            <w:r w:rsidRPr="00361139">
              <w:rPr>
                <w:spacing w:val="-4"/>
                <w:lang w:val="en-GB"/>
              </w:rPr>
              <w:t xml:space="preserve"> </w:t>
            </w:r>
            <w:r w:rsidRPr="00361139">
              <w:rPr>
                <w:lang w:val="en-GB"/>
              </w:rPr>
              <w:t>longer</w:t>
            </w:r>
            <w:r w:rsidRPr="00361139">
              <w:rPr>
                <w:spacing w:val="-9"/>
                <w:lang w:val="en-GB"/>
              </w:rPr>
              <w:t xml:space="preserve"> </w:t>
            </w:r>
            <w:r w:rsidRPr="00361139">
              <w:rPr>
                <w:lang w:val="en-GB"/>
              </w:rPr>
              <w:t>applicable,</w:t>
            </w:r>
            <w:r w:rsidRPr="00361139">
              <w:rPr>
                <w:spacing w:val="-6"/>
                <w:lang w:val="en-GB"/>
              </w:rPr>
              <w:t xml:space="preserve"> </w:t>
            </w:r>
            <w:r w:rsidRPr="00361139">
              <w:rPr>
                <w:lang w:val="en-GB"/>
              </w:rPr>
              <w:t>as</w:t>
            </w:r>
            <w:r w:rsidRPr="00361139">
              <w:rPr>
                <w:spacing w:val="-8"/>
                <w:lang w:val="en-GB"/>
              </w:rPr>
              <w:t xml:space="preserve"> </w:t>
            </w:r>
            <w:r w:rsidRPr="00361139">
              <w:rPr>
                <w:lang w:val="en-GB"/>
              </w:rPr>
              <w:t>the</w:t>
            </w:r>
            <w:r w:rsidRPr="00361139">
              <w:rPr>
                <w:spacing w:val="-6"/>
                <w:lang w:val="en-GB"/>
              </w:rPr>
              <w:t xml:space="preserve"> </w:t>
            </w:r>
            <w:r w:rsidRPr="00361139">
              <w:rPr>
                <w:lang w:val="en-GB"/>
              </w:rPr>
              <w:t>COP</w:t>
            </w:r>
            <w:r w:rsidRPr="00361139">
              <w:rPr>
                <w:spacing w:val="-8"/>
                <w:lang w:val="en-GB"/>
              </w:rPr>
              <w:t xml:space="preserve"> </w:t>
            </w:r>
            <w:r w:rsidRPr="00361139">
              <w:rPr>
                <w:lang w:val="en-GB"/>
              </w:rPr>
              <w:t>1</w:t>
            </w:r>
            <w:r w:rsidRPr="00361139">
              <w:rPr>
                <w:spacing w:val="-3"/>
                <w:lang w:val="en-GB"/>
              </w:rPr>
              <w:t xml:space="preserve"> </w:t>
            </w:r>
            <w:r w:rsidRPr="00361139">
              <w:rPr>
                <w:lang w:val="en-GB"/>
              </w:rPr>
              <w:t>guidance only applies to signatories and Parties with respect to access of funding of EAs.</w:t>
            </w:r>
          </w:p>
          <w:p w14:paraId="21A470B3" w14:textId="77777777" w:rsidR="00CC73DD" w:rsidRPr="00361139" w:rsidRDefault="00CC73DD" w:rsidP="00F249E7">
            <w:pPr>
              <w:pStyle w:val="Normal-pool-Table"/>
              <w:rPr>
                <w:lang w:val="en-GB"/>
              </w:rPr>
            </w:pPr>
          </w:p>
          <w:p w14:paraId="3C844A36"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3A1FC286" w14:textId="77777777" w:rsidR="00CC73DD" w:rsidRPr="00361139" w:rsidRDefault="00CC73DD" w:rsidP="00F249E7">
            <w:pPr>
              <w:pStyle w:val="Normal-pool-Table"/>
              <w:rPr>
                <w:lang w:val="en-GB"/>
              </w:rPr>
            </w:pPr>
            <w:r w:rsidRPr="00361139">
              <w:rPr>
                <w:lang w:val="en-GB"/>
              </w:rPr>
              <w:lastRenderedPageBreak/>
              <w:t>Up</w:t>
            </w:r>
            <w:r w:rsidRPr="00361139">
              <w:rPr>
                <w:spacing w:val="-6"/>
                <w:lang w:val="en-GB"/>
              </w:rPr>
              <w:t xml:space="preserve"> </w:t>
            </w:r>
            <w:r w:rsidRPr="00361139">
              <w:rPr>
                <w:lang w:val="en-GB"/>
              </w:rPr>
              <w:t>to</w:t>
            </w:r>
            <w:r w:rsidRPr="00361139">
              <w:rPr>
                <w:spacing w:val="-4"/>
                <w:lang w:val="en-GB"/>
              </w:rPr>
              <w:t xml:space="preserve"> </w:t>
            </w:r>
            <w:r w:rsidRPr="00361139">
              <w:rPr>
                <w:lang w:val="en-GB"/>
              </w:rPr>
              <w:t>June</w:t>
            </w:r>
            <w:r w:rsidRPr="00361139">
              <w:rPr>
                <w:spacing w:val="-4"/>
                <w:lang w:val="en-GB"/>
              </w:rPr>
              <w:t xml:space="preserve"> </w:t>
            </w:r>
            <w:r w:rsidRPr="00361139">
              <w:rPr>
                <w:lang w:val="en-GB"/>
              </w:rPr>
              <w:t>30,</w:t>
            </w:r>
            <w:r w:rsidRPr="00361139">
              <w:rPr>
                <w:spacing w:val="-8"/>
                <w:lang w:val="en-GB"/>
              </w:rPr>
              <w:t xml:space="preserve"> </w:t>
            </w:r>
            <w:r w:rsidRPr="00361139">
              <w:rPr>
                <w:lang w:val="en-GB"/>
              </w:rPr>
              <w:t>2022,</w:t>
            </w:r>
            <w:r w:rsidRPr="00361139">
              <w:rPr>
                <w:spacing w:val="-6"/>
                <w:lang w:val="en-GB"/>
              </w:rPr>
              <w:t xml:space="preserve"> </w:t>
            </w:r>
            <w:r w:rsidRPr="00361139">
              <w:rPr>
                <w:lang w:val="en-GB"/>
              </w:rPr>
              <w:t>the</w:t>
            </w:r>
            <w:r w:rsidRPr="00361139">
              <w:rPr>
                <w:spacing w:val="-5"/>
                <w:lang w:val="en-GB"/>
              </w:rPr>
              <w:t xml:space="preserve"> </w:t>
            </w:r>
            <w:r w:rsidRPr="00361139">
              <w:rPr>
                <w:lang w:val="en-GB"/>
              </w:rPr>
              <w:t>GEF</w:t>
            </w:r>
            <w:r w:rsidRPr="00361139">
              <w:rPr>
                <w:spacing w:val="-4"/>
                <w:lang w:val="en-GB"/>
              </w:rPr>
              <w:t xml:space="preserve"> </w:t>
            </w:r>
            <w:r w:rsidRPr="00361139">
              <w:rPr>
                <w:lang w:val="en-GB"/>
              </w:rPr>
              <w:t>supported</w:t>
            </w:r>
            <w:r w:rsidRPr="00361139">
              <w:rPr>
                <w:spacing w:val="-8"/>
                <w:lang w:val="en-GB"/>
              </w:rPr>
              <w:t xml:space="preserve"> </w:t>
            </w:r>
            <w:r w:rsidRPr="00361139">
              <w:rPr>
                <w:lang w:val="en-GB"/>
              </w:rPr>
              <w:t>a total</w:t>
            </w:r>
            <w:r w:rsidRPr="00361139">
              <w:rPr>
                <w:spacing w:val="-6"/>
                <w:lang w:val="en-GB"/>
              </w:rPr>
              <w:t xml:space="preserve"> </w:t>
            </w:r>
            <w:r w:rsidRPr="00361139">
              <w:rPr>
                <w:lang w:val="en-GB"/>
              </w:rPr>
              <w:t>of</w:t>
            </w:r>
            <w:r w:rsidRPr="00361139">
              <w:rPr>
                <w:spacing w:val="-8"/>
                <w:lang w:val="en-GB"/>
              </w:rPr>
              <w:t xml:space="preserve"> </w:t>
            </w:r>
            <w:r w:rsidRPr="00361139">
              <w:rPr>
                <w:lang w:val="en-GB"/>
              </w:rPr>
              <w:t>121</w:t>
            </w:r>
            <w:r w:rsidRPr="00361139">
              <w:rPr>
                <w:spacing w:val="-6"/>
                <w:lang w:val="en-GB"/>
              </w:rPr>
              <w:t xml:space="preserve"> </w:t>
            </w:r>
            <w:r w:rsidRPr="00361139">
              <w:rPr>
                <w:lang w:val="en-GB"/>
              </w:rPr>
              <w:t>countries</w:t>
            </w:r>
            <w:r w:rsidRPr="00361139">
              <w:rPr>
                <w:spacing w:val="-4"/>
                <w:lang w:val="en-GB"/>
              </w:rPr>
              <w:t xml:space="preserve"> </w:t>
            </w:r>
            <w:r w:rsidRPr="00361139">
              <w:rPr>
                <w:lang w:val="en-GB"/>
              </w:rPr>
              <w:t>to</w:t>
            </w:r>
            <w:r w:rsidRPr="00361139">
              <w:rPr>
                <w:spacing w:val="-1"/>
                <w:lang w:val="en-GB"/>
              </w:rPr>
              <w:t xml:space="preserve"> </w:t>
            </w:r>
            <w:r w:rsidRPr="00361139">
              <w:rPr>
                <w:lang w:val="en-GB"/>
              </w:rPr>
              <w:t>implement</w:t>
            </w:r>
            <w:r w:rsidRPr="00361139">
              <w:rPr>
                <w:spacing w:val="-5"/>
                <w:lang w:val="en-GB"/>
              </w:rPr>
              <w:t xml:space="preserve"> </w:t>
            </w:r>
            <w:r w:rsidRPr="00361139">
              <w:rPr>
                <w:lang w:val="en-GB"/>
              </w:rPr>
              <w:t>MIAs and 48 countries to conduct their ASGM NAPs.</w:t>
            </w:r>
          </w:p>
        </w:tc>
      </w:tr>
      <w:tr w:rsidR="00CC73DD" w:rsidRPr="00361139" w14:paraId="320FF723" w14:textId="77777777" w:rsidTr="00773BFB">
        <w:trPr>
          <w:trHeight w:val="57"/>
          <w:jc w:val="right"/>
        </w:trPr>
        <w:tc>
          <w:tcPr>
            <w:tcW w:w="9486" w:type="dxa"/>
            <w:gridSpan w:val="3"/>
          </w:tcPr>
          <w:p w14:paraId="2B107973" w14:textId="77777777" w:rsidR="00CC73DD" w:rsidRPr="00361139" w:rsidRDefault="00CC73DD" w:rsidP="000C76AC">
            <w:pPr>
              <w:pStyle w:val="Normal-pool-Table"/>
              <w:numPr>
                <w:ilvl w:val="0"/>
                <w:numId w:val="21"/>
              </w:numPr>
              <w:tabs>
                <w:tab w:val="clear" w:pos="624"/>
              </w:tabs>
              <w:ind w:left="454" w:hanging="454"/>
              <w:rPr>
                <w:b/>
                <w:bCs/>
                <w:lang w:val="en-GB"/>
              </w:rPr>
            </w:pPr>
            <w:r w:rsidRPr="00361139">
              <w:rPr>
                <w:b/>
                <w:bCs/>
                <w:lang w:val="en-GB"/>
              </w:rPr>
              <w:lastRenderedPageBreak/>
              <w:t>Overall strategies and policies</w:t>
            </w:r>
          </w:p>
        </w:tc>
      </w:tr>
      <w:tr w:rsidR="00CC73DD" w:rsidRPr="00361139" w14:paraId="42168B17" w14:textId="77777777" w:rsidTr="00773BFB">
        <w:trPr>
          <w:trHeight w:val="57"/>
          <w:jc w:val="right"/>
        </w:trPr>
        <w:tc>
          <w:tcPr>
            <w:tcW w:w="453" w:type="dxa"/>
          </w:tcPr>
          <w:p w14:paraId="2988C2B2" w14:textId="77777777" w:rsidR="00CC73DD" w:rsidRPr="00361139" w:rsidRDefault="00CC73DD" w:rsidP="00F249E7">
            <w:pPr>
              <w:pStyle w:val="Normal-pool-Table"/>
              <w:rPr>
                <w:lang w:val="en-GB"/>
              </w:rPr>
            </w:pPr>
            <w:r w:rsidRPr="00361139">
              <w:rPr>
                <w:lang w:val="en-GB"/>
              </w:rPr>
              <w:t>5</w:t>
            </w:r>
          </w:p>
        </w:tc>
        <w:tc>
          <w:tcPr>
            <w:tcW w:w="4516" w:type="dxa"/>
          </w:tcPr>
          <w:p w14:paraId="7EA1FD5A" w14:textId="77777777" w:rsidR="00CC73DD" w:rsidRPr="00361139" w:rsidRDefault="00CC73DD" w:rsidP="00F249E7">
            <w:pPr>
              <w:pStyle w:val="Normal-pool-Table"/>
              <w:rPr>
                <w:lang w:val="en-GB"/>
              </w:rPr>
            </w:pPr>
            <w:r w:rsidRPr="00361139">
              <w:rPr>
                <w:lang w:val="en-GB"/>
              </w:rPr>
              <w:t>In accordance with Article 13, paragraph 7,</w:t>
            </w:r>
            <w:r w:rsidRPr="00361139">
              <w:rPr>
                <w:spacing w:val="-4"/>
                <w:lang w:val="en-GB"/>
              </w:rPr>
              <w:t xml:space="preserve"> </w:t>
            </w:r>
            <w:r w:rsidRPr="00361139">
              <w:rPr>
                <w:lang w:val="en-GB"/>
              </w:rPr>
              <w:t>of</w:t>
            </w:r>
            <w:r w:rsidRPr="00361139">
              <w:rPr>
                <w:spacing w:val="-3"/>
                <w:lang w:val="en-GB"/>
              </w:rPr>
              <w:t xml:space="preserve"> </w:t>
            </w:r>
            <w:r w:rsidRPr="00361139">
              <w:rPr>
                <w:lang w:val="en-GB"/>
              </w:rPr>
              <w:t>the Convention,</w:t>
            </w:r>
            <w:r w:rsidRPr="00361139">
              <w:rPr>
                <w:spacing w:val="-7"/>
                <w:lang w:val="en-GB"/>
              </w:rPr>
              <w:t xml:space="preserve"> </w:t>
            </w:r>
            <w:r w:rsidRPr="00361139">
              <w:rPr>
                <w:lang w:val="en-GB"/>
              </w:rPr>
              <w:t>the</w:t>
            </w:r>
            <w:r w:rsidRPr="00361139">
              <w:rPr>
                <w:spacing w:val="-7"/>
                <w:lang w:val="en-GB"/>
              </w:rPr>
              <w:t xml:space="preserve"> </w:t>
            </w:r>
            <w:r w:rsidRPr="00361139">
              <w:rPr>
                <w:lang w:val="en-GB"/>
              </w:rPr>
              <w:t>GEF</w:t>
            </w:r>
            <w:r w:rsidRPr="00361139">
              <w:rPr>
                <w:spacing w:val="-5"/>
                <w:lang w:val="en-GB"/>
              </w:rPr>
              <w:t xml:space="preserve"> </w:t>
            </w:r>
            <w:r w:rsidRPr="00361139">
              <w:rPr>
                <w:lang w:val="en-GB"/>
              </w:rPr>
              <w:t>trust</w:t>
            </w:r>
            <w:r w:rsidRPr="00361139">
              <w:rPr>
                <w:spacing w:val="-5"/>
                <w:lang w:val="en-GB"/>
              </w:rPr>
              <w:t xml:space="preserve"> </w:t>
            </w:r>
            <w:r w:rsidRPr="00361139">
              <w:rPr>
                <w:lang w:val="en-GB"/>
              </w:rPr>
              <w:t>fund</w:t>
            </w:r>
            <w:r w:rsidRPr="00361139">
              <w:rPr>
                <w:spacing w:val="-5"/>
                <w:lang w:val="en-GB"/>
              </w:rPr>
              <w:t xml:space="preserve"> </w:t>
            </w:r>
            <w:r w:rsidRPr="00361139">
              <w:rPr>
                <w:lang w:val="en-GB"/>
              </w:rPr>
              <w:t>shall</w:t>
            </w:r>
            <w:r w:rsidRPr="00361139">
              <w:rPr>
                <w:spacing w:val="-7"/>
                <w:lang w:val="en-GB"/>
              </w:rPr>
              <w:t xml:space="preserve"> </w:t>
            </w:r>
            <w:r w:rsidRPr="00361139">
              <w:rPr>
                <w:lang w:val="en-GB"/>
              </w:rPr>
              <w:t>provide</w:t>
            </w:r>
            <w:r w:rsidRPr="00361139">
              <w:rPr>
                <w:spacing w:val="-7"/>
                <w:lang w:val="en-GB"/>
              </w:rPr>
              <w:t xml:space="preserve"> </w:t>
            </w:r>
            <w:r w:rsidRPr="00361139">
              <w:rPr>
                <w:lang w:val="en-GB"/>
              </w:rPr>
              <w:t>new, predictable, adequate, and timely financial resources to meet costs in support of implementation of the Convention as agreed by the Conference of the Parties, including costs arising from activities that:</w:t>
            </w:r>
          </w:p>
          <w:p w14:paraId="27816BF8" w14:textId="77777777" w:rsidR="00CC73DD" w:rsidRPr="00361139" w:rsidRDefault="00CC73DD" w:rsidP="00F249E7">
            <w:pPr>
              <w:pStyle w:val="Normal-pool-Table"/>
              <w:rPr>
                <w:lang w:val="en-GB"/>
              </w:rPr>
            </w:pPr>
            <w:r w:rsidRPr="00361139">
              <w:rPr>
                <w:lang w:val="en-GB"/>
              </w:rPr>
              <w:t>Are</w:t>
            </w:r>
            <w:r w:rsidRPr="00361139">
              <w:rPr>
                <w:spacing w:val="-6"/>
                <w:lang w:val="en-GB"/>
              </w:rPr>
              <w:t xml:space="preserve"> </w:t>
            </w:r>
            <w:r w:rsidRPr="00361139">
              <w:rPr>
                <w:lang w:val="en-GB"/>
              </w:rPr>
              <w:t>country-driven;</w:t>
            </w:r>
          </w:p>
          <w:p w14:paraId="2B17CFC1" w14:textId="77777777" w:rsidR="00CC73DD" w:rsidRPr="00361139" w:rsidRDefault="00CC73DD" w:rsidP="00F249E7">
            <w:pPr>
              <w:pStyle w:val="Normal-pool-Table"/>
              <w:rPr>
                <w:lang w:val="en-GB"/>
              </w:rPr>
            </w:pPr>
            <w:r w:rsidRPr="00361139">
              <w:rPr>
                <w:lang w:val="en-GB"/>
              </w:rPr>
              <w:t>Are in conformity with programme priorities as</w:t>
            </w:r>
            <w:r w:rsidRPr="00361139">
              <w:rPr>
                <w:spacing w:val="-6"/>
                <w:lang w:val="en-GB"/>
              </w:rPr>
              <w:t xml:space="preserve"> </w:t>
            </w:r>
            <w:r w:rsidRPr="00361139">
              <w:rPr>
                <w:lang w:val="en-GB"/>
              </w:rPr>
              <w:t>reflected</w:t>
            </w:r>
            <w:r w:rsidRPr="00361139">
              <w:rPr>
                <w:spacing w:val="-6"/>
                <w:lang w:val="en-GB"/>
              </w:rPr>
              <w:t xml:space="preserve"> </w:t>
            </w:r>
            <w:r w:rsidRPr="00361139">
              <w:rPr>
                <w:lang w:val="en-GB"/>
              </w:rPr>
              <w:t>in</w:t>
            </w:r>
            <w:r w:rsidRPr="00361139">
              <w:rPr>
                <w:spacing w:val="-6"/>
                <w:lang w:val="en-GB"/>
              </w:rPr>
              <w:t xml:space="preserve"> </w:t>
            </w:r>
            <w:r w:rsidRPr="00361139">
              <w:rPr>
                <w:lang w:val="en-GB"/>
              </w:rPr>
              <w:t>relevant</w:t>
            </w:r>
            <w:r w:rsidRPr="00361139">
              <w:rPr>
                <w:spacing w:val="-6"/>
                <w:lang w:val="en-GB"/>
              </w:rPr>
              <w:t xml:space="preserve"> </w:t>
            </w:r>
            <w:r w:rsidRPr="00361139">
              <w:rPr>
                <w:lang w:val="en-GB"/>
              </w:rPr>
              <w:t>guidance</w:t>
            </w:r>
            <w:r w:rsidRPr="00361139">
              <w:rPr>
                <w:spacing w:val="-6"/>
                <w:lang w:val="en-GB"/>
              </w:rPr>
              <w:t xml:space="preserve"> </w:t>
            </w:r>
            <w:r w:rsidRPr="00361139">
              <w:rPr>
                <w:lang w:val="en-GB"/>
              </w:rPr>
              <w:t>provided</w:t>
            </w:r>
            <w:r w:rsidRPr="00361139">
              <w:rPr>
                <w:spacing w:val="-6"/>
                <w:lang w:val="en-GB"/>
              </w:rPr>
              <w:t xml:space="preserve"> </w:t>
            </w:r>
            <w:r w:rsidRPr="00361139">
              <w:rPr>
                <w:lang w:val="en-GB"/>
              </w:rPr>
              <w:t>by</w:t>
            </w:r>
            <w:r w:rsidRPr="00361139">
              <w:rPr>
                <w:spacing w:val="-8"/>
                <w:lang w:val="en-GB"/>
              </w:rPr>
              <w:t xml:space="preserve"> </w:t>
            </w:r>
            <w:r w:rsidRPr="00361139">
              <w:rPr>
                <w:lang w:val="en-GB"/>
              </w:rPr>
              <w:t>the Conference of the Parties;</w:t>
            </w:r>
          </w:p>
          <w:p w14:paraId="4B89DD9A" w14:textId="77777777" w:rsidR="00CC73DD" w:rsidRPr="00361139" w:rsidRDefault="00CC73DD" w:rsidP="00F249E7">
            <w:pPr>
              <w:pStyle w:val="Normal-pool-Table"/>
              <w:rPr>
                <w:lang w:val="en-GB"/>
              </w:rPr>
            </w:pPr>
            <w:r w:rsidRPr="00361139">
              <w:rPr>
                <w:lang w:val="en-GB"/>
              </w:rPr>
              <w:t>Build</w:t>
            </w:r>
            <w:r w:rsidRPr="00361139">
              <w:rPr>
                <w:spacing w:val="-8"/>
                <w:lang w:val="en-GB"/>
              </w:rPr>
              <w:t xml:space="preserve"> </w:t>
            </w:r>
            <w:r w:rsidRPr="00361139">
              <w:rPr>
                <w:lang w:val="en-GB"/>
              </w:rPr>
              <w:t>capacity</w:t>
            </w:r>
            <w:r w:rsidRPr="00361139">
              <w:rPr>
                <w:spacing w:val="-7"/>
                <w:lang w:val="en-GB"/>
              </w:rPr>
              <w:t xml:space="preserve"> </w:t>
            </w:r>
            <w:r w:rsidRPr="00361139">
              <w:rPr>
                <w:lang w:val="en-GB"/>
              </w:rPr>
              <w:t>and</w:t>
            </w:r>
            <w:r w:rsidRPr="00361139">
              <w:rPr>
                <w:spacing w:val="-8"/>
                <w:lang w:val="en-GB"/>
              </w:rPr>
              <w:t xml:space="preserve"> </w:t>
            </w:r>
            <w:r w:rsidRPr="00361139">
              <w:rPr>
                <w:lang w:val="en-GB"/>
              </w:rPr>
              <w:t>promote</w:t>
            </w:r>
            <w:r w:rsidRPr="00361139">
              <w:rPr>
                <w:spacing w:val="-8"/>
                <w:lang w:val="en-GB"/>
              </w:rPr>
              <w:t xml:space="preserve"> </w:t>
            </w:r>
            <w:r w:rsidRPr="00361139">
              <w:rPr>
                <w:lang w:val="en-GB"/>
              </w:rPr>
              <w:t>the</w:t>
            </w:r>
            <w:r w:rsidRPr="00361139">
              <w:rPr>
                <w:spacing w:val="-7"/>
                <w:lang w:val="en-GB"/>
              </w:rPr>
              <w:t xml:space="preserve"> </w:t>
            </w:r>
            <w:r w:rsidRPr="00361139">
              <w:rPr>
                <w:lang w:val="en-GB"/>
              </w:rPr>
              <w:t>utilization</w:t>
            </w:r>
            <w:r w:rsidRPr="00361139">
              <w:rPr>
                <w:spacing w:val="-8"/>
                <w:lang w:val="en-GB"/>
              </w:rPr>
              <w:t xml:space="preserve"> </w:t>
            </w:r>
            <w:r w:rsidRPr="00361139">
              <w:rPr>
                <w:lang w:val="en-GB"/>
              </w:rPr>
              <w:t>of local and regional expertise, if applicable;</w:t>
            </w:r>
          </w:p>
          <w:p w14:paraId="03074985" w14:textId="77777777" w:rsidR="00CC73DD" w:rsidRPr="00361139" w:rsidRDefault="00CC73DD" w:rsidP="00F249E7">
            <w:pPr>
              <w:pStyle w:val="Normal-pool-Table"/>
              <w:rPr>
                <w:lang w:val="en-GB"/>
              </w:rPr>
            </w:pPr>
            <w:r w:rsidRPr="00361139">
              <w:rPr>
                <w:lang w:val="en-GB"/>
              </w:rPr>
              <w:t>Promote</w:t>
            </w:r>
            <w:r w:rsidRPr="00361139">
              <w:rPr>
                <w:spacing w:val="-1"/>
                <w:lang w:val="en-GB"/>
              </w:rPr>
              <w:t xml:space="preserve"> </w:t>
            </w:r>
            <w:r w:rsidRPr="00361139">
              <w:rPr>
                <w:lang w:val="en-GB"/>
              </w:rPr>
              <w:t>synergies</w:t>
            </w:r>
            <w:r w:rsidRPr="00361139">
              <w:rPr>
                <w:spacing w:val="-3"/>
                <w:lang w:val="en-GB"/>
              </w:rPr>
              <w:t xml:space="preserve"> </w:t>
            </w:r>
            <w:r w:rsidRPr="00361139">
              <w:rPr>
                <w:lang w:val="en-GB"/>
              </w:rPr>
              <w:t>with</w:t>
            </w:r>
            <w:r w:rsidRPr="00361139">
              <w:rPr>
                <w:spacing w:val="-3"/>
                <w:lang w:val="en-GB"/>
              </w:rPr>
              <w:t xml:space="preserve"> </w:t>
            </w:r>
            <w:r w:rsidRPr="00361139">
              <w:rPr>
                <w:lang w:val="en-GB"/>
              </w:rPr>
              <w:t>other</w:t>
            </w:r>
            <w:r w:rsidRPr="00361139">
              <w:rPr>
                <w:spacing w:val="-5"/>
                <w:lang w:val="en-GB"/>
              </w:rPr>
              <w:t xml:space="preserve"> </w:t>
            </w:r>
            <w:r w:rsidRPr="00361139">
              <w:rPr>
                <w:lang w:val="en-GB"/>
              </w:rPr>
              <w:t>focal areas;</w:t>
            </w:r>
          </w:p>
          <w:p w14:paraId="499C2E5C" w14:textId="77777777" w:rsidR="00CC73DD" w:rsidRPr="00361139" w:rsidRDefault="00CC73DD" w:rsidP="00F249E7">
            <w:pPr>
              <w:pStyle w:val="Normal-pool-Table"/>
              <w:rPr>
                <w:lang w:val="en-GB"/>
              </w:rPr>
            </w:pPr>
            <w:r w:rsidRPr="00361139">
              <w:rPr>
                <w:lang w:val="en-GB"/>
              </w:rPr>
              <w:t>Continue to enhance synergies and co- benefits</w:t>
            </w:r>
            <w:r w:rsidRPr="00361139">
              <w:rPr>
                <w:spacing w:val="-8"/>
                <w:lang w:val="en-GB"/>
              </w:rPr>
              <w:t xml:space="preserve"> </w:t>
            </w:r>
            <w:r w:rsidRPr="00361139">
              <w:rPr>
                <w:lang w:val="en-GB"/>
              </w:rPr>
              <w:t>within</w:t>
            </w:r>
            <w:r w:rsidRPr="00361139">
              <w:rPr>
                <w:spacing w:val="-8"/>
                <w:lang w:val="en-GB"/>
              </w:rPr>
              <w:t xml:space="preserve"> </w:t>
            </w:r>
            <w:r w:rsidRPr="00361139">
              <w:rPr>
                <w:lang w:val="en-GB"/>
              </w:rPr>
              <w:t>the</w:t>
            </w:r>
            <w:r w:rsidRPr="00361139">
              <w:rPr>
                <w:spacing w:val="-7"/>
                <w:lang w:val="en-GB"/>
              </w:rPr>
              <w:t xml:space="preserve"> </w:t>
            </w:r>
            <w:r w:rsidRPr="00361139">
              <w:rPr>
                <w:lang w:val="en-GB"/>
              </w:rPr>
              <w:t>chemicals</w:t>
            </w:r>
            <w:r w:rsidRPr="00361139">
              <w:rPr>
                <w:spacing w:val="-7"/>
                <w:lang w:val="en-GB"/>
              </w:rPr>
              <w:t xml:space="preserve"> </w:t>
            </w:r>
            <w:r w:rsidRPr="00361139">
              <w:rPr>
                <w:lang w:val="en-GB"/>
              </w:rPr>
              <w:t>and</w:t>
            </w:r>
            <w:r w:rsidRPr="00361139">
              <w:rPr>
                <w:spacing w:val="-7"/>
                <w:lang w:val="en-GB"/>
              </w:rPr>
              <w:t xml:space="preserve"> </w:t>
            </w:r>
            <w:r w:rsidRPr="00361139">
              <w:rPr>
                <w:lang w:val="en-GB"/>
              </w:rPr>
              <w:t>wastes</w:t>
            </w:r>
            <w:r w:rsidRPr="00361139">
              <w:rPr>
                <w:spacing w:val="-5"/>
                <w:lang w:val="en-GB"/>
              </w:rPr>
              <w:t xml:space="preserve"> </w:t>
            </w:r>
            <w:r w:rsidRPr="00361139">
              <w:rPr>
                <w:lang w:val="en-GB"/>
              </w:rPr>
              <w:t>focal area;</w:t>
            </w:r>
          </w:p>
          <w:p w14:paraId="07AB5E5D" w14:textId="77777777" w:rsidR="00CC73DD" w:rsidRPr="00361139" w:rsidRDefault="00CC73DD" w:rsidP="00F249E7">
            <w:pPr>
              <w:pStyle w:val="Normal-pool-Table"/>
              <w:rPr>
                <w:lang w:val="en-GB"/>
              </w:rPr>
            </w:pPr>
            <w:r w:rsidRPr="00361139">
              <w:rPr>
                <w:lang w:val="en-GB"/>
              </w:rPr>
              <w:t>Promote</w:t>
            </w:r>
            <w:r w:rsidRPr="00361139">
              <w:rPr>
                <w:spacing w:val="-13"/>
                <w:lang w:val="en-GB"/>
              </w:rPr>
              <w:t xml:space="preserve"> </w:t>
            </w:r>
            <w:r w:rsidRPr="00361139">
              <w:rPr>
                <w:lang w:val="en-GB"/>
              </w:rPr>
              <w:t>multiple-source</w:t>
            </w:r>
            <w:r w:rsidRPr="00361139">
              <w:rPr>
                <w:spacing w:val="-12"/>
                <w:lang w:val="en-GB"/>
              </w:rPr>
              <w:t xml:space="preserve"> </w:t>
            </w:r>
            <w:r w:rsidRPr="00361139">
              <w:rPr>
                <w:lang w:val="en-GB"/>
              </w:rPr>
              <w:t>funding</w:t>
            </w:r>
            <w:r w:rsidRPr="00361139">
              <w:rPr>
                <w:spacing w:val="-13"/>
                <w:lang w:val="en-GB"/>
              </w:rPr>
              <w:t xml:space="preserve"> </w:t>
            </w:r>
            <w:r w:rsidRPr="00361139">
              <w:rPr>
                <w:lang w:val="en-GB"/>
              </w:rPr>
              <w:t>approaches, mechanisms and arrangements, including from the private sector, if applicable; and</w:t>
            </w:r>
          </w:p>
          <w:p w14:paraId="544FBF38" w14:textId="77777777" w:rsidR="00CC73DD" w:rsidRPr="00361139" w:rsidRDefault="00CC73DD" w:rsidP="00F249E7">
            <w:pPr>
              <w:pStyle w:val="Normal-pool-Table"/>
              <w:rPr>
                <w:lang w:val="en-GB"/>
              </w:rPr>
            </w:pPr>
            <w:r w:rsidRPr="00361139">
              <w:rPr>
                <w:lang w:val="en-GB"/>
              </w:rPr>
              <w:t>Promote sustainable national socioeconomic development, poverty reduction and activities consistent with existing national sound environmental</w:t>
            </w:r>
            <w:r w:rsidRPr="00361139">
              <w:rPr>
                <w:spacing w:val="-13"/>
                <w:lang w:val="en-GB"/>
              </w:rPr>
              <w:t xml:space="preserve"> </w:t>
            </w:r>
            <w:r w:rsidRPr="00361139">
              <w:rPr>
                <w:lang w:val="en-GB"/>
              </w:rPr>
              <w:t>management</w:t>
            </w:r>
            <w:r w:rsidRPr="00361139">
              <w:rPr>
                <w:spacing w:val="-12"/>
                <w:lang w:val="en-GB"/>
              </w:rPr>
              <w:t xml:space="preserve"> </w:t>
            </w:r>
            <w:r w:rsidRPr="00361139">
              <w:rPr>
                <w:lang w:val="en-GB"/>
              </w:rPr>
              <w:t>programmes</w:t>
            </w:r>
            <w:r w:rsidRPr="00361139">
              <w:rPr>
                <w:spacing w:val="-12"/>
                <w:lang w:val="en-GB"/>
              </w:rPr>
              <w:t xml:space="preserve"> </w:t>
            </w:r>
            <w:r w:rsidRPr="00361139">
              <w:rPr>
                <w:lang w:val="en-GB"/>
              </w:rPr>
              <w:t>geared towards the protection of human health and the environment.</w:t>
            </w:r>
          </w:p>
        </w:tc>
        <w:tc>
          <w:tcPr>
            <w:tcW w:w="4517" w:type="dxa"/>
          </w:tcPr>
          <w:p w14:paraId="1267B258" w14:textId="77777777" w:rsidR="00CC73DD" w:rsidRPr="00361139" w:rsidRDefault="00CC73DD" w:rsidP="00F249E7">
            <w:pPr>
              <w:pStyle w:val="Normal-pool-Table"/>
              <w:rPr>
                <w:lang w:val="en-GB"/>
              </w:rPr>
            </w:pPr>
            <w:r w:rsidRPr="00361139">
              <w:rPr>
                <w:lang w:val="en-GB"/>
              </w:rPr>
              <w:t>This</w:t>
            </w:r>
            <w:r w:rsidRPr="00361139">
              <w:rPr>
                <w:spacing w:val="-5"/>
                <w:lang w:val="en-GB"/>
              </w:rPr>
              <w:t xml:space="preserve"> </w:t>
            </w:r>
            <w:r w:rsidRPr="00361139">
              <w:rPr>
                <w:lang w:val="en-GB"/>
              </w:rPr>
              <w:t>guidance</w:t>
            </w:r>
            <w:r w:rsidRPr="00361139">
              <w:rPr>
                <w:spacing w:val="-5"/>
                <w:lang w:val="en-GB"/>
              </w:rPr>
              <w:t xml:space="preserve"> </w:t>
            </w:r>
            <w:r w:rsidRPr="00361139">
              <w:rPr>
                <w:lang w:val="en-GB"/>
              </w:rPr>
              <w:t>was</w:t>
            </w:r>
            <w:r w:rsidRPr="00361139">
              <w:rPr>
                <w:spacing w:val="-5"/>
                <w:lang w:val="en-GB"/>
              </w:rPr>
              <w:t xml:space="preserve"> </w:t>
            </w:r>
            <w:r w:rsidRPr="00361139">
              <w:rPr>
                <w:lang w:val="en-GB"/>
              </w:rPr>
              <w:t>used</w:t>
            </w:r>
            <w:r w:rsidRPr="00361139">
              <w:rPr>
                <w:spacing w:val="-7"/>
                <w:lang w:val="en-GB"/>
              </w:rPr>
              <w:t xml:space="preserve"> </w:t>
            </w:r>
            <w:r w:rsidRPr="00361139">
              <w:rPr>
                <w:lang w:val="en-GB"/>
              </w:rPr>
              <w:t>to</w:t>
            </w:r>
            <w:r w:rsidRPr="00361139">
              <w:rPr>
                <w:spacing w:val="-5"/>
                <w:lang w:val="en-GB"/>
              </w:rPr>
              <w:t xml:space="preserve"> </w:t>
            </w:r>
            <w:r w:rsidRPr="00361139">
              <w:rPr>
                <w:lang w:val="en-GB"/>
              </w:rPr>
              <w:t>inform</w:t>
            </w:r>
            <w:r w:rsidRPr="00361139">
              <w:rPr>
                <w:spacing w:val="-5"/>
                <w:lang w:val="en-GB"/>
              </w:rPr>
              <w:t xml:space="preserve"> </w:t>
            </w:r>
            <w:r w:rsidRPr="00361139">
              <w:rPr>
                <w:lang w:val="en-GB"/>
              </w:rPr>
              <w:t>the</w:t>
            </w:r>
            <w:r w:rsidRPr="00361139">
              <w:rPr>
                <w:spacing w:val="-6"/>
                <w:lang w:val="en-GB"/>
              </w:rPr>
              <w:t xml:space="preserve"> </w:t>
            </w:r>
            <w:r w:rsidRPr="00361139">
              <w:rPr>
                <w:lang w:val="en-GB"/>
              </w:rPr>
              <w:t>GEF-6 and GEF-7 programming in and was addressed in the GEF-7 replenishment negotiations,</w:t>
            </w:r>
            <w:r w:rsidRPr="00361139">
              <w:rPr>
                <w:spacing w:val="-9"/>
                <w:lang w:val="en-GB"/>
              </w:rPr>
              <w:t xml:space="preserve"> </w:t>
            </w:r>
            <w:r w:rsidRPr="00361139">
              <w:rPr>
                <w:lang w:val="en-GB"/>
              </w:rPr>
              <w:t>which</w:t>
            </w:r>
            <w:r w:rsidRPr="00361139">
              <w:rPr>
                <w:spacing w:val="-9"/>
                <w:lang w:val="en-GB"/>
              </w:rPr>
              <w:t xml:space="preserve"> </w:t>
            </w:r>
            <w:r w:rsidRPr="00361139">
              <w:rPr>
                <w:lang w:val="en-GB"/>
              </w:rPr>
              <w:t>were</w:t>
            </w:r>
            <w:r w:rsidRPr="00361139">
              <w:rPr>
                <w:spacing w:val="-9"/>
                <w:lang w:val="en-GB"/>
              </w:rPr>
              <w:t xml:space="preserve"> </w:t>
            </w:r>
            <w:r w:rsidRPr="00361139">
              <w:rPr>
                <w:lang w:val="en-GB"/>
              </w:rPr>
              <w:t>concluded</w:t>
            </w:r>
            <w:r w:rsidRPr="00361139">
              <w:rPr>
                <w:spacing w:val="-8"/>
                <w:lang w:val="en-GB"/>
              </w:rPr>
              <w:t xml:space="preserve"> </w:t>
            </w:r>
            <w:r w:rsidRPr="00361139">
              <w:rPr>
                <w:lang w:val="en-GB"/>
              </w:rPr>
              <w:t>in</w:t>
            </w:r>
            <w:r w:rsidRPr="00361139">
              <w:rPr>
                <w:spacing w:val="-8"/>
                <w:lang w:val="en-GB"/>
              </w:rPr>
              <w:t xml:space="preserve"> </w:t>
            </w:r>
            <w:r w:rsidRPr="00361139">
              <w:rPr>
                <w:lang w:val="en-GB"/>
              </w:rPr>
              <w:t>April 2018. The new strategy is included in the summary of negotiations of GEF-7.</w:t>
            </w:r>
            <w:r w:rsidRPr="00361139">
              <w:rPr>
                <w:rStyle w:val="FootnoteReference"/>
                <w:rFonts w:asciiTheme="majorBidi" w:hAnsiTheme="majorBidi" w:cstheme="majorBidi"/>
                <w:sz w:val="18"/>
                <w:lang w:val="en-GB"/>
              </w:rPr>
              <w:footnoteReference w:id="70"/>
            </w:r>
          </w:p>
          <w:p w14:paraId="2F319C22" w14:textId="77777777" w:rsidR="00CC73DD" w:rsidRPr="00361139" w:rsidRDefault="00CC73DD" w:rsidP="00F249E7">
            <w:pPr>
              <w:pStyle w:val="Normal-pool-Table"/>
              <w:rPr>
                <w:lang w:val="en-GB"/>
              </w:rPr>
            </w:pPr>
          </w:p>
          <w:p w14:paraId="1D3F86BE"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2920D7F4" w14:textId="77777777" w:rsidR="00CC73DD" w:rsidRPr="00361139" w:rsidRDefault="00CC73DD" w:rsidP="00F249E7">
            <w:pPr>
              <w:pStyle w:val="Normal-pool-Table"/>
              <w:rPr>
                <w:lang w:val="en-GB"/>
              </w:rPr>
            </w:pPr>
            <w:r w:rsidRPr="00361139">
              <w:rPr>
                <w:lang w:val="en-GB"/>
              </w:rPr>
              <w:t>The projects approved in the GEF-7 period follow this guidance. Throughout GEF-7, there has been a focus on synergies within the</w:t>
            </w:r>
            <w:r w:rsidRPr="00361139">
              <w:rPr>
                <w:spacing w:val="-4"/>
                <w:lang w:val="en-GB"/>
              </w:rPr>
              <w:t xml:space="preserve"> </w:t>
            </w:r>
            <w:r w:rsidRPr="00361139">
              <w:rPr>
                <w:lang w:val="en-GB"/>
              </w:rPr>
              <w:t>chemicals</w:t>
            </w:r>
            <w:r w:rsidRPr="00361139">
              <w:rPr>
                <w:spacing w:val="-7"/>
                <w:lang w:val="en-GB"/>
              </w:rPr>
              <w:t xml:space="preserve"> </w:t>
            </w:r>
            <w:r w:rsidRPr="00361139">
              <w:rPr>
                <w:lang w:val="en-GB"/>
              </w:rPr>
              <w:t>and</w:t>
            </w:r>
            <w:r w:rsidRPr="00361139">
              <w:rPr>
                <w:spacing w:val="-6"/>
                <w:lang w:val="en-GB"/>
              </w:rPr>
              <w:t xml:space="preserve"> </w:t>
            </w:r>
            <w:r w:rsidRPr="00361139">
              <w:rPr>
                <w:lang w:val="en-GB"/>
              </w:rPr>
              <w:t>waste</w:t>
            </w:r>
            <w:r w:rsidRPr="00361139">
              <w:rPr>
                <w:spacing w:val="-5"/>
                <w:lang w:val="en-GB"/>
              </w:rPr>
              <w:t xml:space="preserve"> </w:t>
            </w:r>
            <w:r w:rsidRPr="00361139">
              <w:rPr>
                <w:lang w:val="en-GB"/>
              </w:rPr>
              <w:t>focal</w:t>
            </w:r>
            <w:r w:rsidRPr="00361139">
              <w:rPr>
                <w:spacing w:val="-6"/>
                <w:lang w:val="en-GB"/>
              </w:rPr>
              <w:t xml:space="preserve"> </w:t>
            </w:r>
            <w:r w:rsidRPr="00361139">
              <w:rPr>
                <w:lang w:val="en-GB"/>
              </w:rPr>
              <w:t>area</w:t>
            </w:r>
            <w:r w:rsidRPr="00361139">
              <w:rPr>
                <w:spacing w:val="-8"/>
                <w:lang w:val="en-GB"/>
              </w:rPr>
              <w:t xml:space="preserve"> </w:t>
            </w:r>
            <w:r w:rsidRPr="00361139">
              <w:rPr>
                <w:lang w:val="en-GB"/>
              </w:rPr>
              <w:t>and</w:t>
            </w:r>
            <w:r w:rsidRPr="00361139">
              <w:rPr>
                <w:spacing w:val="-5"/>
                <w:lang w:val="en-GB"/>
              </w:rPr>
              <w:t xml:space="preserve"> </w:t>
            </w:r>
            <w:r w:rsidRPr="00361139">
              <w:rPr>
                <w:lang w:val="en-GB"/>
              </w:rPr>
              <w:t>with other focal areas. Private sector engagement is also a priority. During the GEF-7 period, the 59</w:t>
            </w:r>
            <w:r w:rsidRPr="00361139">
              <w:rPr>
                <w:vertAlign w:val="superscript"/>
                <w:lang w:val="en-GB"/>
              </w:rPr>
              <w:t>th</w:t>
            </w:r>
            <w:r w:rsidRPr="00361139">
              <w:rPr>
                <w:lang w:val="en-GB"/>
              </w:rPr>
              <w:t xml:space="preserve"> GEF Council meeting in December 2020 approved GEF’s Private Sector Engagement Strategy (PSES).</w:t>
            </w:r>
            <w:r w:rsidRPr="00361139">
              <w:rPr>
                <w:rStyle w:val="FootnoteReference"/>
                <w:rFonts w:asciiTheme="majorBidi" w:hAnsiTheme="majorBidi" w:cstheme="majorBidi"/>
                <w:sz w:val="18"/>
                <w:lang w:val="en-GB"/>
              </w:rPr>
              <w:footnoteReference w:id="71"/>
            </w:r>
            <w:r w:rsidRPr="00361139">
              <w:rPr>
                <w:lang w:val="en-GB"/>
              </w:rPr>
              <w:t xml:space="preserve"> The PSES is supported by an Implementation Plan that sets out actions and deliverables up to the end of the GEF-7 period. The Implementing Sustainable Low and Non- Chemical Development in SIDS (ISLANDS) Program achieves synergies across the chemicals and waste focal area while the project Integrated</w:t>
            </w:r>
            <w:r w:rsidRPr="00361139">
              <w:rPr>
                <w:spacing w:val="-1"/>
                <w:lang w:val="en-GB"/>
              </w:rPr>
              <w:t xml:space="preserve"> </w:t>
            </w:r>
            <w:r w:rsidRPr="00361139">
              <w:rPr>
                <w:lang w:val="en-GB"/>
              </w:rPr>
              <w:t>Watershed</w:t>
            </w:r>
            <w:r w:rsidRPr="00361139">
              <w:rPr>
                <w:spacing w:val="-1"/>
                <w:lang w:val="en-GB"/>
              </w:rPr>
              <w:t xml:space="preserve"> </w:t>
            </w:r>
            <w:r w:rsidRPr="00361139">
              <w:rPr>
                <w:lang w:val="en-GB"/>
              </w:rPr>
              <w:t>Management of the Putumayo-</w:t>
            </w:r>
            <w:proofErr w:type="spellStart"/>
            <w:r w:rsidRPr="00361139">
              <w:rPr>
                <w:lang w:val="en-GB"/>
              </w:rPr>
              <w:t>Içá</w:t>
            </w:r>
            <w:proofErr w:type="spellEnd"/>
            <w:r w:rsidRPr="00361139">
              <w:rPr>
                <w:lang w:val="en-GB"/>
              </w:rPr>
              <w:t xml:space="preserve"> River Basin combines mercury and international water resources as a multi-focal area project in Brazil, Colombia, Ecuador and Peru.</w:t>
            </w:r>
          </w:p>
          <w:p w14:paraId="6C097691" w14:textId="77777777" w:rsidR="00CC73DD" w:rsidRPr="00361139" w:rsidRDefault="00CC73DD" w:rsidP="00F249E7">
            <w:pPr>
              <w:pStyle w:val="Normal-pool-Table"/>
              <w:rPr>
                <w:lang w:val="en-GB"/>
              </w:rPr>
            </w:pPr>
            <w:r w:rsidRPr="00361139">
              <w:rPr>
                <w:lang w:val="en-GB"/>
              </w:rPr>
              <w:t>Several</w:t>
            </w:r>
            <w:r w:rsidRPr="00361139">
              <w:rPr>
                <w:spacing w:val="-7"/>
                <w:lang w:val="en-GB"/>
              </w:rPr>
              <w:t xml:space="preserve"> </w:t>
            </w:r>
            <w:r w:rsidRPr="00361139">
              <w:rPr>
                <w:lang w:val="en-GB"/>
              </w:rPr>
              <w:t>standalone</w:t>
            </w:r>
            <w:r w:rsidRPr="00361139">
              <w:rPr>
                <w:spacing w:val="-5"/>
                <w:lang w:val="en-GB"/>
              </w:rPr>
              <w:t xml:space="preserve"> </w:t>
            </w:r>
            <w:r w:rsidRPr="00361139">
              <w:rPr>
                <w:lang w:val="en-GB"/>
              </w:rPr>
              <w:t>Minamata</w:t>
            </w:r>
            <w:r w:rsidRPr="00361139">
              <w:rPr>
                <w:spacing w:val="-3"/>
                <w:lang w:val="en-GB"/>
              </w:rPr>
              <w:t xml:space="preserve"> </w:t>
            </w:r>
            <w:r w:rsidRPr="00361139">
              <w:rPr>
                <w:lang w:val="en-GB"/>
              </w:rPr>
              <w:t xml:space="preserve">Convention projects have additional benefits to other focal areas including GEF-7 </w:t>
            </w:r>
            <w:proofErr w:type="spellStart"/>
            <w:r w:rsidRPr="00361139">
              <w:rPr>
                <w:lang w:val="en-GB"/>
              </w:rPr>
              <w:t>planetGOLD</w:t>
            </w:r>
            <w:proofErr w:type="spellEnd"/>
            <w:r w:rsidRPr="00361139">
              <w:rPr>
                <w:lang w:val="en-GB"/>
              </w:rPr>
              <w:t>+ program</w:t>
            </w:r>
            <w:r w:rsidRPr="00361139">
              <w:rPr>
                <w:spacing w:val="-4"/>
                <w:lang w:val="en-GB"/>
              </w:rPr>
              <w:t xml:space="preserve"> </w:t>
            </w:r>
            <w:r w:rsidRPr="00361139">
              <w:rPr>
                <w:lang w:val="en-GB"/>
              </w:rPr>
              <w:t>and</w:t>
            </w:r>
            <w:r w:rsidRPr="00361139">
              <w:rPr>
                <w:spacing w:val="-6"/>
                <w:lang w:val="en-GB"/>
              </w:rPr>
              <w:t xml:space="preserve"> </w:t>
            </w:r>
            <w:r w:rsidRPr="00361139">
              <w:rPr>
                <w:lang w:val="en-GB"/>
              </w:rPr>
              <w:t>the</w:t>
            </w:r>
            <w:r w:rsidRPr="00361139">
              <w:rPr>
                <w:spacing w:val="-5"/>
                <w:lang w:val="en-GB"/>
              </w:rPr>
              <w:t xml:space="preserve"> </w:t>
            </w:r>
            <w:r w:rsidRPr="00361139">
              <w:rPr>
                <w:lang w:val="en-GB"/>
              </w:rPr>
              <w:t>Mexico</w:t>
            </w:r>
            <w:r w:rsidRPr="00361139">
              <w:rPr>
                <w:spacing w:val="-3"/>
                <w:lang w:val="en-GB"/>
              </w:rPr>
              <w:t xml:space="preserve"> </w:t>
            </w:r>
            <w:r w:rsidRPr="00361139">
              <w:rPr>
                <w:lang w:val="en-GB"/>
              </w:rPr>
              <w:t>primary</w:t>
            </w:r>
            <w:r w:rsidRPr="00361139">
              <w:rPr>
                <w:spacing w:val="-6"/>
                <w:lang w:val="en-GB"/>
              </w:rPr>
              <w:t xml:space="preserve"> </w:t>
            </w:r>
            <w:r w:rsidRPr="00361139">
              <w:rPr>
                <w:lang w:val="en-GB"/>
              </w:rPr>
              <w:t>mercury which</w:t>
            </w:r>
            <w:r w:rsidRPr="00361139">
              <w:rPr>
                <w:spacing w:val="-7"/>
                <w:lang w:val="en-GB"/>
              </w:rPr>
              <w:t xml:space="preserve"> </w:t>
            </w:r>
            <w:r w:rsidRPr="00361139">
              <w:rPr>
                <w:lang w:val="en-GB"/>
              </w:rPr>
              <w:t>both</w:t>
            </w:r>
            <w:r w:rsidRPr="00361139">
              <w:rPr>
                <w:spacing w:val="-7"/>
                <w:lang w:val="en-GB"/>
              </w:rPr>
              <w:t xml:space="preserve"> </w:t>
            </w:r>
            <w:r w:rsidRPr="00361139">
              <w:rPr>
                <w:lang w:val="en-GB"/>
              </w:rPr>
              <w:t>have</w:t>
            </w:r>
            <w:r w:rsidRPr="00361139">
              <w:rPr>
                <w:spacing w:val="-7"/>
                <w:lang w:val="en-GB"/>
              </w:rPr>
              <w:t xml:space="preserve"> </w:t>
            </w:r>
            <w:r w:rsidRPr="00361139">
              <w:rPr>
                <w:lang w:val="en-GB"/>
              </w:rPr>
              <w:t>GEBs</w:t>
            </w:r>
            <w:r w:rsidRPr="00361139">
              <w:rPr>
                <w:spacing w:val="-8"/>
                <w:lang w:val="en-GB"/>
              </w:rPr>
              <w:t xml:space="preserve"> </w:t>
            </w:r>
            <w:r w:rsidRPr="00361139">
              <w:rPr>
                <w:lang w:val="en-GB"/>
              </w:rPr>
              <w:t>associated</w:t>
            </w:r>
            <w:r w:rsidRPr="00361139">
              <w:rPr>
                <w:spacing w:val="-8"/>
                <w:lang w:val="en-GB"/>
              </w:rPr>
              <w:t xml:space="preserve"> </w:t>
            </w:r>
            <w:r w:rsidRPr="00361139">
              <w:rPr>
                <w:lang w:val="en-GB"/>
              </w:rPr>
              <w:t>with</w:t>
            </w:r>
            <w:r w:rsidRPr="00361139">
              <w:rPr>
                <w:spacing w:val="-7"/>
                <w:lang w:val="en-GB"/>
              </w:rPr>
              <w:t xml:space="preserve"> </w:t>
            </w:r>
            <w:r w:rsidRPr="00361139">
              <w:rPr>
                <w:lang w:val="en-GB"/>
              </w:rPr>
              <w:t>the Land Degradation Focal Area.</w:t>
            </w:r>
          </w:p>
        </w:tc>
      </w:tr>
      <w:tr w:rsidR="00CC73DD" w:rsidRPr="00361139" w14:paraId="1AB67686" w14:textId="77777777" w:rsidTr="00773BFB">
        <w:trPr>
          <w:trHeight w:val="57"/>
          <w:jc w:val="right"/>
        </w:trPr>
        <w:tc>
          <w:tcPr>
            <w:tcW w:w="9486" w:type="dxa"/>
            <w:gridSpan w:val="3"/>
          </w:tcPr>
          <w:p w14:paraId="75E2D947" w14:textId="77777777" w:rsidR="00CC73DD" w:rsidRPr="00361139" w:rsidRDefault="00CC73DD" w:rsidP="000C76AC">
            <w:pPr>
              <w:pStyle w:val="Normal-pool-Table"/>
              <w:numPr>
                <w:ilvl w:val="0"/>
                <w:numId w:val="21"/>
              </w:numPr>
              <w:tabs>
                <w:tab w:val="clear" w:pos="624"/>
              </w:tabs>
              <w:ind w:left="454" w:hanging="454"/>
              <w:rPr>
                <w:b/>
                <w:bCs/>
                <w:lang w:val="en-GB"/>
              </w:rPr>
            </w:pPr>
            <w:r w:rsidRPr="00361139">
              <w:rPr>
                <w:b/>
                <w:bCs/>
                <w:lang w:val="en-GB"/>
              </w:rPr>
              <w:t>Programme priorities</w:t>
            </w:r>
          </w:p>
        </w:tc>
      </w:tr>
      <w:tr w:rsidR="00CC73DD" w:rsidRPr="00361139" w14:paraId="14B0BF51" w14:textId="77777777" w:rsidTr="00773BFB">
        <w:trPr>
          <w:trHeight w:val="57"/>
          <w:jc w:val="right"/>
        </w:trPr>
        <w:tc>
          <w:tcPr>
            <w:tcW w:w="453" w:type="dxa"/>
          </w:tcPr>
          <w:p w14:paraId="64EDC4B9" w14:textId="77777777" w:rsidR="00CC73DD" w:rsidRPr="00361139" w:rsidRDefault="00CC73DD" w:rsidP="00F249E7">
            <w:pPr>
              <w:pStyle w:val="Normal-pool-Table"/>
              <w:rPr>
                <w:lang w:val="en-GB"/>
              </w:rPr>
            </w:pPr>
            <w:r w:rsidRPr="00361139">
              <w:rPr>
                <w:lang w:val="en-GB"/>
              </w:rPr>
              <w:t>6</w:t>
            </w:r>
          </w:p>
        </w:tc>
        <w:tc>
          <w:tcPr>
            <w:tcW w:w="4516" w:type="dxa"/>
          </w:tcPr>
          <w:p w14:paraId="10A0E971" w14:textId="77777777" w:rsidR="00CC73DD" w:rsidRPr="00361139" w:rsidRDefault="00CC73DD" w:rsidP="00F249E7">
            <w:pPr>
              <w:pStyle w:val="Normal-pool-Table"/>
              <w:rPr>
                <w:lang w:val="en-GB"/>
              </w:rPr>
            </w:pPr>
            <w:r w:rsidRPr="00361139">
              <w:rPr>
                <w:lang w:val="en-GB"/>
              </w:rPr>
              <w:t>In</w:t>
            </w:r>
            <w:r w:rsidRPr="00361139">
              <w:rPr>
                <w:spacing w:val="-6"/>
                <w:lang w:val="en-GB"/>
              </w:rPr>
              <w:t xml:space="preserve"> </w:t>
            </w:r>
            <w:r w:rsidRPr="00361139">
              <w:rPr>
                <w:lang w:val="en-GB"/>
              </w:rPr>
              <w:t>accordance</w:t>
            </w:r>
            <w:r w:rsidRPr="00361139">
              <w:rPr>
                <w:spacing w:val="-3"/>
                <w:lang w:val="en-GB"/>
              </w:rPr>
              <w:t xml:space="preserve"> </w:t>
            </w:r>
            <w:r w:rsidRPr="00361139">
              <w:rPr>
                <w:lang w:val="en-GB"/>
              </w:rPr>
              <w:t>with</w:t>
            </w:r>
            <w:r w:rsidRPr="00361139">
              <w:rPr>
                <w:spacing w:val="-4"/>
                <w:lang w:val="en-GB"/>
              </w:rPr>
              <w:t xml:space="preserve"> </w:t>
            </w:r>
            <w:r w:rsidRPr="00361139">
              <w:rPr>
                <w:lang w:val="en-GB"/>
              </w:rPr>
              <w:t>Article</w:t>
            </w:r>
            <w:r w:rsidRPr="00361139">
              <w:rPr>
                <w:spacing w:val="-6"/>
                <w:lang w:val="en-GB"/>
              </w:rPr>
              <w:t xml:space="preserve"> </w:t>
            </w:r>
            <w:r w:rsidRPr="00361139">
              <w:rPr>
                <w:lang w:val="en-GB"/>
              </w:rPr>
              <w:t>13,</w:t>
            </w:r>
            <w:r w:rsidRPr="00361139">
              <w:rPr>
                <w:spacing w:val="-4"/>
                <w:lang w:val="en-GB"/>
              </w:rPr>
              <w:t xml:space="preserve"> </w:t>
            </w:r>
            <w:r w:rsidRPr="00361139">
              <w:rPr>
                <w:lang w:val="en-GB"/>
              </w:rPr>
              <w:t>paragraph</w:t>
            </w:r>
            <w:r w:rsidRPr="00361139">
              <w:rPr>
                <w:spacing w:val="-6"/>
                <w:lang w:val="en-GB"/>
              </w:rPr>
              <w:t xml:space="preserve"> </w:t>
            </w:r>
            <w:r w:rsidRPr="00361139">
              <w:rPr>
                <w:lang w:val="en-GB"/>
              </w:rPr>
              <w:t>7,</w:t>
            </w:r>
            <w:r w:rsidRPr="00361139">
              <w:rPr>
                <w:spacing w:val="-8"/>
                <w:lang w:val="en-GB"/>
              </w:rPr>
              <w:t xml:space="preserve"> </w:t>
            </w:r>
            <w:r w:rsidRPr="00361139">
              <w:rPr>
                <w:lang w:val="en-GB"/>
              </w:rPr>
              <w:t>of</w:t>
            </w:r>
            <w:r w:rsidRPr="00361139">
              <w:rPr>
                <w:spacing w:val="-7"/>
                <w:lang w:val="en-GB"/>
              </w:rPr>
              <w:t xml:space="preserve"> </w:t>
            </w:r>
            <w:r w:rsidRPr="00361139">
              <w:rPr>
                <w:lang w:val="en-GB"/>
              </w:rPr>
              <w:t>the Convention, the GEF trust fund shall provide resources to meet the agreed incremental costs of global environmental benefits and the agreed full costs of some enabling activities.</w:t>
            </w:r>
          </w:p>
        </w:tc>
        <w:tc>
          <w:tcPr>
            <w:tcW w:w="4517" w:type="dxa"/>
          </w:tcPr>
          <w:p w14:paraId="08284DAD" w14:textId="77777777" w:rsidR="00CC73DD" w:rsidRPr="00361139" w:rsidRDefault="00CC73DD" w:rsidP="00F249E7">
            <w:pPr>
              <w:pStyle w:val="Normal-pool-Table"/>
              <w:rPr>
                <w:lang w:val="en-GB"/>
              </w:rPr>
            </w:pPr>
            <w:r w:rsidRPr="00361139">
              <w:rPr>
                <w:lang w:val="en-GB"/>
              </w:rPr>
              <w:t>This is</w:t>
            </w:r>
            <w:r w:rsidRPr="00361139">
              <w:rPr>
                <w:spacing w:val="-1"/>
                <w:lang w:val="en-GB"/>
              </w:rPr>
              <w:t xml:space="preserve"> </w:t>
            </w:r>
            <w:r w:rsidRPr="00361139">
              <w:rPr>
                <w:lang w:val="en-GB"/>
              </w:rPr>
              <w:t>reflected in</w:t>
            </w:r>
            <w:r w:rsidRPr="00361139">
              <w:rPr>
                <w:spacing w:val="-3"/>
                <w:lang w:val="en-GB"/>
              </w:rPr>
              <w:t xml:space="preserve"> </w:t>
            </w:r>
            <w:r w:rsidRPr="00361139">
              <w:rPr>
                <w:lang w:val="en-GB"/>
              </w:rPr>
              <w:t>the</w:t>
            </w:r>
            <w:r w:rsidRPr="00361139">
              <w:rPr>
                <w:spacing w:val="1"/>
                <w:lang w:val="en-GB"/>
              </w:rPr>
              <w:t xml:space="preserve"> </w:t>
            </w:r>
            <w:r w:rsidRPr="00361139">
              <w:rPr>
                <w:lang w:val="en-GB"/>
              </w:rPr>
              <w:t>GEF</w:t>
            </w:r>
            <w:r w:rsidRPr="00361139">
              <w:rPr>
                <w:spacing w:val="-3"/>
                <w:lang w:val="en-GB"/>
              </w:rPr>
              <w:t xml:space="preserve"> </w:t>
            </w:r>
            <w:r w:rsidRPr="00361139">
              <w:rPr>
                <w:lang w:val="en-GB"/>
              </w:rPr>
              <w:t>strategies.</w:t>
            </w:r>
          </w:p>
          <w:p w14:paraId="0D388D1D" w14:textId="77777777" w:rsidR="00CC73DD" w:rsidRPr="00361139" w:rsidRDefault="00CC73DD" w:rsidP="00F249E7">
            <w:pPr>
              <w:pStyle w:val="Normal-pool-Table"/>
              <w:rPr>
                <w:lang w:val="en-GB"/>
              </w:rPr>
            </w:pPr>
            <w:r w:rsidRPr="00361139">
              <w:rPr>
                <w:lang w:val="en-GB"/>
              </w:rPr>
              <w:t>In</w:t>
            </w:r>
            <w:r w:rsidRPr="00361139">
              <w:rPr>
                <w:spacing w:val="-7"/>
                <w:lang w:val="en-GB"/>
              </w:rPr>
              <w:t xml:space="preserve"> </w:t>
            </w:r>
            <w:r w:rsidRPr="00361139">
              <w:rPr>
                <w:lang w:val="en-GB"/>
              </w:rPr>
              <w:t>GEF-7,</w:t>
            </w:r>
            <w:r w:rsidRPr="00361139">
              <w:rPr>
                <w:spacing w:val="-7"/>
                <w:lang w:val="en-GB"/>
              </w:rPr>
              <w:t xml:space="preserve"> </w:t>
            </w:r>
            <w:r w:rsidRPr="00361139">
              <w:rPr>
                <w:lang w:val="en-GB"/>
              </w:rPr>
              <w:t>$206</w:t>
            </w:r>
            <w:r w:rsidRPr="00361139">
              <w:rPr>
                <w:spacing w:val="-7"/>
                <w:lang w:val="en-GB"/>
              </w:rPr>
              <w:t xml:space="preserve"> </w:t>
            </w:r>
            <w:r w:rsidRPr="00361139">
              <w:rPr>
                <w:lang w:val="en-GB"/>
              </w:rPr>
              <w:t>million</w:t>
            </w:r>
            <w:r w:rsidRPr="00361139">
              <w:rPr>
                <w:spacing w:val="-7"/>
                <w:lang w:val="en-GB"/>
              </w:rPr>
              <w:t xml:space="preserve"> </w:t>
            </w:r>
            <w:r w:rsidRPr="00361139">
              <w:rPr>
                <w:lang w:val="en-GB"/>
              </w:rPr>
              <w:t>is</w:t>
            </w:r>
            <w:r w:rsidRPr="00361139">
              <w:rPr>
                <w:spacing w:val="-3"/>
                <w:lang w:val="en-GB"/>
              </w:rPr>
              <w:t xml:space="preserve"> </w:t>
            </w:r>
            <w:r w:rsidRPr="00361139">
              <w:rPr>
                <w:lang w:val="en-GB"/>
              </w:rPr>
              <w:t>allocated</w:t>
            </w:r>
            <w:r w:rsidRPr="00361139">
              <w:rPr>
                <w:spacing w:val="-7"/>
                <w:lang w:val="en-GB"/>
              </w:rPr>
              <w:t xml:space="preserve"> </w:t>
            </w:r>
            <w:r w:rsidRPr="00361139">
              <w:rPr>
                <w:lang w:val="en-GB"/>
              </w:rPr>
              <w:t>for</w:t>
            </w:r>
            <w:r w:rsidRPr="00361139">
              <w:rPr>
                <w:spacing w:val="-7"/>
                <w:lang w:val="en-GB"/>
              </w:rPr>
              <w:t xml:space="preserve"> </w:t>
            </w:r>
            <w:r w:rsidRPr="00361139">
              <w:rPr>
                <w:lang w:val="en-GB"/>
              </w:rPr>
              <w:t>the implementation of the Minamata Convention. The GEF has programmed resources to</w:t>
            </w:r>
            <w:r w:rsidRPr="00361139">
              <w:rPr>
                <w:spacing w:val="-1"/>
                <w:lang w:val="en-GB"/>
              </w:rPr>
              <w:t xml:space="preserve"> </w:t>
            </w:r>
            <w:r w:rsidRPr="00361139">
              <w:rPr>
                <w:lang w:val="en-GB"/>
              </w:rPr>
              <w:t>meet</w:t>
            </w:r>
            <w:r w:rsidRPr="00361139">
              <w:rPr>
                <w:spacing w:val="-1"/>
                <w:lang w:val="en-GB"/>
              </w:rPr>
              <w:t xml:space="preserve"> </w:t>
            </w:r>
            <w:r w:rsidRPr="00361139">
              <w:rPr>
                <w:lang w:val="en-GB"/>
              </w:rPr>
              <w:t>the full</w:t>
            </w:r>
            <w:r w:rsidRPr="00361139">
              <w:rPr>
                <w:spacing w:val="-1"/>
                <w:lang w:val="en-GB"/>
              </w:rPr>
              <w:t xml:space="preserve"> </w:t>
            </w:r>
            <w:r w:rsidRPr="00361139">
              <w:rPr>
                <w:lang w:val="en-GB"/>
              </w:rPr>
              <w:t>cost</w:t>
            </w:r>
            <w:r w:rsidRPr="00361139">
              <w:rPr>
                <w:spacing w:val="-1"/>
                <w:lang w:val="en-GB"/>
              </w:rPr>
              <w:t xml:space="preserve"> </w:t>
            </w:r>
            <w:r w:rsidRPr="00361139">
              <w:rPr>
                <w:lang w:val="en-GB"/>
              </w:rPr>
              <w:t>of</w:t>
            </w:r>
            <w:r w:rsidRPr="00361139">
              <w:rPr>
                <w:spacing w:val="-1"/>
                <w:lang w:val="en-GB"/>
              </w:rPr>
              <w:t xml:space="preserve"> </w:t>
            </w:r>
            <w:r w:rsidRPr="00361139">
              <w:rPr>
                <w:lang w:val="en-GB"/>
              </w:rPr>
              <w:t>the</w:t>
            </w:r>
            <w:r w:rsidRPr="00361139">
              <w:rPr>
                <w:spacing w:val="-1"/>
                <w:lang w:val="en-GB"/>
              </w:rPr>
              <w:t xml:space="preserve"> </w:t>
            </w:r>
            <w:r w:rsidRPr="00361139">
              <w:rPr>
                <w:lang w:val="en-GB"/>
              </w:rPr>
              <w:t>MIAs and the ASGM NAPs. The GEF has programmed</w:t>
            </w:r>
            <w:r w:rsidRPr="00361139">
              <w:rPr>
                <w:spacing w:val="-11"/>
                <w:lang w:val="en-GB"/>
              </w:rPr>
              <w:t xml:space="preserve"> </w:t>
            </w:r>
            <w:r w:rsidRPr="00361139">
              <w:rPr>
                <w:lang w:val="en-GB"/>
              </w:rPr>
              <w:t>resources</w:t>
            </w:r>
            <w:r w:rsidRPr="00361139">
              <w:rPr>
                <w:spacing w:val="-11"/>
                <w:lang w:val="en-GB"/>
              </w:rPr>
              <w:t xml:space="preserve"> </w:t>
            </w:r>
            <w:r w:rsidRPr="00361139">
              <w:rPr>
                <w:lang w:val="en-GB"/>
              </w:rPr>
              <w:t>for</w:t>
            </w:r>
            <w:r w:rsidRPr="00361139">
              <w:rPr>
                <w:spacing w:val="-13"/>
                <w:lang w:val="en-GB"/>
              </w:rPr>
              <w:t xml:space="preserve"> </w:t>
            </w:r>
            <w:r w:rsidRPr="00361139">
              <w:rPr>
                <w:lang w:val="en-GB"/>
              </w:rPr>
              <w:t>several</w:t>
            </w:r>
            <w:r w:rsidRPr="00361139">
              <w:rPr>
                <w:spacing w:val="-8"/>
                <w:lang w:val="en-GB"/>
              </w:rPr>
              <w:t xml:space="preserve"> </w:t>
            </w:r>
            <w:r w:rsidRPr="00361139">
              <w:rPr>
                <w:lang w:val="en-GB"/>
              </w:rPr>
              <w:t>projects that are aimed at early implementation, particularly in the ASGM sector.</w:t>
            </w:r>
          </w:p>
          <w:p w14:paraId="4D8A4BE7" w14:textId="77777777" w:rsidR="00CC73DD" w:rsidRPr="00361139" w:rsidRDefault="00CC73DD" w:rsidP="00F249E7">
            <w:pPr>
              <w:pStyle w:val="Normal-pool-Table"/>
              <w:rPr>
                <w:lang w:val="en-GB"/>
              </w:rPr>
            </w:pPr>
          </w:p>
          <w:p w14:paraId="4D8EC9DD"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79E3012B" w14:textId="77777777" w:rsidR="00CC73DD" w:rsidRPr="00361139" w:rsidRDefault="00CC73DD" w:rsidP="00F249E7">
            <w:pPr>
              <w:pStyle w:val="Normal-pool-Table"/>
              <w:rPr>
                <w:lang w:val="en-GB"/>
              </w:rPr>
            </w:pPr>
            <w:r w:rsidRPr="00361139">
              <w:rPr>
                <w:lang w:val="en-GB"/>
              </w:rPr>
              <w:t>In the GEF-7 period, the GEF has programmed</w:t>
            </w:r>
            <w:r w:rsidRPr="00361139">
              <w:rPr>
                <w:spacing w:val="-8"/>
                <w:lang w:val="en-GB"/>
              </w:rPr>
              <w:t xml:space="preserve"> </w:t>
            </w:r>
            <w:r w:rsidRPr="00361139">
              <w:rPr>
                <w:lang w:val="en-GB"/>
              </w:rPr>
              <w:t>resources</w:t>
            </w:r>
            <w:r w:rsidRPr="00361139">
              <w:rPr>
                <w:spacing w:val="-9"/>
                <w:lang w:val="en-GB"/>
              </w:rPr>
              <w:t xml:space="preserve"> </w:t>
            </w:r>
            <w:r w:rsidRPr="00361139">
              <w:rPr>
                <w:lang w:val="en-GB"/>
              </w:rPr>
              <w:t>to</w:t>
            </w:r>
            <w:r w:rsidRPr="00361139">
              <w:rPr>
                <w:spacing w:val="-8"/>
                <w:lang w:val="en-GB"/>
              </w:rPr>
              <w:t xml:space="preserve"> </w:t>
            </w:r>
            <w:r w:rsidRPr="00361139">
              <w:rPr>
                <w:lang w:val="en-GB"/>
              </w:rPr>
              <w:t>meet</w:t>
            </w:r>
            <w:r w:rsidRPr="00361139">
              <w:rPr>
                <w:spacing w:val="-6"/>
                <w:lang w:val="en-GB"/>
              </w:rPr>
              <w:t xml:space="preserve"> </w:t>
            </w:r>
            <w:r w:rsidRPr="00361139">
              <w:rPr>
                <w:lang w:val="en-GB"/>
              </w:rPr>
              <w:t>the</w:t>
            </w:r>
            <w:r w:rsidRPr="00361139">
              <w:rPr>
                <w:spacing w:val="-6"/>
                <w:lang w:val="en-GB"/>
              </w:rPr>
              <w:t xml:space="preserve"> </w:t>
            </w:r>
            <w:r w:rsidRPr="00361139">
              <w:rPr>
                <w:lang w:val="en-GB"/>
              </w:rPr>
              <w:t>full</w:t>
            </w:r>
            <w:r w:rsidRPr="00361139">
              <w:rPr>
                <w:spacing w:val="-6"/>
                <w:lang w:val="en-GB"/>
              </w:rPr>
              <w:t xml:space="preserve"> </w:t>
            </w:r>
            <w:r w:rsidRPr="00361139">
              <w:rPr>
                <w:lang w:val="en-GB"/>
              </w:rPr>
              <w:t>cost of the MIAs and the ASGM NAPs. Other programmed</w:t>
            </w:r>
            <w:r w:rsidRPr="00361139">
              <w:rPr>
                <w:spacing w:val="-5"/>
                <w:lang w:val="en-GB"/>
              </w:rPr>
              <w:t xml:space="preserve"> </w:t>
            </w:r>
            <w:r w:rsidRPr="00361139">
              <w:rPr>
                <w:lang w:val="en-GB"/>
              </w:rPr>
              <w:t>resources</w:t>
            </w:r>
            <w:r w:rsidRPr="00361139">
              <w:rPr>
                <w:spacing w:val="-6"/>
                <w:lang w:val="en-GB"/>
              </w:rPr>
              <w:t xml:space="preserve"> </w:t>
            </w:r>
            <w:r w:rsidRPr="00361139">
              <w:rPr>
                <w:lang w:val="en-GB"/>
              </w:rPr>
              <w:t>for</w:t>
            </w:r>
            <w:r w:rsidRPr="00361139">
              <w:rPr>
                <w:spacing w:val="-8"/>
                <w:lang w:val="en-GB"/>
              </w:rPr>
              <w:t xml:space="preserve"> </w:t>
            </w:r>
            <w:r w:rsidRPr="00361139">
              <w:rPr>
                <w:lang w:val="en-GB"/>
              </w:rPr>
              <w:t>projects</w:t>
            </w:r>
            <w:r w:rsidRPr="00361139">
              <w:rPr>
                <w:spacing w:val="-3"/>
                <w:lang w:val="en-GB"/>
              </w:rPr>
              <w:t xml:space="preserve"> </w:t>
            </w:r>
            <w:r w:rsidRPr="00361139">
              <w:rPr>
                <w:lang w:val="en-GB"/>
              </w:rPr>
              <w:t>that</w:t>
            </w:r>
            <w:r w:rsidRPr="00361139">
              <w:rPr>
                <w:spacing w:val="-4"/>
                <w:lang w:val="en-GB"/>
              </w:rPr>
              <w:t xml:space="preserve"> </w:t>
            </w:r>
            <w:r w:rsidRPr="00361139">
              <w:rPr>
                <w:lang w:val="en-GB"/>
              </w:rPr>
              <w:t xml:space="preserve">are aimed at early implementation address several areas of priorities of the Minamata Convention that meet the agreed incremental costs of mercury reduction, such as </w:t>
            </w:r>
            <w:proofErr w:type="spellStart"/>
            <w:r w:rsidRPr="00361139">
              <w:rPr>
                <w:lang w:val="en-GB"/>
              </w:rPr>
              <w:t>chlor</w:t>
            </w:r>
            <w:proofErr w:type="spellEnd"/>
            <w:r w:rsidRPr="00361139">
              <w:rPr>
                <w:lang w:val="en-GB"/>
              </w:rPr>
              <w:t xml:space="preserve"> alkali, mercury products including medical devices and ASGM. These projects estimate to address 1,629 metric tons of mercury.</w:t>
            </w:r>
          </w:p>
        </w:tc>
      </w:tr>
      <w:tr w:rsidR="00CC73DD" w:rsidRPr="00361139" w14:paraId="6E9AC260" w14:textId="77777777" w:rsidTr="00773BFB">
        <w:trPr>
          <w:trHeight w:val="57"/>
          <w:jc w:val="right"/>
        </w:trPr>
        <w:tc>
          <w:tcPr>
            <w:tcW w:w="453" w:type="dxa"/>
          </w:tcPr>
          <w:p w14:paraId="5BA84118" w14:textId="77777777" w:rsidR="00CC73DD" w:rsidRPr="00361139" w:rsidRDefault="00CC73DD" w:rsidP="00F249E7">
            <w:pPr>
              <w:pStyle w:val="Normal-pool-Table"/>
              <w:rPr>
                <w:lang w:val="en-GB"/>
              </w:rPr>
            </w:pPr>
            <w:r w:rsidRPr="00361139">
              <w:rPr>
                <w:lang w:val="en-GB"/>
              </w:rPr>
              <w:t>7</w:t>
            </w:r>
          </w:p>
        </w:tc>
        <w:tc>
          <w:tcPr>
            <w:tcW w:w="4516" w:type="dxa"/>
          </w:tcPr>
          <w:p w14:paraId="60D6182C" w14:textId="77777777" w:rsidR="00CC73DD" w:rsidRPr="00361139" w:rsidRDefault="00CC73DD" w:rsidP="00F249E7">
            <w:pPr>
              <w:pStyle w:val="Normal-pool-Table"/>
              <w:rPr>
                <w:lang w:val="en-GB"/>
              </w:rPr>
            </w:pPr>
            <w:proofErr w:type="gramStart"/>
            <w:r w:rsidRPr="00361139">
              <w:rPr>
                <w:lang w:val="en-GB"/>
              </w:rPr>
              <w:t>In particular, it</w:t>
            </w:r>
            <w:proofErr w:type="gramEnd"/>
            <w:r w:rsidRPr="00361139">
              <w:rPr>
                <w:lang w:val="en-GB"/>
              </w:rPr>
              <w:t xml:space="preserve"> should give priority to the following activities when</w:t>
            </w:r>
            <w:r w:rsidRPr="00361139">
              <w:rPr>
                <w:spacing w:val="-1"/>
                <w:lang w:val="en-GB"/>
              </w:rPr>
              <w:t xml:space="preserve"> </w:t>
            </w:r>
            <w:r w:rsidRPr="00361139">
              <w:rPr>
                <w:lang w:val="en-GB"/>
              </w:rPr>
              <w:t>providing financial resources</w:t>
            </w:r>
            <w:r w:rsidRPr="00361139">
              <w:rPr>
                <w:spacing w:val="-10"/>
                <w:lang w:val="en-GB"/>
              </w:rPr>
              <w:t xml:space="preserve"> </w:t>
            </w:r>
            <w:r w:rsidRPr="00361139">
              <w:rPr>
                <w:lang w:val="en-GB"/>
              </w:rPr>
              <w:t>to</w:t>
            </w:r>
            <w:r w:rsidRPr="00361139">
              <w:rPr>
                <w:spacing w:val="-8"/>
                <w:lang w:val="en-GB"/>
              </w:rPr>
              <w:t xml:space="preserve"> </w:t>
            </w:r>
            <w:r w:rsidRPr="00361139">
              <w:rPr>
                <w:lang w:val="en-GB"/>
              </w:rPr>
              <w:t>developing-country</w:t>
            </w:r>
            <w:r w:rsidRPr="00361139">
              <w:rPr>
                <w:spacing w:val="-9"/>
                <w:lang w:val="en-GB"/>
              </w:rPr>
              <w:t xml:space="preserve"> </w:t>
            </w:r>
            <w:r w:rsidRPr="00361139">
              <w:rPr>
                <w:lang w:val="en-GB"/>
              </w:rPr>
              <w:t>Parties</w:t>
            </w:r>
            <w:r w:rsidRPr="00361139">
              <w:rPr>
                <w:spacing w:val="-12"/>
                <w:lang w:val="en-GB"/>
              </w:rPr>
              <w:t xml:space="preserve"> </w:t>
            </w:r>
            <w:r w:rsidRPr="00361139">
              <w:rPr>
                <w:lang w:val="en-GB"/>
              </w:rPr>
              <w:t>and Parties with economies in transition:</w:t>
            </w:r>
          </w:p>
          <w:p w14:paraId="106A43C0" w14:textId="77777777" w:rsidR="00CC73DD" w:rsidRPr="00361139" w:rsidRDefault="00CC73DD" w:rsidP="00F249E7">
            <w:pPr>
              <w:pStyle w:val="Normal-pool-Table"/>
              <w:rPr>
                <w:lang w:val="en-GB"/>
              </w:rPr>
            </w:pPr>
            <w:r w:rsidRPr="00361139">
              <w:rPr>
                <w:lang w:val="en-GB"/>
              </w:rPr>
              <w:t>Enabling activities, particularly Minamata Convention initial assessment activities and national</w:t>
            </w:r>
            <w:r w:rsidRPr="00361139">
              <w:rPr>
                <w:spacing w:val="-6"/>
                <w:lang w:val="en-GB"/>
              </w:rPr>
              <w:t xml:space="preserve"> </w:t>
            </w:r>
            <w:r w:rsidRPr="00361139">
              <w:rPr>
                <w:lang w:val="en-GB"/>
              </w:rPr>
              <w:t>action</w:t>
            </w:r>
            <w:r w:rsidRPr="00361139">
              <w:rPr>
                <w:spacing w:val="-8"/>
                <w:lang w:val="en-GB"/>
              </w:rPr>
              <w:t xml:space="preserve"> </w:t>
            </w:r>
            <w:r w:rsidRPr="00361139">
              <w:rPr>
                <w:lang w:val="en-GB"/>
              </w:rPr>
              <w:t>plans</w:t>
            </w:r>
            <w:r w:rsidRPr="00361139">
              <w:rPr>
                <w:spacing w:val="-8"/>
                <w:lang w:val="en-GB"/>
              </w:rPr>
              <w:t xml:space="preserve"> </w:t>
            </w:r>
            <w:r w:rsidRPr="00361139">
              <w:rPr>
                <w:lang w:val="en-GB"/>
              </w:rPr>
              <w:t>for</w:t>
            </w:r>
            <w:r w:rsidRPr="00361139">
              <w:rPr>
                <w:spacing w:val="-10"/>
                <w:lang w:val="en-GB"/>
              </w:rPr>
              <w:t xml:space="preserve"> </w:t>
            </w:r>
            <w:r w:rsidRPr="00361139">
              <w:rPr>
                <w:lang w:val="en-GB"/>
              </w:rPr>
              <w:t>artisanal</w:t>
            </w:r>
            <w:r w:rsidRPr="00361139">
              <w:rPr>
                <w:spacing w:val="-6"/>
                <w:lang w:val="en-GB"/>
              </w:rPr>
              <w:t xml:space="preserve"> </w:t>
            </w:r>
            <w:r w:rsidRPr="00361139">
              <w:rPr>
                <w:lang w:val="en-GB"/>
              </w:rPr>
              <w:t>and</w:t>
            </w:r>
            <w:r w:rsidRPr="00361139">
              <w:rPr>
                <w:spacing w:val="-6"/>
                <w:lang w:val="en-GB"/>
              </w:rPr>
              <w:t xml:space="preserve"> </w:t>
            </w:r>
            <w:r w:rsidRPr="00361139">
              <w:rPr>
                <w:lang w:val="en-GB"/>
              </w:rPr>
              <w:t>small-scale gold mining;</w:t>
            </w:r>
          </w:p>
          <w:p w14:paraId="57B5E894" w14:textId="77777777" w:rsidR="00CC73DD" w:rsidRPr="00361139" w:rsidRDefault="00CC73DD" w:rsidP="00F249E7">
            <w:pPr>
              <w:pStyle w:val="Normal-pool-Table"/>
              <w:rPr>
                <w:lang w:val="en-GB"/>
              </w:rPr>
            </w:pPr>
            <w:r w:rsidRPr="00361139">
              <w:rPr>
                <w:lang w:val="en-GB"/>
              </w:rPr>
              <w:t>Activities</w:t>
            </w:r>
            <w:r w:rsidRPr="00361139">
              <w:rPr>
                <w:spacing w:val="-8"/>
                <w:lang w:val="en-GB"/>
              </w:rPr>
              <w:t xml:space="preserve"> </w:t>
            </w:r>
            <w:r w:rsidRPr="00361139">
              <w:rPr>
                <w:lang w:val="en-GB"/>
              </w:rPr>
              <w:t>to</w:t>
            </w:r>
            <w:r w:rsidRPr="00361139">
              <w:rPr>
                <w:spacing w:val="-7"/>
                <w:lang w:val="en-GB"/>
              </w:rPr>
              <w:t xml:space="preserve"> </w:t>
            </w:r>
            <w:r w:rsidRPr="00361139">
              <w:rPr>
                <w:lang w:val="en-GB"/>
              </w:rPr>
              <w:t>implement</w:t>
            </w:r>
            <w:r w:rsidRPr="00361139">
              <w:rPr>
                <w:spacing w:val="-8"/>
                <w:lang w:val="en-GB"/>
              </w:rPr>
              <w:t xml:space="preserve"> </w:t>
            </w:r>
            <w:r w:rsidRPr="00361139">
              <w:rPr>
                <w:lang w:val="en-GB"/>
              </w:rPr>
              <w:t>the</w:t>
            </w:r>
            <w:r w:rsidRPr="00361139">
              <w:rPr>
                <w:spacing w:val="-7"/>
                <w:lang w:val="en-GB"/>
              </w:rPr>
              <w:t xml:space="preserve"> </w:t>
            </w:r>
            <w:r w:rsidRPr="00361139">
              <w:rPr>
                <w:lang w:val="en-GB"/>
              </w:rPr>
              <w:t>provisions</w:t>
            </w:r>
            <w:r w:rsidRPr="00361139">
              <w:rPr>
                <w:spacing w:val="-8"/>
                <w:lang w:val="en-GB"/>
              </w:rPr>
              <w:t xml:space="preserve"> </w:t>
            </w:r>
            <w:r w:rsidRPr="00361139">
              <w:rPr>
                <w:lang w:val="en-GB"/>
              </w:rPr>
              <w:t>of</w:t>
            </w:r>
            <w:r w:rsidRPr="00361139">
              <w:rPr>
                <w:spacing w:val="-7"/>
                <w:lang w:val="en-GB"/>
              </w:rPr>
              <w:t xml:space="preserve"> </w:t>
            </w:r>
            <w:r w:rsidRPr="00361139">
              <w:rPr>
                <w:lang w:val="en-GB"/>
              </w:rPr>
              <w:t>the Convention, affording priority to those that:</w:t>
            </w:r>
          </w:p>
          <w:p w14:paraId="78A848B5" w14:textId="77777777" w:rsidR="00CC73DD" w:rsidRPr="00361139" w:rsidRDefault="00CC73DD" w:rsidP="00F249E7">
            <w:pPr>
              <w:pStyle w:val="Normal-pool-Table"/>
              <w:rPr>
                <w:lang w:val="en-GB"/>
              </w:rPr>
            </w:pPr>
            <w:r w:rsidRPr="00361139">
              <w:rPr>
                <w:lang w:val="en-GB"/>
              </w:rPr>
              <w:t>Relate</w:t>
            </w:r>
            <w:r w:rsidRPr="00361139">
              <w:rPr>
                <w:spacing w:val="-4"/>
                <w:lang w:val="en-GB"/>
              </w:rPr>
              <w:t xml:space="preserve"> </w:t>
            </w:r>
            <w:r w:rsidRPr="00361139">
              <w:rPr>
                <w:lang w:val="en-GB"/>
              </w:rPr>
              <w:t>to legally binding obligations;</w:t>
            </w:r>
          </w:p>
          <w:p w14:paraId="6AFA4AE0" w14:textId="77777777" w:rsidR="00CC73DD" w:rsidRPr="00361139" w:rsidRDefault="00CC73DD" w:rsidP="00F249E7">
            <w:pPr>
              <w:pStyle w:val="Normal-pool-Table"/>
              <w:rPr>
                <w:lang w:val="en-GB"/>
              </w:rPr>
            </w:pPr>
            <w:r w:rsidRPr="00361139">
              <w:rPr>
                <w:lang w:val="en-GB"/>
              </w:rPr>
              <w:lastRenderedPageBreak/>
              <w:t>Facilitate early</w:t>
            </w:r>
            <w:r w:rsidRPr="00361139">
              <w:rPr>
                <w:spacing w:val="-8"/>
                <w:lang w:val="en-GB"/>
              </w:rPr>
              <w:t xml:space="preserve"> </w:t>
            </w:r>
            <w:r w:rsidRPr="00361139">
              <w:rPr>
                <w:lang w:val="en-GB"/>
              </w:rPr>
              <w:t>implementation</w:t>
            </w:r>
            <w:r w:rsidRPr="00361139">
              <w:rPr>
                <w:spacing w:val="-10"/>
                <w:lang w:val="en-GB"/>
              </w:rPr>
              <w:t xml:space="preserve"> </w:t>
            </w:r>
            <w:r w:rsidRPr="00361139">
              <w:rPr>
                <w:lang w:val="en-GB"/>
              </w:rPr>
              <w:t>on</w:t>
            </w:r>
            <w:r w:rsidRPr="00361139">
              <w:rPr>
                <w:spacing w:val="-9"/>
                <w:lang w:val="en-GB"/>
              </w:rPr>
              <w:t xml:space="preserve"> </w:t>
            </w:r>
            <w:r w:rsidRPr="00361139">
              <w:rPr>
                <w:lang w:val="en-GB"/>
              </w:rPr>
              <w:t>entry</w:t>
            </w:r>
            <w:r w:rsidRPr="00361139">
              <w:rPr>
                <w:spacing w:val="-8"/>
                <w:lang w:val="en-GB"/>
              </w:rPr>
              <w:t xml:space="preserve"> </w:t>
            </w:r>
            <w:r w:rsidRPr="00361139">
              <w:rPr>
                <w:lang w:val="en-GB"/>
              </w:rPr>
              <w:t>into force of the Convention for a Party;</w:t>
            </w:r>
          </w:p>
          <w:p w14:paraId="1F176EC9" w14:textId="77777777" w:rsidR="00CC73DD" w:rsidRPr="00361139" w:rsidRDefault="00CC73DD" w:rsidP="00F249E7">
            <w:pPr>
              <w:pStyle w:val="Normal-pool-Table"/>
              <w:rPr>
                <w:lang w:val="en-GB"/>
              </w:rPr>
            </w:pPr>
            <w:r w:rsidRPr="00361139">
              <w:rPr>
                <w:lang w:val="en-GB"/>
              </w:rPr>
              <w:t>Allow</w:t>
            </w:r>
            <w:r w:rsidRPr="00361139">
              <w:rPr>
                <w:spacing w:val="-7"/>
                <w:lang w:val="en-GB"/>
              </w:rPr>
              <w:t xml:space="preserve"> </w:t>
            </w:r>
            <w:r w:rsidRPr="00361139">
              <w:rPr>
                <w:lang w:val="en-GB"/>
              </w:rPr>
              <w:t>for</w:t>
            </w:r>
            <w:r w:rsidRPr="00361139">
              <w:rPr>
                <w:spacing w:val="-7"/>
                <w:lang w:val="en-GB"/>
              </w:rPr>
              <w:t xml:space="preserve"> </w:t>
            </w:r>
            <w:r w:rsidRPr="00361139">
              <w:rPr>
                <w:lang w:val="en-GB"/>
              </w:rPr>
              <w:t>reduction</w:t>
            </w:r>
            <w:r w:rsidRPr="00361139">
              <w:rPr>
                <w:spacing w:val="-7"/>
                <w:lang w:val="en-GB"/>
              </w:rPr>
              <w:t xml:space="preserve"> </w:t>
            </w:r>
            <w:r w:rsidRPr="00361139">
              <w:rPr>
                <w:lang w:val="en-GB"/>
              </w:rPr>
              <w:t>in</w:t>
            </w:r>
            <w:r w:rsidRPr="00361139">
              <w:rPr>
                <w:spacing w:val="-9"/>
                <w:lang w:val="en-GB"/>
              </w:rPr>
              <w:t xml:space="preserve"> </w:t>
            </w:r>
            <w:r w:rsidRPr="00361139">
              <w:rPr>
                <w:lang w:val="en-GB"/>
              </w:rPr>
              <w:t>mercury</w:t>
            </w:r>
            <w:r w:rsidRPr="00361139">
              <w:rPr>
                <w:spacing w:val="-6"/>
                <w:lang w:val="en-GB"/>
              </w:rPr>
              <w:t xml:space="preserve"> </w:t>
            </w:r>
            <w:r w:rsidRPr="00361139">
              <w:rPr>
                <w:lang w:val="en-GB"/>
              </w:rPr>
              <w:t>emissions</w:t>
            </w:r>
            <w:r w:rsidRPr="00361139">
              <w:rPr>
                <w:spacing w:val="-7"/>
                <w:lang w:val="en-GB"/>
              </w:rPr>
              <w:t xml:space="preserve"> </w:t>
            </w:r>
            <w:r w:rsidRPr="00361139">
              <w:rPr>
                <w:lang w:val="en-GB"/>
              </w:rPr>
              <w:t>and releases and address the health and environmental impacts of mercury.</w:t>
            </w:r>
          </w:p>
        </w:tc>
        <w:tc>
          <w:tcPr>
            <w:tcW w:w="4517" w:type="dxa"/>
          </w:tcPr>
          <w:p w14:paraId="6101CECA" w14:textId="77777777" w:rsidR="00CC73DD" w:rsidRPr="00361139" w:rsidRDefault="00CC73DD" w:rsidP="00F249E7">
            <w:pPr>
              <w:pStyle w:val="Normal-pool-Table"/>
              <w:rPr>
                <w:lang w:val="en-GB"/>
              </w:rPr>
            </w:pPr>
            <w:r w:rsidRPr="00361139">
              <w:rPr>
                <w:lang w:val="en-GB"/>
              </w:rPr>
              <w:lastRenderedPageBreak/>
              <w:t>This guidance was used in the GEF-6 and GEF-7 programming and was addressed in the priorities of the GEF-7 chemicals and waste focal area Programming Strategy. All projects</w:t>
            </w:r>
            <w:r w:rsidRPr="00361139">
              <w:rPr>
                <w:spacing w:val="-6"/>
                <w:lang w:val="en-GB"/>
              </w:rPr>
              <w:t xml:space="preserve"> </w:t>
            </w:r>
            <w:r w:rsidRPr="00361139">
              <w:rPr>
                <w:lang w:val="en-GB"/>
              </w:rPr>
              <w:t>and</w:t>
            </w:r>
            <w:r w:rsidRPr="00361139">
              <w:rPr>
                <w:spacing w:val="-8"/>
                <w:lang w:val="en-GB"/>
              </w:rPr>
              <w:t xml:space="preserve"> </w:t>
            </w:r>
            <w:r w:rsidRPr="00361139">
              <w:rPr>
                <w:lang w:val="en-GB"/>
              </w:rPr>
              <w:t>programs</w:t>
            </w:r>
            <w:r w:rsidRPr="00361139">
              <w:rPr>
                <w:spacing w:val="-8"/>
                <w:lang w:val="en-GB"/>
              </w:rPr>
              <w:t xml:space="preserve"> </w:t>
            </w:r>
            <w:r w:rsidRPr="00361139">
              <w:rPr>
                <w:lang w:val="en-GB"/>
              </w:rPr>
              <w:t>in</w:t>
            </w:r>
            <w:r w:rsidRPr="00361139">
              <w:rPr>
                <w:spacing w:val="-8"/>
                <w:lang w:val="en-GB"/>
              </w:rPr>
              <w:t xml:space="preserve"> </w:t>
            </w:r>
            <w:r w:rsidRPr="00361139">
              <w:rPr>
                <w:lang w:val="en-GB"/>
              </w:rPr>
              <w:t>GEF-7</w:t>
            </w:r>
            <w:r w:rsidRPr="00361139">
              <w:rPr>
                <w:spacing w:val="-6"/>
                <w:lang w:val="en-GB"/>
              </w:rPr>
              <w:t xml:space="preserve"> </w:t>
            </w:r>
            <w:r w:rsidRPr="00361139">
              <w:rPr>
                <w:lang w:val="en-GB"/>
              </w:rPr>
              <w:t>that</w:t>
            </w:r>
            <w:r w:rsidRPr="00361139">
              <w:rPr>
                <w:spacing w:val="-7"/>
                <w:lang w:val="en-GB"/>
              </w:rPr>
              <w:t xml:space="preserve"> </w:t>
            </w:r>
            <w:r w:rsidRPr="00361139">
              <w:rPr>
                <w:lang w:val="en-GB"/>
              </w:rPr>
              <w:t>seek</w:t>
            </w:r>
            <w:r w:rsidRPr="00361139">
              <w:rPr>
                <w:spacing w:val="-3"/>
                <w:lang w:val="en-GB"/>
              </w:rPr>
              <w:t xml:space="preserve"> </w:t>
            </w:r>
            <w:r w:rsidRPr="00361139">
              <w:rPr>
                <w:lang w:val="en-GB"/>
              </w:rPr>
              <w:t>to implement the Minamata Convention have been designed consistently with this guidance.</w:t>
            </w:r>
          </w:p>
          <w:p w14:paraId="1D66F6F3" w14:textId="77777777" w:rsidR="00CC73DD" w:rsidRPr="00361139" w:rsidRDefault="00CC73DD" w:rsidP="00F249E7">
            <w:pPr>
              <w:pStyle w:val="Normal-pool-Table"/>
              <w:rPr>
                <w:lang w:val="en-GB"/>
              </w:rPr>
            </w:pPr>
          </w:p>
          <w:p w14:paraId="121C7A68"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6990AF1C" w14:textId="77777777" w:rsidR="00CC73DD" w:rsidRPr="00361139" w:rsidRDefault="00CC73DD" w:rsidP="00F249E7">
            <w:pPr>
              <w:pStyle w:val="Normal-pool-Table"/>
              <w:rPr>
                <w:lang w:val="en-GB"/>
              </w:rPr>
            </w:pPr>
            <w:r w:rsidRPr="00361139">
              <w:rPr>
                <w:lang w:val="en-GB"/>
              </w:rPr>
              <w:lastRenderedPageBreak/>
              <w:t>In the GEF-7 period, 25 EAs, including 10 MIA</w:t>
            </w:r>
            <w:r w:rsidRPr="00361139">
              <w:rPr>
                <w:spacing w:val="-6"/>
                <w:lang w:val="en-GB"/>
              </w:rPr>
              <w:t xml:space="preserve"> </w:t>
            </w:r>
            <w:r w:rsidRPr="00361139">
              <w:rPr>
                <w:lang w:val="en-GB"/>
              </w:rPr>
              <w:t>and</w:t>
            </w:r>
            <w:r w:rsidRPr="00361139">
              <w:rPr>
                <w:spacing w:val="-6"/>
                <w:lang w:val="en-GB"/>
              </w:rPr>
              <w:t xml:space="preserve"> </w:t>
            </w:r>
            <w:r w:rsidRPr="00361139">
              <w:rPr>
                <w:lang w:val="en-GB"/>
              </w:rPr>
              <w:t>16</w:t>
            </w:r>
            <w:r w:rsidRPr="00361139">
              <w:rPr>
                <w:spacing w:val="-3"/>
                <w:lang w:val="en-GB"/>
              </w:rPr>
              <w:t xml:space="preserve"> </w:t>
            </w:r>
            <w:r w:rsidRPr="00361139">
              <w:rPr>
                <w:lang w:val="en-GB"/>
              </w:rPr>
              <w:t>ASGM</w:t>
            </w:r>
            <w:r w:rsidRPr="00361139">
              <w:rPr>
                <w:spacing w:val="-6"/>
                <w:lang w:val="en-GB"/>
              </w:rPr>
              <w:t xml:space="preserve"> </w:t>
            </w:r>
            <w:r w:rsidRPr="00361139">
              <w:rPr>
                <w:lang w:val="en-GB"/>
              </w:rPr>
              <w:t>NAPs</w:t>
            </w:r>
            <w:r w:rsidRPr="00361139">
              <w:rPr>
                <w:rStyle w:val="FootnoteReference"/>
                <w:rFonts w:asciiTheme="majorBidi" w:hAnsiTheme="majorBidi" w:cstheme="majorBidi"/>
                <w:sz w:val="18"/>
                <w:lang w:val="en-GB"/>
              </w:rPr>
              <w:footnoteReference w:id="72"/>
            </w:r>
            <w:r w:rsidRPr="00361139">
              <w:rPr>
                <w:spacing w:val="-7"/>
                <w:lang w:val="en-GB"/>
              </w:rPr>
              <w:t xml:space="preserve"> </w:t>
            </w:r>
            <w:r w:rsidRPr="00361139">
              <w:rPr>
                <w:lang w:val="en-GB"/>
              </w:rPr>
              <w:t>were</w:t>
            </w:r>
            <w:r w:rsidRPr="00361139">
              <w:rPr>
                <w:spacing w:val="-5"/>
                <w:lang w:val="en-GB"/>
              </w:rPr>
              <w:t xml:space="preserve"> </w:t>
            </w:r>
            <w:r w:rsidRPr="00361139">
              <w:rPr>
                <w:lang w:val="en-GB"/>
              </w:rPr>
              <w:t>approved</w:t>
            </w:r>
            <w:r w:rsidRPr="00361139">
              <w:rPr>
                <w:spacing w:val="-8"/>
                <w:lang w:val="en-GB"/>
              </w:rPr>
              <w:t xml:space="preserve"> </w:t>
            </w:r>
            <w:r w:rsidRPr="00361139">
              <w:rPr>
                <w:lang w:val="en-GB"/>
              </w:rPr>
              <w:t>in accordance with (a). All approved medium-sized</w:t>
            </w:r>
            <w:r w:rsidRPr="00361139">
              <w:rPr>
                <w:spacing w:val="-1"/>
                <w:lang w:val="en-GB"/>
              </w:rPr>
              <w:t xml:space="preserve"> </w:t>
            </w:r>
            <w:r w:rsidRPr="00361139">
              <w:rPr>
                <w:lang w:val="en-GB"/>
              </w:rPr>
              <w:t>projects</w:t>
            </w:r>
            <w:r w:rsidRPr="00361139">
              <w:rPr>
                <w:spacing w:val="-1"/>
                <w:lang w:val="en-GB"/>
              </w:rPr>
              <w:t xml:space="preserve"> </w:t>
            </w:r>
            <w:r w:rsidRPr="00361139">
              <w:rPr>
                <w:lang w:val="en-GB"/>
              </w:rPr>
              <w:t>(MSPs)</w:t>
            </w:r>
            <w:r w:rsidRPr="00361139">
              <w:rPr>
                <w:spacing w:val="-1"/>
                <w:lang w:val="en-GB"/>
              </w:rPr>
              <w:t xml:space="preserve"> </w:t>
            </w:r>
            <w:r w:rsidRPr="00361139">
              <w:rPr>
                <w:lang w:val="en-GB"/>
              </w:rPr>
              <w:t>and</w:t>
            </w:r>
            <w:r w:rsidRPr="00361139">
              <w:rPr>
                <w:spacing w:val="-1"/>
                <w:lang w:val="en-GB"/>
              </w:rPr>
              <w:t xml:space="preserve"> </w:t>
            </w:r>
            <w:r w:rsidRPr="00361139">
              <w:rPr>
                <w:lang w:val="en-GB"/>
              </w:rPr>
              <w:t>FSPs</w:t>
            </w:r>
            <w:r w:rsidRPr="00361139">
              <w:rPr>
                <w:spacing w:val="-3"/>
                <w:lang w:val="en-GB"/>
              </w:rPr>
              <w:t xml:space="preserve"> </w:t>
            </w:r>
            <w:r w:rsidRPr="00361139">
              <w:rPr>
                <w:lang w:val="en-GB"/>
              </w:rPr>
              <w:t>met the guidance under (b). For example, the project</w:t>
            </w:r>
            <w:r w:rsidRPr="00361139">
              <w:rPr>
                <w:spacing w:val="-1"/>
                <w:lang w:val="en-GB"/>
              </w:rPr>
              <w:t xml:space="preserve"> </w:t>
            </w:r>
            <w:r w:rsidRPr="00361139">
              <w:rPr>
                <w:lang w:val="en-GB"/>
              </w:rPr>
              <w:t>to address</w:t>
            </w:r>
            <w:r w:rsidRPr="00361139">
              <w:rPr>
                <w:spacing w:val="-4"/>
                <w:lang w:val="en-GB"/>
              </w:rPr>
              <w:t xml:space="preserve"> </w:t>
            </w:r>
            <w:proofErr w:type="spellStart"/>
            <w:r w:rsidRPr="00361139">
              <w:rPr>
                <w:lang w:val="en-GB"/>
              </w:rPr>
              <w:t>chlor</w:t>
            </w:r>
            <w:proofErr w:type="spellEnd"/>
            <w:r w:rsidRPr="00361139">
              <w:rPr>
                <w:spacing w:val="-6"/>
                <w:lang w:val="en-GB"/>
              </w:rPr>
              <w:t xml:space="preserve"> </w:t>
            </w:r>
            <w:r w:rsidRPr="00361139">
              <w:rPr>
                <w:lang w:val="en-GB"/>
              </w:rPr>
              <w:t>alkali</w:t>
            </w:r>
            <w:r w:rsidRPr="00361139">
              <w:rPr>
                <w:spacing w:val="-1"/>
                <w:lang w:val="en-GB"/>
              </w:rPr>
              <w:t xml:space="preserve"> </w:t>
            </w:r>
            <w:r w:rsidRPr="00361139">
              <w:rPr>
                <w:lang w:val="en-GB"/>
              </w:rPr>
              <w:t>in</w:t>
            </w:r>
            <w:r w:rsidRPr="00361139">
              <w:rPr>
                <w:spacing w:val="-3"/>
                <w:lang w:val="en-GB"/>
              </w:rPr>
              <w:t xml:space="preserve"> </w:t>
            </w:r>
            <w:r w:rsidRPr="00361139">
              <w:rPr>
                <w:lang w:val="en-GB"/>
              </w:rPr>
              <w:t>Mexico,</w:t>
            </w:r>
            <w:r w:rsidRPr="00361139">
              <w:rPr>
                <w:spacing w:val="-1"/>
                <w:lang w:val="en-GB"/>
              </w:rPr>
              <w:t xml:space="preserve"> </w:t>
            </w:r>
            <w:r w:rsidRPr="00361139">
              <w:rPr>
                <w:lang w:val="en-GB"/>
              </w:rPr>
              <w:t>the GOLD+ Program addressing ASGM in 15 countries, and the projects addressing mercury</w:t>
            </w:r>
            <w:r w:rsidRPr="00361139">
              <w:rPr>
                <w:spacing w:val="-9"/>
                <w:lang w:val="en-GB"/>
              </w:rPr>
              <w:t xml:space="preserve"> </w:t>
            </w:r>
            <w:r w:rsidRPr="00361139">
              <w:rPr>
                <w:lang w:val="en-GB"/>
              </w:rPr>
              <w:t>products,</w:t>
            </w:r>
            <w:r w:rsidRPr="00361139">
              <w:rPr>
                <w:spacing w:val="-9"/>
                <w:lang w:val="en-GB"/>
              </w:rPr>
              <w:t xml:space="preserve"> </w:t>
            </w:r>
            <w:r w:rsidRPr="00361139">
              <w:rPr>
                <w:lang w:val="en-GB"/>
              </w:rPr>
              <w:t>all</w:t>
            </w:r>
            <w:r w:rsidRPr="00361139">
              <w:rPr>
                <w:spacing w:val="-10"/>
                <w:lang w:val="en-GB"/>
              </w:rPr>
              <w:t xml:space="preserve"> </w:t>
            </w:r>
            <w:r w:rsidRPr="00361139">
              <w:rPr>
                <w:lang w:val="en-GB"/>
              </w:rPr>
              <w:t>support</w:t>
            </w:r>
            <w:r w:rsidRPr="00361139">
              <w:rPr>
                <w:spacing w:val="-6"/>
                <w:lang w:val="en-GB"/>
              </w:rPr>
              <w:t xml:space="preserve"> </w:t>
            </w:r>
            <w:r w:rsidRPr="00361139">
              <w:rPr>
                <w:lang w:val="en-GB"/>
              </w:rPr>
              <w:t>legally</w:t>
            </w:r>
            <w:r w:rsidRPr="00361139">
              <w:rPr>
                <w:spacing w:val="-8"/>
                <w:lang w:val="en-GB"/>
              </w:rPr>
              <w:t xml:space="preserve"> </w:t>
            </w:r>
            <w:r w:rsidRPr="00361139">
              <w:rPr>
                <w:lang w:val="en-GB"/>
              </w:rPr>
              <w:t>binding obligations that facilitate early implementation and address health and environmental</w:t>
            </w:r>
            <w:r w:rsidRPr="00361139">
              <w:rPr>
                <w:spacing w:val="-6"/>
                <w:lang w:val="en-GB"/>
              </w:rPr>
              <w:t xml:space="preserve"> </w:t>
            </w:r>
            <w:r w:rsidRPr="00361139">
              <w:rPr>
                <w:lang w:val="en-GB"/>
              </w:rPr>
              <w:t>impacts.</w:t>
            </w:r>
          </w:p>
        </w:tc>
      </w:tr>
      <w:tr w:rsidR="00CC73DD" w:rsidRPr="00361139" w14:paraId="61843F18" w14:textId="77777777" w:rsidTr="00773BFB">
        <w:trPr>
          <w:trHeight w:val="57"/>
          <w:jc w:val="right"/>
        </w:trPr>
        <w:tc>
          <w:tcPr>
            <w:tcW w:w="453" w:type="dxa"/>
          </w:tcPr>
          <w:p w14:paraId="421FCAB8" w14:textId="77777777" w:rsidR="00CC73DD" w:rsidRPr="00361139" w:rsidRDefault="00CC73DD" w:rsidP="00F249E7">
            <w:pPr>
              <w:pStyle w:val="Normal-pool-Table"/>
              <w:rPr>
                <w:lang w:val="en-GB"/>
              </w:rPr>
            </w:pPr>
            <w:r w:rsidRPr="00361139">
              <w:rPr>
                <w:lang w:val="en-GB"/>
              </w:rPr>
              <w:lastRenderedPageBreak/>
              <w:t>8</w:t>
            </w:r>
          </w:p>
        </w:tc>
        <w:tc>
          <w:tcPr>
            <w:tcW w:w="4516" w:type="dxa"/>
          </w:tcPr>
          <w:p w14:paraId="58B0D9C5" w14:textId="77777777" w:rsidR="00CC73DD" w:rsidRPr="00361139" w:rsidRDefault="00CC73DD" w:rsidP="00F249E7">
            <w:pPr>
              <w:pStyle w:val="Normal-pool-Table"/>
              <w:rPr>
                <w:lang w:val="en-GB"/>
              </w:rPr>
            </w:pPr>
            <w:r w:rsidRPr="00361139">
              <w:rPr>
                <w:lang w:val="en-GB"/>
              </w:rPr>
              <w:t>In</w:t>
            </w:r>
            <w:r w:rsidRPr="00361139">
              <w:rPr>
                <w:spacing w:val="-7"/>
                <w:lang w:val="en-GB"/>
              </w:rPr>
              <w:t xml:space="preserve"> </w:t>
            </w:r>
            <w:r w:rsidRPr="00361139">
              <w:rPr>
                <w:lang w:val="en-GB"/>
              </w:rPr>
              <w:t>providing</w:t>
            </w:r>
            <w:r w:rsidRPr="00361139">
              <w:rPr>
                <w:spacing w:val="-5"/>
                <w:lang w:val="en-GB"/>
              </w:rPr>
              <w:t xml:space="preserve"> </w:t>
            </w:r>
            <w:r w:rsidRPr="00361139">
              <w:rPr>
                <w:lang w:val="en-GB"/>
              </w:rPr>
              <w:t>resources</w:t>
            </w:r>
            <w:r w:rsidRPr="00361139">
              <w:rPr>
                <w:spacing w:val="-7"/>
                <w:lang w:val="en-GB"/>
              </w:rPr>
              <w:t xml:space="preserve"> </w:t>
            </w:r>
            <w:r w:rsidRPr="00361139">
              <w:rPr>
                <w:lang w:val="en-GB"/>
              </w:rPr>
              <w:t>for</w:t>
            </w:r>
            <w:r w:rsidRPr="00361139">
              <w:rPr>
                <w:spacing w:val="-5"/>
                <w:lang w:val="en-GB"/>
              </w:rPr>
              <w:t xml:space="preserve"> </w:t>
            </w:r>
            <w:r w:rsidRPr="00361139">
              <w:rPr>
                <w:lang w:val="en-GB"/>
              </w:rPr>
              <w:t>an</w:t>
            </w:r>
            <w:r w:rsidRPr="00361139">
              <w:rPr>
                <w:spacing w:val="-5"/>
                <w:lang w:val="en-GB"/>
              </w:rPr>
              <w:t xml:space="preserve"> </w:t>
            </w:r>
            <w:r w:rsidRPr="00361139">
              <w:rPr>
                <w:lang w:val="en-GB"/>
              </w:rPr>
              <w:t>activity,</w:t>
            </w:r>
            <w:r w:rsidRPr="00361139">
              <w:rPr>
                <w:spacing w:val="-7"/>
                <w:lang w:val="en-GB"/>
              </w:rPr>
              <w:t xml:space="preserve"> </w:t>
            </w:r>
            <w:r w:rsidRPr="00361139">
              <w:rPr>
                <w:lang w:val="en-GB"/>
              </w:rPr>
              <w:t>GEF</w:t>
            </w:r>
            <w:r w:rsidRPr="00361139">
              <w:rPr>
                <w:spacing w:val="-7"/>
                <w:lang w:val="en-GB"/>
              </w:rPr>
              <w:t xml:space="preserve"> </w:t>
            </w:r>
            <w:r w:rsidRPr="00361139">
              <w:rPr>
                <w:lang w:val="en-GB"/>
              </w:rPr>
              <w:t xml:space="preserve">should </w:t>
            </w:r>
            <w:proofErr w:type="gramStart"/>
            <w:r w:rsidRPr="00361139">
              <w:rPr>
                <w:lang w:val="en-GB"/>
              </w:rPr>
              <w:t>take into account</w:t>
            </w:r>
            <w:proofErr w:type="gramEnd"/>
            <w:r w:rsidRPr="00361139">
              <w:rPr>
                <w:lang w:val="en-GB"/>
              </w:rPr>
              <w:t xml:space="preserve"> the potential mercury reductions of a proposed activity relative to its costs in accordance with paragraph 8 of Article 13 of the Convention.</w:t>
            </w:r>
          </w:p>
        </w:tc>
        <w:tc>
          <w:tcPr>
            <w:tcW w:w="4517" w:type="dxa"/>
          </w:tcPr>
          <w:p w14:paraId="139F4E1C" w14:textId="77777777" w:rsidR="00CC73DD" w:rsidRPr="00361139" w:rsidRDefault="00CC73DD" w:rsidP="00F249E7">
            <w:pPr>
              <w:pStyle w:val="Normal-pool-Table"/>
              <w:rPr>
                <w:lang w:val="en-GB"/>
              </w:rPr>
            </w:pPr>
            <w:r w:rsidRPr="00361139">
              <w:rPr>
                <w:lang w:val="en-GB"/>
              </w:rPr>
              <w:t>In GEF-7, projects with potential for significant mercury reductions have been approved. The GEF continues to work with countries and Agencies to look at the potential</w:t>
            </w:r>
            <w:r w:rsidRPr="00361139">
              <w:rPr>
                <w:spacing w:val="-9"/>
                <w:lang w:val="en-GB"/>
              </w:rPr>
              <w:t xml:space="preserve"> </w:t>
            </w:r>
            <w:r w:rsidRPr="00361139">
              <w:rPr>
                <w:lang w:val="en-GB"/>
              </w:rPr>
              <w:t>mercury</w:t>
            </w:r>
            <w:r w:rsidRPr="00361139">
              <w:rPr>
                <w:spacing w:val="-9"/>
                <w:lang w:val="en-GB"/>
              </w:rPr>
              <w:t xml:space="preserve"> </w:t>
            </w:r>
            <w:r w:rsidRPr="00361139">
              <w:rPr>
                <w:lang w:val="en-GB"/>
              </w:rPr>
              <w:t>reductions</w:t>
            </w:r>
            <w:r w:rsidRPr="00361139">
              <w:rPr>
                <w:spacing w:val="-6"/>
                <w:lang w:val="en-GB"/>
              </w:rPr>
              <w:t xml:space="preserve"> </w:t>
            </w:r>
            <w:r w:rsidRPr="00361139">
              <w:rPr>
                <w:lang w:val="en-GB"/>
              </w:rPr>
              <w:t>of</w:t>
            </w:r>
            <w:r w:rsidRPr="00361139">
              <w:rPr>
                <w:spacing w:val="-8"/>
                <w:lang w:val="en-GB"/>
              </w:rPr>
              <w:t xml:space="preserve"> </w:t>
            </w:r>
            <w:r w:rsidRPr="00361139">
              <w:rPr>
                <w:lang w:val="en-GB"/>
              </w:rPr>
              <w:t>a</w:t>
            </w:r>
            <w:r w:rsidRPr="00361139">
              <w:rPr>
                <w:spacing w:val="-9"/>
                <w:lang w:val="en-GB"/>
              </w:rPr>
              <w:t xml:space="preserve"> </w:t>
            </w:r>
            <w:r w:rsidRPr="00361139">
              <w:rPr>
                <w:lang w:val="en-GB"/>
              </w:rPr>
              <w:t>proposed activity relative to its costs.</w:t>
            </w:r>
          </w:p>
        </w:tc>
      </w:tr>
      <w:tr w:rsidR="00CC73DD" w:rsidRPr="00361139" w14:paraId="1631F72F" w14:textId="77777777" w:rsidTr="00773BFB">
        <w:trPr>
          <w:trHeight w:val="57"/>
          <w:jc w:val="right"/>
        </w:trPr>
        <w:tc>
          <w:tcPr>
            <w:tcW w:w="9486" w:type="dxa"/>
            <w:gridSpan w:val="3"/>
          </w:tcPr>
          <w:p w14:paraId="29755B07" w14:textId="77777777" w:rsidR="00CC73DD" w:rsidRPr="00361139" w:rsidRDefault="00CC73DD" w:rsidP="000C76AC">
            <w:pPr>
              <w:pStyle w:val="Normal-pool-Table"/>
              <w:numPr>
                <w:ilvl w:val="0"/>
                <w:numId w:val="21"/>
              </w:numPr>
              <w:tabs>
                <w:tab w:val="clear" w:pos="624"/>
              </w:tabs>
              <w:ind w:left="454" w:hanging="454"/>
              <w:rPr>
                <w:b/>
                <w:bCs/>
                <w:lang w:val="en-GB"/>
              </w:rPr>
            </w:pPr>
            <w:r w:rsidRPr="00361139">
              <w:rPr>
                <w:b/>
                <w:bCs/>
                <w:lang w:val="en-GB"/>
              </w:rPr>
              <w:t>Indicative list of categories of activities that could receive support</w:t>
            </w:r>
          </w:p>
        </w:tc>
      </w:tr>
      <w:tr w:rsidR="00CC73DD" w:rsidRPr="00361139" w14:paraId="79EF7E31" w14:textId="77777777" w:rsidTr="00773BFB">
        <w:trPr>
          <w:trHeight w:val="57"/>
          <w:jc w:val="right"/>
        </w:trPr>
        <w:tc>
          <w:tcPr>
            <w:tcW w:w="9486" w:type="dxa"/>
            <w:gridSpan w:val="3"/>
          </w:tcPr>
          <w:p w14:paraId="15E47F2C" w14:textId="3F9F33FD" w:rsidR="00CC73DD" w:rsidRPr="00361139" w:rsidRDefault="00CC73DD" w:rsidP="000C76AC">
            <w:pPr>
              <w:pStyle w:val="Normal-pool-Table"/>
              <w:numPr>
                <w:ilvl w:val="0"/>
                <w:numId w:val="22"/>
              </w:numPr>
              <w:tabs>
                <w:tab w:val="clear" w:pos="624"/>
              </w:tabs>
              <w:ind w:left="454" w:hanging="454"/>
              <w:rPr>
                <w:b/>
                <w:bCs/>
                <w:lang w:val="en-GB"/>
              </w:rPr>
            </w:pPr>
            <w:r w:rsidRPr="00361139">
              <w:rPr>
                <w:b/>
                <w:bCs/>
                <w:lang w:val="en-GB"/>
              </w:rPr>
              <w:t>Enabling</w:t>
            </w:r>
            <w:r w:rsidRPr="00361139">
              <w:rPr>
                <w:b/>
                <w:bCs/>
                <w:spacing w:val="-1"/>
                <w:lang w:val="en-GB"/>
              </w:rPr>
              <w:t xml:space="preserve"> </w:t>
            </w:r>
            <w:r w:rsidRPr="00361139">
              <w:rPr>
                <w:b/>
                <w:bCs/>
                <w:lang w:val="en-GB"/>
              </w:rPr>
              <w:t>activities</w:t>
            </w:r>
          </w:p>
        </w:tc>
      </w:tr>
      <w:tr w:rsidR="00CC73DD" w:rsidRPr="00361139" w14:paraId="2491D06F" w14:textId="77777777" w:rsidTr="00773BFB">
        <w:trPr>
          <w:trHeight w:val="57"/>
          <w:jc w:val="right"/>
        </w:trPr>
        <w:tc>
          <w:tcPr>
            <w:tcW w:w="453" w:type="dxa"/>
          </w:tcPr>
          <w:p w14:paraId="73C91B61" w14:textId="77777777" w:rsidR="00CC73DD" w:rsidRPr="00361139" w:rsidRDefault="00CC73DD" w:rsidP="00F249E7">
            <w:pPr>
              <w:pStyle w:val="Normal-pool-Table"/>
              <w:rPr>
                <w:lang w:val="en-GB"/>
              </w:rPr>
            </w:pPr>
          </w:p>
        </w:tc>
        <w:tc>
          <w:tcPr>
            <w:tcW w:w="4516" w:type="dxa"/>
          </w:tcPr>
          <w:p w14:paraId="052C4291" w14:textId="77777777" w:rsidR="00CC73DD" w:rsidRPr="00361139" w:rsidRDefault="00CC73DD" w:rsidP="000C76AC">
            <w:pPr>
              <w:pStyle w:val="Normal-pool-Table"/>
              <w:numPr>
                <w:ilvl w:val="0"/>
                <w:numId w:val="23"/>
              </w:numPr>
              <w:ind w:left="357" w:hanging="357"/>
              <w:rPr>
                <w:lang w:val="en-GB"/>
              </w:rPr>
            </w:pPr>
            <w:r w:rsidRPr="00361139">
              <w:rPr>
                <w:lang w:val="en-GB"/>
              </w:rPr>
              <w:t>Minamata</w:t>
            </w:r>
            <w:r w:rsidRPr="00361139">
              <w:rPr>
                <w:spacing w:val="-6"/>
                <w:lang w:val="en-GB"/>
              </w:rPr>
              <w:t xml:space="preserve"> </w:t>
            </w:r>
            <w:r w:rsidRPr="00361139">
              <w:rPr>
                <w:lang w:val="en-GB"/>
              </w:rPr>
              <w:t>Convention</w:t>
            </w:r>
            <w:r w:rsidRPr="00361139">
              <w:rPr>
                <w:spacing w:val="-3"/>
                <w:lang w:val="en-GB"/>
              </w:rPr>
              <w:t xml:space="preserve"> </w:t>
            </w:r>
            <w:r w:rsidRPr="00361139">
              <w:rPr>
                <w:lang w:val="en-GB"/>
              </w:rPr>
              <w:t>initial</w:t>
            </w:r>
            <w:r w:rsidRPr="00361139">
              <w:rPr>
                <w:spacing w:val="-3"/>
                <w:lang w:val="en-GB"/>
              </w:rPr>
              <w:t xml:space="preserve"> </w:t>
            </w:r>
            <w:r w:rsidRPr="00361139">
              <w:rPr>
                <w:lang w:val="en-GB"/>
              </w:rPr>
              <w:t>assessments</w:t>
            </w:r>
          </w:p>
          <w:p w14:paraId="0E025E90" w14:textId="77777777" w:rsidR="00CC73DD" w:rsidRPr="00361139" w:rsidRDefault="00CC73DD" w:rsidP="000C76AC">
            <w:pPr>
              <w:pStyle w:val="Normal-pool-Table"/>
              <w:numPr>
                <w:ilvl w:val="0"/>
                <w:numId w:val="23"/>
              </w:numPr>
              <w:ind w:left="357" w:hanging="357"/>
              <w:rPr>
                <w:lang w:val="en-GB"/>
              </w:rPr>
            </w:pPr>
            <w:r w:rsidRPr="00361139">
              <w:rPr>
                <w:lang w:val="en-GB"/>
              </w:rPr>
              <w:t>Preparation of national action plans for artisanal and small-scale gold mining in accordance with paragraph 3 of Article 7 and Annex C</w:t>
            </w:r>
          </w:p>
          <w:p w14:paraId="0BF28266" w14:textId="77777777" w:rsidR="00CC73DD" w:rsidRPr="00361139" w:rsidRDefault="00CC73DD" w:rsidP="000C76AC">
            <w:pPr>
              <w:pStyle w:val="Normal-pool-Table"/>
              <w:numPr>
                <w:ilvl w:val="0"/>
                <w:numId w:val="23"/>
              </w:numPr>
              <w:ind w:left="357" w:hanging="357"/>
              <w:rPr>
                <w:lang w:val="en-GB"/>
              </w:rPr>
            </w:pPr>
            <w:r w:rsidRPr="00361139">
              <w:rPr>
                <w:lang w:val="en-GB"/>
              </w:rPr>
              <w:t>Other types of enabling activities as agreed by the Conference of the Parties</w:t>
            </w:r>
          </w:p>
        </w:tc>
        <w:tc>
          <w:tcPr>
            <w:tcW w:w="4517" w:type="dxa"/>
          </w:tcPr>
          <w:p w14:paraId="71812C7D" w14:textId="77777777" w:rsidR="00CC73DD" w:rsidRPr="00361139" w:rsidRDefault="00CC73DD" w:rsidP="00F249E7">
            <w:pPr>
              <w:pStyle w:val="Normal-pool-Table"/>
              <w:rPr>
                <w:lang w:val="en-GB"/>
              </w:rPr>
            </w:pPr>
            <w:r w:rsidRPr="00361139">
              <w:rPr>
                <w:lang w:val="en-GB"/>
              </w:rPr>
              <w:t>This guidance was used</w:t>
            </w:r>
            <w:r w:rsidRPr="00361139">
              <w:rPr>
                <w:spacing w:val="-5"/>
                <w:lang w:val="en-GB"/>
              </w:rPr>
              <w:t xml:space="preserve"> </w:t>
            </w:r>
            <w:r w:rsidRPr="00361139">
              <w:rPr>
                <w:lang w:val="en-GB"/>
              </w:rPr>
              <w:t>to inform the</w:t>
            </w:r>
            <w:r w:rsidRPr="00361139">
              <w:rPr>
                <w:spacing w:val="-4"/>
                <w:lang w:val="en-GB"/>
              </w:rPr>
              <w:t xml:space="preserve"> </w:t>
            </w:r>
            <w:r w:rsidRPr="00361139">
              <w:rPr>
                <w:lang w:val="en-GB"/>
              </w:rPr>
              <w:t>GEF-6 and</w:t>
            </w:r>
            <w:r w:rsidRPr="00361139">
              <w:rPr>
                <w:spacing w:val="-10"/>
                <w:lang w:val="en-GB"/>
              </w:rPr>
              <w:t xml:space="preserve"> </w:t>
            </w:r>
            <w:r w:rsidRPr="00361139">
              <w:rPr>
                <w:lang w:val="en-GB"/>
              </w:rPr>
              <w:t>GEF-7</w:t>
            </w:r>
            <w:r w:rsidRPr="00361139">
              <w:rPr>
                <w:spacing w:val="-8"/>
                <w:lang w:val="en-GB"/>
              </w:rPr>
              <w:t xml:space="preserve"> </w:t>
            </w:r>
            <w:r w:rsidRPr="00361139">
              <w:rPr>
                <w:lang w:val="en-GB"/>
              </w:rPr>
              <w:t>programming</w:t>
            </w:r>
            <w:r w:rsidRPr="00361139">
              <w:rPr>
                <w:spacing w:val="-8"/>
                <w:lang w:val="en-GB"/>
              </w:rPr>
              <w:t xml:space="preserve"> </w:t>
            </w:r>
            <w:r w:rsidRPr="00361139">
              <w:rPr>
                <w:lang w:val="en-GB"/>
              </w:rPr>
              <w:t>and</w:t>
            </w:r>
            <w:r w:rsidRPr="00361139">
              <w:rPr>
                <w:spacing w:val="-8"/>
                <w:lang w:val="en-GB"/>
              </w:rPr>
              <w:t xml:space="preserve"> </w:t>
            </w:r>
            <w:r w:rsidRPr="00361139">
              <w:rPr>
                <w:lang w:val="en-GB"/>
              </w:rPr>
              <w:t>was</w:t>
            </w:r>
            <w:r w:rsidRPr="00361139">
              <w:rPr>
                <w:spacing w:val="-8"/>
                <w:lang w:val="en-GB"/>
              </w:rPr>
              <w:t xml:space="preserve"> </w:t>
            </w:r>
            <w:r w:rsidRPr="00361139">
              <w:rPr>
                <w:lang w:val="en-GB"/>
              </w:rPr>
              <w:t>addressed in the priorities of the GEF-7 chemicals and waste focal area Programming Strategy. In GEF-6 and GEF-7, all eligible EAs that were submitted to the GEF received funding.</w:t>
            </w:r>
          </w:p>
          <w:p w14:paraId="0394A269" w14:textId="77777777" w:rsidR="00CC73DD" w:rsidRPr="00361139" w:rsidRDefault="00CC73DD" w:rsidP="00F249E7">
            <w:pPr>
              <w:pStyle w:val="Normal-pool-Table"/>
              <w:rPr>
                <w:lang w:val="en-GB"/>
              </w:rPr>
            </w:pPr>
          </w:p>
          <w:p w14:paraId="7827584E"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18739117" w14:textId="77777777" w:rsidR="00CC73DD" w:rsidRPr="00361139" w:rsidRDefault="00CC73DD" w:rsidP="00F249E7">
            <w:pPr>
              <w:pStyle w:val="Normal-pool-Table"/>
              <w:rPr>
                <w:lang w:val="en-GB"/>
              </w:rPr>
            </w:pPr>
            <w:r w:rsidRPr="00361139">
              <w:rPr>
                <w:lang w:val="en-GB"/>
              </w:rPr>
              <w:t>In</w:t>
            </w:r>
            <w:r w:rsidRPr="00361139">
              <w:rPr>
                <w:spacing w:val="-7"/>
                <w:lang w:val="en-GB"/>
              </w:rPr>
              <w:t xml:space="preserve"> </w:t>
            </w:r>
            <w:r w:rsidRPr="00361139">
              <w:rPr>
                <w:lang w:val="en-GB"/>
              </w:rPr>
              <w:t>the</w:t>
            </w:r>
            <w:r w:rsidRPr="00361139">
              <w:rPr>
                <w:spacing w:val="-6"/>
                <w:lang w:val="en-GB"/>
              </w:rPr>
              <w:t xml:space="preserve"> </w:t>
            </w:r>
            <w:r w:rsidRPr="00361139">
              <w:rPr>
                <w:lang w:val="en-GB"/>
              </w:rPr>
              <w:t>GEF-7</w:t>
            </w:r>
            <w:r w:rsidRPr="00361139">
              <w:rPr>
                <w:spacing w:val="-6"/>
                <w:lang w:val="en-GB"/>
              </w:rPr>
              <w:t xml:space="preserve"> </w:t>
            </w:r>
            <w:r w:rsidRPr="00361139">
              <w:rPr>
                <w:lang w:val="en-GB"/>
              </w:rPr>
              <w:t>period,</w:t>
            </w:r>
            <w:r w:rsidRPr="00361139">
              <w:rPr>
                <w:spacing w:val="-6"/>
                <w:lang w:val="en-GB"/>
              </w:rPr>
              <w:t xml:space="preserve"> </w:t>
            </w:r>
            <w:r w:rsidRPr="00361139">
              <w:rPr>
                <w:lang w:val="en-GB"/>
              </w:rPr>
              <w:t>all</w:t>
            </w:r>
            <w:r w:rsidRPr="00361139">
              <w:rPr>
                <w:spacing w:val="-7"/>
                <w:lang w:val="en-GB"/>
              </w:rPr>
              <w:t xml:space="preserve"> </w:t>
            </w:r>
            <w:r w:rsidRPr="00361139">
              <w:rPr>
                <w:lang w:val="en-GB"/>
              </w:rPr>
              <w:t>eligible</w:t>
            </w:r>
            <w:r w:rsidRPr="00361139">
              <w:rPr>
                <w:spacing w:val="-6"/>
                <w:lang w:val="en-GB"/>
              </w:rPr>
              <w:t xml:space="preserve"> </w:t>
            </w:r>
            <w:r w:rsidRPr="00361139">
              <w:rPr>
                <w:lang w:val="en-GB"/>
              </w:rPr>
              <w:t>EAs</w:t>
            </w:r>
            <w:r w:rsidRPr="00361139">
              <w:rPr>
                <w:spacing w:val="-7"/>
                <w:lang w:val="en-GB"/>
              </w:rPr>
              <w:t xml:space="preserve"> </w:t>
            </w:r>
            <w:r w:rsidRPr="00361139">
              <w:rPr>
                <w:lang w:val="en-GB"/>
              </w:rPr>
              <w:t>that were submitted to the GEF received funding.</w:t>
            </w:r>
          </w:p>
        </w:tc>
      </w:tr>
      <w:tr w:rsidR="00CC73DD" w:rsidRPr="00361139" w14:paraId="62181A9C" w14:textId="77777777" w:rsidTr="00773BFB">
        <w:trPr>
          <w:trHeight w:val="57"/>
          <w:jc w:val="right"/>
        </w:trPr>
        <w:tc>
          <w:tcPr>
            <w:tcW w:w="9486" w:type="dxa"/>
            <w:gridSpan w:val="3"/>
          </w:tcPr>
          <w:p w14:paraId="08F60B31" w14:textId="77777777" w:rsidR="00CC73DD" w:rsidRPr="00361139" w:rsidRDefault="00CC73DD" w:rsidP="000C76AC">
            <w:pPr>
              <w:pStyle w:val="Normal-pool-Table"/>
              <w:numPr>
                <w:ilvl w:val="0"/>
                <w:numId w:val="22"/>
              </w:numPr>
              <w:tabs>
                <w:tab w:val="clear" w:pos="624"/>
              </w:tabs>
              <w:ind w:left="454" w:hanging="454"/>
              <w:rPr>
                <w:b/>
                <w:bCs/>
                <w:lang w:val="en-GB"/>
              </w:rPr>
            </w:pPr>
            <w:r w:rsidRPr="00361139">
              <w:rPr>
                <w:b/>
                <w:bCs/>
                <w:lang w:val="en-GB"/>
              </w:rPr>
              <w:t>Activities to implement the provisions of the Convention</w:t>
            </w:r>
          </w:p>
        </w:tc>
      </w:tr>
      <w:tr w:rsidR="00CC73DD" w:rsidRPr="00361139" w14:paraId="103A35CA" w14:textId="77777777" w:rsidTr="00773BFB">
        <w:trPr>
          <w:trHeight w:val="57"/>
          <w:jc w:val="right"/>
        </w:trPr>
        <w:tc>
          <w:tcPr>
            <w:tcW w:w="9486" w:type="dxa"/>
            <w:gridSpan w:val="3"/>
          </w:tcPr>
          <w:p w14:paraId="51C1BB45" w14:textId="2C042E06" w:rsidR="00CC73DD" w:rsidRPr="00361139" w:rsidRDefault="00CC73DD" w:rsidP="00D53B61">
            <w:pPr>
              <w:pStyle w:val="Normal-pool-Table"/>
              <w:numPr>
                <w:ilvl w:val="6"/>
                <w:numId w:val="1"/>
              </w:numPr>
              <w:ind w:left="454" w:hanging="454"/>
              <w:rPr>
                <w:b/>
                <w:bCs/>
                <w:lang w:val="en-GB"/>
              </w:rPr>
            </w:pPr>
            <w:r w:rsidRPr="00361139">
              <w:rPr>
                <w:b/>
                <w:bCs/>
                <w:lang w:val="en-GB"/>
              </w:rPr>
              <w:t>Activities</w:t>
            </w:r>
            <w:r w:rsidRPr="00361139">
              <w:rPr>
                <w:b/>
                <w:bCs/>
                <w:spacing w:val="-4"/>
                <w:lang w:val="en-GB"/>
              </w:rPr>
              <w:t xml:space="preserve"> </w:t>
            </w:r>
            <w:r w:rsidRPr="00361139">
              <w:rPr>
                <w:b/>
                <w:bCs/>
                <w:lang w:val="en-GB"/>
              </w:rPr>
              <w:t>to</w:t>
            </w:r>
            <w:r w:rsidRPr="00361139">
              <w:rPr>
                <w:b/>
                <w:bCs/>
                <w:spacing w:val="-3"/>
                <w:lang w:val="en-GB"/>
              </w:rPr>
              <w:t xml:space="preserve"> </w:t>
            </w:r>
            <w:r w:rsidRPr="00361139">
              <w:rPr>
                <w:b/>
                <w:bCs/>
                <w:lang w:val="en-GB"/>
              </w:rPr>
              <w:t>implement</w:t>
            </w:r>
            <w:r w:rsidRPr="00361139">
              <w:rPr>
                <w:b/>
                <w:bCs/>
                <w:spacing w:val="-4"/>
                <w:lang w:val="en-GB"/>
              </w:rPr>
              <w:t xml:space="preserve"> </w:t>
            </w:r>
            <w:r w:rsidRPr="00361139">
              <w:rPr>
                <w:b/>
                <w:bCs/>
                <w:lang w:val="en-GB"/>
              </w:rPr>
              <w:t>the provisions</w:t>
            </w:r>
            <w:r w:rsidRPr="00361139">
              <w:rPr>
                <w:b/>
                <w:bCs/>
                <w:spacing w:val="1"/>
                <w:lang w:val="en-GB"/>
              </w:rPr>
              <w:t xml:space="preserve"> </w:t>
            </w:r>
            <w:r w:rsidRPr="00361139">
              <w:rPr>
                <w:b/>
                <w:bCs/>
                <w:lang w:val="en-GB"/>
              </w:rPr>
              <w:t>of</w:t>
            </w:r>
            <w:r w:rsidRPr="00361139">
              <w:rPr>
                <w:b/>
                <w:bCs/>
                <w:spacing w:val="-4"/>
                <w:lang w:val="en-GB"/>
              </w:rPr>
              <w:t xml:space="preserve"> </w:t>
            </w:r>
            <w:r w:rsidRPr="00361139">
              <w:rPr>
                <w:b/>
                <w:bCs/>
                <w:lang w:val="en-GB"/>
              </w:rPr>
              <w:t>the Convention</w:t>
            </w:r>
            <w:r w:rsidRPr="00361139">
              <w:rPr>
                <w:b/>
                <w:bCs/>
                <w:spacing w:val="-3"/>
                <w:lang w:val="en-GB"/>
              </w:rPr>
              <w:t xml:space="preserve"> </w:t>
            </w:r>
            <w:r w:rsidRPr="00361139">
              <w:rPr>
                <w:b/>
                <w:bCs/>
                <w:lang w:val="en-GB"/>
              </w:rPr>
              <w:t>that relate to</w:t>
            </w:r>
            <w:r w:rsidRPr="00361139">
              <w:rPr>
                <w:b/>
                <w:bCs/>
                <w:spacing w:val="-4"/>
                <w:lang w:val="en-GB"/>
              </w:rPr>
              <w:t xml:space="preserve"> </w:t>
            </w:r>
            <w:r w:rsidRPr="00361139">
              <w:rPr>
                <w:b/>
                <w:bCs/>
                <w:lang w:val="en-GB"/>
              </w:rPr>
              <w:t>legally</w:t>
            </w:r>
            <w:r w:rsidRPr="00361139">
              <w:rPr>
                <w:b/>
                <w:bCs/>
                <w:spacing w:val="-1"/>
                <w:lang w:val="en-GB"/>
              </w:rPr>
              <w:t xml:space="preserve"> </w:t>
            </w:r>
            <w:r w:rsidRPr="00361139">
              <w:rPr>
                <w:b/>
                <w:bCs/>
                <w:lang w:val="en-GB"/>
              </w:rPr>
              <w:t>binding obligations</w:t>
            </w:r>
          </w:p>
        </w:tc>
      </w:tr>
      <w:tr w:rsidR="00CC73DD" w:rsidRPr="00361139" w14:paraId="03D62AC1" w14:textId="77777777" w:rsidTr="00773BFB">
        <w:trPr>
          <w:trHeight w:val="57"/>
          <w:jc w:val="right"/>
        </w:trPr>
        <w:tc>
          <w:tcPr>
            <w:tcW w:w="453" w:type="dxa"/>
          </w:tcPr>
          <w:p w14:paraId="242E3331" w14:textId="77777777" w:rsidR="00CC73DD" w:rsidRPr="00361139" w:rsidRDefault="00CC73DD" w:rsidP="00F249E7">
            <w:pPr>
              <w:pStyle w:val="Normal-pool-Table"/>
              <w:rPr>
                <w:lang w:val="en-GB"/>
              </w:rPr>
            </w:pPr>
            <w:r w:rsidRPr="00361139">
              <w:rPr>
                <w:lang w:val="en-GB"/>
              </w:rPr>
              <w:t>9</w:t>
            </w:r>
          </w:p>
        </w:tc>
        <w:tc>
          <w:tcPr>
            <w:tcW w:w="4516" w:type="dxa"/>
          </w:tcPr>
          <w:p w14:paraId="1B6EAA1B" w14:textId="77777777" w:rsidR="00CC73DD" w:rsidRPr="00361139" w:rsidRDefault="00CC73DD" w:rsidP="00F249E7">
            <w:pPr>
              <w:pStyle w:val="Normal-pool-Table"/>
              <w:rPr>
                <w:lang w:val="en-GB"/>
              </w:rPr>
            </w:pPr>
            <w:r w:rsidRPr="00361139">
              <w:rPr>
                <w:lang w:val="en-GB"/>
              </w:rPr>
              <w:t>When providing financial resources to eligible Parties</w:t>
            </w:r>
            <w:r w:rsidRPr="00361139">
              <w:rPr>
                <w:spacing w:val="-5"/>
                <w:lang w:val="en-GB"/>
              </w:rPr>
              <w:t xml:space="preserve"> </w:t>
            </w:r>
            <w:r w:rsidRPr="00361139">
              <w:rPr>
                <w:lang w:val="en-GB"/>
              </w:rPr>
              <w:t>for</w:t>
            </w:r>
            <w:r w:rsidRPr="00361139">
              <w:rPr>
                <w:spacing w:val="-9"/>
                <w:lang w:val="en-GB"/>
              </w:rPr>
              <w:t xml:space="preserve"> </w:t>
            </w:r>
            <w:r w:rsidRPr="00361139">
              <w:rPr>
                <w:lang w:val="en-GB"/>
              </w:rPr>
              <w:t>activities</w:t>
            </w:r>
            <w:r w:rsidRPr="00361139">
              <w:rPr>
                <w:spacing w:val="-7"/>
                <w:lang w:val="en-GB"/>
              </w:rPr>
              <w:t xml:space="preserve"> </w:t>
            </w:r>
            <w:r w:rsidRPr="00361139">
              <w:rPr>
                <w:lang w:val="en-GB"/>
              </w:rPr>
              <w:t>to</w:t>
            </w:r>
            <w:r w:rsidRPr="00361139">
              <w:rPr>
                <w:spacing w:val="-7"/>
                <w:lang w:val="en-GB"/>
              </w:rPr>
              <w:t xml:space="preserve"> </w:t>
            </w:r>
            <w:r w:rsidRPr="00361139">
              <w:rPr>
                <w:lang w:val="en-GB"/>
              </w:rPr>
              <w:t>implement</w:t>
            </w:r>
            <w:r w:rsidRPr="00361139">
              <w:rPr>
                <w:spacing w:val="-7"/>
                <w:lang w:val="en-GB"/>
              </w:rPr>
              <w:t xml:space="preserve"> </w:t>
            </w:r>
            <w:r w:rsidRPr="00361139">
              <w:rPr>
                <w:lang w:val="en-GB"/>
              </w:rPr>
              <w:t>the</w:t>
            </w:r>
            <w:r w:rsidRPr="00361139">
              <w:rPr>
                <w:spacing w:val="-9"/>
                <w:lang w:val="en-GB"/>
              </w:rPr>
              <w:t xml:space="preserve"> </w:t>
            </w:r>
            <w:r w:rsidRPr="00361139">
              <w:rPr>
                <w:lang w:val="en-GB"/>
              </w:rPr>
              <w:t xml:space="preserve">provisions of the Convention, GEF should afford priority to those activities that relate to legally binding obligations of Parties under the Convention and should </w:t>
            </w:r>
            <w:proofErr w:type="gramStart"/>
            <w:r w:rsidRPr="00361139">
              <w:rPr>
                <w:lang w:val="en-GB"/>
              </w:rPr>
              <w:t>take into account</w:t>
            </w:r>
            <w:proofErr w:type="gramEnd"/>
            <w:r w:rsidRPr="00361139">
              <w:rPr>
                <w:lang w:val="en-GB"/>
              </w:rPr>
              <w:t xml:space="preserve"> the potential mercury reductions of a proposed activity relative to its costs.</w:t>
            </w:r>
            <w:r w:rsidRPr="00361139">
              <w:rPr>
                <w:spacing w:val="-3"/>
                <w:lang w:val="en-GB"/>
              </w:rPr>
              <w:t xml:space="preserve"> </w:t>
            </w:r>
            <w:r w:rsidRPr="00361139">
              <w:rPr>
                <w:lang w:val="en-GB"/>
              </w:rPr>
              <w:t>Such activities could</w:t>
            </w:r>
            <w:r w:rsidRPr="00361139">
              <w:rPr>
                <w:spacing w:val="-3"/>
                <w:lang w:val="en-GB"/>
              </w:rPr>
              <w:t xml:space="preserve"> </w:t>
            </w:r>
            <w:r w:rsidRPr="00361139">
              <w:rPr>
                <w:lang w:val="en-GB"/>
              </w:rPr>
              <w:t xml:space="preserve">include those related to the following areas, listed in no </w:t>
            </w:r>
            <w:proofErr w:type="gramStart"/>
            <w:r w:rsidRPr="00361139">
              <w:rPr>
                <w:lang w:val="en-GB"/>
              </w:rPr>
              <w:t>particular order</w:t>
            </w:r>
            <w:proofErr w:type="gramEnd"/>
            <w:r w:rsidRPr="00361139">
              <w:rPr>
                <w:lang w:val="en-GB"/>
              </w:rPr>
              <w:t>:</w:t>
            </w:r>
          </w:p>
          <w:p w14:paraId="7F809656" w14:textId="77777777" w:rsidR="00CC73DD" w:rsidRPr="00361139" w:rsidRDefault="00CC73DD" w:rsidP="000C76AC">
            <w:pPr>
              <w:pStyle w:val="Normal-pool-Table"/>
              <w:numPr>
                <w:ilvl w:val="0"/>
                <w:numId w:val="24"/>
              </w:numPr>
              <w:tabs>
                <w:tab w:val="clear" w:pos="624"/>
              </w:tabs>
              <w:rPr>
                <w:lang w:val="en-GB"/>
              </w:rPr>
            </w:pPr>
            <w:r w:rsidRPr="00361139">
              <w:rPr>
                <w:lang w:val="en-GB"/>
              </w:rPr>
              <w:t>Mercury</w:t>
            </w:r>
            <w:r w:rsidRPr="00361139">
              <w:rPr>
                <w:spacing w:val="-3"/>
                <w:lang w:val="en-GB"/>
              </w:rPr>
              <w:t xml:space="preserve"> </w:t>
            </w:r>
            <w:r w:rsidRPr="00361139">
              <w:rPr>
                <w:lang w:val="en-GB"/>
              </w:rPr>
              <w:t>supply</w:t>
            </w:r>
            <w:r w:rsidRPr="00361139">
              <w:rPr>
                <w:spacing w:val="-3"/>
                <w:lang w:val="en-GB"/>
              </w:rPr>
              <w:t xml:space="preserve"> </w:t>
            </w:r>
            <w:r w:rsidRPr="00361139">
              <w:rPr>
                <w:lang w:val="en-GB"/>
              </w:rPr>
              <w:t>sources</w:t>
            </w:r>
            <w:r w:rsidRPr="00361139">
              <w:rPr>
                <w:spacing w:val="-4"/>
                <w:lang w:val="en-GB"/>
              </w:rPr>
              <w:t xml:space="preserve"> </w:t>
            </w:r>
            <w:r w:rsidRPr="00361139">
              <w:rPr>
                <w:lang w:val="en-GB"/>
              </w:rPr>
              <w:t>and</w:t>
            </w:r>
            <w:r w:rsidRPr="00361139">
              <w:rPr>
                <w:spacing w:val="-5"/>
                <w:lang w:val="en-GB"/>
              </w:rPr>
              <w:t xml:space="preserve"> </w:t>
            </w:r>
            <w:r w:rsidRPr="00361139">
              <w:rPr>
                <w:lang w:val="en-GB"/>
              </w:rPr>
              <w:t>trade;</w:t>
            </w:r>
          </w:p>
          <w:p w14:paraId="03145ADB" w14:textId="77777777" w:rsidR="00CC73DD" w:rsidRPr="00361139" w:rsidRDefault="00CC73DD" w:rsidP="000C76AC">
            <w:pPr>
              <w:pStyle w:val="Normal-pool-Table"/>
              <w:numPr>
                <w:ilvl w:val="0"/>
                <w:numId w:val="24"/>
              </w:numPr>
              <w:tabs>
                <w:tab w:val="clear" w:pos="624"/>
              </w:tabs>
              <w:rPr>
                <w:lang w:val="en-GB"/>
              </w:rPr>
            </w:pPr>
            <w:r w:rsidRPr="00361139">
              <w:rPr>
                <w:lang w:val="en-GB"/>
              </w:rPr>
              <w:t>Mercury-added</w:t>
            </w:r>
            <w:r w:rsidRPr="00361139">
              <w:rPr>
                <w:spacing w:val="-6"/>
                <w:lang w:val="en-GB"/>
              </w:rPr>
              <w:t xml:space="preserve"> </w:t>
            </w:r>
            <w:r w:rsidRPr="00361139">
              <w:rPr>
                <w:lang w:val="en-GB"/>
              </w:rPr>
              <w:t>products;</w:t>
            </w:r>
          </w:p>
          <w:p w14:paraId="3EEE2F8B" w14:textId="77777777" w:rsidR="00CC73DD" w:rsidRPr="00361139" w:rsidRDefault="00CC73DD" w:rsidP="000C76AC">
            <w:pPr>
              <w:pStyle w:val="Normal-pool-Table"/>
              <w:numPr>
                <w:ilvl w:val="0"/>
                <w:numId w:val="24"/>
              </w:numPr>
              <w:tabs>
                <w:tab w:val="clear" w:pos="624"/>
              </w:tabs>
              <w:rPr>
                <w:lang w:val="en-GB"/>
              </w:rPr>
            </w:pPr>
            <w:r w:rsidRPr="00361139">
              <w:rPr>
                <w:lang w:val="en-GB"/>
              </w:rPr>
              <w:t>Manufacturing processes in which mercury</w:t>
            </w:r>
            <w:r w:rsidRPr="00361139">
              <w:rPr>
                <w:spacing w:val="-11"/>
                <w:lang w:val="en-GB"/>
              </w:rPr>
              <w:t xml:space="preserve"> </w:t>
            </w:r>
            <w:r w:rsidRPr="00361139">
              <w:rPr>
                <w:lang w:val="en-GB"/>
              </w:rPr>
              <w:t>or</w:t>
            </w:r>
            <w:r w:rsidRPr="00361139">
              <w:rPr>
                <w:spacing w:val="-12"/>
                <w:lang w:val="en-GB"/>
              </w:rPr>
              <w:t xml:space="preserve"> </w:t>
            </w:r>
            <w:r w:rsidRPr="00361139">
              <w:rPr>
                <w:lang w:val="en-GB"/>
              </w:rPr>
              <w:t>mercury</w:t>
            </w:r>
            <w:r w:rsidRPr="00361139">
              <w:rPr>
                <w:spacing w:val="-9"/>
                <w:lang w:val="en-GB"/>
              </w:rPr>
              <w:t xml:space="preserve"> </w:t>
            </w:r>
            <w:r w:rsidRPr="00361139">
              <w:rPr>
                <w:lang w:val="en-GB"/>
              </w:rPr>
              <w:t>compounds</w:t>
            </w:r>
            <w:r w:rsidRPr="00361139">
              <w:rPr>
                <w:spacing w:val="-9"/>
                <w:lang w:val="en-GB"/>
              </w:rPr>
              <w:t xml:space="preserve"> </w:t>
            </w:r>
            <w:r w:rsidRPr="00361139">
              <w:rPr>
                <w:lang w:val="en-GB"/>
              </w:rPr>
              <w:t>are used;</w:t>
            </w:r>
          </w:p>
          <w:p w14:paraId="52A2B2E0" w14:textId="77777777" w:rsidR="00CC73DD" w:rsidRPr="00361139" w:rsidRDefault="00CC73DD" w:rsidP="000C76AC">
            <w:pPr>
              <w:pStyle w:val="Normal-pool-Table"/>
              <w:numPr>
                <w:ilvl w:val="0"/>
                <w:numId w:val="24"/>
              </w:numPr>
              <w:tabs>
                <w:tab w:val="clear" w:pos="624"/>
              </w:tabs>
              <w:rPr>
                <w:lang w:val="en-GB"/>
              </w:rPr>
            </w:pPr>
            <w:r w:rsidRPr="00361139">
              <w:rPr>
                <w:lang w:val="en-GB"/>
              </w:rPr>
              <w:t>Artisanal</w:t>
            </w:r>
            <w:r w:rsidRPr="00361139">
              <w:rPr>
                <w:spacing w:val="-3"/>
                <w:lang w:val="en-GB"/>
              </w:rPr>
              <w:t xml:space="preserve"> </w:t>
            </w:r>
            <w:r w:rsidRPr="00361139">
              <w:rPr>
                <w:lang w:val="en-GB"/>
              </w:rPr>
              <w:t>and small-scale</w:t>
            </w:r>
            <w:r w:rsidRPr="00361139">
              <w:rPr>
                <w:spacing w:val="-3"/>
                <w:lang w:val="en-GB"/>
              </w:rPr>
              <w:t xml:space="preserve"> </w:t>
            </w:r>
            <w:r w:rsidRPr="00361139">
              <w:rPr>
                <w:lang w:val="en-GB"/>
              </w:rPr>
              <w:t>gold mining;</w:t>
            </w:r>
          </w:p>
          <w:p w14:paraId="46B521E0" w14:textId="77777777" w:rsidR="00CC73DD" w:rsidRPr="00361139" w:rsidRDefault="00CC73DD" w:rsidP="000C76AC">
            <w:pPr>
              <w:pStyle w:val="Normal-pool-Table"/>
              <w:numPr>
                <w:ilvl w:val="0"/>
                <w:numId w:val="24"/>
              </w:numPr>
              <w:tabs>
                <w:tab w:val="clear" w:pos="624"/>
              </w:tabs>
              <w:rPr>
                <w:lang w:val="en-GB"/>
              </w:rPr>
            </w:pPr>
            <w:r w:rsidRPr="00361139">
              <w:rPr>
                <w:lang w:val="en-GB"/>
              </w:rPr>
              <w:t>Emissions;</w:t>
            </w:r>
          </w:p>
          <w:p w14:paraId="2DE17ACC" w14:textId="77777777" w:rsidR="00CC73DD" w:rsidRPr="00361139" w:rsidRDefault="00CC73DD" w:rsidP="000C76AC">
            <w:pPr>
              <w:pStyle w:val="Normal-pool-Table"/>
              <w:numPr>
                <w:ilvl w:val="0"/>
                <w:numId w:val="24"/>
              </w:numPr>
              <w:tabs>
                <w:tab w:val="clear" w:pos="624"/>
              </w:tabs>
              <w:rPr>
                <w:lang w:val="en-GB"/>
              </w:rPr>
            </w:pPr>
            <w:r w:rsidRPr="00361139">
              <w:rPr>
                <w:lang w:val="en-GB"/>
              </w:rPr>
              <w:t>Releases;</w:t>
            </w:r>
          </w:p>
          <w:p w14:paraId="3E30B794" w14:textId="77777777" w:rsidR="00CC73DD" w:rsidRPr="00361139" w:rsidRDefault="00CC73DD" w:rsidP="000C76AC">
            <w:pPr>
              <w:pStyle w:val="Normal-pool-Table"/>
              <w:numPr>
                <w:ilvl w:val="0"/>
                <w:numId w:val="24"/>
              </w:numPr>
              <w:tabs>
                <w:tab w:val="clear" w:pos="624"/>
              </w:tabs>
              <w:rPr>
                <w:lang w:val="en-GB"/>
              </w:rPr>
            </w:pPr>
            <w:r w:rsidRPr="00361139">
              <w:rPr>
                <w:lang w:val="en-GB"/>
              </w:rPr>
              <w:t>Environmentally</w:t>
            </w:r>
            <w:r w:rsidRPr="00361139">
              <w:rPr>
                <w:spacing w:val="-9"/>
                <w:lang w:val="en-GB"/>
              </w:rPr>
              <w:t xml:space="preserve"> </w:t>
            </w:r>
            <w:r w:rsidRPr="00361139">
              <w:rPr>
                <w:lang w:val="en-GB"/>
              </w:rPr>
              <w:t>sound</w:t>
            </w:r>
            <w:r w:rsidRPr="00361139">
              <w:rPr>
                <w:spacing w:val="-10"/>
                <w:lang w:val="en-GB"/>
              </w:rPr>
              <w:t xml:space="preserve"> </w:t>
            </w:r>
            <w:r w:rsidRPr="00361139">
              <w:rPr>
                <w:lang w:val="en-GB"/>
              </w:rPr>
              <w:t>interim</w:t>
            </w:r>
            <w:r w:rsidRPr="00361139">
              <w:rPr>
                <w:spacing w:val="-10"/>
                <w:lang w:val="en-GB"/>
              </w:rPr>
              <w:t xml:space="preserve"> </w:t>
            </w:r>
            <w:r w:rsidRPr="00361139">
              <w:rPr>
                <w:lang w:val="en-GB"/>
              </w:rPr>
              <w:t>storage</w:t>
            </w:r>
            <w:r w:rsidRPr="00361139">
              <w:rPr>
                <w:spacing w:val="-11"/>
                <w:lang w:val="en-GB"/>
              </w:rPr>
              <w:t xml:space="preserve"> </w:t>
            </w:r>
            <w:r w:rsidRPr="00361139">
              <w:rPr>
                <w:lang w:val="en-GB"/>
              </w:rPr>
              <w:t>of mercury, other than waste mercury;</w:t>
            </w:r>
          </w:p>
          <w:p w14:paraId="6DFF8FF0" w14:textId="77777777" w:rsidR="00CC73DD" w:rsidRPr="00361139" w:rsidRDefault="00CC73DD" w:rsidP="000C76AC">
            <w:pPr>
              <w:pStyle w:val="Normal-pool-Table"/>
              <w:numPr>
                <w:ilvl w:val="0"/>
                <w:numId w:val="24"/>
              </w:numPr>
              <w:tabs>
                <w:tab w:val="clear" w:pos="624"/>
              </w:tabs>
              <w:rPr>
                <w:lang w:val="en-GB"/>
              </w:rPr>
            </w:pPr>
            <w:r w:rsidRPr="00361139">
              <w:rPr>
                <w:lang w:val="en-GB"/>
              </w:rPr>
              <w:t>Mercury wastes;</w:t>
            </w:r>
          </w:p>
          <w:p w14:paraId="0041EEF7" w14:textId="77777777" w:rsidR="00CC73DD" w:rsidRPr="00361139" w:rsidRDefault="00CC73DD" w:rsidP="000C76AC">
            <w:pPr>
              <w:pStyle w:val="Normal-pool-Table"/>
              <w:numPr>
                <w:ilvl w:val="0"/>
                <w:numId w:val="24"/>
              </w:numPr>
              <w:tabs>
                <w:tab w:val="clear" w:pos="624"/>
              </w:tabs>
              <w:rPr>
                <w:lang w:val="en-GB"/>
              </w:rPr>
            </w:pPr>
            <w:r w:rsidRPr="00361139">
              <w:rPr>
                <w:lang w:val="en-GB"/>
              </w:rPr>
              <w:t>Reporting;</w:t>
            </w:r>
          </w:p>
          <w:p w14:paraId="7C79281C" w14:textId="77777777" w:rsidR="00CC73DD" w:rsidRPr="00361139" w:rsidRDefault="00CC73DD" w:rsidP="000C76AC">
            <w:pPr>
              <w:pStyle w:val="Normal-pool-Table"/>
              <w:numPr>
                <w:ilvl w:val="0"/>
                <w:numId w:val="24"/>
              </w:numPr>
              <w:tabs>
                <w:tab w:val="clear" w:pos="624"/>
              </w:tabs>
              <w:rPr>
                <w:lang w:val="en-GB"/>
              </w:rPr>
            </w:pPr>
            <w:r w:rsidRPr="00361139">
              <w:rPr>
                <w:lang w:val="en-GB"/>
              </w:rPr>
              <w:t>Relevant capacity-building, technical assistance</w:t>
            </w:r>
            <w:r w:rsidRPr="00361139">
              <w:rPr>
                <w:spacing w:val="-10"/>
                <w:lang w:val="en-GB"/>
              </w:rPr>
              <w:t xml:space="preserve"> </w:t>
            </w:r>
            <w:r w:rsidRPr="00361139">
              <w:rPr>
                <w:lang w:val="en-GB"/>
              </w:rPr>
              <w:t>and</w:t>
            </w:r>
            <w:r w:rsidRPr="00361139">
              <w:rPr>
                <w:spacing w:val="-10"/>
                <w:lang w:val="en-GB"/>
              </w:rPr>
              <w:t xml:space="preserve"> </w:t>
            </w:r>
            <w:r w:rsidRPr="00361139">
              <w:rPr>
                <w:lang w:val="en-GB"/>
              </w:rPr>
              <w:t>technology</w:t>
            </w:r>
            <w:r w:rsidRPr="00361139">
              <w:rPr>
                <w:spacing w:val="-10"/>
                <w:lang w:val="en-GB"/>
              </w:rPr>
              <w:t xml:space="preserve"> </w:t>
            </w:r>
            <w:r w:rsidRPr="00361139">
              <w:rPr>
                <w:lang w:val="en-GB"/>
              </w:rPr>
              <w:t>transfer</w:t>
            </w:r>
            <w:r w:rsidRPr="00361139">
              <w:rPr>
                <w:spacing w:val="-10"/>
                <w:lang w:val="en-GB"/>
              </w:rPr>
              <w:t xml:space="preserve"> </w:t>
            </w:r>
            <w:r w:rsidRPr="00361139">
              <w:rPr>
                <w:lang w:val="en-GB"/>
              </w:rPr>
              <w:t>in relation to the above.</w:t>
            </w:r>
          </w:p>
        </w:tc>
        <w:tc>
          <w:tcPr>
            <w:tcW w:w="4517" w:type="dxa"/>
          </w:tcPr>
          <w:p w14:paraId="4F04A4B9" w14:textId="77777777" w:rsidR="00CC73DD" w:rsidRPr="00361139" w:rsidRDefault="00CC73DD" w:rsidP="00F249E7">
            <w:pPr>
              <w:pStyle w:val="Normal-pool-Table"/>
              <w:rPr>
                <w:lang w:val="en-GB"/>
              </w:rPr>
            </w:pPr>
            <w:r w:rsidRPr="00361139">
              <w:rPr>
                <w:lang w:val="en-GB"/>
              </w:rPr>
              <w:t>These have been included in the GEF-7 chemicals and waste focal area Programming</w:t>
            </w:r>
            <w:r w:rsidRPr="00361139">
              <w:rPr>
                <w:spacing w:val="-9"/>
                <w:lang w:val="en-GB"/>
              </w:rPr>
              <w:t xml:space="preserve"> </w:t>
            </w:r>
            <w:r w:rsidRPr="00361139">
              <w:rPr>
                <w:lang w:val="en-GB"/>
              </w:rPr>
              <w:t>Strategy.</w:t>
            </w:r>
            <w:r w:rsidRPr="00361139">
              <w:rPr>
                <w:spacing w:val="-13"/>
                <w:lang w:val="en-GB"/>
              </w:rPr>
              <w:t xml:space="preserve"> </w:t>
            </w:r>
            <w:r w:rsidRPr="00361139">
              <w:rPr>
                <w:lang w:val="en-GB"/>
              </w:rPr>
              <w:t>This</w:t>
            </w:r>
            <w:r w:rsidRPr="00361139">
              <w:rPr>
                <w:spacing w:val="-9"/>
                <w:lang w:val="en-GB"/>
              </w:rPr>
              <w:t xml:space="preserve"> </w:t>
            </w:r>
            <w:r w:rsidRPr="00361139">
              <w:rPr>
                <w:lang w:val="en-GB"/>
              </w:rPr>
              <w:t>guidance</w:t>
            </w:r>
            <w:r w:rsidRPr="00361139">
              <w:rPr>
                <w:spacing w:val="-9"/>
                <w:lang w:val="en-GB"/>
              </w:rPr>
              <w:t xml:space="preserve"> </w:t>
            </w:r>
            <w:r w:rsidRPr="00361139">
              <w:rPr>
                <w:lang w:val="en-GB"/>
              </w:rPr>
              <w:t>was used to inform the GEF-6 and GEF-7 programming.</w:t>
            </w:r>
          </w:p>
          <w:p w14:paraId="00301A50" w14:textId="77777777" w:rsidR="00CC73DD" w:rsidRPr="00361139" w:rsidRDefault="00CC73DD" w:rsidP="00F249E7">
            <w:pPr>
              <w:pStyle w:val="Normal-pool-Table"/>
              <w:rPr>
                <w:lang w:val="en-GB"/>
              </w:rPr>
            </w:pPr>
          </w:p>
          <w:p w14:paraId="506E1F04"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2BA8BFE3" w14:textId="77777777" w:rsidR="00CC73DD" w:rsidRPr="00361139" w:rsidRDefault="00CC73DD" w:rsidP="00F249E7">
            <w:pPr>
              <w:pStyle w:val="Normal-pool-Table"/>
              <w:rPr>
                <w:lang w:val="en-GB"/>
              </w:rPr>
            </w:pPr>
            <w:r w:rsidRPr="00361139">
              <w:rPr>
                <w:lang w:val="en-GB"/>
              </w:rPr>
              <w:t>Projects approved in the GEF-7 period follow this guidance. All MSPs and FSPs include</w:t>
            </w:r>
            <w:r w:rsidRPr="00361139">
              <w:rPr>
                <w:spacing w:val="-6"/>
                <w:lang w:val="en-GB"/>
              </w:rPr>
              <w:t xml:space="preserve"> </w:t>
            </w:r>
            <w:r w:rsidRPr="00361139">
              <w:rPr>
                <w:lang w:val="en-GB"/>
              </w:rPr>
              <w:t>capacity</w:t>
            </w:r>
            <w:r w:rsidRPr="00361139">
              <w:rPr>
                <w:spacing w:val="-8"/>
                <w:lang w:val="en-GB"/>
              </w:rPr>
              <w:t xml:space="preserve"> </w:t>
            </w:r>
            <w:r w:rsidRPr="00361139">
              <w:rPr>
                <w:lang w:val="en-GB"/>
              </w:rPr>
              <w:t>building.</w:t>
            </w:r>
            <w:r w:rsidRPr="00361139">
              <w:rPr>
                <w:spacing w:val="-8"/>
                <w:lang w:val="en-GB"/>
              </w:rPr>
              <w:t xml:space="preserve"> </w:t>
            </w:r>
            <w:r w:rsidRPr="00361139">
              <w:rPr>
                <w:lang w:val="en-GB"/>
              </w:rPr>
              <w:t>There</w:t>
            </w:r>
            <w:r w:rsidRPr="00361139">
              <w:rPr>
                <w:spacing w:val="-8"/>
                <w:lang w:val="en-GB"/>
              </w:rPr>
              <w:t xml:space="preserve"> </w:t>
            </w:r>
            <w:r w:rsidRPr="00361139">
              <w:rPr>
                <w:lang w:val="en-GB"/>
              </w:rPr>
              <w:t>are</w:t>
            </w:r>
            <w:r w:rsidRPr="00361139">
              <w:rPr>
                <w:spacing w:val="-10"/>
                <w:lang w:val="en-GB"/>
              </w:rPr>
              <w:t xml:space="preserve"> </w:t>
            </w:r>
            <w:r w:rsidRPr="00361139">
              <w:rPr>
                <w:lang w:val="en-GB"/>
              </w:rPr>
              <w:t>projects on</w:t>
            </w:r>
            <w:r w:rsidRPr="00361139">
              <w:rPr>
                <w:spacing w:val="-6"/>
                <w:lang w:val="en-GB"/>
              </w:rPr>
              <w:t xml:space="preserve"> </w:t>
            </w:r>
            <w:r w:rsidRPr="00361139">
              <w:rPr>
                <w:lang w:val="en-GB"/>
              </w:rPr>
              <w:t>mercury-added</w:t>
            </w:r>
            <w:r w:rsidRPr="00361139">
              <w:rPr>
                <w:spacing w:val="-6"/>
                <w:lang w:val="en-GB"/>
              </w:rPr>
              <w:t xml:space="preserve"> </w:t>
            </w:r>
            <w:r w:rsidRPr="00361139">
              <w:rPr>
                <w:lang w:val="en-GB"/>
              </w:rPr>
              <w:t>products,</w:t>
            </w:r>
            <w:r w:rsidRPr="00361139">
              <w:rPr>
                <w:spacing w:val="-4"/>
                <w:lang w:val="en-GB"/>
              </w:rPr>
              <w:t xml:space="preserve"> </w:t>
            </w:r>
            <w:r w:rsidRPr="00361139">
              <w:rPr>
                <w:lang w:val="en-GB"/>
              </w:rPr>
              <w:t xml:space="preserve">manufacturing processes, ASGM, emissions, releases, environmentally sound storage, mercury wastes, and mercury supply sources and trade. The </w:t>
            </w:r>
            <w:proofErr w:type="spellStart"/>
            <w:r w:rsidRPr="00361139">
              <w:rPr>
                <w:lang w:val="en-GB"/>
              </w:rPr>
              <w:t>chlor</w:t>
            </w:r>
            <w:proofErr w:type="spellEnd"/>
            <w:r w:rsidRPr="00361139">
              <w:rPr>
                <w:lang w:val="en-GB"/>
              </w:rPr>
              <w:t xml:space="preserve"> alkali project in Mexico is the first addressing the sector and has the potential to serve as a model for other projects in the region and globally.</w:t>
            </w:r>
          </w:p>
        </w:tc>
      </w:tr>
      <w:tr w:rsidR="00CC73DD" w:rsidRPr="00361139" w14:paraId="1DABE807" w14:textId="77777777" w:rsidTr="00773BFB">
        <w:trPr>
          <w:trHeight w:val="57"/>
          <w:jc w:val="right"/>
        </w:trPr>
        <w:tc>
          <w:tcPr>
            <w:tcW w:w="9486" w:type="dxa"/>
            <w:gridSpan w:val="3"/>
          </w:tcPr>
          <w:p w14:paraId="4A32E5EF" w14:textId="77777777" w:rsidR="00CC73DD" w:rsidRPr="00361139" w:rsidRDefault="00CC73DD" w:rsidP="00BB32AA">
            <w:pPr>
              <w:pStyle w:val="Normal-pool-Table"/>
              <w:numPr>
                <w:ilvl w:val="6"/>
                <w:numId w:val="1"/>
              </w:numPr>
              <w:ind w:left="454" w:hanging="454"/>
              <w:rPr>
                <w:b/>
                <w:bCs/>
                <w:lang w:val="en-GB"/>
              </w:rPr>
            </w:pPr>
            <w:r w:rsidRPr="00361139">
              <w:rPr>
                <w:b/>
                <w:bCs/>
                <w:lang w:val="en-GB"/>
              </w:rPr>
              <w:t>Activities to implement the provisions of the Convention that facilitate early implementation on entry into force of the Convention for a Party</w:t>
            </w:r>
          </w:p>
        </w:tc>
      </w:tr>
      <w:tr w:rsidR="00CC73DD" w:rsidRPr="00361139" w14:paraId="2EB7E0DF" w14:textId="77777777" w:rsidTr="00773BFB">
        <w:trPr>
          <w:trHeight w:val="57"/>
          <w:jc w:val="right"/>
        </w:trPr>
        <w:tc>
          <w:tcPr>
            <w:tcW w:w="453" w:type="dxa"/>
          </w:tcPr>
          <w:p w14:paraId="66F12517" w14:textId="77777777" w:rsidR="00CC73DD" w:rsidRPr="00361139" w:rsidRDefault="00CC73DD" w:rsidP="00F249E7">
            <w:pPr>
              <w:pStyle w:val="Normal-pool-Table"/>
              <w:rPr>
                <w:lang w:val="en-GB"/>
              </w:rPr>
            </w:pPr>
            <w:r w:rsidRPr="00361139">
              <w:rPr>
                <w:spacing w:val="-5"/>
                <w:lang w:val="en-GB"/>
              </w:rPr>
              <w:t>10</w:t>
            </w:r>
          </w:p>
        </w:tc>
        <w:tc>
          <w:tcPr>
            <w:tcW w:w="4516" w:type="dxa"/>
          </w:tcPr>
          <w:p w14:paraId="4C28C74F" w14:textId="77777777" w:rsidR="00CC73DD" w:rsidRPr="00361139" w:rsidRDefault="00CC73DD" w:rsidP="00F249E7">
            <w:pPr>
              <w:pStyle w:val="Normal-pool-Table"/>
              <w:rPr>
                <w:lang w:val="en-GB"/>
              </w:rPr>
            </w:pPr>
            <w:r w:rsidRPr="00361139">
              <w:rPr>
                <w:lang w:val="en-GB"/>
              </w:rPr>
              <w:t>When considering activities to implement the provisions of the Convention that facilitate early implementation on entry into force, GEF should also</w:t>
            </w:r>
            <w:r w:rsidRPr="00361139">
              <w:rPr>
                <w:spacing w:val="-7"/>
                <w:lang w:val="en-GB"/>
              </w:rPr>
              <w:t xml:space="preserve"> </w:t>
            </w:r>
            <w:r w:rsidRPr="00361139">
              <w:rPr>
                <w:lang w:val="en-GB"/>
              </w:rPr>
              <w:t>consider</w:t>
            </w:r>
            <w:r w:rsidRPr="00361139">
              <w:rPr>
                <w:spacing w:val="-7"/>
                <w:lang w:val="en-GB"/>
              </w:rPr>
              <w:t xml:space="preserve"> </w:t>
            </w:r>
            <w:r w:rsidRPr="00361139">
              <w:rPr>
                <w:lang w:val="en-GB"/>
              </w:rPr>
              <w:t>providing</w:t>
            </w:r>
            <w:r w:rsidRPr="00361139">
              <w:rPr>
                <w:spacing w:val="-7"/>
                <w:lang w:val="en-GB"/>
              </w:rPr>
              <w:t xml:space="preserve"> </w:t>
            </w:r>
            <w:r w:rsidRPr="00361139">
              <w:rPr>
                <w:lang w:val="en-GB"/>
              </w:rPr>
              <w:t>support</w:t>
            </w:r>
            <w:r w:rsidRPr="00361139">
              <w:rPr>
                <w:spacing w:val="-5"/>
                <w:lang w:val="en-GB"/>
              </w:rPr>
              <w:t xml:space="preserve"> </w:t>
            </w:r>
            <w:r w:rsidRPr="00361139">
              <w:rPr>
                <w:lang w:val="en-GB"/>
              </w:rPr>
              <w:t>for</w:t>
            </w:r>
            <w:r w:rsidRPr="00361139">
              <w:rPr>
                <w:spacing w:val="-7"/>
                <w:lang w:val="en-GB"/>
              </w:rPr>
              <w:t xml:space="preserve"> </w:t>
            </w:r>
            <w:r w:rsidRPr="00361139">
              <w:rPr>
                <w:lang w:val="en-GB"/>
              </w:rPr>
              <w:t>activities</w:t>
            </w:r>
            <w:r w:rsidRPr="00361139">
              <w:rPr>
                <w:spacing w:val="-9"/>
                <w:lang w:val="en-GB"/>
              </w:rPr>
              <w:t xml:space="preserve"> </w:t>
            </w:r>
            <w:r w:rsidRPr="00361139">
              <w:rPr>
                <w:lang w:val="en-GB"/>
              </w:rPr>
              <w:t xml:space="preserve">that, although they are not the subject of a legal obligation under the Convention, may significantly contribute to a Party’s preparedness to </w:t>
            </w:r>
            <w:r w:rsidRPr="00361139">
              <w:rPr>
                <w:lang w:val="en-GB"/>
              </w:rPr>
              <w:lastRenderedPageBreak/>
              <w:t>implement the Convention upon its entry into force for that country.</w:t>
            </w:r>
          </w:p>
        </w:tc>
        <w:tc>
          <w:tcPr>
            <w:tcW w:w="4517" w:type="dxa"/>
          </w:tcPr>
          <w:p w14:paraId="53730760" w14:textId="77777777" w:rsidR="00CC73DD" w:rsidRPr="00361139" w:rsidRDefault="00CC73DD" w:rsidP="00F249E7">
            <w:pPr>
              <w:pStyle w:val="Normal-pool-Table"/>
              <w:rPr>
                <w:lang w:val="en-GB"/>
              </w:rPr>
            </w:pPr>
            <w:r w:rsidRPr="00361139">
              <w:rPr>
                <w:lang w:val="en-GB"/>
              </w:rPr>
              <w:lastRenderedPageBreak/>
              <w:t>This</w:t>
            </w:r>
            <w:r w:rsidRPr="00361139">
              <w:rPr>
                <w:spacing w:val="-7"/>
                <w:lang w:val="en-GB"/>
              </w:rPr>
              <w:t xml:space="preserve"> </w:t>
            </w:r>
            <w:r w:rsidRPr="00361139">
              <w:rPr>
                <w:lang w:val="en-GB"/>
              </w:rPr>
              <w:t>was</w:t>
            </w:r>
            <w:r w:rsidRPr="00361139">
              <w:rPr>
                <w:spacing w:val="-10"/>
                <w:lang w:val="en-GB"/>
              </w:rPr>
              <w:t xml:space="preserve"> </w:t>
            </w:r>
            <w:r w:rsidRPr="00361139">
              <w:rPr>
                <w:lang w:val="en-GB"/>
              </w:rPr>
              <w:t>addressed</w:t>
            </w:r>
            <w:r w:rsidRPr="00361139">
              <w:rPr>
                <w:spacing w:val="-9"/>
                <w:lang w:val="en-GB"/>
              </w:rPr>
              <w:t xml:space="preserve"> </w:t>
            </w:r>
            <w:r w:rsidRPr="00361139">
              <w:rPr>
                <w:lang w:val="en-GB"/>
              </w:rPr>
              <w:t>during</w:t>
            </w:r>
            <w:r w:rsidRPr="00361139">
              <w:rPr>
                <w:spacing w:val="-9"/>
                <w:lang w:val="en-GB"/>
              </w:rPr>
              <w:t xml:space="preserve"> </w:t>
            </w:r>
            <w:r w:rsidRPr="00361139">
              <w:rPr>
                <w:lang w:val="en-GB"/>
              </w:rPr>
              <w:t>the</w:t>
            </w:r>
            <w:r w:rsidRPr="00361139">
              <w:rPr>
                <w:spacing w:val="-6"/>
                <w:lang w:val="en-GB"/>
              </w:rPr>
              <w:t xml:space="preserve"> </w:t>
            </w:r>
            <w:r w:rsidRPr="00361139">
              <w:rPr>
                <w:lang w:val="en-GB"/>
              </w:rPr>
              <w:t>GEF-7 programming, to be reported on at subsequent COPs.</w:t>
            </w:r>
          </w:p>
          <w:p w14:paraId="7EEEDA5E" w14:textId="77777777" w:rsidR="00CC73DD" w:rsidRPr="00361139" w:rsidRDefault="00CC73DD" w:rsidP="00F249E7">
            <w:pPr>
              <w:pStyle w:val="Normal-pool-Table"/>
              <w:rPr>
                <w:lang w:val="en-GB"/>
              </w:rPr>
            </w:pPr>
          </w:p>
          <w:p w14:paraId="2C3C48F4"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1FC77569" w14:textId="77777777" w:rsidR="00CC73DD" w:rsidRPr="00361139" w:rsidRDefault="00CC73DD" w:rsidP="00F249E7">
            <w:pPr>
              <w:pStyle w:val="Normal-pool-Table"/>
              <w:rPr>
                <w:lang w:val="en-GB"/>
              </w:rPr>
            </w:pPr>
            <w:r w:rsidRPr="00361139">
              <w:rPr>
                <w:lang w:val="en-GB"/>
              </w:rPr>
              <w:t>GEF-funded projects in the GEF-7 period primarily</w:t>
            </w:r>
            <w:r w:rsidRPr="00361139">
              <w:rPr>
                <w:spacing w:val="-8"/>
                <w:lang w:val="en-GB"/>
              </w:rPr>
              <w:t xml:space="preserve"> </w:t>
            </w:r>
            <w:r w:rsidRPr="00361139">
              <w:rPr>
                <w:lang w:val="en-GB"/>
              </w:rPr>
              <w:t>focus</w:t>
            </w:r>
            <w:r w:rsidRPr="00361139">
              <w:rPr>
                <w:spacing w:val="-11"/>
                <w:lang w:val="en-GB"/>
              </w:rPr>
              <w:t xml:space="preserve"> </w:t>
            </w:r>
            <w:r w:rsidRPr="00361139">
              <w:rPr>
                <w:lang w:val="en-GB"/>
              </w:rPr>
              <w:t>on</w:t>
            </w:r>
            <w:r w:rsidRPr="00361139">
              <w:rPr>
                <w:spacing w:val="-11"/>
                <w:lang w:val="en-GB"/>
              </w:rPr>
              <w:t xml:space="preserve"> </w:t>
            </w:r>
            <w:r w:rsidRPr="00361139">
              <w:rPr>
                <w:lang w:val="en-GB"/>
              </w:rPr>
              <w:t>implementing</w:t>
            </w:r>
            <w:r w:rsidRPr="00361139">
              <w:rPr>
                <w:spacing w:val="-9"/>
                <w:lang w:val="en-GB"/>
              </w:rPr>
              <w:t xml:space="preserve"> </w:t>
            </w:r>
            <w:r w:rsidRPr="00361139">
              <w:rPr>
                <w:lang w:val="en-GB"/>
              </w:rPr>
              <w:t>obligations of the Convention that reduce mercury.</w:t>
            </w:r>
          </w:p>
          <w:p w14:paraId="41EFFC89" w14:textId="77777777" w:rsidR="00CC73DD" w:rsidRPr="00361139" w:rsidRDefault="00CC73DD" w:rsidP="00F249E7">
            <w:pPr>
              <w:pStyle w:val="Normal-pool-Table"/>
              <w:rPr>
                <w:lang w:val="en-GB"/>
              </w:rPr>
            </w:pPr>
            <w:r w:rsidRPr="00361139">
              <w:rPr>
                <w:lang w:val="en-GB"/>
              </w:rPr>
              <w:lastRenderedPageBreak/>
              <w:t>Others are considered on a case-by-case basis. Projects typically include technical assistance and capacity building that address a legally binding obligation. For example, the knowledge-sharing and communication component of the GOLD+ Program will support formalization, access to</w:t>
            </w:r>
            <w:r w:rsidRPr="00361139">
              <w:rPr>
                <w:spacing w:val="-6"/>
                <w:lang w:val="en-GB"/>
              </w:rPr>
              <w:t xml:space="preserve"> </w:t>
            </w:r>
            <w:r w:rsidRPr="00361139">
              <w:rPr>
                <w:lang w:val="en-GB"/>
              </w:rPr>
              <w:t>financing,</w:t>
            </w:r>
            <w:r w:rsidRPr="00361139">
              <w:rPr>
                <w:spacing w:val="-7"/>
                <w:lang w:val="en-GB"/>
              </w:rPr>
              <w:t xml:space="preserve"> </w:t>
            </w:r>
            <w:r w:rsidRPr="00361139">
              <w:rPr>
                <w:lang w:val="en-GB"/>
              </w:rPr>
              <w:t>and</w:t>
            </w:r>
            <w:r w:rsidRPr="00361139">
              <w:rPr>
                <w:spacing w:val="-10"/>
                <w:lang w:val="en-GB"/>
              </w:rPr>
              <w:t xml:space="preserve"> </w:t>
            </w:r>
            <w:r w:rsidRPr="00361139">
              <w:rPr>
                <w:lang w:val="en-GB"/>
              </w:rPr>
              <w:t>technology</w:t>
            </w:r>
            <w:r w:rsidRPr="00361139">
              <w:rPr>
                <w:spacing w:val="-7"/>
                <w:lang w:val="en-GB"/>
              </w:rPr>
              <w:t xml:space="preserve"> </w:t>
            </w:r>
            <w:r w:rsidRPr="00361139">
              <w:rPr>
                <w:lang w:val="en-GB"/>
              </w:rPr>
              <w:t>transfer</w:t>
            </w:r>
            <w:r w:rsidRPr="00361139">
              <w:rPr>
                <w:spacing w:val="-7"/>
                <w:lang w:val="en-GB"/>
              </w:rPr>
              <w:t xml:space="preserve"> </w:t>
            </w:r>
            <w:r w:rsidRPr="00361139">
              <w:rPr>
                <w:lang w:val="en-GB"/>
              </w:rPr>
              <w:t>within the</w:t>
            </w:r>
            <w:r w:rsidRPr="00361139">
              <w:rPr>
                <w:spacing w:val="-6"/>
                <w:lang w:val="en-GB"/>
              </w:rPr>
              <w:t xml:space="preserve"> </w:t>
            </w:r>
            <w:r w:rsidRPr="00361139">
              <w:rPr>
                <w:lang w:val="en-GB"/>
              </w:rPr>
              <w:t>sector</w:t>
            </w:r>
            <w:r w:rsidRPr="00361139">
              <w:rPr>
                <w:spacing w:val="-7"/>
                <w:lang w:val="en-GB"/>
              </w:rPr>
              <w:t xml:space="preserve"> </w:t>
            </w:r>
            <w:r w:rsidRPr="00361139">
              <w:rPr>
                <w:lang w:val="en-GB"/>
              </w:rPr>
              <w:t>leading</w:t>
            </w:r>
            <w:r w:rsidRPr="00361139">
              <w:rPr>
                <w:spacing w:val="-7"/>
                <w:lang w:val="en-GB"/>
              </w:rPr>
              <w:t xml:space="preserve"> </w:t>
            </w:r>
            <w:r w:rsidRPr="00361139">
              <w:rPr>
                <w:lang w:val="en-GB"/>
              </w:rPr>
              <w:t>to</w:t>
            </w:r>
            <w:r w:rsidRPr="00361139">
              <w:rPr>
                <w:spacing w:val="-9"/>
                <w:lang w:val="en-GB"/>
              </w:rPr>
              <w:t xml:space="preserve"> </w:t>
            </w:r>
            <w:r w:rsidRPr="00361139">
              <w:rPr>
                <w:lang w:val="en-GB"/>
              </w:rPr>
              <w:t>mercury</w:t>
            </w:r>
            <w:r w:rsidRPr="00361139">
              <w:rPr>
                <w:spacing w:val="-7"/>
                <w:lang w:val="en-GB"/>
              </w:rPr>
              <w:t xml:space="preserve"> </w:t>
            </w:r>
            <w:r w:rsidRPr="00361139">
              <w:rPr>
                <w:lang w:val="en-GB"/>
              </w:rPr>
              <w:t>reductions.</w:t>
            </w:r>
            <w:r w:rsidRPr="00361139">
              <w:rPr>
                <w:spacing w:val="-7"/>
                <w:lang w:val="en-GB"/>
              </w:rPr>
              <w:t xml:space="preserve"> </w:t>
            </w:r>
            <w:r w:rsidRPr="00361139">
              <w:rPr>
                <w:lang w:val="en-GB"/>
              </w:rPr>
              <w:t>In addition, the training of customs officers in the ISLANDS Program that will support the countries in meeting the phase-out date in Annex A for mercury-containing products and</w:t>
            </w:r>
            <w:r w:rsidRPr="00361139">
              <w:rPr>
                <w:spacing w:val="-4"/>
                <w:lang w:val="en-GB"/>
              </w:rPr>
              <w:t xml:space="preserve"> </w:t>
            </w:r>
            <w:r w:rsidRPr="00361139">
              <w:rPr>
                <w:lang w:val="en-GB"/>
              </w:rPr>
              <w:t>devices.</w:t>
            </w:r>
          </w:p>
        </w:tc>
      </w:tr>
      <w:tr w:rsidR="00CC73DD" w:rsidRPr="00361139" w14:paraId="045DD000" w14:textId="77777777" w:rsidTr="00773BFB">
        <w:trPr>
          <w:trHeight w:val="57"/>
          <w:jc w:val="right"/>
        </w:trPr>
        <w:tc>
          <w:tcPr>
            <w:tcW w:w="453" w:type="dxa"/>
          </w:tcPr>
          <w:p w14:paraId="5F3AA154" w14:textId="77777777" w:rsidR="00CC73DD" w:rsidRPr="00361139" w:rsidRDefault="00CC73DD" w:rsidP="00F249E7">
            <w:pPr>
              <w:pStyle w:val="Normal-pool-Table"/>
              <w:rPr>
                <w:lang w:val="en-GB"/>
              </w:rPr>
            </w:pPr>
            <w:r w:rsidRPr="00361139">
              <w:rPr>
                <w:spacing w:val="-5"/>
                <w:lang w:val="en-GB"/>
              </w:rPr>
              <w:lastRenderedPageBreak/>
              <w:t>11</w:t>
            </w:r>
          </w:p>
        </w:tc>
        <w:tc>
          <w:tcPr>
            <w:tcW w:w="4516" w:type="dxa"/>
          </w:tcPr>
          <w:p w14:paraId="674BF6F2" w14:textId="77777777" w:rsidR="00CC73DD" w:rsidRPr="00361139" w:rsidRDefault="00CC73DD" w:rsidP="00F249E7">
            <w:pPr>
              <w:pStyle w:val="Normal-pool-Table"/>
              <w:rPr>
                <w:lang w:val="en-GB"/>
              </w:rPr>
            </w:pPr>
            <w:r w:rsidRPr="00361139">
              <w:rPr>
                <w:lang w:val="en-GB"/>
              </w:rPr>
              <w:t>Within the context of the GEF mandate, such activities</w:t>
            </w:r>
            <w:r w:rsidRPr="00361139">
              <w:rPr>
                <w:spacing w:val="-6"/>
                <w:lang w:val="en-GB"/>
              </w:rPr>
              <w:t xml:space="preserve"> </w:t>
            </w:r>
            <w:r w:rsidRPr="00361139">
              <w:rPr>
                <w:lang w:val="en-GB"/>
              </w:rPr>
              <w:t>could</w:t>
            </w:r>
            <w:r w:rsidRPr="00361139">
              <w:rPr>
                <w:spacing w:val="-9"/>
                <w:lang w:val="en-GB"/>
              </w:rPr>
              <w:t xml:space="preserve"> </w:t>
            </w:r>
            <w:r w:rsidRPr="00361139">
              <w:rPr>
                <w:lang w:val="en-GB"/>
              </w:rPr>
              <w:t>include,</w:t>
            </w:r>
            <w:r w:rsidRPr="00361139">
              <w:rPr>
                <w:spacing w:val="-6"/>
                <w:lang w:val="en-GB"/>
              </w:rPr>
              <w:t xml:space="preserve"> </w:t>
            </w:r>
            <w:r w:rsidRPr="00361139">
              <w:rPr>
                <w:lang w:val="en-GB"/>
              </w:rPr>
              <w:t>inter</w:t>
            </w:r>
            <w:r w:rsidRPr="00361139">
              <w:rPr>
                <w:spacing w:val="-8"/>
                <w:lang w:val="en-GB"/>
              </w:rPr>
              <w:t xml:space="preserve"> </w:t>
            </w:r>
            <w:r w:rsidRPr="00361139">
              <w:rPr>
                <w:lang w:val="en-GB"/>
              </w:rPr>
              <w:t>alia,</w:t>
            </w:r>
            <w:r w:rsidRPr="00361139">
              <w:rPr>
                <w:spacing w:val="-8"/>
                <w:lang w:val="en-GB"/>
              </w:rPr>
              <w:t xml:space="preserve"> </w:t>
            </w:r>
            <w:r w:rsidRPr="00361139">
              <w:rPr>
                <w:lang w:val="en-GB"/>
              </w:rPr>
              <w:t>support</w:t>
            </w:r>
            <w:r w:rsidRPr="00361139">
              <w:rPr>
                <w:spacing w:val="-8"/>
                <w:lang w:val="en-GB"/>
              </w:rPr>
              <w:t xml:space="preserve"> </w:t>
            </w:r>
            <w:r w:rsidRPr="00361139">
              <w:rPr>
                <w:lang w:val="en-GB"/>
              </w:rPr>
              <w:t>for:</w:t>
            </w:r>
          </w:p>
          <w:p w14:paraId="684D7D2D" w14:textId="77777777" w:rsidR="00CC73DD" w:rsidRPr="00361139" w:rsidRDefault="00CC73DD" w:rsidP="00F249E7">
            <w:pPr>
              <w:pStyle w:val="Normal-pool-Table"/>
              <w:rPr>
                <w:lang w:val="en-GB"/>
              </w:rPr>
            </w:pPr>
            <w:proofErr w:type="gramStart"/>
            <w:r w:rsidRPr="00361139">
              <w:rPr>
                <w:lang w:val="en-GB"/>
              </w:rPr>
              <w:t>With</w:t>
            </w:r>
            <w:r w:rsidRPr="00361139">
              <w:rPr>
                <w:spacing w:val="-9"/>
                <w:lang w:val="en-GB"/>
              </w:rPr>
              <w:t xml:space="preserve"> </w:t>
            </w:r>
            <w:r w:rsidRPr="00361139">
              <w:rPr>
                <w:lang w:val="en-GB"/>
              </w:rPr>
              <w:t>regard</w:t>
            </w:r>
            <w:r w:rsidRPr="00361139">
              <w:rPr>
                <w:spacing w:val="-8"/>
                <w:lang w:val="en-GB"/>
              </w:rPr>
              <w:t xml:space="preserve"> </w:t>
            </w:r>
            <w:r w:rsidRPr="00361139">
              <w:rPr>
                <w:lang w:val="en-GB"/>
              </w:rPr>
              <w:t>to</w:t>
            </w:r>
            <w:proofErr w:type="gramEnd"/>
            <w:r w:rsidRPr="00361139">
              <w:rPr>
                <w:spacing w:val="-7"/>
                <w:lang w:val="en-GB"/>
              </w:rPr>
              <w:t xml:space="preserve"> </w:t>
            </w:r>
            <w:r w:rsidRPr="00361139">
              <w:rPr>
                <w:lang w:val="en-GB"/>
              </w:rPr>
              <w:t>emissions,</w:t>
            </w:r>
            <w:r w:rsidRPr="00361139">
              <w:rPr>
                <w:spacing w:val="-6"/>
                <w:lang w:val="en-GB"/>
              </w:rPr>
              <w:t xml:space="preserve"> </w:t>
            </w:r>
            <w:r w:rsidRPr="00361139">
              <w:rPr>
                <w:lang w:val="en-GB"/>
              </w:rPr>
              <w:t>the</w:t>
            </w:r>
            <w:r w:rsidRPr="00361139">
              <w:rPr>
                <w:spacing w:val="-6"/>
                <w:lang w:val="en-GB"/>
              </w:rPr>
              <w:t xml:space="preserve"> </w:t>
            </w:r>
            <w:r w:rsidRPr="00361139">
              <w:rPr>
                <w:lang w:val="en-GB"/>
              </w:rPr>
              <w:t>development</w:t>
            </w:r>
            <w:r w:rsidRPr="00361139">
              <w:rPr>
                <w:spacing w:val="-9"/>
                <w:lang w:val="en-GB"/>
              </w:rPr>
              <w:t xml:space="preserve"> </w:t>
            </w:r>
            <w:r w:rsidRPr="00361139">
              <w:rPr>
                <w:lang w:val="en-GB"/>
              </w:rPr>
              <w:t>by Parties with relevant sources of emissions of national plans setting out the measures to be taken to control emissions and their expected targets, goals and outcomes;</w:t>
            </w:r>
          </w:p>
          <w:p w14:paraId="7FC80A53" w14:textId="77777777" w:rsidR="00CC73DD" w:rsidRPr="00361139" w:rsidRDefault="00CC73DD" w:rsidP="00F249E7">
            <w:pPr>
              <w:pStyle w:val="Normal-pool-Table"/>
              <w:rPr>
                <w:lang w:val="en-GB"/>
              </w:rPr>
            </w:pPr>
            <w:proofErr w:type="gramStart"/>
            <w:r w:rsidRPr="00361139">
              <w:rPr>
                <w:lang w:val="en-GB"/>
              </w:rPr>
              <w:t>With</w:t>
            </w:r>
            <w:r w:rsidRPr="00361139">
              <w:rPr>
                <w:spacing w:val="-7"/>
                <w:lang w:val="en-GB"/>
              </w:rPr>
              <w:t xml:space="preserve"> </w:t>
            </w:r>
            <w:r w:rsidRPr="00361139">
              <w:rPr>
                <w:lang w:val="en-GB"/>
              </w:rPr>
              <w:t>regard</w:t>
            </w:r>
            <w:r w:rsidRPr="00361139">
              <w:rPr>
                <w:spacing w:val="-9"/>
                <w:lang w:val="en-GB"/>
              </w:rPr>
              <w:t xml:space="preserve"> </w:t>
            </w:r>
            <w:r w:rsidRPr="00361139">
              <w:rPr>
                <w:lang w:val="en-GB"/>
              </w:rPr>
              <w:t>to</w:t>
            </w:r>
            <w:proofErr w:type="gramEnd"/>
            <w:r w:rsidRPr="00361139">
              <w:rPr>
                <w:spacing w:val="-7"/>
                <w:lang w:val="en-GB"/>
              </w:rPr>
              <w:t xml:space="preserve"> </w:t>
            </w:r>
            <w:r w:rsidRPr="00361139">
              <w:rPr>
                <w:lang w:val="en-GB"/>
              </w:rPr>
              <w:t>releases,</w:t>
            </w:r>
            <w:r w:rsidRPr="00361139">
              <w:rPr>
                <w:spacing w:val="-10"/>
                <w:lang w:val="en-GB"/>
              </w:rPr>
              <w:t xml:space="preserve"> </w:t>
            </w:r>
            <w:r w:rsidRPr="00361139">
              <w:rPr>
                <w:lang w:val="en-GB"/>
              </w:rPr>
              <w:t>the</w:t>
            </w:r>
            <w:r w:rsidRPr="00361139">
              <w:rPr>
                <w:spacing w:val="-7"/>
                <w:lang w:val="en-GB"/>
              </w:rPr>
              <w:t xml:space="preserve"> </w:t>
            </w:r>
            <w:r w:rsidRPr="00361139">
              <w:rPr>
                <w:lang w:val="en-GB"/>
              </w:rPr>
              <w:t>development</w:t>
            </w:r>
            <w:r w:rsidRPr="00361139">
              <w:rPr>
                <w:spacing w:val="-7"/>
                <w:lang w:val="en-GB"/>
              </w:rPr>
              <w:t xml:space="preserve"> </w:t>
            </w:r>
            <w:r w:rsidRPr="00361139">
              <w:rPr>
                <w:lang w:val="en-GB"/>
              </w:rPr>
              <w:t>by Parties with relevant sources of releases of national plans setting out the measures to be taken to control releases and their expected targets, goals and outcomes;</w:t>
            </w:r>
          </w:p>
          <w:p w14:paraId="38411055" w14:textId="77777777" w:rsidR="00CC73DD" w:rsidRPr="00361139" w:rsidRDefault="00CC73DD" w:rsidP="00F249E7">
            <w:pPr>
              <w:pStyle w:val="Normal-pool-Table"/>
              <w:rPr>
                <w:lang w:val="en-GB"/>
              </w:rPr>
            </w:pPr>
            <w:proofErr w:type="gramStart"/>
            <w:r w:rsidRPr="00361139">
              <w:rPr>
                <w:lang w:val="en-GB"/>
              </w:rPr>
              <w:t>With</w:t>
            </w:r>
            <w:r w:rsidRPr="00361139">
              <w:rPr>
                <w:spacing w:val="-10"/>
                <w:lang w:val="en-GB"/>
              </w:rPr>
              <w:t xml:space="preserve"> </w:t>
            </w:r>
            <w:r w:rsidRPr="00361139">
              <w:rPr>
                <w:lang w:val="en-GB"/>
              </w:rPr>
              <w:t>regard</w:t>
            </w:r>
            <w:r w:rsidRPr="00361139">
              <w:rPr>
                <w:spacing w:val="-10"/>
                <w:lang w:val="en-GB"/>
              </w:rPr>
              <w:t xml:space="preserve"> </w:t>
            </w:r>
            <w:r w:rsidRPr="00361139">
              <w:rPr>
                <w:lang w:val="en-GB"/>
              </w:rPr>
              <w:t>to</w:t>
            </w:r>
            <w:proofErr w:type="gramEnd"/>
            <w:r w:rsidRPr="00361139">
              <w:rPr>
                <w:spacing w:val="-7"/>
                <w:lang w:val="en-GB"/>
              </w:rPr>
              <w:t xml:space="preserve"> </w:t>
            </w:r>
            <w:r w:rsidRPr="00361139">
              <w:rPr>
                <w:lang w:val="en-GB"/>
              </w:rPr>
              <w:t>contaminated</w:t>
            </w:r>
            <w:r w:rsidRPr="00361139">
              <w:rPr>
                <w:spacing w:val="-8"/>
                <w:lang w:val="en-GB"/>
              </w:rPr>
              <w:t xml:space="preserve"> </w:t>
            </w:r>
            <w:r w:rsidRPr="00361139">
              <w:rPr>
                <w:lang w:val="en-GB"/>
              </w:rPr>
              <w:t>sites,</w:t>
            </w:r>
            <w:r w:rsidRPr="00361139">
              <w:rPr>
                <w:spacing w:val="-8"/>
                <w:lang w:val="en-GB"/>
              </w:rPr>
              <w:t xml:space="preserve"> </w:t>
            </w:r>
            <w:r w:rsidRPr="00361139">
              <w:rPr>
                <w:lang w:val="en-GB"/>
              </w:rPr>
              <w:t>capacity- building for the development of strategies for</w:t>
            </w:r>
          </w:p>
          <w:p w14:paraId="331C6239" w14:textId="77777777" w:rsidR="00CC73DD" w:rsidRPr="00361139" w:rsidRDefault="00CC73DD" w:rsidP="00F249E7">
            <w:pPr>
              <w:pStyle w:val="Normal-pool-Table"/>
              <w:rPr>
                <w:lang w:val="en-GB"/>
              </w:rPr>
            </w:pPr>
            <w:r w:rsidRPr="00361139">
              <w:rPr>
                <w:lang w:val="en-GB"/>
              </w:rPr>
              <w:t>identifying</w:t>
            </w:r>
            <w:r w:rsidRPr="00361139">
              <w:rPr>
                <w:spacing w:val="-6"/>
                <w:lang w:val="en-GB"/>
              </w:rPr>
              <w:t xml:space="preserve"> </w:t>
            </w:r>
            <w:r w:rsidRPr="00361139">
              <w:rPr>
                <w:lang w:val="en-GB"/>
              </w:rPr>
              <w:t>and</w:t>
            </w:r>
            <w:r w:rsidRPr="00361139">
              <w:rPr>
                <w:spacing w:val="-5"/>
                <w:lang w:val="en-GB"/>
              </w:rPr>
              <w:t xml:space="preserve"> </w:t>
            </w:r>
            <w:r w:rsidRPr="00361139">
              <w:rPr>
                <w:lang w:val="en-GB"/>
              </w:rPr>
              <w:t>assessing</w:t>
            </w:r>
            <w:r w:rsidRPr="00361139">
              <w:rPr>
                <w:spacing w:val="-3"/>
                <w:lang w:val="en-GB"/>
              </w:rPr>
              <w:t xml:space="preserve"> </w:t>
            </w:r>
            <w:r w:rsidRPr="00361139">
              <w:rPr>
                <w:lang w:val="en-GB"/>
              </w:rPr>
              <w:t>sites</w:t>
            </w:r>
            <w:r w:rsidRPr="00361139">
              <w:rPr>
                <w:spacing w:val="-3"/>
                <w:lang w:val="en-GB"/>
              </w:rPr>
              <w:t xml:space="preserve"> </w:t>
            </w:r>
            <w:r w:rsidRPr="00361139">
              <w:rPr>
                <w:lang w:val="en-GB"/>
              </w:rPr>
              <w:t>contaminated</w:t>
            </w:r>
            <w:r w:rsidRPr="00361139">
              <w:rPr>
                <w:spacing w:val="-5"/>
                <w:lang w:val="en-GB"/>
              </w:rPr>
              <w:t xml:space="preserve"> by </w:t>
            </w:r>
            <w:r w:rsidRPr="00361139">
              <w:rPr>
                <w:lang w:val="en-GB"/>
              </w:rPr>
              <w:t>mercury or mercury compounds and, as appropriate,</w:t>
            </w:r>
            <w:r w:rsidRPr="00361139">
              <w:rPr>
                <w:spacing w:val="-9"/>
                <w:lang w:val="en-GB"/>
              </w:rPr>
              <w:t xml:space="preserve"> </w:t>
            </w:r>
            <w:r w:rsidRPr="00361139">
              <w:rPr>
                <w:lang w:val="en-GB"/>
              </w:rPr>
              <w:t>the</w:t>
            </w:r>
            <w:r w:rsidRPr="00361139">
              <w:rPr>
                <w:spacing w:val="-7"/>
                <w:lang w:val="en-GB"/>
              </w:rPr>
              <w:t xml:space="preserve"> </w:t>
            </w:r>
            <w:r w:rsidRPr="00361139">
              <w:rPr>
                <w:lang w:val="en-GB"/>
              </w:rPr>
              <w:t>remediation</w:t>
            </w:r>
            <w:r w:rsidRPr="00361139">
              <w:rPr>
                <w:spacing w:val="-9"/>
                <w:lang w:val="en-GB"/>
              </w:rPr>
              <w:t xml:space="preserve"> </w:t>
            </w:r>
            <w:r w:rsidRPr="00361139">
              <w:rPr>
                <w:lang w:val="en-GB"/>
              </w:rPr>
              <w:t>of</w:t>
            </w:r>
            <w:r w:rsidRPr="00361139">
              <w:rPr>
                <w:spacing w:val="-9"/>
                <w:lang w:val="en-GB"/>
              </w:rPr>
              <w:t xml:space="preserve"> </w:t>
            </w:r>
            <w:r w:rsidRPr="00361139">
              <w:rPr>
                <w:lang w:val="en-GB"/>
              </w:rPr>
              <w:t>those</w:t>
            </w:r>
            <w:r w:rsidRPr="00361139">
              <w:rPr>
                <w:spacing w:val="-7"/>
                <w:lang w:val="en-GB"/>
              </w:rPr>
              <w:t xml:space="preserve"> </w:t>
            </w:r>
            <w:r w:rsidRPr="00361139">
              <w:rPr>
                <w:lang w:val="en-GB"/>
              </w:rPr>
              <w:t>sites;</w:t>
            </w:r>
          </w:p>
          <w:p w14:paraId="62F0FA46" w14:textId="77777777" w:rsidR="00CC73DD" w:rsidRPr="00361139" w:rsidRDefault="00CC73DD" w:rsidP="00F249E7">
            <w:pPr>
              <w:pStyle w:val="Normal-pool-Table"/>
              <w:rPr>
                <w:lang w:val="en-GB"/>
              </w:rPr>
            </w:pPr>
            <w:r w:rsidRPr="00361139">
              <w:rPr>
                <w:lang w:val="en-GB"/>
              </w:rPr>
              <w:t>Information</w:t>
            </w:r>
            <w:r w:rsidRPr="00361139">
              <w:rPr>
                <w:spacing w:val="-5"/>
                <w:lang w:val="en-GB"/>
              </w:rPr>
              <w:t xml:space="preserve"> </w:t>
            </w:r>
            <w:r w:rsidRPr="00361139">
              <w:rPr>
                <w:lang w:val="en-GB"/>
              </w:rPr>
              <w:t>exchange;</w:t>
            </w:r>
          </w:p>
          <w:p w14:paraId="51BE39E7" w14:textId="77777777" w:rsidR="00CC73DD" w:rsidRPr="00361139" w:rsidRDefault="00CC73DD" w:rsidP="00F249E7">
            <w:pPr>
              <w:pStyle w:val="Normal-pool-Table"/>
              <w:rPr>
                <w:lang w:val="en-GB"/>
              </w:rPr>
            </w:pPr>
            <w:r w:rsidRPr="00361139">
              <w:rPr>
                <w:lang w:val="en-GB"/>
              </w:rPr>
              <w:t>Public</w:t>
            </w:r>
            <w:r w:rsidRPr="00361139">
              <w:rPr>
                <w:spacing w:val="-4"/>
                <w:lang w:val="en-GB"/>
              </w:rPr>
              <w:t xml:space="preserve"> </w:t>
            </w:r>
            <w:r w:rsidRPr="00361139">
              <w:rPr>
                <w:lang w:val="en-GB"/>
              </w:rPr>
              <w:t>information,</w:t>
            </w:r>
            <w:r w:rsidRPr="00361139">
              <w:rPr>
                <w:spacing w:val="-3"/>
                <w:lang w:val="en-GB"/>
              </w:rPr>
              <w:t xml:space="preserve"> </w:t>
            </w:r>
            <w:r w:rsidRPr="00361139">
              <w:rPr>
                <w:lang w:val="en-GB"/>
              </w:rPr>
              <w:t>awareness</w:t>
            </w:r>
            <w:r w:rsidRPr="00361139">
              <w:rPr>
                <w:spacing w:val="-3"/>
                <w:lang w:val="en-GB"/>
              </w:rPr>
              <w:t xml:space="preserve"> </w:t>
            </w:r>
            <w:r w:rsidRPr="00361139">
              <w:rPr>
                <w:lang w:val="en-GB"/>
              </w:rPr>
              <w:t>and</w:t>
            </w:r>
            <w:r w:rsidRPr="00361139">
              <w:rPr>
                <w:spacing w:val="-5"/>
                <w:lang w:val="en-GB"/>
              </w:rPr>
              <w:t xml:space="preserve"> </w:t>
            </w:r>
            <w:r w:rsidRPr="00361139">
              <w:rPr>
                <w:lang w:val="en-GB"/>
              </w:rPr>
              <w:t>education;</w:t>
            </w:r>
          </w:p>
          <w:p w14:paraId="09C03108" w14:textId="77777777" w:rsidR="00CC73DD" w:rsidRPr="00361139" w:rsidRDefault="00CC73DD" w:rsidP="00F249E7">
            <w:pPr>
              <w:pStyle w:val="Normal-pool-Table"/>
              <w:rPr>
                <w:lang w:val="en-GB"/>
              </w:rPr>
            </w:pPr>
            <w:r w:rsidRPr="00361139">
              <w:rPr>
                <w:lang w:val="en-GB"/>
              </w:rPr>
              <w:t>Cooperation in the development and improvement</w:t>
            </w:r>
            <w:r w:rsidRPr="00361139">
              <w:rPr>
                <w:spacing w:val="-9"/>
                <w:lang w:val="en-GB"/>
              </w:rPr>
              <w:t xml:space="preserve"> </w:t>
            </w:r>
            <w:r w:rsidRPr="00361139">
              <w:rPr>
                <w:lang w:val="en-GB"/>
              </w:rPr>
              <w:t>of</w:t>
            </w:r>
            <w:r w:rsidRPr="00361139">
              <w:rPr>
                <w:spacing w:val="-12"/>
                <w:lang w:val="en-GB"/>
              </w:rPr>
              <w:t xml:space="preserve"> </w:t>
            </w:r>
            <w:r w:rsidRPr="00361139">
              <w:rPr>
                <w:lang w:val="en-GB"/>
              </w:rPr>
              <w:t>research,</w:t>
            </w:r>
            <w:r w:rsidRPr="00361139">
              <w:rPr>
                <w:spacing w:val="-10"/>
                <w:lang w:val="en-GB"/>
              </w:rPr>
              <w:t xml:space="preserve"> </w:t>
            </w:r>
            <w:r w:rsidRPr="00361139">
              <w:rPr>
                <w:lang w:val="en-GB"/>
              </w:rPr>
              <w:t>development</w:t>
            </w:r>
            <w:r w:rsidRPr="00361139">
              <w:rPr>
                <w:spacing w:val="-9"/>
                <w:lang w:val="en-GB"/>
              </w:rPr>
              <w:t xml:space="preserve"> </w:t>
            </w:r>
            <w:r w:rsidRPr="00361139">
              <w:rPr>
                <w:lang w:val="en-GB"/>
              </w:rPr>
              <w:t>and monitoring;</w:t>
            </w:r>
          </w:p>
          <w:p w14:paraId="2D25B8C7" w14:textId="77777777" w:rsidR="00CC73DD" w:rsidRPr="00361139" w:rsidRDefault="00CC73DD" w:rsidP="00F249E7">
            <w:pPr>
              <w:pStyle w:val="Normal-pool-Table"/>
              <w:rPr>
                <w:lang w:val="en-GB"/>
              </w:rPr>
            </w:pPr>
            <w:r w:rsidRPr="00361139">
              <w:rPr>
                <w:lang w:val="en-GB"/>
              </w:rPr>
              <w:t>Development</w:t>
            </w:r>
            <w:r w:rsidRPr="00361139">
              <w:rPr>
                <w:spacing w:val="-13"/>
                <w:lang w:val="en-GB"/>
              </w:rPr>
              <w:t xml:space="preserve"> </w:t>
            </w:r>
            <w:r w:rsidRPr="00361139">
              <w:rPr>
                <w:lang w:val="en-GB"/>
              </w:rPr>
              <w:t>of</w:t>
            </w:r>
            <w:r w:rsidRPr="00361139">
              <w:rPr>
                <w:spacing w:val="-12"/>
                <w:lang w:val="en-GB"/>
              </w:rPr>
              <w:t xml:space="preserve"> </w:t>
            </w:r>
            <w:r w:rsidRPr="00361139">
              <w:rPr>
                <w:lang w:val="en-GB"/>
              </w:rPr>
              <w:t>implementation</w:t>
            </w:r>
            <w:r w:rsidRPr="00361139">
              <w:rPr>
                <w:spacing w:val="-13"/>
                <w:lang w:val="en-GB"/>
              </w:rPr>
              <w:t xml:space="preserve"> </w:t>
            </w:r>
            <w:r w:rsidRPr="00361139">
              <w:rPr>
                <w:lang w:val="en-GB"/>
              </w:rPr>
              <w:t>plans following initial assessments.</w:t>
            </w:r>
          </w:p>
        </w:tc>
        <w:tc>
          <w:tcPr>
            <w:tcW w:w="4517" w:type="dxa"/>
          </w:tcPr>
          <w:p w14:paraId="1B2E7EF7" w14:textId="77777777" w:rsidR="00CC73DD" w:rsidRPr="00361139" w:rsidRDefault="00CC73DD" w:rsidP="00F249E7">
            <w:pPr>
              <w:pStyle w:val="Normal-pool-Table"/>
              <w:rPr>
                <w:lang w:val="en-GB"/>
              </w:rPr>
            </w:pPr>
            <w:r w:rsidRPr="00361139">
              <w:rPr>
                <w:lang w:val="en-GB"/>
              </w:rPr>
              <w:t>This</w:t>
            </w:r>
            <w:r w:rsidRPr="00361139">
              <w:rPr>
                <w:spacing w:val="-7"/>
                <w:lang w:val="en-GB"/>
              </w:rPr>
              <w:t xml:space="preserve"> </w:t>
            </w:r>
            <w:r w:rsidRPr="00361139">
              <w:rPr>
                <w:lang w:val="en-GB"/>
              </w:rPr>
              <w:t>was</w:t>
            </w:r>
            <w:r w:rsidRPr="00361139">
              <w:rPr>
                <w:spacing w:val="-10"/>
                <w:lang w:val="en-GB"/>
              </w:rPr>
              <w:t xml:space="preserve"> </w:t>
            </w:r>
            <w:r w:rsidRPr="00361139">
              <w:rPr>
                <w:lang w:val="en-GB"/>
              </w:rPr>
              <w:t>addressed</w:t>
            </w:r>
            <w:r w:rsidRPr="00361139">
              <w:rPr>
                <w:spacing w:val="-9"/>
                <w:lang w:val="en-GB"/>
              </w:rPr>
              <w:t xml:space="preserve"> </w:t>
            </w:r>
            <w:r w:rsidRPr="00361139">
              <w:rPr>
                <w:lang w:val="en-GB"/>
              </w:rPr>
              <w:t>during</w:t>
            </w:r>
            <w:r w:rsidRPr="00361139">
              <w:rPr>
                <w:spacing w:val="-9"/>
                <w:lang w:val="en-GB"/>
              </w:rPr>
              <w:t xml:space="preserve"> </w:t>
            </w:r>
            <w:r w:rsidRPr="00361139">
              <w:rPr>
                <w:lang w:val="en-GB"/>
              </w:rPr>
              <w:t>the</w:t>
            </w:r>
            <w:r w:rsidRPr="00361139">
              <w:rPr>
                <w:spacing w:val="-6"/>
                <w:lang w:val="en-GB"/>
              </w:rPr>
              <w:t xml:space="preserve"> </w:t>
            </w:r>
            <w:r w:rsidRPr="00361139">
              <w:rPr>
                <w:lang w:val="en-GB"/>
              </w:rPr>
              <w:t>GEF-7 programming, to be reported on at subsequent COPs.</w:t>
            </w:r>
          </w:p>
          <w:p w14:paraId="61C986F2" w14:textId="77777777" w:rsidR="00CC73DD" w:rsidRPr="00361139" w:rsidRDefault="00CC73DD" w:rsidP="00F249E7">
            <w:pPr>
              <w:pStyle w:val="Normal-pool-Table"/>
              <w:rPr>
                <w:lang w:val="en-GB"/>
              </w:rPr>
            </w:pPr>
          </w:p>
          <w:p w14:paraId="0B4ADB1E"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51C4C246" w14:textId="77777777" w:rsidR="00CC73DD" w:rsidRPr="00361139" w:rsidRDefault="00CC73DD" w:rsidP="00F249E7">
            <w:pPr>
              <w:pStyle w:val="Normal-pool-Table"/>
              <w:rPr>
                <w:lang w:val="en-GB"/>
              </w:rPr>
            </w:pPr>
            <w:r w:rsidRPr="00361139">
              <w:rPr>
                <w:lang w:val="en-GB"/>
              </w:rPr>
              <w:t>GEF projects primarily focus on implementing legal obligations of the Convention and reducing mercury. Other activities are considered on a case-by-case basis.</w:t>
            </w:r>
            <w:r w:rsidRPr="00361139">
              <w:rPr>
                <w:spacing w:val="-5"/>
                <w:lang w:val="en-GB"/>
              </w:rPr>
              <w:t xml:space="preserve"> </w:t>
            </w:r>
            <w:r w:rsidRPr="00361139">
              <w:rPr>
                <w:lang w:val="en-GB"/>
              </w:rPr>
              <w:t>Activities</w:t>
            </w:r>
            <w:r w:rsidRPr="00361139">
              <w:rPr>
                <w:spacing w:val="-7"/>
                <w:lang w:val="en-GB"/>
              </w:rPr>
              <w:t xml:space="preserve"> </w:t>
            </w:r>
            <w:r w:rsidRPr="00361139">
              <w:rPr>
                <w:lang w:val="en-GB"/>
              </w:rPr>
              <w:t>that</w:t>
            </w:r>
            <w:r w:rsidRPr="00361139">
              <w:rPr>
                <w:spacing w:val="-5"/>
                <w:lang w:val="en-GB"/>
              </w:rPr>
              <w:t xml:space="preserve"> </w:t>
            </w:r>
            <w:r w:rsidRPr="00361139">
              <w:rPr>
                <w:lang w:val="en-GB"/>
              </w:rPr>
              <w:t>are</w:t>
            </w:r>
            <w:r w:rsidRPr="00361139">
              <w:rPr>
                <w:spacing w:val="-5"/>
                <w:lang w:val="en-GB"/>
              </w:rPr>
              <w:t xml:space="preserve"> </w:t>
            </w:r>
            <w:r w:rsidRPr="00361139">
              <w:rPr>
                <w:lang w:val="en-GB"/>
              </w:rPr>
              <w:t>not</w:t>
            </w:r>
            <w:r w:rsidRPr="00361139">
              <w:rPr>
                <w:spacing w:val="-5"/>
                <w:lang w:val="en-GB"/>
              </w:rPr>
              <w:t xml:space="preserve"> </w:t>
            </w:r>
            <w:r w:rsidRPr="00361139">
              <w:rPr>
                <w:lang w:val="en-GB"/>
              </w:rPr>
              <w:t>subject</w:t>
            </w:r>
            <w:r w:rsidRPr="00361139">
              <w:rPr>
                <w:spacing w:val="-8"/>
                <w:lang w:val="en-GB"/>
              </w:rPr>
              <w:t xml:space="preserve"> </w:t>
            </w:r>
            <w:r w:rsidRPr="00361139">
              <w:rPr>
                <w:lang w:val="en-GB"/>
              </w:rPr>
              <w:t>to</w:t>
            </w:r>
            <w:r w:rsidRPr="00361139">
              <w:rPr>
                <w:spacing w:val="-5"/>
                <w:lang w:val="en-GB"/>
              </w:rPr>
              <w:t xml:space="preserve"> </w:t>
            </w:r>
            <w:r w:rsidRPr="00361139">
              <w:rPr>
                <w:lang w:val="en-GB"/>
              </w:rPr>
              <w:t>legal obligation under the Convention were considered in projects funded in the GEF-7 period, such as information exchange, public awareness, and capacity building for the development of strategies for identifying</w:t>
            </w:r>
            <w:r w:rsidRPr="00361139">
              <w:rPr>
                <w:spacing w:val="-11"/>
                <w:lang w:val="en-GB"/>
              </w:rPr>
              <w:t xml:space="preserve"> </w:t>
            </w:r>
            <w:r w:rsidRPr="00361139">
              <w:rPr>
                <w:lang w:val="en-GB"/>
              </w:rPr>
              <w:t>and</w:t>
            </w:r>
            <w:r w:rsidRPr="00361139">
              <w:rPr>
                <w:spacing w:val="-11"/>
                <w:lang w:val="en-GB"/>
              </w:rPr>
              <w:t xml:space="preserve"> </w:t>
            </w:r>
            <w:r w:rsidRPr="00361139">
              <w:rPr>
                <w:lang w:val="en-GB"/>
              </w:rPr>
              <w:t>assessing</w:t>
            </w:r>
            <w:r w:rsidRPr="00361139">
              <w:rPr>
                <w:spacing w:val="-10"/>
                <w:lang w:val="en-GB"/>
              </w:rPr>
              <w:t xml:space="preserve"> </w:t>
            </w:r>
            <w:r w:rsidRPr="00361139">
              <w:rPr>
                <w:lang w:val="en-GB"/>
              </w:rPr>
              <w:t>sites</w:t>
            </w:r>
            <w:r w:rsidRPr="00361139">
              <w:rPr>
                <w:spacing w:val="-10"/>
                <w:lang w:val="en-GB"/>
              </w:rPr>
              <w:t xml:space="preserve"> </w:t>
            </w:r>
            <w:r w:rsidRPr="00361139">
              <w:rPr>
                <w:lang w:val="en-GB"/>
              </w:rPr>
              <w:t xml:space="preserve">contaminated by mercury and, as appropriate, their remediation. For example, the </w:t>
            </w:r>
            <w:proofErr w:type="spellStart"/>
            <w:r w:rsidRPr="00361139">
              <w:rPr>
                <w:lang w:val="en-GB"/>
              </w:rPr>
              <w:t>chlor</w:t>
            </w:r>
            <w:proofErr w:type="spellEnd"/>
            <w:r w:rsidRPr="00361139">
              <w:rPr>
                <w:lang w:val="en-GB"/>
              </w:rPr>
              <w:t xml:space="preserve"> alkali project in Mexico includes</w:t>
            </w:r>
            <w:r w:rsidRPr="00361139">
              <w:rPr>
                <w:spacing w:val="-3"/>
                <w:lang w:val="en-GB"/>
              </w:rPr>
              <w:t xml:space="preserve"> </w:t>
            </w:r>
            <w:r w:rsidRPr="00361139">
              <w:rPr>
                <w:lang w:val="en-GB"/>
              </w:rPr>
              <w:t>an</w:t>
            </w:r>
            <w:r w:rsidRPr="00361139">
              <w:rPr>
                <w:spacing w:val="-1"/>
                <w:lang w:val="en-GB"/>
              </w:rPr>
              <w:t xml:space="preserve"> </w:t>
            </w:r>
            <w:r w:rsidRPr="00361139">
              <w:rPr>
                <w:lang w:val="en-GB"/>
              </w:rPr>
              <w:t>assessment of the site contaminated with mercury and a plan for remediation.</w:t>
            </w:r>
          </w:p>
        </w:tc>
      </w:tr>
      <w:tr w:rsidR="00CC73DD" w:rsidRPr="00361139" w14:paraId="2FCBC4E9" w14:textId="77777777" w:rsidTr="00773BFB">
        <w:trPr>
          <w:trHeight w:val="57"/>
          <w:jc w:val="right"/>
        </w:trPr>
        <w:tc>
          <w:tcPr>
            <w:tcW w:w="9486" w:type="dxa"/>
            <w:gridSpan w:val="3"/>
          </w:tcPr>
          <w:p w14:paraId="1E0137F0" w14:textId="77777777" w:rsidR="00CC73DD" w:rsidRPr="00361139" w:rsidRDefault="00CC73DD" w:rsidP="00033450">
            <w:pPr>
              <w:pStyle w:val="Normal-pool-Table"/>
              <w:numPr>
                <w:ilvl w:val="6"/>
                <w:numId w:val="1"/>
              </w:numPr>
              <w:ind w:left="454" w:hanging="454"/>
              <w:rPr>
                <w:b/>
                <w:bCs/>
                <w:lang w:val="en-GB"/>
              </w:rPr>
            </w:pPr>
            <w:r w:rsidRPr="00361139">
              <w:rPr>
                <w:b/>
                <w:bCs/>
                <w:lang w:val="en-GB"/>
              </w:rPr>
              <w:t>Activities to implement the provisions of the Convention that allow for the reduction of mercury emissions and releases and address both the health and environmental impacts of mercury</w:t>
            </w:r>
          </w:p>
        </w:tc>
      </w:tr>
      <w:tr w:rsidR="00CC73DD" w:rsidRPr="00361139" w14:paraId="714CE748" w14:textId="77777777" w:rsidTr="00773BFB">
        <w:trPr>
          <w:trHeight w:val="57"/>
          <w:jc w:val="right"/>
        </w:trPr>
        <w:tc>
          <w:tcPr>
            <w:tcW w:w="453" w:type="dxa"/>
          </w:tcPr>
          <w:p w14:paraId="374DE680" w14:textId="77777777" w:rsidR="00CC73DD" w:rsidRPr="00361139" w:rsidRDefault="00CC73DD" w:rsidP="00F249E7">
            <w:pPr>
              <w:pStyle w:val="Normal-pool-Table"/>
              <w:rPr>
                <w:spacing w:val="-5"/>
                <w:lang w:val="en-GB"/>
              </w:rPr>
            </w:pPr>
            <w:r w:rsidRPr="00361139">
              <w:rPr>
                <w:spacing w:val="-5"/>
                <w:lang w:val="en-GB"/>
              </w:rPr>
              <w:t>12</w:t>
            </w:r>
          </w:p>
        </w:tc>
        <w:tc>
          <w:tcPr>
            <w:tcW w:w="4516" w:type="dxa"/>
          </w:tcPr>
          <w:p w14:paraId="42909DC2" w14:textId="77777777" w:rsidR="00CC73DD" w:rsidRPr="00361139" w:rsidRDefault="00CC73DD" w:rsidP="00F249E7">
            <w:pPr>
              <w:pStyle w:val="Normal-pool-Table"/>
              <w:rPr>
                <w:lang w:val="en-GB"/>
              </w:rPr>
            </w:pPr>
            <w:r w:rsidRPr="00361139">
              <w:rPr>
                <w:lang w:val="en-GB"/>
              </w:rPr>
              <w:t>Activities to implement the provisions of the Convention that allow for the reduction of mercury</w:t>
            </w:r>
            <w:r w:rsidRPr="00361139">
              <w:rPr>
                <w:spacing w:val="-6"/>
                <w:lang w:val="en-GB"/>
              </w:rPr>
              <w:t xml:space="preserve"> </w:t>
            </w:r>
            <w:r w:rsidRPr="00361139">
              <w:rPr>
                <w:lang w:val="en-GB"/>
              </w:rPr>
              <w:t>emissions</w:t>
            </w:r>
            <w:r w:rsidRPr="00361139">
              <w:rPr>
                <w:spacing w:val="-6"/>
                <w:lang w:val="en-GB"/>
              </w:rPr>
              <w:t xml:space="preserve"> </w:t>
            </w:r>
            <w:r w:rsidRPr="00361139">
              <w:rPr>
                <w:lang w:val="en-GB"/>
              </w:rPr>
              <w:t>and</w:t>
            </w:r>
            <w:r w:rsidRPr="00361139">
              <w:rPr>
                <w:spacing w:val="-8"/>
                <w:lang w:val="en-GB"/>
              </w:rPr>
              <w:t xml:space="preserve"> </w:t>
            </w:r>
            <w:r w:rsidRPr="00361139">
              <w:rPr>
                <w:lang w:val="en-GB"/>
              </w:rPr>
              <w:t>releases</w:t>
            </w:r>
            <w:r w:rsidRPr="00361139">
              <w:rPr>
                <w:spacing w:val="-4"/>
                <w:lang w:val="en-GB"/>
              </w:rPr>
              <w:t xml:space="preserve"> </w:t>
            </w:r>
            <w:r w:rsidRPr="00361139">
              <w:rPr>
                <w:lang w:val="en-GB"/>
              </w:rPr>
              <w:t>and</w:t>
            </w:r>
            <w:r w:rsidRPr="00361139">
              <w:rPr>
                <w:spacing w:val="-8"/>
                <w:lang w:val="en-GB"/>
              </w:rPr>
              <w:t xml:space="preserve"> </w:t>
            </w:r>
            <w:r w:rsidRPr="00361139">
              <w:rPr>
                <w:lang w:val="en-GB"/>
              </w:rPr>
              <w:t>address</w:t>
            </w:r>
            <w:r w:rsidRPr="00361139">
              <w:rPr>
                <w:spacing w:val="-8"/>
                <w:lang w:val="en-GB"/>
              </w:rPr>
              <w:t xml:space="preserve"> </w:t>
            </w:r>
            <w:r w:rsidRPr="00361139">
              <w:rPr>
                <w:lang w:val="en-GB"/>
              </w:rPr>
              <w:t>both the</w:t>
            </w:r>
            <w:r w:rsidRPr="00361139">
              <w:rPr>
                <w:spacing w:val="-5"/>
                <w:lang w:val="en-GB"/>
              </w:rPr>
              <w:t xml:space="preserve"> </w:t>
            </w:r>
            <w:r w:rsidRPr="00361139">
              <w:rPr>
                <w:lang w:val="en-GB"/>
              </w:rPr>
              <w:t>health</w:t>
            </w:r>
            <w:r w:rsidRPr="00361139">
              <w:rPr>
                <w:spacing w:val="-8"/>
                <w:lang w:val="en-GB"/>
              </w:rPr>
              <w:t xml:space="preserve"> </w:t>
            </w:r>
            <w:r w:rsidRPr="00361139">
              <w:rPr>
                <w:lang w:val="en-GB"/>
              </w:rPr>
              <w:t>and</w:t>
            </w:r>
            <w:r w:rsidRPr="00361139">
              <w:rPr>
                <w:spacing w:val="-8"/>
                <w:lang w:val="en-GB"/>
              </w:rPr>
              <w:t xml:space="preserve"> </w:t>
            </w:r>
            <w:r w:rsidRPr="00361139">
              <w:rPr>
                <w:lang w:val="en-GB"/>
              </w:rPr>
              <w:t>environmental</w:t>
            </w:r>
            <w:r w:rsidRPr="00361139">
              <w:rPr>
                <w:spacing w:val="-6"/>
                <w:lang w:val="en-GB"/>
              </w:rPr>
              <w:t xml:space="preserve"> </w:t>
            </w:r>
            <w:r w:rsidRPr="00361139">
              <w:rPr>
                <w:lang w:val="en-GB"/>
              </w:rPr>
              <w:t>impacts</w:t>
            </w:r>
            <w:r w:rsidRPr="00361139">
              <w:rPr>
                <w:spacing w:val="-8"/>
                <w:lang w:val="en-GB"/>
              </w:rPr>
              <w:t xml:space="preserve"> </w:t>
            </w:r>
            <w:r w:rsidRPr="00361139">
              <w:rPr>
                <w:lang w:val="en-GB"/>
              </w:rPr>
              <w:t>of</w:t>
            </w:r>
            <w:r w:rsidRPr="00361139">
              <w:rPr>
                <w:spacing w:val="-8"/>
                <w:lang w:val="en-GB"/>
              </w:rPr>
              <w:t xml:space="preserve"> </w:t>
            </w:r>
            <w:r w:rsidRPr="00361139">
              <w:rPr>
                <w:lang w:val="en-GB"/>
              </w:rPr>
              <w:t>mercury may</w:t>
            </w:r>
            <w:r w:rsidRPr="00361139">
              <w:rPr>
                <w:spacing w:val="-7"/>
                <w:lang w:val="en-GB"/>
              </w:rPr>
              <w:t xml:space="preserve"> </w:t>
            </w:r>
            <w:r w:rsidRPr="00361139">
              <w:rPr>
                <w:lang w:val="en-GB"/>
              </w:rPr>
              <w:t>encompass</w:t>
            </w:r>
            <w:r w:rsidRPr="00361139">
              <w:rPr>
                <w:spacing w:val="-6"/>
                <w:lang w:val="en-GB"/>
              </w:rPr>
              <w:t xml:space="preserve"> </w:t>
            </w:r>
            <w:r w:rsidRPr="00361139">
              <w:rPr>
                <w:lang w:val="en-GB"/>
              </w:rPr>
              <w:t>activities</w:t>
            </w:r>
            <w:r w:rsidRPr="00361139">
              <w:rPr>
                <w:spacing w:val="-5"/>
                <w:lang w:val="en-GB"/>
              </w:rPr>
              <w:t xml:space="preserve"> </w:t>
            </w:r>
            <w:r w:rsidRPr="00361139">
              <w:rPr>
                <w:lang w:val="en-GB"/>
              </w:rPr>
              <w:t>relating</w:t>
            </w:r>
            <w:r w:rsidRPr="00361139">
              <w:rPr>
                <w:spacing w:val="-5"/>
                <w:lang w:val="en-GB"/>
              </w:rPr>
              <w:t xml:space="preserve"> </w:t>
            </w:r>
            <w:r w:rsidRPr="00361139">
              <w:rPr>
                <w:lang w:val="en-GB"/>
              </w:rPr>
              <w:t>to</w:t>
            </w:r>
            <w:r w:rsidRPr="00361139">
              <w:rPr>
                <w:spacing w:val="-5"/>
                <w:lang w:val="en-GB"/>
              </w:rPr>
              <w:t xml:space="preserve"> </w:t>
            </w:r>
            <w:r w:rsidRPr="00361139">
              <w:rPr>
                <w:lang w:val="en-GB"/>
              </w:rPr>
              <w:t>both</w:t>
            </w:r>
            <w:r w:rsidRPr="00361139">
              <w:rPr>
                <w:spacing w:val="-5"/>
                <w:lang w:val="en-GB"/>
              </w:rPr>
              <w:t xml:space="preserve"> </w:t>
            </w:r>
            <w:r w:rsidRPr="00361139">
              <w:rPr>
                <w:lang w:val="en-GB"/>
              </w:rPr>
              <w:t>binding and non-binding provisions, with priority to the legally binding provisions discussed above, that accord with the GEF mandate to deliver global environmental benefits and reflect the GEF chemicals and</w:t>
            </w:r>
            <w:r w:rsidRPr="00361139">
              <w:rPr>
                <w:spacing w:val="-3"/>
                <w:lang w:val="en-GB"/>
              </w:rPr>
              <w:t xml:space="preserve"> </w:t>
            </w:r>
            <w:r w:rsidRPr="00361139">
              <w:rPr>
                <w:lang w:val="en-GB"/>
              </w:rPr>
              <w:t>wastes</w:t>
            </w:r>
            <w:r w:rsidRPr="00361139">
              <w:rPr>
                <w:spacing w:val="-3"/>
                <w:lang w:val="en-GB"/>
              </w:rPr>
              <w:t xml:space="preserve"> </w:t>
            </w:r>
            <w:r w:rsidRPr="00361139">
              <w:rPr>
                <w:lang w:val="en-GB"/>
              </w:rPr>
              <w:t>focal</w:t>
            </w:r>
            <w:r w:rsidRPr="00361139">
              <w:rPr>
                <w:spacing w:val="-5"/>
                <w:lang w:val="en-GB"/>
              </w:rPr>
              <w:t xml:space="preserve"> </w:t>
            </w:r>
            <w:r w:rsidRPr="00361139">
              <w:rPr>
                <w:lang w:val="en-GB"/>
              </w:rPr>
              <w:t>area</w:t>
            </w:r>
            <w:r w:rsidRPr="00361139">
              <w:rPr>
                <w:spacing w:val="-1"/>
                <w:lang w:val="en-GB"/>
              </w:rPr>
              <w:t xml:space="preserve"> </w:t>
            </w:r>
            <w:r w:rsidRPr="00361139">
              <w:rPr>
                <w:lang w:val="en-GB"/>
              </w:rPr>
              <w:t>strategy.</w:t>
            </w:r>
          </w:p>
        </w:tc>
        <w:tc>
          <w:tcPr>
            <w:tcW w:w="4517" w:type="dxa"/>
          </w:tcPr>
          <w:p w14:paraId="4100EC79" w14:textId="77777777" w:rsidR="00CC73DD" w:rsidRPr="00361139" w:rsidRDefault="00CC73DD" w:rsidP="00F249E7">
            <w:pPr>
              <w:pStyle w:val="Normal-pool-Table"/>
              <w:rPr>
                <w:lang w:val="en-GB"/>
              </w:rPr>
            </w:pPr>
            <w:r w:rsidRPr="00361139">
              <w:rPr>
                <w:lang w:val="en-GB"/>
              </w:rPr>
              <w:t>This</w:t>
            </w:r>
            <w:r w:rsidRPr="00361139">
              <w:rPr>
                <w:spacing w:val="-7"/>
                <w:lang w:val="en-GB"/>
              </w:rPr>
              <w:t xml:space="preserve"> </w:t>
            </w:r>
            <w:r w:rsidRPr="00361139">
              <w:rPr>
                <w:lang w:val="en-GB"/>
              </w:rPr>
              <w:t>was</w:t>
            </w:r>
            <w:r w:rsidRPr="00361139">
              <w:rPr>
                <w:spacing w:val="-10"/>
                <w:lang w:val="en-GB"/>
              </w:rPr>
              <w:t xml:space="preserve"> </w:t>
            </w:r>
            <w:r w:rsidRPr="00361139">
              <w:rPr>
                <w:lang w:val="en-GB"/>
              </w:rPr>
              <w:t>addressed</w:t>
            </w:r>
            <w:r w:rsidRPr="00361139">
              <w:rPr>
                <w:spacing w:val="-9"/>
                <w:lang w:val="en-GB"/>
              </w:rPr>
              <w:t xml:space="preserve"> </w:t>
            </w:r>
            <w:r w:rsidRPr="00361139">
              <w:rPr>
                <w:lang w:val="en-GB"/>
              </w:rPr>
              <w:t>during</w:t>
            </w:r>
            <w:r w:rsidRPr="00361139">
              <w:rPr>
                <w:spacing w:val="-9"/>
                <w:lang w:val="en-GB"/>
              </w:rPr>
              <w:t xml:space="preserve"> </w:t>
            </w:r>
            <w:r w:rsidRPr="00361139">
              <w:rPr>
                <w:lang w:val="en-GB"/>
              </w:rPr>
              <w:t>the</w:t>
            </w:r>
            <w:r w:rsidRPr="00361139">
              <w:rPr>
                <w:spacing w:val="-6"/>
                <w:lang w:val="en-GB"/>
              </w:rPr>
              <w:t xml:space="preserve"> </w:t>
            </w:r>
            <w:r w:rsidRPr="00361139">
              <w:rPr>
                <w:lang w:val="en-GB"/>
              </w:rPr>
              <w:t>GEF-7 programming, to be reported on at subsequent COPs.</w:t>
            </w:r>
          </w:p>
          <w:p w14:paraId="5B7CC55B" w14:textId="77777777" w:rsidR="00CC73DD" w:rsidRPr="00361139" w:rsidRDefault="00CC73DD" w:rsidP="00F249E7">
            <w:pPr>
              <w:pStyle w:val="Normal-pool-Table"/>
              <w:rPr>
                <w:lang w:val="en-GB"/>
              </w:rPr>
            </w:pPr>
          </w:p>
          <w:p w14:paraId="5CAC275F" w14:textId="77777777" w:rsidR="00CC73DD" w:rsidRPr="00361139" w:rsidRDefault="00CC73DD" w:rsidP="00F249E7">
            <w:pPr>
              <w:pStyle w:val="Normal-pool-Table"/>
              <w:rPr>
                <w:lang w:val="en-GB"/>
              </w:rPr>
            </w:pPr>
            <w:r w:rsidRPr="00361139">
              <w:rPr>
                <w:lang w:val="en-GB"/>
              </w:rPr>
              <w:t>Update</w:t>
            </w:r>
            <w:r w:rsidRPr="00361139">
              <w:rPr>
                <w:spacing w:val="-1"/>
                <w:lang w:val="en-GB"/>
              </w:rPr>
              <w:t xml:space="preserve"> </w:t>
            </w:r>
            <w:r w:rsidRPr="00361139">
              <w:rPr>
                <w:lang w:val="en-GB"/>
              </w:rPr>
              <w:t>as</w:t>
            </w:r>
            <w:r w:rsidRPr="00361139">
              <w:rPr>
                <w:spacing w:val="-3"/>
                <w:lang w:val="en-GB"/>
              </w:rPr>
              <w:t xml:space="preserve"> </w:t>
            </w:r>
            <w:r w:rsidRPr="00361139">
              <w:rPr>
                <w:lang w:val="en-GB"/>
              </w:rPr>
              <w:t>of</w:t>
            </w:r>
            <w:r w:rsidRPr="00361139">
              <w:rPr>
                <w:spacing w:val="-3"/>
                <w:lang w:val="en-GB"/>
              </w:rPr>
              <w:t xml:space="preserve"> </w:t>
            </w:r>
            <w:r w:rsidRPr="00361139">
              <w:rPr>
                <w:lang w:val="en-GB"/>
              </w:rPr>
              <w:t>June</w:t>
            </w:r>
            <w:r w:rsidRPr="00361139">
              <w:rPr>
                <w:spacing w:val="-3"/>
                <w:lang w:val="en-GB"/>
              </w:rPr>
              <w:t xml:space="preserve"> </w:t>
            </w:r>
            <w:r w:rsidRPr="00361139">
              <w:rPr>
                <w:lang w:val="en-GB"/>
              </w:rPr>
              <w:t>30,</w:t>
            </w:r>
            <w:r w:rsidRPr="00361139">
              <w:rPr>
                <w:spacing w:val="1"/>
                <w:lang w:val="en-GB"/>
              </w:rPr>
              <w:t xml:space="preserve"> </w:t>
            </w:r>
            <w:r w:rsidRPr="00361139">
              <w:rPr>
                <w:spacing w:val="-4"/>
                <w:lang w:val="en-GB"/>
              </w:rPr>
              <w:t>2022:</w:t>
            </w:r>
          </w:p>
          <w:p w14:paraId="536F5641" w14:textId="77777777" w:rsidR="00CC73DD" w:rsidRPr="00361139" w:rsidRDefault="00CC73DD" w:rsidP="00F249E7">
            <w:pPr>
              <w:pStyle w:val="Normal-pool-Table"/>
              <w:rPr>
                <w:lang w:val="en-GB"/>
              </w:rPr>
            </w:pPr>
            <w:r w:rsidRPr="00361139">
              <w:rPr>
                <w:lang w:val="en-GB"/>
              </w:rPr>
              <w:t>The</w:t>
            </w:r>
            <w:r w:rsidRPr="00361139">
              <w:rPr>
                <w:spacing w:val="-5"/>
                <w:lang w:val="en-GB"/>
              </w:rPr>
              <w:t xml:space="preserve"> </w:t>
            </w:r>
            <w:r w:rsidRPr="00361139">
              <w:rPr>
                <w:lang w:val="en-GB"/>
              </w:rPr>
              <w:t>projects</w:t>
            </w:r>
            <w:r w:rsidRPr="00361139">
              <w:rPr>
                <w:spacing w:val="-8"/>
                <w:lang w:val="en-GB"/>
              </w:rPr>
              <w:t xml:space="preserve"> </w:t>
            </w:r>
            <w:r w:rsidRPr="00361139">
              <w:rPr>
                <w:lang w:val="en-GB"/>
              </w:rPr>
              <w:t>approved</w:t>
            </w:r>
            <w:r w:rsidRPr="00361139">
              <w:rPr>
                <w:spacing w:val="-6"/>
                <w:lang w:val="en-GB"/>
              </w:rPr>
              <w:t xml:space="preserve"> </w:t>
            </w:r>
            <w:r w:rsidRPr="00361139">
              <w:rPr>
                <w:lang w:val="en-GB"/>
              </w:rPr>
              <w:t>in</w:t>
            </w:r>
            <w:r w:rsidRPr="00361139">
              <w:rPr>
                <w:spacing w:val="-8"/>
                <w:lang w:val="en-GB"/>
              </w:rPr>
              <w:t xml:space="preserve"> </w:t>
            </w:r>
            <w:r w:rsidRPr="00361139">
              <w:rPr>
                <w:lang w:val="en-GB"/>
              </w:rPr>
              <w:t>the</w:t>
            </w:r>
            <w:r w:rsidRPr="00361139">
              <w:rPr>
                <w:spacing w:val="-6"/>
                <w:lang w:val="en-GB"/>
              </w:rPr>
              <w:t xml:space="preserve"> </w:t>
            </w:r>
            <w:r w:rsidRPr="00361139">
              <w:rPr>
                <w:lang w:val="en-GB"/>
              </w:rPr>
              <w:t>GEF-7</w:t>
            </w:r>
            <w:r w:rsidRPr="00361139">
              <w:rPr>
                <w:spacing w:val="-7"/>
                <w:lang w:val="en-GB"/>
              </w:rPr>
              <w:t xml:space="preserve"> </w:t>
            </w:r>
            <w:r w:rsidRPr="00361139">
              <w:rPr>
                <w:lang w:val="en-GB"/>
              </w:rPr>
              <w:t>period will contribute to the reduction of 1,629 metric tons of mercury.</w:t>
            </w:r>
          </w:p>
        </w:tc>
      </w:tr>
      <w:tr w:rsidR="00CC73DD" w:rsidRPr="00361139" w14:paraId="0FC13AEF" w14:textId="77777777" w:rsidTr="00773BFB">
        <w:trPr>
          <w:trHeight w:val="57"/>
          <w:jc w:val="right"/>
        </w:trPr>
        <w:tc>
          <w:tcPr>
            <w:tcW w:w="9486" w:type="dxa"/>
            <w:gridSpan w:val="3"/>
          </w:tcPr>
          <w:p w14:paraId="2E51B609" w14:textId="77777777" w:rsidR="00CC73DD" w:rsidRPr="00361139" w:rsidRDefault="00CC73DD" w:rsidP="000C76AC">
            <w:pPr>
              <w:pStyle w:val="Normal-pool-Table"/>
              <w:numPr>
                <w:ilvl w:val="0"/>
                <w:numId w:val="21"/>
              </w:numPr>
              <w:tabs>
                <w:tab w:val="clear" w:pos="624"/>
              </w:tabs>
              <w:ind w:left="454" w:hanging="454"/>
              <w:rPr>
                <w:b/>
                <w:bCs/>
                <w:lang w:val="en-GB"/>
              </w:rPr>
            </w:pPr>
            <w:r w:rsidRPr="00361139">
              <w:rPr>
                <w:b/>
                <w:bCs/>
                <w:lang w:val="en-GB"/>
              </w:rPr>
              <w:t>Review by the Conference of the Parties</w:t>
            </w:r>
          </w:p>
        </w:tc>
      </w:tr>
      <w:tr w:rsidR="00CC73DD" w:rsidRPr="00361139" w14:paraId="6C50DC69" w14:textId="77777777" w:rsidTr="00773BFB">
        <w:trPr>
          <w:trHeight w:val="57"/>
          <w:jc w:val="right"/>
        </w:trPr>
        <w:tc>
          <w:tcPr>
            <w:tcW w:w="453" w:type="dxa"/>
          </w:tcPr>
          <w:p w14:paraId="02FE9721" w14:textId="77777777" w:rsidR="00CC73DD" w:rsidRPr="00361139" w:rsidRDefault="00CC73DD" w:rsidP="00F249E7">
            <w:pPr>
              <w:pStyle w:val="Normal-pool-Table"/>
              <w:rPr>
                <w:spacing w:val="-5"/>
                <w:lang w:val="en-GB"/>
              </w:rPr>
            </w:pPr>
            <w:r w:rsidRPr="00361139">
              <w:rPr>
                <w:spacing w:val="-5"/>
                <w:lang w:val="en-GB"/>
              </w:rPr>
              <w:t>13</w:t>
            </w:r>
          </w:p>
        </w:tc>
        <w:tc>
          <w:tcPr>
            <w:tcW w:w="4516" w:type="dxa"/>
          </w:tcPr>
          <w:p w14:paraId="7BF87838" w14:textId="77777777" w:rsidR="00CC73DD" w:rsidRPr="00361139" w:rsidRDefault="00CC73DD" w:rsidP="00F249E7">
            <w:pPr>
              <w:pStyle w:val="Normal-pool-Table"/>
              <w:rPr>
                <w:lang w:val="en-GB"/>
              </w:rPr>
            </w:pPr>
            <w:r w:rsidRPr="00361139">
              <w:rPr>
                <w:lang w:val="en-GB"/>
              </w:rPr>
              <w:t>In accordance with paragraph 11 of Article 13,</w:t>
            </w:r>
            <w:r w:rsidRPr="00361139">
              <w:rPr>
                <w:spacing w:val="40"/>
                <w:lang w:val="en-GB"/>
              </w:rPr>
              <w:t xml:space="preserve"> </w:t>
            </w:r>
            <w:r w:rsidRPr="00361139">
              <w:rPr>
                <w:lang w:val="en-GB"/>
              </w:rPr>
              <w:t>the</w:t>
            </w:r>
            <w:r w:rsidRPr="00361139">
              <w:rPr>
                <w:spacing w:val="-4"/>
                <w:lang w:val="en-GB"/>
              </w:rPr>
              <w:t xml:space="preserve"> </w:t>
            </w:r>
            <w:r w:rsidRPr="00361139">
              <w:rPr>
                <w:lang w:val="en-GB"/>
              </w:rPr>
              <w:t>Conference</w:t>
            </w:r>
            <w:r w:rsidRPr="00361139">
              <w:rPr>
                <w:spacing w:val="-6"/>
                <w:lang w:val="en-GB"/>
              </w:rPr>
              <w:t xml:space="preserve"> </w:t>
            </w:r>
            <w:r w:rsidRPr="00361139">
              <w:rPr>
                <w:lang w:val="en-GB"/>
              </w:rPr>
              <w:t>of</w:t>
            </w:r>
            <w:r w:rsidRPr="00361139">
              <w:rPr>
                <w:spacing w:val="-7"/>
                <w:lang w:val="en-GB"/>
              </w:rPr>
              <w:t xml:space="preserve"> </w:t>
            </w:r>
            <w:r w:rsidRPr="00361139">
              <w:rPr>
                <w:lang w:val="en-GB"/>
              </w:rPr>
              <w:t>the</w:t>
            </w:r>
            <w:r w:rsidRPr="00361139">
              <w:rPr>
                <w:spacing w:val="-7"/>
                <w:lang w:val="en-GB"/>
              </w:rPr>
              <w:t xml:space="preserve"> </w:t>
            </w:r>
            <w:r w:rsidRPr="00361139">
              <w:rPr>
                <w:lang w:val="en-GB"/>
              </w:rPr>
              <w:t>Parties</w:t>
            </w:r>
            <w:r w:rsidRPr="00361139">
              <w:rPr>
                <w:spacing w:val="-3"/>
                <w:lang w:val="en-GB"/>
              </w:rPr>
              <w:t xml:space="preserve"> </w:t>
            </w:r>
            <w:r w:rsidRPr="00361139">
              <w:rPr>
                <w:lang w:val="en-GB"/>
              </w:rPr>
              <w:t>will</w:t>
            </w:r>
            <w:r w:rsidRPr="00361139">
              <w:rPr>
                <w:spacing w:val="-5"/>
                <w:lang w:val="en-GB"/>
              </w:rPr>
              <w:t xml:space="preserve"> </w:t>
            </w:r>
            <w:r w:rsidRPr="00361139">
              <w:rPr>
                <w:lang w:val="en-GB"/>
              </w:rPr>
              <w:t>review,</w:t>
            </w:r>
            <w:r w:rsidRPr="00361139">
              <w:rPr>
                <w:spacing w:val="-7"/>
                <w:lang w:val="en-GB"/>
              </w:rPr>
              <w:t xml:space="preserve"> </w:t>
            </w:r>
            <w:r w:rsidRPr="00361139">
              <w:rPr>
                <w:lang w:val="en-GB"/>
              </w:rPr>
              <w:t>no</w:t>
            </w:r>
            <w:r w:rsidRPr="00361139">
              <w:rPr>
                <w:spacing w:val="-5"/>
                <w:lang w:val="en-GB"/>
              </w:rPr>
              <w:t xml:space="preserve"> </w:t>
            </w:r>
            <w:r w:rsidRPr="00361139">
              <w:rPr>
                <w:lang w:val="en-GB"/>
              </w:rPr>
              <w:t>later than at its third meeting, and thereafter on a regular basis, the level of funding, the guidance provided by the Conference of</w:t>
            </w:r>
            <w:r w:rsidRPr="00361139">
              <w:rPr>
                <w:spacing w:val="-1"/>
                <w:lang w:val="en-GB"/>
              </w:rPr>
              <w:t xml:space="preserve"> </w:t>
            </w:r>
            <w:r w:rsidRPr="00361139">
              <w:rPr>
                <w:lang w:val="en-GB"/>
              </w:rPr>
              <w:t xml:space="preserve">the Parties to GEF as one of the entities entrusted with operationalizing the mechanism established under this Article and the mechanism’s effectiveness and ability to address the changing needs of developing-country Parties and Parties with economies in transition. </w:t>
            </w:r>
            <w:proofErr w:type="gramStart"/>
            <w:r w:rsidRPr="00361139">
              <w:rPr>
                <w:lang w:val="en-GB"/>
              </w:rPr>
              <w:t>On the basis of</w:t>
            </w:r>
            <w:proofErr w:type="gramEnd"/>
            <w:r w:rsidRPr="00361139">
              <w:rPr>
                <w:spacing w:val="40"/>
                <w:lang w:val="en-GB"/>
              </w:rPr>
              <w:t xml:space="preserve"> </w:t>
            </w:r>
            <w:r w:rsidRPr="00361139">
              <w:rPr>
                <w:lang w:val="en-GB"/>
              </w:rPr>
              <w:t>such review, the Conference of the Parties will take appropriate action to improve the effectiveness of the financial mechanism, including by updating and prioritizing as necessary</w:t>
            </w:r>
            <w:r w:rsidRPr="00361139">
              <w:rPr>
                <w:spacing w:val="-4"/>
                <w:lang w:val="en-GB"/>
              </w:rPr>
              <w:t xml:space="preserve"> </w:t>
            </w:r>
            <w:r w:rsidRPr="00361139">
              <w:rPr>
                <w:lang w:val="en-GB"/>
              </w:rPr>
              <w:t>its</w:t>
            </w:r>
            <w:r w:rsidRPr="00361139">
              <w:rPr>
                <w:spacing w:val="-5"/>
                <w:lang w:val="en-GB"/>
              </w:rPr>
              <w:t xml:space="preserve"> </w:t>
            </w:r>
            <w:r w:rsidRPr="00361139">
              <w:rPr>
                <w:lang w:val="en-GB"/>
              </w:rPr>
              <w:t>guidance to</w:t>
            </w:r>
            <w:r w:rsidRPr="00361139">
              <w:rPr>
                <w:spacing w:val="-1"/>
                <w:lang w:val="en-GB"/>
              </w:rPr>
              <w:t xml:space="preserve"> </w:t>
            </w:r>
            <w:r w:rsidRPr="00361139">
              <w:rPr>
                <w:spacing w:val="-4"/>
                <w:lang w:val="en-GB"/>
              </w:rPr>
              <w:t>GEF.</w:t>
            </w:r>
          </w:p>
        </w:tc>
        <w:tc>
          <w:tcPr>
            <w:tcW w:w="4517" w:type="dxa"/>
          </w:tcPr>
          <w:p w14:paraId="0628F522" w14:textId="77777777" w:rsidR="00CC73DD" w:rsidRPr="00361139" w:rsidRDefault="00CC73DD" w:rsidP="00F249E7">
            <w:pPr>
              <w:pStyle w:val="Normal-pool-Table"/>
              <w:rPr>
                <w:lang w:val="en-GB"/>
              </w:rPr>
            </w:pPr>
            <w:r w:rsidRPr="00361139">
              <w:rPr>
                <w:lang w:val="en-GB"/>
              </w:rPr>
              <w:t>At the request of the COP, the GEF has provided information that relates to the review</w:t>
            </w:r>
            <w:r w:rsidRPr="00361139">
              <w:rPr>
                <w:spacing w:val="-7"/>
                <w:lang w:val="en-GB"/>
              </w:rPr>
              <w:t xml:space="preserve"> </w:t>
            </w:r>
            <w:r w:rsidRPr="00361139">
              <w:rPr>
                <w:lang w:val="en-GB"/>
              </w:rPr>
              <w:t>described</w:t>
            </w:r>
            <w:r w:rsidRPr="00361139">
              <w:rPr>
                <w:spacing w:val="-9"/>
                <w:lang w:val="en-GB"/>
              </w:rPr>
              <w:t xml:space="preserve"> </w:t>
            </w:r>
            <w:r w:rsidRPr="00361139">
              <w:rPr>
                <w:lang w:val="en-GB"/>
              </w:rPr>
              <w:t>in</w:t>
            </w:r>
            <w:r w:rsidRPr="00361139">
              <w:rPr>
                <w:spacing w:val="-7"/>
                <w:lang w:val="en-GB"/>
              </w:rPr>
              <w:t xml:space="preserve"> </w:t>
            </w:r>
            <w:r w:rsidRPr="00361139">
              <w:rPr>
                <w:lang w:val="en-GB"/>
              </w:rPr>
              <w:t>paragraph</w:t>
            </w:r>
            <w:r w:rsidRPr="00361139">
              <w:rPr>
                <w:spacing w:val="-7"/>
                <w:lang w:val="en-GB"/>
              </w:rPr>
              <w:t xml:space="preserve"> </w:t>
            </w:r>
            <w:r w:rsidRPr="00361139">
              <w:rPr>
                <w:lang w:val="en-GB"/>
              </w:rPr>
              <w:t>11</w:t>
            </w:r>
            <w:r w:rsidRPr="00361139">
              <w:rPr>
                <w:spacing w:val="-6"/>
                <w:lang w:val="en-GB"/>
              </w:rPr>
              <w:t xml:space="preserve"> </w:t>
            </w:r>
            <w:r w:rsidRPr="00361139">
              <w:rPr>
                <w:lang w:val="en-GB"/>
              </w:rPr>
              <w:t>of</w:t>
            </w:r>
            <w:r w:rsidRPr="00361139">
              <w:rPr>
                <w:spacing w:val="-7"/>
                <w:lang w:val="en-GB"/>
              </w:rPr>
              <w:t xml:space="preserve"> </w:t>
            </w:r>
            <w:r w:rsidRPr="00361139">
              <w:rPr>
                <w:lang w:val="en-GB"/>
              </w:rPr>
              <w:t>Article 13 of the Minamata Convention.</w:t>
            </w:r>
          </w:p>
        </w:tc>
      </w:tr>
    </w:tbl>
    <w:p w14:paraId="752497C9" w14:textId="77777777" w:rsidR="00CC73DD" w:rsidRPr="00361139" w:rsidRDefault="00CC73DD" w:rsidP="00B00C99">
      <w:pPr>
        <w:pStyle w:val="Normal-pool"/>
        <w:rPr>
          <w:lang w:val="en-GB"/>
        </w:rPr>
      </w:pPr>
    </w:p>
    <w:p w14:paraId="17DFECBD" w14:textId="26D4E3DF" w:rsidR="00CC73DD" w:rsidRPr="00361139" w:rsidRDefault="00B00C99" w:rsidP="00B00C99">
      <w:pPr>
        <w:pStyle w:val="CH2"/>
        <w:rPr>
          <w:lang w:val="en-GB"/>
        </w:rPr>
      </w:pPr>
      <w:bookmarkStart w:id="417" w:name="_Toc138847854"/>
      <w:bookmarkStart w:id="418" w:name="_Toc138847858"/>
      <w:bookmarkStart w:id="419" w:name="_Toc138847877"/>
      <w:bookmarkStart w:id="420" w:name="_Toc138847878"/>
      <w:bookmarkStart w:id="421" w:name="_Toc138847904"/>
      <w:bookmarkStart w:id="422" w:name="_Toc138847905"/>
      <w:bookmarkStart w:id="423" w:name="_Toc138847906"/>
      <w:bookmarkStart w:id="424" w:name="_Toc138847910"/>
      <w:bookmarkStart w:id="425" w:name="_Toc138847932"/>
      <w:bookmarkStart w:id="426" w:name="_Toc138847933"/>
      <w:bookmarkStart w:id="427" w:name="_Toc138847944"/>
      <w:bookmarkStart w:id="428" w:name="_Toc138847975"/>
      <w:bookmarkEnd w:id="417"/>
      <w:bookmarkEnd w:id="418"/>
      <w:bookmarkEnd w:id="419"/>
      <w:bookmarkEnd w:id="420"/>
      <w:bookmarkEnd w:id="421"/>
      <w:bookmarkEnd w:id="422"/>
      <w:bookmarkEnd w:id="423"/>
      <w:bookmarkEnd w:id="424"/>
      <w:bookmarkEnd w:id="425"/>
      <w:bookmarkEnd w:id="426"/>
      <w:bookmarkEnd w:id="427"/>
      <w:bookmarkEnd w:id="428"/>
      <w:r w:rsidRPr="00361139">
        <w:rPr>
          <w:lang w:val="en-GB"/>
        </w:rPr>
        <w:lastRenderedPageBreak/>
        <w:tab/>
      </w:r>
      <w:bookmarkStart w:id="429" w:name="_Toc139975494"/>
      <w:bookmarkStart w:id="430" w:name="_Toc139976246"/>
      <w:bookmarkStart w:id="431" w:name="_Toc139982266"/>
      <w:bookmarkStart w:id="432" w:name="_Toc139983978"/>
      <w:bookmarkStart w:id="433" w:name="_Toc139984218"/>
      <w:r w:rsidRPr="00361139">
        <w:rPr>
          <w:lang w:val="en-GB"/>
        </w:rPr>
        <w:t>(b)</w:t>
      </w:r>
      <w:r w:rsidRPr="00361139">
        <w:rPr>
          <w:lang w:val="en-GB"/>
        </w:rPr>
        <w:tab/>
      </w:r>
      <w:r w:rsidR="00CC73DD" w:rsidRPr="00361139">
        <w:rPr>
          <w:lang w:val="en-GB"/>
        </w:rPr>
        <w:t>Extent to which the projects funded by the financial mechanism have reduced, or are expected to reduce, the supply, use, emissions and releases of mercury, and deliver other benefits in terms of Convention implementation</w:t>
      </w:r>
      <w:bookmarkEnd w:id="429"/>
      <w:bookmarkEnd w:id="430"/>
      <w:bookmarkEnd w:id="431"/>
      <w:bookmarkEnd w:id="432"/>
      <w:bookmarkEnd w:id="433"/>
    </w:p>
    <w:p w14:paraId="0489C5BD"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 xml:space="preserve">The projects approved in the GEF-7 period respond to the guidance from the COP by prioritizing legal obligations and mercury reductions, while also supporting capacity building and activities that support the implementation of the Convention. For example, the portfolio deals with mercury in products, mercury waste, ASGM and mercury in industrial practices, in addition to updating regulations and policies to properly manage mercury. It also includes innovative approaches, such as green chemistry in the Global </w:t>
      </w:r>
      <w:proofErr w:type="spellStart"/>
      <w:r w:rsidRPr="00361139">
        <w:rPr>
          <w:rFonts w:asciiTheme="majorBidi" w:hAnsiTheme="majorBidi" w:cstheme="majorBidi"/>
        </w:rPr>
        <w:t>Greenchem</w:t>
      </w:r>
      <w:proofErr w:type="spellEnd"/>
      <w:r w:rsidRPr="00361139">
        <w:rPr>
          <w:rFonts w:asciiTheme="majorBidi" w:hAnsiTheme="majorBidi" w:cstheme="majorBidi"/>
        </w:rPr>
        <w:t xml:space="preserve"> Innovation and Network Program. The GOLD+ Program and its addendum comprise 15 countries, addressing the ASGM sector as the largest global source of anthropogenic mercury. This program utilizes a landscape/jurisdictional approach to support formalization and builds capacity in the commercial banking sector to provide financing to ASGM while building the capacity of miners to access finance and improve their mining practices.</w:t>
      </w:r>
    </w:p>
    <w:p w14:paraId="3473842E"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projects and programs approved in GEF-7 have also allowed for a reduction in mercury emissions and releases and addressed the health and environmental impacts of mercury. For example, skin lightening products, mercury containing medical devices and dental amalgam are being addressed by the projects.</w:t>
      </w:r>
    </w:p>
    <w:p w14:paraId="4EA2AC1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GEF-7 results framework included a core indicator to measure the results in the chemicals and waste focal area.</w:t>
      </w:r>
      <w:r w:rsidRPr="00361139">
        <w:rPr>
          <w:vertAlign w:val="superscript"/>
        </w:rPr>
        <w:footnoteReference w:id="73"/>
      </w:r>
      <w:r w:rsidRPr="00361139">
        <w:rPr>
          <w:rFonts w:asciiTheme="majorBidi" w:hAnsiTheme="majorBidi" w:cstheme="majorBidi"/>
        </w:rPr>
        <w:t xml:space="preserve"> This core indicator had a target of addressing 100,000 metric tons of chemicals and waste, including mercury. There was no stand-alone target for mercury in GEF-7, however each project supporting the implementation of the Convention is required to provide a mercury reduction target. The projects approved in the GEF-7 period supporting the Minamata Convention implementation are estimated to reduce 1,629 metric tons of mercury.</w:t>
      </w:r>
    </w:p>
    <w:p w14:paraId="51B16804"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Projects and programs approved in GEF-7 continued to enhance synergies and co- benefits within the chemicals and waste focal area, as well as promote synergies with other focal</w:t>
      </w:r>
      <w:r w:rsidRPr="00361139">
        <w:rPr>
          <w:rFonts w:asciiTheme="majorBidi" w:hAnsiTheme="majorBidi" w:cstheme="majorBidi"/>
          <w:spacing w:val="-4"/>
        </w:rPr>
        <w:t xml:space="preserve"> </w:t>
      </w:r>
      <w:r w:rsidRPr="00361139">
        <w:rPr>
          <w:rFonts w:asciiTheme="majorBidi" w:hAnsiTheme="majorBidi" w:cstheme="majorBidi"/>
        </w:rPr>
        <w:t>areas.</w:t>
      </w:r>
      <w:r w:rsidRPr="00361139">
        <w:rPr>
          <w:rFonts w:asciiTheme="majorBidi" w:hAnsiTheme="majorBidi" w:cstheme="majorBidi"/>
          <w:spacing w:val="-4"/>
        </w:rPr>
        <w:t xml:space="preserve"> </w:t>
      </w:r>
      <w:r w:rsidRPr="00361139">
        <w:rPr>
          <w:rFonts w:asciiTheme="majorBidi" w:hAnsiTheme="majorBidi" w:cstheme="majorBidi"/>
        </w:rPr>
        <w:t>In</w:t>
      </w:r>
      <w:r w:rsidRPr="00361139">
        <w:rPr>
          <w:rFonts w:asciiTheme="majorBidi" w:hAnsiTheme="majorBidi" w:cstheme="majorBidi"/>
          <w:spacing w:val="-1"/>
        </w:rPr>
        <w:t xml:space="preserve"> </w:t>
      </w:r>
      <w:r w:rsidRPr="00361139">
        <w:rPr>
          <w:rFonts w:asciiTheme="majorBidi" w:hAnsiTheme="majorBidi" w:cstheme="majorBidi"/>
        </w:rPr>
        <w:t>addition</w:t>
      </w:r>
      <w:r w:rsidRPr="00361139">
        <w:rPr>
          <w:rFonts w:asciiTheme="majorBidi" w:hAnsiTheme="majorBidi" w:cstheme="majorBidi"/>
          <w:spacing w:val="-1"/>
        </w:rPr>
        <w:t xml:space="preserve"> </w:t>
      </w:r>
      <w:r w:rsidRPr="00361139">
        <w:rPr>
          <w:rFonts w:asciiTheme="majorBidi" w:hAnsiTheme="majorBidi" w:cstheme="majorBidi"/>
        </w:rPr>
        <w:t>to</w:t>
      </w:r>
      <w:r w:rsidRPr="00361139">
        <w:rPr>
          <w:rFonts w:asciiTheme="majorBidi" w:hAnsiTheme="majorBidi" w:cstheme="majorBidi"/>
          <w:spacing w:val="-4"/>
        </w:rPr>
        <w:t xml:space="preserve"> </w:t>
      </w:r>
      <w:r w:rsidRPr="00361139">
        <w:rPr>
          <w:rFonts w:asciiTheme="majorBidi" w:hAnsiTheme="majorBidi" w:cstheme="majorBidi"/>
        </w:rPr>
        <w:t>mercury</w:t>
      </w:r>
      <w:r w:rsidRPr="00361139">
        <w:rPr>
          <w:rFonts w:asciiTheme="majorBidi" w:hAnsiTheme="majorBidi" w:cstheme="majorBidi"/>
          <w:spacing w:val="-3"/>
        </w:rPr>
        <w:t xml:space="preserve"> </w:t>
      </w:r>
      <w:r w:rsidRPr="00361139">
        <w:rPr>
          <w:rFonts w:asciiTheme="majorBidi" w:hAnsiTheme="majorBidi" w:cstheme="majorBidi"/>
        </w:rPr>
        <w:t>reductions,</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approved</w:t>
      </w:r>
      <w:r w:rsidRPr="00361139">
        <w:rPr>
          <w:rFonts w:asciiTheme="majorBidi" w:hAnsiTheme="majorBidi" w:cstheme="majorBidi"/>
          <w:spacing w:val="-4"/>
        </w:rPr>
        <w:t xml:space="preserve"> </w:t>
      </w:r>
      <w:r w:rsidRPr="00361139">
        <w:rPr>
          <w:rFonts w:asciiTheme="majorBidi" w:hAnsiTheme="majorBidi" w:cstheme="majorBidi"/>
        </w:rPr>
        <w:t>projects</w:t>
      </w:r>
      <w:r w:rsidRPr="00361139">
        <w:rPr>
          <w:rFonts w:asciiTheme="majorBidi" w:hAnsiTheme="majorBidi" w:cstheme="majorBidi"/>
          <w:spacing w:val="-6"/>
        </w:rPr>
        <w:t xml:space="preserve"> </w:t>
      </w:r>
      <w:r w:rsidRPr="00361139">
        <w:rPr>
          <w:rFonts w:asciiTheme="majorBidi" w:hAnsiTheme="majorBidi" w:cstheme="majorBidi"/>
        </w:rPr>
        <w:t>are</w:t>
      </w:r>
      <w:r w:rsidRPr="00361139">
        <w:rPr>
          <w:rFonts w:asciiTheme="majorBidi" w:hAnsiTheme="majorBidi" w:cstheme="majorBidi"/>
          <w:spacing w:val="-5"/>
        </w:rPr>
        <w:t xml:space="preserve"> </w:t>
      </w:r>
      <w:r w:rsidRPr="00361139">
        <w:rPr>
          <w:rFonts w:asciiTheme="majorBidi" w:hAnsiTheme="majorBidi" w:cstheme="majorBidi"/>
        </w:rPr>
        <w:t>estimated</w:t>
      </w:r>
      <w:r w:rsidRPr="00361139">
        <w:rPr>
          <w:rFonts w:asciiTheme="majorBidi" w:hAnsiTheme="majorBidi" w:cstheme="majorBidi"/>
          <w:spacing w:val="-4"/>
        </w:rPr>
        <w:t xml:space="preserve"> </w:t>
      </w:r>
      <w:r w:rsidRPr="00361139">
        <w:rPr>
          <w:rFonts w:asciiTheme="majorBidi" w:hAnsiTheme="majorBidi" w:cstheme="majorBidi"/>
        </w:rPr>
        <w:t>to</w:t>
      </w:r>
      <w:r w:rsidRPr="00361139">
        <w:rPr>
          <w:rFonts w:asciiTheme="majorBidi" w:hAnsiTheme="majorBidi" w:cstheme="majorBidi"/>
          <w:spacing w:val="-4"/>
        </w:rPr>
        <w:t xml:space="preserve"> </w:t>
      </w:r>
      <w:r w:rsidRPr="00361139">
        <w:rPr>
          <w:rFonts w:asciiTheme="majorBidi" w:hAnsiTheme="majorBidi" w:cstheme="majorBidi"/>
        </w:rPr>
        <w:t xml:space="preserve">achieve other Global Environmental Benefits (GEBs), including reducing 9,132 metric tons of POPs, disposing nearly 3 million metric tons of POPs and mercury-containing and contaminated material, reducing 1,226 </w:t>
      </w:r>
      <w:proofErr w:type="spellStart"/>
      <w:r w:rsidRPr="00361139">
        <w:rPr>
          <w:rFonts w:asciiTheme="majorBidi" w:hAnsiTheme="majorBidi" w:cstheme="majorBidi"/>
        </w:rPr>
        <w:t>gTEQ</w:t>
      </w:r>
      <w:proofErr w:type="spellEnd"/>
      <w:r w:rsidRPr="00361139">
        <w:rPr>
          <w:rFonts w:asciiTheme="majorBidi" w:hAnsiTheme="majorBidi" w:cstheme="majorBidi"/>
        </w:rPr>
        <w:t xml:space="preserve"> unintentional POP (UPOP) emissions, reducing more than </w:t>
      </w:r>
      <w:r w:rsidRPr="00361139">
        <w:rPr>
          <w:rFonts w:asciiTheme="majorBidi" w:hAnsiTheme="majorBidi" w:cstheme="majorBidi"/>
          <w:position w:val="2"/>
        </w:rPr>
        <w:t>600,000 metric tons of CO</w:t>
      </w:r>
      <w:r w:rsidRPr="00361139">
        <w:rPr>
          <w:rFonts w:asciiTheme="majorBidi" w:hAnsiTheme="majorBidi" w:cstheme="majorBidi"/>
        </w:rPr>
        <w:t>2</w:t>
      </w:r>
      <w:r w:rsidRPr="00361139">
        <w:rPr>
          <w:rFonts w:asciiTheme="majorBidi" w:hAnsiTheme="majorBidi" w:cstheme="majorBidi"/>
          <w:spacing w:val="27"/>
        </w:rPr>
        <w:t xml:space="preserve"> </w:t>
      </w:r>
      <w:proofErr w:type="spellStart"/>
      <w:r w:rsidRPr="00361139">
        <w:rPr>
          <w:rFonts w:asciiTheme="majorBidi" w:hAnsiTheme="majorBidi" w:cstheme="majorBidi"/>
          <w:position w:val="2"/>
        </w:rPr>
        <w:t>eq</w:t>
      </w:r>
      <w:proofErr w:type="spellEnd"/>
      <w:r w:rsidRPr="00361139">
        <w:rPr>
          <w:rFonts w:asciiTheme="majorBidi" w:hAnsiTheme="majorBidi" w:cstheme="majorBidi"/>
          <w:position w:val="2"/>
        </w:rPr>
        <w:t>, and avoiding 260,000 metric tons of marine litter.</w:t>
      </w:r>
    </w:p>
    <w:p w14:paraId="1DF043FC" w14:textId="61D7D2A8" w:rsidR="00CC73DD" w:rsidRPr="00361139" w:rsidRDefault="00B00C99" w:rsidP="00B00C99">
      <w:pPr>
        <w:pStyle w:val="CH2"/>
        <w:rPr>
          <w:lang w:val="en-GB"/>
        </w:rPr>
      </w:pPr>
      <w:bookmarkStart w:id="434" w:name="_Toc138848003"/>
      <w:bookmarkEnd w:id="434"/>
      <w:r w:rsidRPr="00361139">
        <w:rPr>
          <w:lang w:val="en-GB"/>
        </w:rPr>
        <w:tab/>
      </w:r>
      <w:bookmarkStart w:id="435" w:name="_Toc139975495"/>
      <w:bookmarkStart w:id="436" w:name="_Toc139976247"/>
      <w:bookmarkStart w:id="437" w:name="_Toc139982267"/>
      <w:bookmarkStart w:id="438" w:name="_Toc139983979"/>
      <w:bookmarkStart w:id="439" w:name="_Toc139984219"/>
      <w:r w:rsidRPr="00361139">
        <w:rPr>
          <w:lang w:val="en-GB"/>
        </w:rPr>
        <w:t>(c)</w:t>
      </w:r>
      <w:r w:rsidRPr="00361139">
        <w:rPr>
          <w:lang w:val="en-GB"/>
        </w:rPr>
        <w:tab/>
      </w:r>
      <w:r w:rsidR="00CC73DD" w:rsidRPr="00361139">
        <w:rPr>
          <w:lang w:val="en-GB"/>
        </w:rPr>
        <w:t>Transparency and timeliness of the project approval processes</w:t>
      </w:r>
      <w:bookmarkEnd w:id="435"/>
      <w:bookmarkEnd w:id="436"/>
      <w:bookmarkEnd w:id="437"/>
      <w:bookmarkEnd w:id="438"/>
      <w:bookmarkEnd w:id="439"/>
    </w:p>
    <w:p w14:paraId="256CEEEB" w14:textId="77777777" w:rsidR="00CC73DD" w:rsidRPr="00361139" w:rsidRDefault="00CC73DD" w:rsidP="000C76AC">
      <w:pPr>
        <w:pStyle w:val="Normalnumber"/>
        <w:numPr>
          <w:ilvl w:val="0"/>
          <w:numId w:val="8"/>
        </w:numPr>
        <w:tabs>
          <w:tab w:val="left" w:pos="624"/>
        </w:tabs>
        <w:ind w:left="1247" w:firstLine="0"/>
        <w:rPr>
          <w:rFonts w:asciiTheme="majorBidi" w:hAnsiTheme="majorBidi" w:cstheme="majorBidi"/>
        </w:rPr>
      </w:pPr>
      <w:r w:rsidRPr="00361139">
        <w:rPr>
          <w:rFonts w:asciiTheme="majorBidi" w:hAnsiTheme="majorBidi" w:cstheme="majorBidi"/>
        </w:rPr>
        <w:t xml:space="preserve">All the projects approved in GEF-7 followed the relevant </w:t>
      </w:r>
      <w:r w:rsidRPr="00361139">
        <w:rPr>
          <w:rFonts w:asciiTheme="majorBidi" w:hAnsiTheme="majorBidi" w:cstheme="majorBidi"/>
          <w:color w:val="0000FF"/>
        </w:rPr>
        <w:t xml:space="preserve">GEF Policies and Guidelines </w:t>
      </w:r>
      <w:r w:rsidRPr="00361139">
        <w:rPr>
          <w:rFonts w:asciiTheme="majorBidi" w:hAnsiTheme="majorBidi" w:cstheme="majorBidi"/>
        </w:rPr>
        <w:t>that</w:t>
      </w:r>
      <w:r w:rsidRPr="00361139">
        <w:rPr>
          <w:rFonts w:asciiTheme="majorBidi" w:hAnsiTheme="majorBidi" w:cstheme="majorBidi"/>
          <w:spacing w:val="-5"/>
        </w:rPr>
        <w:t xml:space="preserve"> </w:t>
      </w:r>
      <w:r w:rsidRPr="00361139">
        <w:rPr>
          <w:rFonts w:asciiTheme="majorBidi" w:hAnsiTheme="majorBidi" w:cstheme="majorBidi"/>
        </w:rPr>
        <w:t>are</w:t>
      </w:r>
      <w:r w:rsidRPr="00361139">
        <w:rPr>
          <w:rFonts w:asciiTheme="majorBidi" w:hAnsiTheme="majorBidi" w:cstheme="majorBidi"/>
          <w:spacing w:val="-6"/>
        </w:rPr>
        <w:t xml:space="preserve"> </w:t>
      </w:r>
      <w:r w:rsidRPr="00361139">
        <w:rPr>
          <w:rFonts w:asciiTheme="majorBidi" w:hAnsiTheme="majorBidi" w:cstheme="majorBidi"/>
        </w:rPr>
        <w:t>publicly</w:t>
      </w:r>
      <w:r w:rsidRPr="00361139">
        <w:rPr>
          <w:rFonts w:asciiTheme="majorBidi" w:hAnsiTheme="majorBidi" w:cstheme="majorBidi"/>
          <w:spacing w:val="-5"/>
        </w:rPr>
        <w:t xml:space="preserve"> </w:t>
      </w:r>
      <w:r w:rsidRPr="00361139">
        <w:rPr>
          <w:rFonts w:asciiTheme="majorBidi" w:hAnsiTheme="majorBidi" w:cstheme="majorBidi"/>
        </w:rPr>
        <w:t>accessible.</w:t>
      </w:r>
      <w:r w:rsidRPr="00361139">
        <w:rPr>
          <w:rFonts w:asciiTheme="majorBidi" w:hAnsiTheme="majorBidi" w:cstheme="majorBidi"/>
          <w:spacing w:val="-5"/>
        </w:rPr>
        <w:t xml:space="preserve"> </w:t>
      </w:r>
      <w:r w:rsidRPr="00361139">
        <w:rPr>
          <w:rFonts w:asciiTheme="majorBidi" w:hAnsiTheme="majorBidi" w:cstheme="majorBidi"/>
        </w:rPr>
        <w:t>Project</w:t>
      </w:r>
      <w:r w:rsidRPr="00361139">
        <w:rPr>
          <w:rFonts w:asciiTheme="majorBidi" w:hAnsiTheme="majorBidi" w:cstheme="majorBidi"/>
          <w:spacing w:val="-1"/>
        </w:rPr>
        <w:t xml:space="preserve"> </w:t>
      </w:r>
      <w:r w:rsidRPr="00361139">
        <w:rPr>
          <w:rFonts w:asciiTheme="majorBidi" w:hAnsiTheme="majorBidi" w:cstheme="majorBidi"/>
        </w:rPr>
        <w:t>information</w:t>
      </w:r>
      <w:r w:rsidRPr="00361139">
        <w:rPr>
          <w:rFonts w:asciiTheme="majorBidi" w:hAnsiTheme="majorBidi" w:cstheme="majorBidi"/>
          <w:spacing w:val="-5"/>
        </w:rPr>
        <w:t xml:space="preserve"> </w:t>
      </w:r>
      <w:r w:rsidRPr="00361139">
        <w:rPr>
          <w:rFonts w:asciiTheme="majorBidi" w:hAnsiTheme="majorBidi" w:cstheme="majorBidi"/>
        </w:rPr>
        <w:t>and</w:t>
      </w:r>
      <w:r w:rsidRPr="00361139">
        <w:rPr>
          <w:rFonts w:asciiTheme="majorBidi" w:hAnsiTheme="majorBidi" w:cstheme="majorBidi"/>
          <w:spacing w:val="-5"/>
        </w:rPr>
        <w:t xml:space="preserve"> </w:t>
      </w:r>
      <w:r w:rsidRPr="00361139">
        <w:rPr>
          <w:rFonts w:asciiTheme="majorBidi" w:hAnsiTheme="majorBidi" w:cstheme="majorBidi"/>
        </w:rPr>
        <w:t>documents,</w:t>
      </w:r>
      <w:r w:rsidRPr="00361139">
        <w:rPr>
          <w:rFonts w:asciiTheme="majorBidi" w:hAnsiTheme="majorBidi" w:cstheme="majorBidi"/>
          <w:spacing w:val="-5"/>
        </w:rPr>
        <w:t xml:space="preserve"> </w:t>
      </w:r>
      <w:r w:rsidRPr="00361139">
        <w:rPr>
          <w:rFonts w:asciiTheme="majorBidi" w:hAnsiTheme="majorBidi" w:cstheme="majorBidi"/>
        </w:rPr>
        <w:t>including</w:t>
      </w:r>
      <w:r w:rsidRPr="00361139">
        <w:rPr>
          <w:rFonts w:asciiTheme="majorBidi" w:hAnsiTheme="majorBidi" w:cstheme="majorBidi"/>
          <w:spacing w:val="-6"/>
        </w:rPr>
        <w:t xml:space="preserve"> </w:t>
      </w:r>
      <w:r w:rsidRPr="00361139">
        <w:rPr>
          <w:rFonts w:asciiTheme="majorBidi" w:hAnsiTheme="majorBidi" w:cstheme="majorBidi"/>
        </w:rPr>
        <w:t>the</w:t>
      </w:r>
      <w:r w:rsidRPr="00361139">
        <w:rPr>
          <w:rFonts w:asciiTheme="majorBidi" w:hAnsiTheme="majorBidi" w:cstheme="majorBidi"/>
          <w:spacing w:val="-6"/>
        </w:rPr>
        <w:t xml:space="preserve"> </w:t>
      </w:r>
      <w:r w:rsidRPr="00361139">
        <w:rPr>
          <w:rFonts w:asciiTheme="majorBidi" w:hAnsiTheme="majorBidi" w:cstheme="majorBidi"/>
        </w:rPr>
        <w:t>review</w:t>
      </w:r>
      <w:r w:rsidRPr="00361139">
        <w:rPr>
          <w:rFonts w:asciiTheme="majorBidi" w:hAnsiTheme="majorBidi" w:cstheme="majorBidi"/>
          <w:spacing w:val="-5"/>
        </w:rPr>
        <w:t xml:space="preserve"> </w:t>
      </w:r>
      <w:r w:rsidRPr="00361139">
        <w:rPr>
          <w:rFonts w:asciiTheme="majorBidi" w:hAnsiTheme="majorBidi" w:cstheme="majorBidi"/>
        </w:rPr>
        <w:t>sheets, are</w:t>
      </w:r>
      <w:r w:rsidRPr="00361139">
        <w:rPr>
          <w:rFonts w:asciiTheme="majorBidi" w:hAnsiTheme="majorBidi" w:cstheme="majorBidi"/>
          <w:spacing w:val="-2"/>
        </w:rPr>
        <w:t xml:space="preserve"> </w:t>
      </w:r>
      <w:r w:rsidRPr="00361139">
        <w:rPr>
          <w:rFonts w:asciiTheme="majorBidi" w:hAnsiTheme="majorBidi" w:cstheme="majorBidi"/>
        </w:rPr>
        <w:t>also</w:t>
      </w:r>
      <w:r w:rsidRPr="00361139">
        <w:rPr>
          <w:rFonts w:asciiTheme="majorBidi" w:hAnsiTheme="majorBidi" w:cstheme="majorBidi"/>
          <w:spacing w:val="-5"/>
        </w:rPr>
        <w:t xml:space="preserve"> </w:t>
      </w:r>
      <w:r w:rsidRPr="00361139">
        <w:rPr>
          <w:rFonts w:asciiTheme="majorBidi" w:hAnsiTheme="majorBidi" w:cstheme="majorBidi"/>
        </w:rPr>
        <w:t>available</w:t>
      </w:r>
      <w:r w:rsidRPr="00361139">
        <w:rPr>
          <w:rFonts w:asciiTheme="majorBidi" w:hAnsiTheme="majorBidi" w:cstheme="majorBidi"/>
          <w:spacing w:val="-5"/>
        </w:rPr>
        <w:t xml:space="preserve"> </w:t>
      </w:r>
      <w:r w:rsidRPr="00361139">
        <w:rPr>
          <w:rFonts w:asciiTheme="majorBidi" w:hAnsiTheme="majorBidi" w:cstheme="majorBidi"/>
        </w:rPr>
        <w:t>in</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color w:val="0000FF"/>
        </w:rPr>
        <w:t>GEF</w:t>
      </w:r>
      <w:r w:rsidRPr="00361139">
        <w:rPr>
          <w:rFonts w:asciiTheme="majorBidi" w:hAnsiTheme="majorBidi" w:cstheme="majorBidi"/>
          <w:color w:val="0000FF"/>
          <w:spacing w:val="-5"/>
        </w:rPr>
        <w:t xml:space="preserve"> </w:t>
      </w:r>
      <w:r w:rsidRPr="00361139">
        <w:rPr>
          <w:rFonts w:asciiTheme="majorBidi" w:hAnsiTheme="majorBidi" w:cstheme="majorBidi"/>
          <w:color w:val="0000FF"/>
          <w:spacing w:val="-2"/>
        </w:rPr>
        <w:t>website</w:t>
      </w:r>
      <w:r w:rsidRPr="00361139">
        <w:rPr>
          <w:rFonts w:asciiTheme="majorBidi" w:hAnsiTheme="majorBidi" w:cstheme="majorBidi"/>
          <w:spacing w:val="-2"/>
        </w:rPr>
        <w:t>.</w:t>
      </w:r>
    </w:p>
    <w:p w14:paraId="5F167513"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During the GEF-7 period, 16 FSPs were approved to contribute towards the implementation of Minamata Convention. As of June 30, 2022, 12 FSPs were endorsed for implementation. The average preparation time between PIF submission to PIF approval was 3 months</w:t>
      </w:r>
      <w:r w:rsidRPr="00361139">
        <w:rPr>
          <w:rFonts w:asciiTheme="majorBidi" w:hAnsiTheme="majorBidi" w:cstheme="majorBidi"/>
          <w:spacing w:val="-3"/>
        </w:rPr>
        <w:t xml:space="preserve"> </w:t>
      </w:r>
      <w:r w:rsidRPr="00361139">
        <w:rPr>
          <w:rFonts w:asciiTheme="majorBidi" w:hAnsiTheme="majorBidi" w:cstheme="majorBidi"/>
        </w:rPr>
        <w:t>for</w:t>
      </w:r>
      <w:r w:rsidRPr="00361139">
        <w:rPr>
          <w:rFonts w:asciiTheme="majorBidi" w:hAnsiTheme="majorBidi" w:cstheme="majorBidi"/>
          <w:spacing w:val="-4"/>
        </w:rPr>
        <w:t xml:space="preserve"> </w:t>
      </w:r>
      <w:r w:rsidRPr="00361139">
        <w:rPr>
          <w:rFonts w:asciiTheme="majorBidi" w:hAnsiTheme="majorBidi" w:cstheme="majorBidi"/>
        </w:rPr>
        <w:t>FSPs.</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average</w:t>
      </w:r>
      <w:r w:rsidRPr="00361139">
        <w:rPr>
          <w:rFonts w:asciiTheme="majorBidi" w:hAnsiTheme="majorBidi" w:cstheme="majorBidi"/>
          <w:spacing w:val="-4"/>
        </w:rPr>
        <w:t xml:space="preserve"> </w:t>
      </w:r>
      <w:r w:rsidRPr="00361139">
        <w:rPr>
          <w:rFonts w:asciiTheme="majorBidi" w:hAnsiTheme="majorBidi" w:cstheme="majorBidi"/>
        </w:rPr>
        <w:t>preparation</w:t>
      </w:r>
      <w:r w:rsidRPr="00361139">
        <w:rPr>
          <w:rFonts w:asciiTheme="majorBidi" w:hAnsiTheme="majorBidi" w:cstheme="majorBidi"/>
          <w:spacing w:val="-2"/>
        </w:rPr>
        <w:t xml:space="preserve"> </w:t>
      </w:r>
      <w:r w:rsidRPr="00361139">
        <w:rPr>
          <w:rFonts w:asciiTheme="majorBidi" w:hAnsiTheme="majorBidi" w:cstheme="majorBidi"/>
        </w:rPr>
        <w:t>time</w:t>
      </w:r>
      <w:r w:rsidRPr="00361139">
        <w:rPr>
          <w:rFonts w:asciiTheme="majorBidi" w:hAnsiTheme="majorBidi" w:cstheme="majorBidi"/>
          <w:spacing w:val="-4"/>
        </w:rPr>
        <w:t xml:space="preserve"> </w:t>
      </w:r>
      <w:r w:rsidRPr="00361139">
        <w:rPr>
          <w:rFonts w:asciiTheme="majorBidi" w:hAnsiTheme="majorBidi" w:cstheme="majorBidi"/>
        </w:rPr>
        <w:t>between</w:t>
      </w:r>
      <w:r w:rsidRPr="00361139">
        <w:rPr>
          <w:rFonts w:asciiTheme="majorBidi" w:hAnsiTheme="majorBidi" w:cstheme="majorBidi"/>
          <w:spacing w:val="-2"/>
        </w:rPr>
        <w:t xml:space="preserve"> </w:t>
      </w:r>
      <w:r w:rsidRPr="00361139">
        <w:rPr>
          <w:rFonts w:asciiTheme="majorBidi" w:hAnsiTheme="majorBidi" w:cstheme="majorBidi"/>
        </w:rPr>
        <w:t>PIF</w:t>
      </w:r>
      <w:r w:rsidRPr="00361139">
        <w:rPr>
          <w:rFonts w:asciiTheme="majorBidi" w:hAnsiTheme="majorBidi" w:cstheme="majorBidi"/>
          <w:spacing w:val="-4"/>
        </w:rPr>
        <w:t xml:space="preserve"> </w:t>
      </w:r>
      <w:r w:rsidRPr="00361139">
        <w:rPr>
          <w:rFonts w:asciiTheme="majorBidi" w:hAnsiTheme="majorBidi" w:cstheme="majorBidi"/>
        </w:rPr>
        <w:t>approval</w:t>
      </w:r>
      <w:r w:rsidRPr="00361139">
        <w:rPr>
          <w:rFonts w:asciiTheme="majorBidi" w:hAnsiTheme="majorBidi" w:cstheme="majorBidi"/>
          <w:spacing w:val="-6"/>
        </w:rPr>
        <w:t xml:space="preserve"> </w:t>
      </w:r>
      <w:r w:rsidRPr="00361139">
        <w:rPr>
          <w:rFonts w:asciiTheme="majorBidi" w:hAnsiTheme="majorBidi" w:cstheme="majorBidi"/>
        </w:rPr>
        <w:t>to</w:t>
      </w:r>
      <w:r w:rsidRPr="00361139">
        <w:rPr>
          <w:rFonts w:asciiTheme="majorBidi" w:hAnsiTheme="majorBidi" w:cstheme="majorBidi"/>
          <w:spacing w:val="-5"/>
        </w:rPr>
        <w:t xml:space="preserve"> </w:t>
      </w:r>
      <w:r w:rsidRPr="00361139">
        <w:rPr>
          <w:rFonts w:asciiTheme="majorBidi" w:hAnsiTheme="majorBidi" w:cstheme="majorBidi"/>
        </w:rPr>
        <w:t>CEO</w:t>
      </w:r>
      <w:r w:rsidRPr="00361139">
        <w:rPr>
          <w:rFonts w:asciiTheme="majorBidi" w:hAnsiTheme="majorBidi" w:cstheme="majorBidi"/>
          <w:spacing w:val="-4"/>
        </w:rPr>
        <w:t xml:space="preserve"> </w:t>
      </w:r>
      <w:r w:rsidRPr="00361139">
        <w:rPr>
          <w:rFonts w:asciiTheme="majorBidi" w:hAnsiTheme="majorBidi" w:cstheme="majorBidi"/>
        </w:rPr>
        <w:t>endorsement</w:t>
      </w:r>
      <w:r w:rsidRPr="00361139">
        <w:rPr>
          <w:rFonts w:asciiTheme="majorBidi" w:hAnsiTheme="majorBidi" w:cstheme="majorBidi"/>
          <w:spacing w:val="-5"/>
        </w:rPr>
        <w:t xml:space="preserve"> </w:t>
      </w:r>
      <w:r w:rsidRPr="00361139">
        <w:rPr>
          <w:rFonts w:asciiTheme="majorBidi" w:hAnsiTheme="majorBidi" w:cstheme="majorBidi"/>
        </w:rPr>
        <w:t>for the GEF-7 projects that were CEO endorsed by June 30, 2022, was 21 months for FSPs.</w:t>
      </w:r>
      <w:r w:rsidRPr="00361139">
        <w:rPr>
          <w:rStyle w:val="FootnoteReference"/>
          <w:rFonts w:asciiTheme="majorBidi" w:hAnsiTheme="majorBidi" w:cstheme="majorBidi"/>
        </w:rPr>
        <w:footnoteReference w:id="74"/>
      </w:r>
      <w:r w:rsidRPr="00361139">
        <w:rPr>
          <w:rFonts w:asciiTheme="majorBidi" w:hAnsiTheme="majorBidi" w:cstheme="majorBidi"/>
        </w:rPr>
        <w:t xml:space="preserve"> Two FSPs requested force majeure to extend the CEO endorsement deadline due to prevailing COVID-19 pandemic.</w:t>
      </w:r>
    </w:p>
    <w:p w14:paraId="7B965395"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Similarly,</w:t>
      </w:r>
      <w:r w:rsidRPr="00361139">
        <w:rPr>
          <w:rFonts w:asciiTheme="majorBidi" w:hAnsiTheme="majorBidi" w:cstheme="majorBidi"/>
          <w:spacing w:val="-6"/>
        </w:rPr>
        <w:t xml:space="preserve"> </w:t>
      </w:r>
      <w:r w:rsidRPr="00361139">
        <w:rPr>
          <w:rFonts w:asciiTheme="majorBidi" w:hAnsiTheme="majorBidi" w:cstheme="majorBidi"/>
        </w:rPr>
        <w:t>during</w:t>
      </w:r>
      <w:r w:rsidRPr="00361139">
        <w:rPr>
          <w:rFonts w:asciiTheme="majorBidi" w:hAnsiTheme="majorBidi" w:cstheme="majorBidi"/>
          <w:spacing w:val="-6"/>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GEF-7</w:t>
      </w:r>
      <w:r w:rsidRPr="00361139">
        <w:rPr>
          <w:rFonts w:asciiTheme="majorBidi" w:hAnsiTheme="majorBidi" w:cstheme="majorBidi"/>
          <w:spacing w:val="-2"/>
        </w:rPr>
        <w:t xml:space="preserve"> </w:t>
      </w:r>
      <w:r w:rsidRPr="00361139">
        <w:rPr>
          <w:rFonts w:asciiTheme="majorBidi" w:hAnsiTheme="majorBidi" w:cstheme="majorBidi"/>
        </w:rPr>
        <w:t>period,</w:t>
      </w:r>
      <w:r w:rsidRPr="00361139">
        <w:rPr>
          <w:rFonts w:asciiTheme="majorBidi" w:hAnsiTheme="majorBidi" w:cstheme="majorBidi"/>
          <w:spacing w:val="-5"/>
        </w:rPr>
        <w:t xml:space="preserve"> </w:t>
      </w:r>
      <w:r w:rsidRPr="00361139">
        <w:rPr>
          <w:rFonts w:asciiTheme="majorBidi" w:hAnsiTheme="majorBidi" w:cstheme="majorBidi"/>
        </w:rPr>
        <w:t>five</w:t>
      </w:r>
      <w:r w:rsidRPr="00361139">
        <w:rPr>
          <w:rFonts w:asciiTheme="majorBidi" w:hAnsiTheme="majorBidi" w:cstheme="majorBidi"/>
          <w:spacing w:val="-4"/>
        </w:rPr>
        <w:t xml:space="preserve"> </w:t>
      </w:r>
      <w:r w:rsidRPr="00361139">
        <w:rPr>
          <w:rFonts w:asciiTheme="majorBidi" w:hAnsiTheme="majorBidi" w:cstheme="majorBidi"/>
        </w:rPr>
        <w:t>one-step</w:t>
      </w:r>
      <w:r w:rsidRPr="00361139">
        <w:rPr>
          <w:rFonts w:asciiTheme="majorBidi" w:hAnsiTheme="majorBidi" w:cstheme="majorBidi"/>
          <w:spacing w:val="-4"/>
        </w:rPr>
        <w:t xml:space="preserve"> </w:t>
      </w:r>
      <w:r w:rsidRPr="00361139">
        <w:rPr>
          <w:rFonts w:asciiTheme="majorBidi" w:hAnsiTheme="majorBidi" w:cstheme="majorBidi"/>
        </w:rPr>
        <w:t>MSP and</w:t>
      </w:r>
      <w:r w:rsidRPr="00361139">
        <w:rPr>
          <w:rFonts w:asciiTheme="majorBidi" w:hAnsiTheme="majorBidi" w:cstheme="majorBidi"/>
          <w:spacing w:val="-4"/>
        </w:rPr>
        <w:t xml:space="preserve"> </w:t>
      </w:r>
      <w:r w:rsidRPr="00361139">
        <w:rPr>
          <w:rFonts w:asciiTheme="majorBidi" w:hAnsiTheme="majorBidi" w:cstheme="majorBidi"/>
        </w:rPr>
        <w:t>25</w:t>
      </w:r>
      <w:r w:rsidRPr="00361139">
        <w:rPr>
          <w:rFonts w:asciiTheme="majorBidi" w:hAnsiTheme="majorBidi" w:cstheme="majorBidi"/>
          <w:spacing w:val="-4"/>
        </w:rPr>
        <w:t xml:space="preserve"> </w:t>
      </w:r>
      <w:r w:rsidRPr="00361139">
        <w:rPr>
          <w:rFonts w:asciiTheme="majorBidi" w:hAnsiTheme="majorBidi" w:cstheme="majorBidi"/>
        </w:rPr>
        <w:t>EAs</w:t>
      </w:r>
      <w:r w:rsidRPr="00361139">
        <w:rPr>
          <w:rFonts w:asciiTheme="majorBidi" w:hAnsiTheme="majorBidi" w:cstheme="majorBidi"/>
          <w:spacing w:val="-5"/>
        </w:rPr>
        <w:t xml:space="preserve"> </w:t>
      </w:r>
      <w:r w:rsidRPr="00361139">
        <w:rPr>
          <w:rFonts w:asciiTheme="majorBidi" w:hAnsiTheme="majorBidi" w:cstheme="majorBidi"/>
        </w:rPr>
        <w:t>were</w:t>
      </w:r>
      <w:r w:rsidRPr="00361139">
        <w:rPr>
          <w:rFonts w:asciiTheme="majorBidi" w:hAnsiTheme="majorBidi" w:cstheme="majorBidi"/>
          <w:spacing w:val="-4"/>
        </w:rPr>
        <w:t xml:space="preserve"> </w:t>
      </w:r>
      <w:r w:rsidRPr="00361139">
        <w:rPr>
          <w:rFonts w:asciiTheme="majorBidi" w:hAnsiTheme="majorBidi" w:cstheme="majorBidi"/>
        </w:rPr>
        <w:t>CEO</w:t>
      </w:r>
      <w:r w:rsidRPr="00361139">
        <w:rPr>
          <w:rFonts w:asciiTheme="majorBidi" w:hAnsiTheme="majorBidi" w:cstheme="majorBidi"/>
          <w:spacing w:val="-4"/>
        </w:rPr>
        <w:t xml:space="preserve"> </w:t>
      </w:r>
      <w:r w:rsidRPr="00361139">
        <w:rPr>
          <w:rFonts w:asciiTheme="majorBidi" w:hAnsiTheme="majorBidi" w:cstheme="majorBidi"/>
        </w:rPr>
        <w:t>approved</w:t>
      </w:r>
      <w:r w:rsidRPr="00361139">
        <w:rPr>
          <w:rFonts w:asciiTheme="majorBidi" w:hAnsiTheme="majorBidi" w:cstheme="majorBidi"/>
          <w:spacing w:val="-4"/>
        </w:rPr>
        <w:t xml:space="preserve"> </w:t>
      </w:r>
      <w:r w:rsidRPr="00361139">
        <w:rPr>
          <w:rFonts w:asciiTheme="majorBidi" w:hAnsiTheme="majorBidi" w:cstheme="majorBidi"/>
        </w:rPr>
        <w:t>to contribute towards the implementation of Minamata Convention. The average preparation time</w:t>
      </w:r>
      <w:r w:rsidRPr="00361139">
        <w:rPr>
          <w:rFonts w:asciiTheme="majorBidi" w:hAnsiTheme="majorBidi" w:cstheme="majorBidi"/>
          <w:spacing w:val="-1"/>
        </w:rPr>
        <w:t xml:space="preserve"> </w:t>
      </w:r>
      <w:r w:rsidRPr="00361139">
        <w:rPr>
          <w:rFonts w:asciiTheme="majorBidi" w:hAnsiTheme="majorBidi" w:cstheme="majorBidi"/>
        </w:rPr>
        <w:t>between CEO approval submission</w:t>
      </w:r>
      <w:r w:rsidRPr="00361139">
        <w:rPr>
          <w:rFonts w:asciiTheme="majorBidi" w:hAnsiTheme="majorBidi" w:cstheme="majorBidi"/>
          <w:spacing w:val="-1"/>
        </w:rPr>
        <w:t xml:space="preserve"> </w:t>
      </w:r>
      <w:r w:rsidRPr="00361139">
        <w:rPr>
          <w:rFonts w:asciiTheme="majorBidi" w:hAnsiTheme="majorBidi" w:cstheme="majorBidi"/>
        </w:rPr>
        <w:t>to CEO</w:t>
      </w:r>
      <w:r w:rsidRPr="00361139">
        <w:rPr>
          <w:rFonts w:asciiTheme="majorBidi" w:hAnsiTheme="majorBidi" w:cstheme="majorBidi"/>
          <w:spacing w:val="-1"/>
        </w:rPr>
        <w:t xml:space="preserve"> </w:t>
      </w:r>
      <w:r w:rsidRPr="00361139">
        <w:rPr>
          <w:rFonts w:asciiTheme="majorBidi" w:hAnsiTheme="majorBidi" w:cstheme="majorBidi"/>
        </w:rPr>
        <w:t>approval</w:t>
      </w:r>
      <w:r w:rsidRPr="00361139">
        <w:rPr>
          <w:rFonts w:asciiTheme="majorBidi" w:hAnsiTheme="majorBidi" w:cstheme="majorBidi"/>
          <w:spacing w:val="-1"/>
        </w:rPr>
        <w:t xml:space="preserve"> </w:t>
      </w:r>
      <w:r w:rsidRPr="00361139">
        <w:rPr>
          <w:rFonts w:asciiTheme="majorBidi" w:hAnsiTheme="majorBidi" w:cstheme="majorBidi"/>
        </w:rPr>
        <w:t>were</w:t>
      </w:r>
      <w:r w:rsidRPr="00361139">
        <w:rPr>
          <w:rFonts w:asciiTheme="majorBidi" w:hAnsiTheme="majorBidi" w:cstheme="majorBidi"/>
          <w:spacing w:val="-1"/>
        </w:rPr>
        <w:t xml:space="preserve"> </w:t>
      </w:r>
      <w:r w:rsidRPr="00361139">
        <w:rPr>
          <w:rFonts w:asciiTheme="majorBidi" w:hAnsiTheme="majorBidi" w:cstheme="majorBidi"/>
        </w:rPr>
        <w:t>3</w:t>
      </w:r>
      <w:r w:rsidRPr="00361139">
        <w:rPr>
          <w:rFonts w:asciiTheme="majorBidi" w:hAnsiTheme="majorBidi" w:cstheme="majorBidi"/>
          <w:spacing w:val="-1"/>
        </w:rPr>
        <w:t xml:space="preserve"> </w:t>
      </w:r>
      <w:r w:rsidRPr="00361139">
        <w:rPr>
          <w:rFonts w:asciiTheme="majorBidi" w:hAnsiTheme="majorBidi" w:cstheme="majorBidi"/>
        </w:rPr>
        <w:t>months</w:t>
      </w:r>
      <w:r w:rsidRPr="00361139">
        <w:rPr>
          <w:rFonts w:asciiTheme="majorBidi" w:hAnsiTheme="majorBidi" w:cstheme="majorBidi"/>
          <w:spacing w:val="-2"/>
        </w:rPr>
        <w:t xml:space="preserve"> </w:t>
      </w:r>
      <w:r w:rsidRPr="00361139">
        <w:rPr>
          <w:rFonts w:asciiTheme="majorBidi" w:hAnsiTheme="majorBidi" w:cstheme="majorBidi"/>
        </w:rPr>
        <w:t>for one-step</w:t>
      </w:r>
      <w:r w:rsidRPr="00361139">
        <w:rPr>
          <w:rFonts w:asciiTheme="majorBidi" w:hAnsiTheme="majorBidi" w:cstheme="majorBidi"/>
          <w:spacing w:val="-1"/>
        </w:rPr>
        <w:t xml:space="preserve"> </w:t>
      </w:r>
      <w:r w:rsidRPr="00361139">
        <w:rPr>
          <w:rFonts w:asciiTheme="majorBidi" w:hAnsiTheme="majorBidi" w:cstheme="majorBidi"/>
        </w:rPr>
        <w:t>MSP</w:t>
      </w:r>
      <w:r w:rsidRPr="00361139">
        <w:rPr>
          <w:rFonts w:asciiTheme="majorBidi" w:hAnsiTheme="majorBidi" w:cstheme="majorBidi"/>
          <w:spacing w:val="-1"/>
        </w:rPr>
        <w:t xml:space="preserve"> </w:t>
      </w:r>
      <w:r w:rsidRPr="00361139">
        <w:rPr>
          <w:rFonts w:asciiTheme="majorBidi" w:hAnsiTheme="majorBidi" w:cstheme="majorBidi"/>
        </w:rPr>
        <w:t>and 3 months for EAs.</w:t>
      </w:r>
      <w:r w:rsidRPr="00361139">
        <w:rPr>
          <w:rStyle w:val="FootnoteReference"/>
          <w:rFonts w:asciiTheme="majorBidi" w:hAnsiTheme="majorBidi" w:cstheme="majorBidi"/>
        </w:rPr>
        <w:footnoteReference w:id="75"/>
      </w:r>
      <w:r w:rsidRPr="00361139">
        <w:rPr>
          <w:rFonts w:asciiTheme="majorBidi" w:hAnsiTheme="majorBidi" w:cstheme="majorBidi"/>
        </w:rPr>
        <w:t xml:space="preserve"> There were no two-steps MSP in the GEF-7 period.</w:t>
      </w:r>
    </w:p>
    <w:p w14:paraId="51117ABB"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During GEF-7, 2 FSPs, 3 MSPs and 12 EAs have reached the first disbursement to contribute</w:t>
      </w:r>
      <w:r w:rsidRPr="00361139">
        <w:rPr>
          <w:rFonts w:asciiTheme="majorBidi" w:hAnsiTheme="majorBidi" w:cstheme="majorBidi"/>
          <w:spacing w:val="-3"/>
        </w:rPr>
        <w:t xml:space="preserve"> </w:t>
      </w:r>
      <w:r w:rsidRPr="00361139">
        <w:rPr>
          <w:rFonts w:asciiTheme="majorBidi" w:hAnsiTheme="majorBidi" w:cstheme="majorBidi"/>
        </w:rPr>
        <w:t>towards</w:t>
      </w:r>
      <w:r w:rsidRPr="00361139">
        <w:rPr>
          <w:rFonts w:asciiTheme="majorBidi" w:hAnsiTheme="majorBidi" w:cstheme="majorBidi"/>
          <w:spacing w:val="-7"/>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implementation</w:t>
      </w:r>
      <w:r w:rsidRPr="00361139">
        <w:rPr>
          <w:rFonts w:asciiTheme="majorBidi" w:hAnsiTheme="majorBidi" w:cstheme="majorBidi"/>
          <w:spacing w:val="-1"/>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5"/>
        </w:rPr>
        <w:t xml:space="preserve"> </w:t>
      </w:r>
      <w:r w:rsidRPr="00361139">
        <w:rPr>
          <w:rFonts w:asciiTheme="majorBidi" w:hAnsiTheme="majorBidi" w:cstheme="majorBidi"/>
        </w:rPr>
        <w:t>Minamata</w:t>
      </w:r>
      <w:r w:rsidRPr="00361139">
        <w:rPr>
          <w:rFonts w:asciiTheme="majorBidi" w:hAnsiTheme="majorBidi" w:cstheme="majorBidi"/>
          <w:spacing w:val="-6"/>
        </w:rPr>
        <w:t xml:space="preserve"> </w:t>
      </w:r>
      <w:r w:rsidRPr="00361139">
        <w:rPr>
          <w:rFonts w:asciiTheme="majorBidi" w:hAnsiTheme="majorBidi" w:cstheme="majorBidi"/>
        </w:rPr>
        <w:t>Convention.</w:t>
      </w:r>
      <w:r w:rsidRPr="00361139">
        <w:rPr>
          <w:rFonts w:asciiTheme="majorBidi" w:hAnsiTheme="majorBidi" w:cstheme="majorBidi"/>
          <w:spacing w:val="-3"/>
        </w:rPr>
        <w:t xml:space="preserve"> </w:t>
      </w:r>
      <w:r w:rsidRPr="00361139">
        <w:rPr>
          <w:rFonts w:asciiTheme="majorBidi" w:hAnsiTheme="majorBidi" w:cstheme="majorBidi"/>
        </w:rPr>
        <w:t>Average</w:t>
      </w:r>
      <w:r w:rsidRPr="00361139">
        <w:rPr>
          <w:rFonts w:asciiTheme="majorBidi" w:hAnsiTheme="majorBidi" w:cstheme="majorBidi"/>
          <w:spacing w:val="-5"/>
        </w:rPr>
        <w:t xml:space="preserve"> </w:t>
      </w:r>
      <w:r w:rsidRPr="00361139">
        <w:rPr>
          <w:rFonts w:asciiTheme="majorBidi" w:hAnsiTheme="majorBidi" w:cstheme="majorBidi"/>
        </w:rPr>
        <w:t>time</w:t>
      </w:r>
      <w:r w:rsidRPr="00361139">
        <w:rPr>
          <w:rFonts w:asciiTheme="majorBidi" w:hAnsiTheme="majorBidi" w:cstheme="majorBidi"/>
          <w:spacing w:val="-5"/>
        </w:rPr>
        <w:t xml:space="preserve"> </w:t>
      </w:r>
      <w:r w:rsidRPr="00361139">
        <w:rPr>
          <w:rFonts w:asciiTheme="majorBidi" w:hAnsiTheme="majorBidi" w:cstheme="majorBidi"/>
        </w:rPr>
        <w:t>from</w:t>
      </w:r>
      <w:r w:rsidRPr="00361139">
        <w:rPr>
          <w:rFonts w:asciiTheme="majorBidi" w:hAnsiTheme="majorBidi" w:cstheme="majorBidi"/>
          <w:spacing w:val="-6"/>
        </w:rPr>
        <w:t xml:space="preserve"> </w:t>
      </w:r>
      <w:r w:rsidRPr="00361139">
        <w:rPr>
          <w:rFonts w:asciiTheme="majorBidi" w:hAnsiTheme="majorBidi" w:cstheme="majorBidi"/>
        </w:rPr>
        <w:t>CEO endorsement (FSP) or CEO approval (EA/MSP) to first disbursement was 7 months.</w:t>
      </w:r>
    </w:p>
    <w:p w14:paraId="269E3EAA" w14:textId="50B4E559" w:rsidR="00CC73DD" w:rsidRPr="00361139" w:rsidRDefault="00F70E80" w:rsidP="00F70E80">
      <w:pPr>
        <w:pStyle w:val="CH2"/>
        <w:rPr>
          <w:lang w:val="en-GB"/>
        </w:rPr>
      </w:pPr>
      <w:bookmarkStart w:id="440" w:name="_Toc138848005"/>
      <w:bookmarkStart w:id="441" w:name="_Toc138848006"/>
      <w:bookmarkEnd w:id="440"/>
      <w:bookmarkEnd w:id="441"/>
      <w:r w:rsidRPr="00361139">
        <w:rPr>
          <w:lang w:val="en-GB"/>
        </w:rPr>
        <w:lastRenderedPageBreak/>
        <w:tab/>
      </w:r>
      <w:bookmarkStart w:id="442" w:name="_Toc139975496"/>
      <w:bookmarkStart w:id="443" w:name="_Toc139976248"/>
      <w:bookmarkStart w:id="444" w:name="_Toc139982268"/>
      <w:bookmarkStart w:id="445" w:name="_Toc139983980"/>
      <w:bookmarkStart w:id="446" w:name="_Toc139984220"/>
      <w:r w:rsidRPr="00361139">
        <w:rPr>
          <w:lang w:val="en-GB"/>
        </w:rPr>
        <w:t>(d)</w:t>
      </w:r>
      <w:r w:rsidRPr="00361139">
        <w:rPr>
          <w:lang w:val="en-GB"/>
        </w:rPr>
        <w:tab/>
      </w:r>
      <w:r w:rsidR="00CC73DD" w:rsidRPr="00361139">
        <w:rPr>
          <w:lang w:val="en-GB"/>
        </w:rPr>
        <w:t>Simplicity, flexibility and expeditiousness of the procedures for accessing funds and for implementing and reporting on projects</w:t>
      </w:r>
      <w:bookmarkEnd w:id="442"/>
      <w:bookmarkEnd w:id="443"/>
      <w:bookmarkEnd w:id="444"/>
      <w:bookmarkEnd w:id="445"/>
      <w:bookmarkEnd w:id="446"/>
    </w:p>
    <w:p w14:paraId="1FD6B45C"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GEF provides funding through four modalities to best suit the requirements of the countries in a flexible, simple and agile manner per the size and nature of the projects. Four modalities</w:t>
      </w:r>
      <w:r w:rsidRPr="00361139">
        <w:rPr>
          <w:rFonts w:asciiTheme="majorBidi" w:hAnsiTheme="majorBidi" w:cstheme="majorBidi"/>
          <w:spacing w:val="-7"/>
        </w:rPr>
        <w:t xml:space="preserve"> </w:t>
      </w:r>
      <w:r w:rsidRPr="00361139">
        <w:rPr>
          <w:rFonts w:asciiTheme="majorBidi" w:hAnsiTheme="majorBidi" w:cstheme="majorBidi"/>
        </w:rPr>
        <w:t>are:</w:t>
      </w:r>
      <w:r w:rsidRPr="00361139">
        <w:rPr>
          <w:rFonts w:asciiTheme="majorBidi" w:hAnsiTheme="majorBidi" w:cstheme="majorBidi"/>
          <w:spacing w:val="-5"/>
        </w:rPr>
        <w:t xml:space="preserve"> </w:t>
      </w:r>
      <w:r w:rsidRPr="00361139">
        <w:rPr>
          <w:rFonts w:asciiTheme="majorBidi" w:hAnsiTheme="majorBidi" w:cstheme="majorBidi"/>
        </w:rPr>
        <w:t>full-sized</w:t>
      </w:r>
      <w:r w:rsidRPr="00361139">
        <w:rPr>
          <w:rFonts w:asciiTheme="majorBidi" w:hAnsiTheme="majorBidi" w:cstheme="majorBidi"/>
          <w:spacing w:val="-7"/>
        </w:rPr>
        <w:t xml:space="preserve"> </w:t>
      </w:r>
      <w:r w:rsidRPr="00361139">
        <w:rPr>
          <w:rFonts w:asciiTheme="majorBidi" w:hAnsiTheme="majorBidi" w:cstheme="majorBidi"/>
        </w:rPr>
        <w:t>projects,</w:t>
      </w:r>
      <w:r w:rsidRPr="00361139">
        <w:rPr>
          <w:rFonts w:asciiTheme="majorBidi" w:hAnsiTheme="majorBidi" w:cstheme="majorBidi"/>
          <w:spacing w:val="-8"/>
        </w:rPr>
        <w:t xml:space="preserve"> </w:t>
      </w:r>
      <w:r w:rsidRPr="00361139">
        <w:rPr>
          <w:rFonts w:asciiTheme="majorBidi" w:hAnsiTheme="majorBidi" w:cstheme="majorBidi"/>
        </w:rPr>
        <w:t>medium-sized</w:t>
      </w:r>
      <w:r w:rsidRPr="00361139">
        <w:rPr>
          <w:rFonts w:asciiTheme="majorBidi" w:hAnsiTheme="majorBidi" w:cstheme="majorBidi"/>
          <w:spacing w:val="-5"/>
        </w:rPr>
        <w:t xml:space="preserve"> </w:t>
      </w:r>
      <w:r w:rsidRPr="00361139">
        <w:rPr>
          <w:rFonts w:asciiTheme="majorBidi" w:hAnsiTheme="majorBidi" w:cstheme="majorBidi"/>
        </w:rPr>
        <w:t>projects,</w:t>
      </w:r>
      <w:r w:rsidRPr="00361139">
        <w:rPr>
          <w:rFonts w:asciiTheme="majorBidi" w:hAnsiTheme="majorBidi" w:cstheme="majorBidi"/>
          <w:spacing w:val="-8"/>
        </w:rPr>
        <w:t xml:space="preserve"> </w:t>
      </w:r>
      <w:r w:rsidRPr="00361139">
        <w:rPr>
          <w:rFonts w:asciiTheme="majorBidi" w:hAnsiTheme="majorBidi" w:cstheme="majorBidi"/>
        </w:rPr>
        <w:t>enabling</w:t>
      </w:r>
      <w:r w:rsidRPr="00361139">
        <w:rPr>
          <w:rFonts w:asciiTheme="majorBidi" w:hAnsiTheme="majorBidi" w:cstheme="majorBidi"/>
          <w:spacing w:val="-4"/>
        </w:rPr>
        <w:t xml:space="preserve"> </w:t>
      </w:r>
      <w:r w:rsidRPr="00361139">
        <w:rPr>
          <w:rFonts w:asciiTheme="majorBidi" w:hAnsiTheme="majorBidi" w:cstheme="majorBidi"/>
        </w:rPr>
        <w:t>activities,</w:t>
      </w:r>
      <w:r w:rsidRPr="00361139">
        <w:rPr>
          <w:rFonts w:asciiTheme="majorBidi" w:hAnsiTheme="majorBidi" w:cstheme="majorBidi"/>
          <w:spacing w:val="-7"/>
        </w:rPr>
        <w:t xml:space="preserve"> </w:t>
      </w:r>
      <w:r w:rsidRPr="00361139">
        <w:rPr>
          <w:rFonts w:asciiTheme="majorBidi" w:hAnsiTheme="majorBidi" w:cstheme="majorBidi"/>
        </w:rPr>
        <w:t>and</w:t>
      </w:r>
      <w:r w:rsidRPr="00361139">
        <w:rPr>
          <w:rFonts w:asciiTheme="majorBidi" w:hAnsiTheme="majorBidi" w:cstheme="majorBidi"/>
          <w:spacing w:val="-3"/>
        </w:rPr>
        <w:t xml:space="preserve"> </w:t>
      </w:r>
      <w:r w:rsidRPr="00361139">
        <w:rPr>
          <w:rFonts w:asciiTheme="majorBidi" w:hAnsiTheme="majorBidi" w:cstheme="majorBidi"/>
        </w:rPr>
        <w:t xml:space="preserve">programmatic </w:t>
      </w:r>
      <w:r w:rsidRPr="00361139">
        <w:rPr>
          <w:rFonts w:asciiTheme="majorBidi" w:hAnsiTheme="majorBidi" w:cstheme="majorBidi"/>
          <w:spacing w:val="-2"/>
        </w:rPr>
        <w:t>approaches.</w:t>
      </w:r>
    </w:p>
    <w:p w14:paraId="0AD1F488" w14:textId="77777777" w:rsidR="00CC73DD" w:rsidRPr="00361139" w:rsidRDefault="00CC73DD" w:rsidP="007E5EED">
      <w:pPr>
        <w:pStyle w:val="NormalNonumber"/>
        <w:tabs>
          <w:tab w:val="clear" w:pos="1247"/>
          <w:tab w:val="clear" w:pos="1871"/>
          <w:tab w:val="clear" w:pos="2495"/>
          <w:tab w:val="clear" w:pos="3119"/>
          <w:tab w:val="clear" w:pos="3742"/>
          <w:tab w:val="clear" w:pos="4366"/>
        </w:tabs>
        <w:ind w:left="4536" w:hanging="2665"/>
        <w:rPr>
          <w:lang w:val="en-GB"/>
        </w:rPr>
      </w:pPr>
      <w:r w:rsidRPr="00361139">
        <w:rPr>
          <w:lang w:val="en-GB"/>
        </w:rPr>
        <w:t>Full-sized</w:t>
      </w:r>
      <w:r w:rsidRPr="00361139">
        <w:rPr>
          <w:spacing w:val="-10"/>
          <w:lang w:val="en-GB"/>
        </w:rPr>
        <w:t xml:space="preserve"> </w:t>
      </w:r>
      <w:r w:rsidRPr="00361139">
        <w:rPr>
          <w:lang w:val="en-GB"/>
        </w:rPr>
        <w:t>Project</w:t>
      </w:r>
      <w:r w:rsidRPr="00361139">
        <w:rPr>
          <w:spacing w:val="-9"/>
          <w:lang w:val="en-GB"/>
        </w:rPr>
        <w:t xml:space="preserve"> </w:t>
      </w:r>
      <w:r w:rsidRPr="00361139">
        <w:rPr>
          <w:spacing w:val="-2"/>
          <w:lang w:val="en-GB"/>
        </w:rPr>
        <w:t>(FSP):</w:t>
      </w:r>
      <w:r w:rsidRPr="00361139">
        <w:rPr>
          <w:lang w:val="en-GB"/>
        </w:rPr>
        <w:tab/>
        <w:t>GEF</w:t>
      </w:r>
      <w:r w:rsidRPr="00361139">
        <w:rPr>
          <w:spacing w:val="-6"/>
          <w:lang w:val="en-GB"/>
        </w:rPr>
        <w:t xml:space="preserve"> </w:t>
      </w:r>
      <w:r w:rsidRPr="00361139">
        <w:rPr>
          <w:lang w:val="en-GB"/>
        </w:rPr>
        <w:t>project</w:t>
      </w:r>
      <w:r w:rsidRPr="00361139">
        <w:rPr>
          <w:spacing w:val="-6"/>
          <w:lang w:val="en-GB"/>
        </w:rPr>
        <w:t xml:space="preserve"> </w:t>
      </w:r>
      <w:r w:rsidRPr="00361139">
        <w:rPr>
          <w:lang w:val="en-GB"/>
        </w:rPr>
        <w:t>financing</w:t>
      </w:r>
      <w:r w:rsidRPr="00361139">
        <w:rPr>
          <w:spacing w:val="-7"/>
          <w:lang w:val="en-GB"/>
        </w:rPr>
        <w:t xml:space="preserve"> </w:t>
      </w:r>
      <w:r w:rsidRPr="00361139">
        <w:rPr>
          <w:lang w:val="en-GB"/>
        </w:rPr>
        <w:t>of</w:t>
      </w:r>
      <w:r w:rsidRPr="00361139">
        <w:rPr>
          <w:spacing w:val="-3"/>
          <w:lang w:val="en-GB"/>
        </w:rPr>
        <w:t xml:space="preserve"> </w:t>
      </w:r>
      <w:r w:rsidRPr="00361139">
        <w:rPr>
          <w:lang w:val="en-GB"/>
        </w:rPr>
        <w:t>more</w:t>
      </w:r>
      <w:r w:rsidRPr="00361139">
        <w:rPr>
          <w:spacing w:val="-5"/>
          <w:lang w:val="en-GB"/>
        </w:rPr>
        <w:t xml:space="preserve"> </w:t>
      </w:r>
      <w:r w:rsidRPr="00361139">
        <w:rPr>
          <w:lang w:val="en-GB"/>
        </w:rPr>
        <w:t>than</w:t>
      </w:r>
      <w:r w:rsidRPr="00361139">
        <w:rPr>
          <w:spacing w:val="-6"/>
          <w:lang w:val="en-GB"/>
        </w:rPr>
        <w:t xml:space="preserve"> </w:t>
      </w:r>
      <w:r w:rsidRPr="00361139">
        <w:rPr>
          <w:lang w:val="en-GB"/>
        </w:rPr>
        <w:t>two</w:t>
      </w:r>
      <w:r w:rsidRPr="00361139">
        <w:rPr>
          <w:spacing w:val="-7"/>
          <w:lang w:val="en-GB"/>
        </w:rPr>
        <w:t xml:space="preserve"> </w:t>
      </w:r>
      <w:r w:rsidRPr="00361139">
        <w:rPr>
          <w:lang w:val="en-GB"/>
        </w:rPr>
        <w:t>million</w:t>
      </w:r>
      <w:r w:rsidRPr="00361139">
        <w:rPr>
          <w:spacing w:val="-5"/>
          <w:lang w:val="en-GB"/>
        </w:rPr>
        <w:t xml:space="preserve"> </w:t>
      </w:r>
      <w:r w:rsidRPr="00361139">
        <w:rPr>
          <w:lang w:val="en-GB"/>
        </w:rPr>
        <w:t>US</w:t>
      </w:r>
      <w:r w:rsidRPr="00361139">
        <w:rPr>
          <w:spacing w:val="-6"/>
          <w:lang w:val="en-GB"/>
        </w:rPr>
        <w:t xml:space="preserve"> </w:t>
      </w:r>
      <w:r w:rsidRPr="00361139">
        <w:rPr>
          <w:spacing w:val="-2"/>
          <w:lang w:val="en-GB"/>
        </w:rPr>
        <w:t xml:space="preserve">dollars. </w:t>
      </w:r>
      <w:r w:rsidRPr="00361139">
        <w:rPr>
          <w:lang w:val="en-GB"/>
        </w:rPr>
        <w:t>Council</w:t>
      </w:r>
      <w:r w:rsidRPr="00361139">
        <w:rPr>
          <w:spacing w:val="-8"/>
          <w:lang w:val="en-GB"/>
        </w:rPr>
        <w:t xml:space="preserve"> </w:t>
      </w:r>
      <w:r w:rsidRPr="00361139">
        <w:rPr>
          <w:lang w:val="en-GB"/>
        </w:rPr>
        <w:t>approval</w:t>
      </w:r>
      <w:r w:rsidRPr="00361139">
        <w:rPr>
          <w:spacing w:val="-10"/>
          <w:lang w:val="en-GB"/>
        </w:rPr>
        <w:t xml:space="preserve"> </w:t>
      </w:r>
      <w:r w:rsidRPr="00361139">
        <w:rPr>
          <w:spacing w:val="-2"/>
          <w:lang w:val="en-GB"/>
        </w:rPr>
        <w:t>required.</w:t>
      </w:r>
    </w:p>
    <w:p w14:paraId="339EC758" w14:textId="77777777" w:rsidR="00CC73DD" w:rsidRPr="00361139" w:rsidRDefault="00CC73DD" w:rsidP="007E5EED">
      <w:pPr>
        <w:pStyle w:val="NormalNonumber"/>
        <w:tabs>
          <w:tab w:val="clear" w:pos="1247"/>
          <w:tab w:val="clear" w:pos="1871"/>
          <w:tab w:val="clear" w:pos="2495"/>
          <w:tab w:val="clear" w:pos="3119"/>
          <w:tab w:val="clear" w:pos="3742"/>
          <w:tab w:val="clear" w:pos="4366"/>
        </w:tabs>
        <w:ind w:left="4536" w:hanging="2665"/>
        <w:rPr>
          <w:lang w:val="en-GB"/>
        </w:rPr>
      </w:pPr>
      <w:r w:rsidRPr="00361139">
        <w:rPr>
          <w:lang w:val="en-GB"/>
        </w:rPr>
        <w:t>Medium-sized</w:t>
      </w:r>
      <w:r w:rsidRPr="00361139">
        <w:rPr>
          <w:spacing w:val="-8"/>
          <w:lang w:val="en-GB"/>
        </w:rPr>
        <w:t xml:space="preserve"> </w:t>
      </w:r>
      <w:r w:rsidRPr="00361139">
        <w:rPr>
          <w:lang w:val="en-GB"/>
        </w:rPr>
        <w:t>Project</w:t>
      </w:r>
      <w:r w:rsidRPr="00361139">
        <w:rPr>
          <w:spacing w:val="-7"/>
          <w:lang w:val="en-GB"/>
        </w:rPr>
        <w:t xml:space="preserve"> </w:t>
      </w:r>
      <w:r w:rsidRPr="00361139">
        <w:rPr>
          <w:lang w:val="en-GB"/>
        </w:rPr>
        <w:t>(MSP):</w:t>
      </w:r>
      <w:r w:rsidRPr="00361139">
        <w:rPr>
          <w:lang w:val="en-GB"/>
        </w:rPr>
        <w:tab/>
        <w:t>GEF</w:t>
      </w:r>
      <w:r w:rsidRPr="00361139">
        <w:rPr>
          <w:spacing w:val="-4"/>
          <w:lang w:val="en-GB"/>
        </w:rPr>
        <w:t xml:space="preserve"> </w:t>
      </w:r>
      <w:r w:rsidRPr="00361139">
        <w:rPr>
          <w:lang w:val="en-GB"/>
        </w:rPr>
        <w:t>project</w:t>
      </w:r>
      <w:r w:rsidRPr="00361139">
        <w:rPr>
          <w:spacing w:val="-7"/>
          <w:lang w:val="en-GB"/>
        </w:rPr>
        <w:t xml:space="preserve"> </w:t>
      </w:r>
      <w:r w:rsidRPr="00361139">
        <w:rPr>
          <w:lang w:val="en-GB"/>
        </w:rPr>
        <w:t>financing</w:t>
      </w:r>
      <w:r w:rsidRPr="00361139">
        <w:rPr>
          <w:spacing w:val="-8"/>
          <w:lang w:val="en-GB"/>
        </w:rPr>
        <w:t xml:space="preserve"> </w:t>
      </w:r>
      <w:r w:rsidRPr="00361139">
        <w:rPr>
          <w:lang w:val="en-GB"/>
        </w:rPr>
        <w:t>of</w:t>
      </w:r>
      <w:r w:rsidRPr="00361139">
        <w:rPr>
          <w:spacing w:val="-4"/>
          <w:lang w:val="en-GB"/>
        </w:rPr>
        <w:t xml:space="preserve"> </w:t>
      </w:r>
      <w:r w:rsidRPr="00361139">
        <w:rPr>
          <w:lang w:val="en-GB"/>
        </w:rPr>
        <w:t>less</w:t>
      </w:r>
      <w:r w:rsidRPr="00361139">
        <w:rPr>
          <w:spacing w:val="-7"/>
          <w:lang w:val="en-GB"/>
        </w:rPr>
        <w:t xml:space="preserve"> </w:t>
      </w:r>
      <w:r w:rsidRPr="00361139">
        <w:rPr>
          <w:lang w:val="en-GB"/>
        </w:rPr>
        <w:t>than</w:t>
      </w:r>
      <w:r w:rsidRPr="00361139">
        <w:rPr>
          <w:spacing w:val="-7"/>
          <w:lang w:val="en-GB"/>
        </w:rPr>
        <w:t xml:space="preserve"> </w:t>
      </w:r>
      <w:r w:rsidRPr="00361139">
        <w:rPr>
          <w:lang w:val="en-GB"/>
        </w:rPr>
        <w:t>or</w:t>
      </w:r>
      <w:r w:rsidRPr="00361139">
        <w:rPr>
          <w:spacing w:val="-4"/>
          <w:lang w:val="en-GB"/>
        </w:rPr>
        <w:t xml:space="preserve"> </w:t>
      </w:r>
      <w:r w:rsidRPr="00361139">
        <w:rPr>
          <w:lang w:val="en-GB"/>
        </w:rPr>
        <w:t>equivalent</w:t>
      </w:r>
      <w:r w:rsidRPr="00361139">
        <w:rPr>
          <w:spacing w:val="-4"/>
          <w:lang w:val="en-GB"/>
        </w:rPr>
        <w:t xml:space="preserve"> </w:t>
      </w:r>
      <w:r w:rsidRPr="00361139">
        <w:rPr>
          <w:lang w:val="en-GB"/>
        </w:rPr>
        <w:t>to</w:t>
      </w:r>
      <w:r w:rsidRPr="00361139">
        <w:rPr>
          <w:spacing w:val="-8"/>
          <w:lang w:val="en-GB"/>
        </w:rPr>
        <w:t xml:space="preserve"> </w:t>
      </w:r>
      <w:r w:rsidRPr="00361139">
        <w:rPr>
          <w:spacing w:val="-5"/>
          <w:lang w:val="en-GB"/>
        </w:rPr>
        <w:t>two</w:t>
      </w:r>
      <w:r w:rsidRPr="00361139">
        <w:rPr>
          <w:lang w:val="en-GB"/>
        </w:rPr>
        <w:t xml:space="preserve"> million</w:t>
      </w:r>
      <w:r w:rsidRPr="00361139">
        <w:rPr>
          <w:spacing w:val="-2"/>
          <w:lang w:val="en-GB"/>
        </w:rPr>
        <w:t xml:space="preserve"> </w:t>
      </w:r>
      <w:r w:rsidRPr="00361139">
        <w:rPr>
          <w:lang w:val="en-GB"/>
        </w:rPr>
        <w:t>US</w:t>
      </w:r>
      <w:r w:rsidRPr="00361139">
        <w:rPr>
          <w:spacing w:val="-7"/>
          <w:lang w:val="en-GB"/>
        </w:rPr>
        <w:t xml:space="preserve"> </w:t>
      </w:r>
      <w:r w:rsidRPr="00361139">
        <w:rPr>
          <w:lang w:val="en-GB"/>
        </w:rPr>
        <w:t>dollars.</w:t>
      </w:r>
      <w:r w:rsidRPr="00361139">
        <w:rPr>
          <w:spacing w:val="-6"/>
          <w:lang w:val="en-GB"/>
        </w:rPr>
        <w:t xml:space="preserve"> </w:t>
      </w:r>
      <w:r w:rsidRPr="00361139">
        <w:rPr>
          <w:lang w:val="en-GB"/>
        </w:rPr>
        <w:t>The</w:t>
      </w:r>
      <w:r w:rsidRPr="00361139">
        <w:rPr>
          <w:spacing w:val="-5"/>
          <w:lang w:val="en-GB"/>
        </w:rPr>
        <w:t xml:space="preserve"> </w:t>
      </w:r>
      <w:r w:rsidRPr="00361139">
        <w:rPr>
          <w:lang w:val="en-GB"/>
        </w:rPr>
        <w:t>GEF</w:t>
      </w:r>
      <w:r w:rsidRPr="00361139">
        <w:rPr>
          <w:spacing w:val="-6"/>
          <w:lang w:val="en-GB"/>
        </w:rPr>
        <w:t xml:space="preserve"> </w:t>
      </w:r>
      <w:r w:rsidRPr="00361139">
        <w:rPr>
          <w:lang w:val="en-GB"/>
        </w:rPr>
        <w:t>CEO</w:t>
      </w:r>
      <w:r w:rsidRPr="00361139">
        <w:rPr>
          <w:spacing w:val="-5"/>
          <w:lang w:val="en-GB"/>
        </w:rPr>
        <w:t xml:space="preserve"> </w:t>
      </w:r>
      <w:r w:rsidRPr="00361139">
        <w:rPr>
          <w:lang w:val="en-GB"/>
        </w:rPr>
        <w:t>can</w:t>
      </w:r>
      <w:r w:rsidRPr="00361139">
        <w:rPr>
          <w:spacing w:val="-2"/>
          <w:lang w:val="en-GB"/>
        </w:rPr>
        <w:t xml:space="preserve"> approve.</w:t>
      </w:r>
    </w:p>
    <w:p w14:paraId="6D524ED0" w14:textId="77777777" w:rsidR="00CC73DD" w:rsidRPr="00361139" w:rsidRDefault="00CC73DD" w:rsidP="007E5EED">
      <w:pPr>
        <w:pStyle w:val="NormalNonumber"/>
        <w:tabs>
          <w:tab w:val="clear" w:pos="1247"/>
          <w:tab w:val="clear" w:pos="1871"/>
          <w:tab w:val="clear" w:pos="2495"/>
          <w:tab w:val="clear" w:pos="3119"/>
          <w:tab w:val="clear" w:pos="3742"/>
          <w:tab w:val="clear" w:pos="4366"/>
        </w:tabs>
        <w:ind w:left="4536" w:hanging="2665"/>
        <w:rPr>
          <w:lang w:val="en-GB"/>
        </w:rPr>
      </w:pPr>
      <w:r w:rsidRPr="00361139">
        <w:rPr>
          <w:lang w:val="en-GB"/>
        </w:rPr>
        <w:t>Enabling</w:t>
      </w:r>
      <w:r w:rsidRPr="00361139">
        <w:rPr>
          <w:spacing w:val="-8"/>
          <w:lang w:val="en-GB"/>
        </w:rPr>
        <w:t xml:space="preserve"> </w:t>
      </w:r>
      <w:r w:rsidRPr="00361139">
        <w:rPr>
          <w:lang w:val="en-GB"/>
        </w:rPr>
        <w:t>Activity</w:t>
      </w:r>
      <w:r w:rsidRPr="00361139">
        <w:rPr>
          <w:spacing w:val="-9"/>
          <w:lang w:val="en-GB"/>
        </w:rPr>
        <w:t xml:space="preserve"> </w:t>
      </w:r>
      <w:r w:rsidRPr="00361139">
        <w:rPr>
          <w:spacing w:val="-2"/>
          <w:lang w:val="en-GB"/>
        </w:rPr>
        <w:t>(EA):</w:t>
      </w:r>
      <w:r w:rsidRPr="00361139">
        <w:rPr>
          <w:lang w:val="en-GB"/>
        </w:rPr>
        <w:tab/>
        <w:t>A</w:t>
      </w:r>
      <w:r w:rsidRPr="00361139">
        <w:rPr>
          <w:spacing w:val="-6"/>
          <w:lang w:val="en-GB"/>
        </w:rPr>
        <w:t xml:space="preserve"> </w:t>
      </w:r>
      <w:r w:rsidRPr="00361139">
        <w:rPr>
          <w:lang w:val="en-GB"/>
        </w:rPr>
        <w:t>project</w:t>
      </w:r>
      <w:r w:rsidRPr="00361139">
        <w:rPr>
          <w:spacing w:val="-6"/>
          <w:lang w:val="en-GB"/>
        </w:rPr>
        <w:t xml:space="preserve"> </w:t>
      </w:r>
      <w:r w:rsidRPr="00361139">
        <w:rPr>
          <w:lang w:val="en-GB"/>
        </w:rPr>
        <w:t>for</w:t>
      </w:r>
      <w:r w:rsidRPr="00361139">
        <w:rPr>
          <w:spacing w:val="-7"/>
          <w:lang w:val="en-GB"/>
        </w:rPr>
        <w:t xml:space="preserve"> </w:t>
      </w:r>
      <w:r w:rsidRPr="00361139">
        <w:rPr>
          <w:lang w:val="en-GB"/>
        </w:rPr>
        <w:t>the</w:t>
      </w:r>
      <w:r w:rsidRPr="00361139">
        <w:rPr>
          <w:spacing w:val="-7"/>
          <w:lang w:val="en-GB"/>
        </w:rPr>
        <w:t xml:space="preserve"> </w:t>
      </w:r>
      <w:r w:rsidRPr="00361139">
        <w:rPr>
          <w:lang w:val="en-GB"/>
        </w:rPr>
        <w:t>preparation</w:t>
      </w:r>
      <w:r w:rsidRPr="00361139">
        <w:rPr>
          <w:spacing w:val="-6"/>
          <w:lang w:val="en-GB"/>
        </w:rPr>
        <w:t xml:space="preserve"> </w:t>
      </w:r>
      <w:r w:rsidRPr="00361139">
        <w:rPr>
          <w:lang w:val="en-GB"/>
        </w:rPr>
        <w:t>of</w:t>
      </w:r>
      <w:r w:rsidRPr="00361139">
        <w:rPr>
          <w:spacing w:val="-5"/>
          <w:lang w:val="en-GB"/>
        </w:rPr>
        <w:t xml:space="preserve"> </w:t>
      </w:r>
      <w:r w:rsidRPr="00361139">
        <w:rPr>
          <w:lang w:val="en-GB"/>
        </w:rPr>
        <w:t>a</w:t>
      </w:r>
      <w:r w:rsidRPr="00361139">
        <w:rPr>
          <w:spacing w:val="-4"/>
          <w:lang w:val="en-GB"/>
        </w:rPr>
        <w:t xml:space="preserve"> </w:t>
      </w:r>
      <w:r w:rsidRPr="00361139">
        <w:rPr>
          <w:lang w:val="en-GB"/>
        </w:rPr>
        <w:t>plan,</w:t>
      </w:r>
      <w:r w:rsidRPr="00361139">
        <w:rPr>
          <w:spacing w:val="-5"/>
          <w:lang w:val="en-GB"/>
        </w:rPr>
        <w:t xml:space="preserve"> </w:t>
      </w:r>
      <w:r w:rsidRPr="00361139">
        <w:rPr>
          <w:lang w:val="en-GB"/>
        </w:rPr>
        <w:t>strategy,</w:t>
      </w:r>
      <w:r w:rsidRPr="00361139">
        <w:rPr>
          <w:spacing w:val="-6"/>
          <w:lang w:val="en-GB"/>
        </w:rPr>
        <w:t xml:space="preserve"> </w:t>
      </w:r>
      <w:r w:rsidRPr="00361139">
        <w:rPr>
          <w:lang w:val="en-GB"/>
        </w:rPr>
        <w:t>or</w:t>
      </w:r>
      <w:r w:rsidRPr="00361139">
        <w:rPr>
          <w:spacing w:val="-5"/>
          <w:lang w:val="en-GB"/>
        </w:rPr>
        <w:t xml:space="preserve"> </w:t>
      </w:r>
      <w:r w:rsidRPr="00361139">
        <w:rPr>
          <w:spacing w:val="-2"/>
          <w:lang w:val="en-GB"/>
        </w:rPr>
        <w:t xml:space="preserve">report </w:t>
      </w:r>
      <w:r w:rsidRPr="00361139">
        <w:rPr>
          <w:lang w:val="en-GB"/>
        </w:rPr>
        <w:t>to</w:t>
      </w:r>
      <w:r w:rsidRPr="00361139">
        <w:rPr>
          <w:spacing w:val="-4"/>
          <w:lang w:val="en-GB"/>
        </w:rPr>
        <w:t xml:space="preserve"> </w:t>
      </w:r>
      <w:proofErr w:type="spellStart"/>
      <w:r w:rsidRPr="00361139">
        <w:rPr>
          <w:lang w:val="en-GB"/>
        </w:rPr>
        <w:t>fulfill</w:t>
      </w:r>
      <w:proofErr w:type="spellEnd"/>
      <w:r w:rsidRPr="00361139">
        <w:rPr>
          <w:spacing w:val="-6"/>
          <w:lang w:val="en-GB"/>
        </w:rPr>
        <w:t xml:space="preserve"> </w:t>
      </w:r>
      <w:r w:rsidRPr="00361139">
        <w:rPr>
          <w:lang w:val="en-GB"/>
        </w:rPr>
        <w:t>commitments</w:t>
      </w:r>
      <w:r w:rsidRPr="00361139">
        <w:rPr>
          <w:spacing w:val="-9"/>
          <w:lang w:val="en-GB"/>
        </w:rPr>
        <w:t xml:space="preserve"> </w:t>
      </w:r>
      <w:r w:rsidRPr="00361139">
        <w:rPr>
          <w:lang w:val="en-GB"/>
        </w:rPr>
        <w:t>under</w:t>
      </w:r>
      <w:r w:rsidRPr="00361139">
        <w:rPr>
          <w:spacing w:val="-7"/>
          <w:lang w:val="en-GB"/>
        </w:rPr>
        <w:t xml:space="preserve"> </w:t>
      </w:r>
      <w:r w:rsidRPr="00361139">
        <w:rPr>
          <w:lang w:val="en-GB"/>
        </w:rPr>
        <w:t>a</w:t>
      </w:r>
      <w:r w:rsidRPr="00361139">
        <w:rPr>
          <w:spacing w:val="-6"/>
          <w:lang w:val="en-GB"/>
        </w:rPr>
        <w:t xml:space="preserve"> </w:t>
      </w:r>
      <w:r w:rsidRPr="00361139">
        <w:rPr>
          <w:spacing w:val="-2"/>
          <w:lang w:val="en-GB"/>
        </w:rPr>
        <w:t>convention.</w:t>
      </w:r>
    </w:p>
    <w:p w14:paraId="09A66539" w14:textId="77777777" w:rsidR="00CC73DD" w:rsidRPr="00361139" w:rsidRDefault="00CC73DD" w:rsidP="007E5EED">
      <w:pPr>
        <w:pStyle w:val="NormalNonumber"/>
        <w:tabs>
          <w:tab w:val="clear" w:pos="1247"/>
          <w:tab w:val="clear" w:pos="1871"/>
          <w:tab w:val="clear" w:pos="2495"/>
          <w:tab w:val="clear" w:pos="3119"/>
          <w:tab w:val="clear" w:pos="3742"/>
          <w:tab w:val="clear" w:pos="4366"/>
        </w:tabs>
        <w:ind w:left="4536" w:hanging="2665"/>
        <w:rPr>
          <w:lang w:val="en-GB"/>
        </w:rPr>
      </w:pPr>
      <w:r w:rsidRPr="00361139">
        <w:rPr>
          <w:spacing w:val="-2"/>
          <w:lang w:val="en-GB"/>
        </w:rPr>
        <w:t>Program:</w:t>
      </w:r>
      <w:r w:rsidRPr="00361139">
        <w:rPr>
          <w:lang w:val="en-GB"/>
        </w:rPr>
        <w:tab/>
        <w:t>A</w:t>
      </w:r>
      <w:r w:rsidRPr="00361139">
        <w:rPr>
          <w:spacing w:val="-7"/>
          <w:lang w:val="en-GB"/>
        </w:rPr>
        <w:t xml:space="preserve"> </w:t>
      </w:r>
      <w:r w:rsidRPr="00361139">
        <w:rPr>
          <w:lang w:val="en-GB"/>
        </w:rPr>
        <w:t>longer-term</w:t>
      </w:r>
      <w:r w:rsidRPr="00361139">
        <w:rPr>
          <w:spacing w:val="-5"/>
          <w:lang w:val="en-GB"/>
        </w:rPr>
        <w:t xml:space="preserve"> </w:t>
      </w:r>
      <w:r w:rsidRPr="00361139">
        <w:rPr>
          <w:lang w:val="en-GB"/>
        </w:rPr>
        <w:t>and</w:t>
      </w:r>
      <w:r w:rsidRPr="00361139">
        <w:rPr>
          <w:spacing w:val="-7"/>
          <w:lang w:val="en-GB"/>
        </w:rPr>
        <w:t xml:space="preserve"> </w:t>
      </w:r>
      <w:r w:rsidRPr="00361139">
        <w:rPr>
          <w:lang w:val="en-GB"/>
        </w:rPr>
        <w:t>strategic</w:t>
      </w:r>
      <w:r w:rsidRPr="00361139">
        <w:rPr>
          <w:spacing w:val="-8"/>
          <w:lang w:val="en-GB"/>
        </w:rPr>
        <w:t xml:space="preserve"> </w:t>
      </w:r>
      <w:r w:rsidRPr="00361139">
        <w:rPr>
          <w:lang w:val="en-GB"/>
        </w:rPr>
        <w:t>arrangement</w:t>
      </w:r>
      <w:r w:rsidRPr="00361139">
        <w:rPr>
          <w:spacing w:val="-8"/>
          <w:lang w:val="en-GB"/>
        </w:rPr>
        <w:t xml:space="preserve"> </w:t>
      </w:r>
      <w:r w:rsidRPr="00361139">
        <w:rPr>
          <w:lang w:val="en-GB"/>
        </w:rPr>
        <w:t>of</w:t>
      </w:r>
      <w:r w:rsidRPr="00361139">
        <w:rPr>
          <w:spacing w:val="-4"/>
          <w:lang w:val="en-GB"/>
        </w:rPr>
        <w:t xml:space="preserve"> </w:t>
      </w:r>
      <w:r w:rsidRPr="00361139">
        <w:rPr>
          <w:lang w:val="en-GB"/>
        </w:rPr>
        <w:t>individual</w:t>
      </w:r>
      <w:r w:rsidRPr="00361139">
        <w:rPr>
          <w:spacing w:val="-7"/>
          <w:lang w:val="en-GB"/>
        </w:rPr>
        <w:t xml:space="preserve"> </w:t>
      </w:r>
      <w:r w:rsidRPr="00361139">
        <w:rPr>
          <w:lang w:val="en-GB"/>
        </w:rPr>
        <w:t>yet interlinked projects that aim at achieving large-scale impacts on the global environment.</w:t>
      </w:r>
    </w:p>
    <w:p w14:paraId="4F85DF4C"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 xml:space="preserve">In addition, </w:t>
      </w:r>
      <w:proofErr w:type="gramStart"/>
      <w:r w:rsidRPr="00361139">
        <w:rPr>
          <w:rFonts w:asciiTheme="majorBidi" w:hAnsiTheme="majorBidi" w:cstheme="majorBidi"/>
        </w:rPr>
        <w:t>in light of</w:t>
      </w:r>
      <w:proofErr w:type="gramEnd"/>
      <w:r w:rsidRPr="00361139">
        <w:rPr>
          <w:rFonts w:asciiTheme="majorBidi" w:hAnsiTheme="majorBidi" w:cstheme="majorBidi"/>
        </w:rPr>
        <w:t xml:space="preserve"> the difficult and extraordinary situation due to COVID-19 pandemic, the GEF CEO decided to provide an automatic extension of three months to the business</w:t>
      </w:r>
      <w:r w:rsidRPr="00361139">
        <w:rPr>
          <w:rFonts w:asciiTheme="majorBidi" w:hAnsiTheme="majorBidi" w:cstheme="majorBidi"/>
          <w:spacing w:val="-5"/>
        </w:rPr>
        <w:t xml:space="preserve"> </w:t>
      </w:r>
      <w:r w:rsidRPr="00361139">
        <w:rPr>
          <w:rFonts w:asciiTheme="majorBidi" w:hAnsiTheme="majorBidi" w:cstheme="majorBidi"/>
        </w:rPr>
        <w:t>standard</w:t>
      </w:r>
      <w:r w:rsidRPr="00361139">
        <w:rPr>
          <w:rFonts w:asciiTheme="majorBidi" w:hAnsiTheme="majorBidi" w:cstheme="majorBidi"/>
          <w:spacing w:val="-6"/>
        </w:rPr>
        <w:t xml:space="preserve"> </w:t>
      </w:r>
      <w:r w:rsidRPr="00361139">
        <w:rPr>
          <w:rFonts w:asciiTheme="majorBidi" w:hAnsiTheme="majorBidi" w:cstheme="majorBidi"/>
        </w:rPr>
        <w:t>deadlines</w:t>
      </w:r>
      <w:r w:rsidRPr="00361139">
        <w:rPr>
          <w:rFonts w:asciiTheme="majorBidi" w:hAnsiTheme="majorBidi" w:cstheme="majorBidi"/>
          <w:spacing w:val="-5"/>
        </w:rPr>
        <w:t xml:space="preserve"> </w:t>
      </w:r>
      <w:r w:rsidRPr="00361139">
        <w:rPr>
          <w:rFonts w:asciiTheme="majorBidi" w:hAnsiTheme="majorBidi" w:cstheme="majorBidi"/>
        </w:rPr>
        <w:t>applicable</w:t>
      </w:r>
      <w:r w:rsidRPr="00361139">
        <w:rPr>
          <w:rFonts w:asciiTheme="majorBidi" w:hAnsiTheme="majorBidi" w:cstheme="majorBidi"/>
          <w:spacing w:val="-6"/>
        </w:rPr>
        <w:t xml:space="preserve"> </w:t>
      </w:r>
      <w:r w:rsidRPr="00361139">
        <w:rPr>
          <w:rFonts w:asciiTheme="majorBidi" w:hAnsiTheme="majorBidi" w:cstheme="majorBidi"/>
        </w:rPr>
        <w:t>to</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6"/>
        </w:rPr>
        <w:t xml:space="preserve"> </w:t>
      </w:r>
      <w:r w:rsidRPr="00361139">
        <w:rPr>
          <w:rFonts w:asciiTheme="majorBidi" w:hAnsiTheme="majorBidi" w:cstheme="majorBidi"/>
        </w:rPr>
        <w:t>submission</w:t>
      </w:r>
      <w:r w:rsidRPr="00361139">
        <w:rPr>
          <w:rFonts w:asciiTheme="majorBidi" w:hAnsiTheme="majorBidi" w:cstheme="majorBidi"/>
          <w:spacing w:val="-1"/>
        </w:rPr>
        <w:t xml:space="preserve"> </w:t>
      </w:r>
      <w:r w:rsidRPr="00361139">
        <w:rPr>
          <w:rFonts w:asciiTheme="majorBidi" w:hAnsiTheme="majorBidi" w:cstheme="majorBidi"/>
        </w:rPr>
        <w:t>of</w:t>
      </w:r>
      <w:r w:rsidRPr="00361139">
        <w:rPr>
          <w:rFonts w:asciiTheme="majorBidi" w:hAnsiTheme="majorBidi" w:cstheme="majorBidi"/>
          <w:spacing w:val="-1"/>
        </w:rPr>
        <w:t xml:space="preserve"> </w:t>
      </w:r>
      <w:r w:rsidRPr="00361139">
        <w:rPr>
          <w:rFonts w:asciiTheme="majorBidi" w:hAnsiTheme="majorBidi" w:cstheme="majorBidi"/>
        </w:rPr>
        <w:t>CEO</w:t>
      </w:r>
      <w:r w:rsidRPr="00361139">
        <w:rPr>
          <w:rFonts w:asciiTheme="majorBidi" w:hAnsiTheme="majorBidi" w:cstheme="majorBidi"/>
          <w:spacing w:val="-3"/>
        </w:rPr>
        <w:t xml:space="preserve"> </w:t>
      </w:r>
      <w:r w:rsidRPr="00361139">
        <w:rPr>
          <w:rFonts w:asciiTheme="majorBidi" w:hAnsiTheme="majorBidi" w:cstheme="majorBidi"/>
        </w:rPr>
        <w:t>Endorsements</w:t>
      </w:r>
      <w:r w:rsidRPr="00361139">
        <w:rPr>
          <w:rFonts w:asciiTheme="majorBidi" w:hAnsiTheme="majorBidi" w:cstheme="majorBidi"/>
          <w:spacing w:val="-6"/>
        </w:rPr>
        <w:t xml:space="preserve"> </w:t>
      </w:r>
      <w:r w:rsidRPr="00361139">
        <w:rPr>
          <w:rFonts w:asciiTheme="majorBidi" w:hAnsiTheme="majorBidi" w:cstheme="majorBidi"/>
        </w:rPr>
        <w:t>or</w:t>
      </w:r>
      <w:r w:rsidRPr="00361139">
        <w:rPr>
          <w:rFonts w:asciiTheme="majorBidi" w:hAnsiTheme="majorBidi" w:cstheme="majorBidi"/>
          <w:spacing w:val="-6"/>
        </w:rPr>
        <w:t xml:space="preserve"> </w:t>
      </w:r>
      <w:r w:rsidRPr="00361139">
        <w:rPr>
          <w:rFonts w:asciiTheme="majorBidi" w:hAnsiTheme="majorBidi" w:cstheme="majorBidi"/>
        </w:rPr>
        <w:t>Approvals</w:t>
      </w:r>
      <w:r w:rsidRPr="00361139">
        <w:rPr>
          <w:rFonts w:asciiTheme="majorBidi" w:hAnsiTheme="majorBidi" w:cstheme="majorBidi"/>
          <w:spacing w:val="-5"/>
        </w:rPr>
        <w:t xml:space="preserve"> </w:t>
      </w:r>
      <w:r w:rsidRPr="00361139">
        <w:rPr>
          <w:rFonts w:asciiTheme="majorBidi" w:hAnsiTheme="majorBidi" w:cstheme="majorBidi"/>
        </w:rPr>
        <w:t>on March 21, 2020. On June 1, 2020, this deadline was extended by an additional three months, due to the extraordinary circumstances still posed by the pandemic and its impact on the required work. The extension was six months in total. In addition, a decision was made in the 59</w:t>
      </w:r>
      <w:r w:rsidRPr="00361139">
        <w:rPr>
          <w:rFonts w:asciiTheme="majorBidi" w:hAnsiTheme="majorBidi" w:cstheme="majorBidi"/>
          <w:vertAlign w:val="superscript"/>
        </w:rPr>
        <w:t>th</w:t>
      </w:r>
      <w:r w:rsidRPr="00361139">
        <w:rPr>
          <w:rFonts w:asciiTheme="majorBidi" w:hAnsiTheme="majorBidi" w:cstheme="majorBidi"/>
        </w:rPr>
        <w:t xml:space="preserve"> GEF Council Meeting (December 2020) that the GEF CEO may grant extensions to cancellation deadlines for all project types for a total of up to 24 months, upon request from the OFP (for national projects) or the GEF Agency (for regional/global projects).</w:t>
      </w:r>
    </w:p>
    <w:p w14:paraId="5DD44B29" w14:textId="46B79982" w:rsidR="00CC73DD" w:rsidRPr="00361139" w:rsidRDefault="007E5EED" w:rsidP="007E5EED">
      <w:pPr>
        <w:pStyle w:val="CH2"/>
        <w:rPr>
          <w:lang w:val="en-GB"/>
        </w:rPr>
      </w:pPr>
      <w:bookmarkStart w:id="447" w:name="_Toc138848008"/>
      <w:bookmarkEnd w:id="447"/>
      <w:r w:rsidRPr="00361139">
        <w:rPr>
          <w:lang w:val="en-GB"/>
        </w:rPr>
        <w:tab/>
      </w:r>
      <w:bookmarkStart w:id="448" w:name="_Toc139975497"/>
      <w:bookmarkStart w:id="449" w:name="_Toc139976249"/>
      <w:bookmarkStart w:id="450" w:name="_Toc139982269"/>
      <w:bookmarkStart w:id="451" w:name="_Toc139983981"/>
      <w:bookmarkStart w:id="452" w:name="_Toc139984221"/>
      <w:r w:rsidRPr="00361139">
        <w:rPr>
          <w:lang w:val="en-GB"/>
        </w:rPr>
        <w:t>(e)</w:t>
      </w:r>
      <w:r w:rsidRPr="00361139">
        <w:rPr>
          <w:lang w:val="en-GB"/>
        </w:rPr>
        <w:tab/>
      </w:r>
      <w:r w:rsidR="00CC73DD" w:rsidRPr="00361139">
        <w:rPr>
          <w:lang w:val="en-GB"/>
        </w:rPr>
        <w:t>Adequacy and sustainability of the available resources</w:t>
      </w:r>
      <w:bookmarkEnd w:id="448"/>
      <w:bookmarkEnd w:id="449"/>
      <w:bookmarkEnd w:id="450"/>
      <w:bookmarkEnd w:id="451"/>
      <w:bookmarkEnd w:id="452"/>
    </w:p>
    <w:p w14:paraId="34545AF5"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During GEF-7, $184.1 million of GEF project financing</w:t>
      </w:r>
      <w:r w:rsidRPr="00361139">
        <w:rPr>
          <w:rStyle w:val="FootnoteReference"/>
          <w:rFonts w:asciiTheme="majorBidi" w:hAnsiTheme="majorBidi" w:cstheme="majorBidi"/>
        </w:rPr>
        <w:footnoteReference w:id="76"/>
      </w:r>
      <w:r w:rsidRPr="00361139">
        <w:rPr>
          <w:rFonts w:asciiTheme="majorBidi" w:hAnsiTheme="majorBidi" w:cstheme="majorBidi"/>
        </w:rPr>
        <w:t xml:space="preserve"> was utilized for programming to support</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implementation</w:t>
      </w:r>
      <w:r w:rsidRPr="00361139">
        <w:rPr>
          <w:rFonts w:asciiTheme="majorBidi" w:hAnsiTheme="majorBidi" w:cstheme="majorBidi"/>
          <w:spacing w:val="-5"/>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Minamata</w:t>
      </w:r>
      <w:r w:rsidRPr="00361139">
        <w:rPr>
          <w:rFonts w:asciiTheme="majorBidi" w:hAnsiTheme="majorBidi" w:cstheme="majorBidi"/>
          <w:spacing w:val="-4"/>
        </w:rPr>
        <w:t xml:space="preserve"> </w:t>
      </w:r>
      <w:r w:rsidRPr="00361139">
        <w:rPr>
          <w:rFonts w:asciiTheme="majorBidi" w:hAnsiTheme="majorBidi" w:cstheme="majorBidi"/>
        </w:rPr>
        <w:t>Convention</w:t>
      </w:r>
      <w:r w:rsidRPr="00361139">
        <w:rPr>
          <w:rFonts w:asciiTheme="majorBidi" w:hAnsiTheme="majorBidi" w:cstheme="majorBidi"/>
          <w:spacing w:val="-5"/>
        </w:rPr>
        <w:t xml:space="preserve"> </w:t>
      </w:r>
      <w:r w:rsidRPr="00361139">
        <w:rPr>
          <w:rFonts w:asciiTheme="majorBidi" w:hAnsiTheme="majorBidi" w:cstheme="majorBidi"/>
        </w:rPr>
        <w:t>in</w:t>
      </w:r>
      <w:r w:rsidRPr="00361139">
        <w:rPr>
          <w:rFonts w:asciiTheme="majorBidi" w:hAnsiTheme="majorBidi" w:cstheme="majorBidi"/>
          <w:spacing w:val="-4"/>
        </w:rPr>
        <w:t xml:space="preserve"> </w:t>
      </w:r>
      <w:r w:rsidRPr="00361139">
        <w:rPr>
          <w:rFonts w:asciiTheme="majorBidi" w:hAnsiTheme="majorBidi" w:cstheme="majorBidi"/>
        </w:rPr>
        <w:t>87</w:t>
      </w:r>
      <w:r w:rsidRPr="00361139">
        <w:rPr>
          <w:rFonts w:asciiTheme="majorBidi" w:hAnsiTheme="majorBidi" w:cstheme="majorBidi"/>
          <w:spacing w:val="-4"/>
        </w:rPr>
        <w:t xml:space="preserve"> </w:t>
      </w:r>
      <w:r w:rsidRPr="00361139">
        <w:rPr>
          <w:rFonts w:asciiTheme="majorBidi" w:hAnsiTheme="majorBidi" w:cstheme="majorBidi"/>
        </w:rPr>
        <w:t>countries.</w:t>
      </w:r>
      <w:r w:rsidRPr="00361139">
        <w:rPr>
          <w:rFonts w:asciiTheme="majorBidi" w:hAnsiTheme="majorBidi" w:cstheme="majorBidi"/>
          <w:spacing w:val="-7"/>
        </w:rPr>
        <w:t xml:space="preserve"> </w:t>
      </w:r>
      <w:r w:rsidRPr="00361139">
        <w:rPr>
          <w:rFonts w:asciiTheme="majorBidi" w:hAnsiTheme="majorBidi" w:cstheme="majorBidi"/>
        </w:rPr>
        <w:t>This</w:t>
      </w:r>
      <w:r w:rsidRPr="00361139">
        <w:rPr>
          <w:rFonts w:asciiTheme="majorBidi" w:hAnsiTheme="majorBidi" w:cstheme="majorBidi"/>
          <w:spacing w:val="-4"/>
        </w:rPr>
        <w:t xml:space="preserve"> </w:t>
      </w:r>
      <w:r w:rsidRPr="00361139">
        <w:rPr>
          <w:rFonts w:asciiTheme="majorBidi" w:hAnsiTheme="majorBidi" w:cstheme="majorBidi"/>
        </w:rPr>
        <w:t>includes</w:t>
      </w:r>
      <w:r w:rsidRPr="00361139">
        <w:rPr>
          <w:rFonts w:asciiTheme="majorBidi" w:hAnsiTheme="majorBidi" w:cstheme="majorBidi"/>
          <w:spacing w:val="-4"/>
        </w:rPr>
        <w:t xml:space="preserve"> </w:t>
      </w:r>
      <w:r w:rsidRPr="00361139">
        <w:rPr>
          <w:rFonts w:asciiTheme="majorBidi" w:hAnsiTheme="majorBidi" w:cstheme="majorBidi"/>
        </w:rPr>
        <w:t>27</w:t>
      </w:r>
      <w:r w:rsidRPr="00361139">
        <w:rPr>
          <w:rFonts w:asciiTheme="majorBidi" w:hAnsiTheme="majorBidi" w:cstheme="majorBidi"/>
          <w:spacing w:val="-4"/>
        </w:rPr>
        <w:t xml:space="preserve"> </w:t>
      </w:r>
      <w:r w:rsidRPr="00361139">
        <w:rPr>
          <w:rFonts w:asciiTheme="majorBidi" w:hAnsiTheme="majorBidi" w:cstheme="majorBidi"/>
        </w:rPr>
        <w:t>least developed countries (LDCs) and 35 small island developing States (SIDS).</w:t>
      </w:r>
    </w:p>
    <w:p w14:paraId="23323489"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During</w:t>
      </w:r>
      <w:r w:rsidRPr="00361139">
        <w:rPr>
          <w:rFonts w:asciiTheme="majorBidi" w:hAnsiTheme="majorBidi" w:cstheme="majorBidi"/>
          <w:spacing w:val="-3"/>
        </w:rPr>
        <w:t xml:space="preserve"> </w:t>
      </w:r>
      <w:r w:rsidRPr="00361139">
        <w:rPr>
          <w:rFonts w:asciiTheme="majorBidi" w:hAnsiTheme="majorBidi" w:cstheme="majorBidi"/>
        </w:rPr>
        <w:t>GEF-7,</w:t>
      </w:r>
      <w:r w:rsidRPr="00361139">
        <w:rPr>
          <w:rFonts w:asciiTheme="majorBidi" w:hAnsiTheme="majorBidi" w:cstheme="majorBidi"/>
          <w:spacing w:val="-3"/>
        </w:rPr>
        <w:t xml:space="preserve"> </w:t>
      </w:r>
      <w:r w:rsidRPr="00361139">
        <w:rPr>
          <w:rFonts w:asciiTheme="majorBidi" w:hAnsiTheme="majorBidi" w:cstheme="majorBidi"/>
        </w:rPr>
        <w:t>25</w:t>
      </w:r>
      <w:r w:rsidRPr="00361139">
        <w:rPr>
          <w:rFonts w:asciiTheme="majorBidi" w:hAnsiTheme="majorBidi" w:cstheme="majorBidi"/>
          <w:spacing w:val="-3"/>
        </w:rPr>
        <w:t xml:space="preserve"> </w:t>
      </w:r>
      <w:r w:rsidRPr="00361139">
        <w:rPr>
          <w:rFonts w:asciiTheme="majorBidi" w:hAnsiTheme="majorBidi" w:cstheme="majorBidi"/>
        </w:rPr>
        <w:t>EA</w:t>
      </w:r>
      <w:r w:rsidRPr="00361139">
        <w:rPr>
          <w:rFonts w:asciiTheme="majorBidi" w:hAnsiTheme="majorBidi" w:cstheme="majorBidi"/>
          <w:spacing w:val="-5"/>
        </w:rPr>
        <w:t xml:space="preserve"> </w:t>
      </w:r>
      <w:r w:rsidRPr="00361139">
        <w:rPr>
          <w:rFonts w:asciiTheme="majorBidi" w:hAnsiTheme="majorBidi" w:cstheme="majorBidi"/>
        </w:rPr>
        <w:t>projects</w:t>
      </w:r>
      <w:r w:rsidRPr="00361139">
        <w:rPr>
          <w:rFonts w:asciiTheme="majorBidi" w:hAnsiTheme="majorBidi" w:cstheme="majorBidi"/>
          <w:spacing w:val="-3"/>
        </w:rPr>
        <w:t xml:space="preserve"> </w:t>
      </w:r>
      <w:r w:rsidRPr="00361139">
        <w:rPr>
          <w:rFonts w:asciiTheme="majorBidi" w:hAnsiTheme="majorBidi" w:cstheme="majorBidi"/>
        </w:rPr>
        <w:t>supported</w:t>
      </w:r>
      <w:r w:rsidRPr="00361139">
        <w:rPr>
          <w:rFonts w:asciiTheme="majorBidi" w:hAnsiTheme="majorBidi" w:cstheme="majorBidi"/>
          <w:spacing w:val="-3"/>
        </w:rPr>
        <w:t xml:space="preserve"> </w:t>
      </w:r>
      <w:r w:rsidRPr="00361139">
        <w:rPr>
          <w:rFonts w:asciiTheme="majorBidi" w:hAnsiTheme="majorBidi" w:cstheme="majorBidi"/>
        </w:rPr>
        <w:t>ten</w:t>
      </w:r>
      <w:r w:rsidRPr="00361139">
        <w:rPr>
          <w:rFonts w:asciiTheme="majorBidi" w:hAnsiTheme="majorBidi" w:cstheme="majorBidi"/>
          <w:spacing w:val="-3"/>
        </w:rPr>
        <w:t xml:space="preserve"> </w:t>
      </w:r>
      <w:r w:rsidRPr="00361139">
        <w:rPr>
          <w:rFonts w:asciiTheme="majorBidi" w:hAnsiTheme="majorBidi" w:cstheme="majorBidi"/>
        </w:rPr>
        <w:t>MIAs</w:t>
      </w:r>
      <w:r w:rsidRPr="00361139">
        <w:rPr>
          <w:rFonts w:asciiTheme="majorBidi" w:hAnsiTheme="majorBidi" w:cstheme="majorBidi"/>
          <w:spacing w:val="-6"/>
        </w:rPr>
        <w:t xml:space="preserve"> </w:t>
      </w:r>
      <w:r w:rsidRPr="00361139">
        <w:rPr>
          <w:rFonts w:asciiTheme="majorBidi" w:hAnsiTheme="majorBidi" w:cstheme="majorBidi"/>
        </w:rPr>
        <w:t>and</w:t>
      </w:r>
      <w:r w:rsidRPr="00361139">
        <w:rPr>
          <w:rFonts w:asciiTheme="majorBidi" w:hAnsiTheme="majorBidi" w:cstheme="majorBidi"/>
          <w:spacing w:val="-3"/>
        </w:rPr>
        <w:t xml:space="preserve"> </w:t>
      </w:r>
      <w:r w:rsidRPr="00361139">
        <w:rPr>
          <w:rFonts w:asciiTheme="majorBidi" w:hAnsiTheme="majorBidi" w:cstheme="majorBidi"/>
        </w:rPr>
        <w:t>16</w:t>
      </w:r>
      <w:r w:rsidRPr="00361139">
        <w:rPr>
          <w:rFonts w:asciiTheme="majorBidi" w:hAnsiTheme="majorBidi" w:cstheme="majorBidi"/>
          <w:spacing w:val="-3"/>
        </w:rPr>
        <w:t xml:space="preserve"> </w:t>
      </w:r>
      <w:r w:rsidRPr="00361139">
        <w:rPr>
          <w:rFonts w:asciiTheme="majorBidi" w:hAnsiTheme="majorBidi" w:cstheme="majorBidi"/>
        </w:rPr>
        <w:t>ASGM</w:t>
      </w:r>
      <w:r w:rsidRPr="00361139">
        <w:rPr>
          <w:rFonts w:asciiTheme="majorBidi" w:hAnsiTheme="majorBidi" w:cstheme="majorBidi"/>
          <w:spacing w:val="-3"/>
        </w:rPr>
        <w:t xml:space="preserve"> </w:t>
      </w:r>
      <w:r w:rsidRPr="00361139">
        <w:rPr>
          <w:rFonts w:asciiTheme="majorBidi" w:hAnsiTheme="majorBidi" w:cstheme="majorBidi"/>
        </w:rPr>
        <w:t>NAPs.</w:t>
      </w:r>
      <w:r w:rsidRPr="00361139">
        <w:rPr>
          <w:rFonts w:asciiTheme="majorBidi" w:hAnsiTheme="majorBidi" w:cstheme="majorBidi"/>
          <w:spacing w:val="-6"/>
        </w:rPr>
        <w:t xml:space="preserve"> </w:t>
      </w:r>
      <w:r w:rsidRPr="00361139">
        <w:rPr>
          <w:rFonts w:asciiTheme="majorBidi" w:hAnsiTheme="majorBidi" w:cstheme="majorBidi"/>
        </w:rPr>
        <w:t>Three</w:t>
      </w:r>
      <w:r w:rsidRPr="00361139">
        <w:rPr>
          <w:rFonts w:asciiTheme="majorBidi" w:hAnsiTheme="majorBidi" w:cstheme="majorBidi"/>
          <w:spacing w:val="-3"/>
        </w:rPr>
        <w:t xml:space="preserve"> </w:t>
      </w:r>
      <w:r w:rsidRPr="00361139">
        <w:rPr>
          <w:rFonts w:asciiTheme="majorBidi" w:hAnsiTheme="majorBidi" w:cstheme="majorBidi"/>
        </w:rPr>
        <w:t>countries were non-Parties</w:t>
      </w:r>
      <w:r w:rsidRPr="00361139">
        <w:rPr>
          <w:rFonts w:asciiTheme="majorBidi" w:hAnsiTheme="majorBidi" w:cstheme="majorBidi"/>
          <w:spacing w:val="-1"/>
        </w:rPr>
        <w:t xml:space="preserve"> </w:t>
      </w:r>
      <w:r w:rsidRPr="00361139">
        <w:rPr>
          <w:rFonts w:asciiTheme="majorBidi" w:hAnsiTheme="majorBidi" w:cstheme="majorBidi"/>
        </w:rPr>
        <w:t>at the time of approval</w:t>
      </w:r>
      <w:r w:rsidRPr="00361139">
        <w:rPr>
          <w:rFonts w:asciiTheme="majorBidi" w:hAnsiTheme="majorBidi" w:cstheme="majorBidi"/>
          <w:spacing w:val="-1"/>
        </w:rPr>
        <w:t xml:space="preserve"> </w:t>
      </w:r>
      <w:r w:rsidRPr="00361139">
        <w:rPr>
          <w:rFonts w:asciiTheme="majorBidi" w:hAnsiTheme="majorBidi" w:cstheme="majorBidi"/>
        </w:rPr>
        <w:t>of GEF EA, among</w:t>
      </w:r>
      <w:r w:rsidRPr="00361139">
        <w:rPr>
          <w:rFonts w:asciiTheme="majorBidi" w:hAnsiTheme="majorBidi" w:cstheme="majorBidi"/>
          <w:spacing w:val="-1"/>
        </w:rPr>
        <w:t xml:space="preserve"> </w:t>
      </w:r>
      <w:r w:rsidRPr="00361139">
        <w:rPr>
          <w:rFonts w:asciiTheme="majorBidi" w:hAnsiTheme="majorBidi" w:cstheme="majorBidi"/>
        </w:rPr>
        <w:t>one has since</w:t>
      </w:r>
      <w:r w:rsidRPr="00361139">
        <w:rPr>
          <w:rFonts w:asciiTheme="majorBidi" w:hAnsiTheme="majorBidi" w:cstheme="majorBidi"/>
          <w:spacing w:val="-2"/>
        </w:rPr>
        <w:t xml:space="preserve"> </w:t>
      </w:r>
      <w:r w:rsidRPr="00361139">
        <w:rPr>
          <w:rFonts w:asciiTheme="majorBidi" w:hAnsiTheme="majorBidi" w:cstheme="majorBidi"/>
        </w:rPr>
        <w:t xml:space="preserve">become Party. This brought the total number of countries receiving GEF support for MIAs as at June 30, </w:t>
      </w:r>
      <w:proofErr w:type="gramStart"/>
      <w:r w:rsidRPr="00361139">
        <w:rPr>
          <w:rFonts w:asciiTheme="majorBidi" w:hAnsiTheme="majorBidi" w:cstheme="majorBidi"/>
        </w:rPr>
        <w:t>2022</w:t>
      </w:r>
      <w:proofErr w:type="gramEnd"/>
      <w:r w:rsidRPr="00361139">
        <w:rPr>
          <w:rFonts w:asciiTheme="majorBidi" w:hAnsiTheme="majorBidi" w:cstheme="majorBidi"/>
        </w:rPr>
        <w:t xml:space="preserve"> to 121 and ASGM NAPs to 48.</w:t>
      </w:r>
    </w:p>
    <w:p w14:paraId="581622D7" w14:textId="77777777" w:rsidR="00CC73DD" w:rsidRPr="00361139" w:rsidRDefault="00CC73DD" w:rsidP="000C76AC">
      <w:pPr>
        <w:pStyle w:val="ListParagraph"/>
        <w:numPr>
          <w:ilvl w:val="0"/>
          <w:numId w:val="8"/>
        </w:numPr>
        <w:tabs>
          <w:tab w:val="clear" w:pos="1247"/>
          <w:tab w:val="clear" w:pos="1814"/>
          <w:tab w:val="clear" w:pos="2381"/>
          <w:tab w:val="clear" w:pos="2948"/>
          <w:tab w:val="clear" w:pos="3515"/>
        </w:tabs>
        <w:spacing w:after="120"/>
        <w:ind w:left="1247" w:firstLine="0"/>
        <w:contextualSpacing w:val="0"/>
      </w:pPr>
      <w:r w:rsidRPr="00361139">
        <w:t xml:space="preserve">The implementation of the </w:t>
      </w:r>
      <w:r w:rsidRPr="00361139">
        <w:rPr>
          <w:spacing w:val="-5"/>
        </w:rPr>
        <w:t>Minamata</w:t>
      </w:r>
      <w:r w:rsidRPr="00361139">
        <w:t xml:space="preserve"> Convention is funded under the GEF’s chemicals and waste focal area, and there are </w:t>
      </w:r>
      <w:r w:rsidRPr="00361139">
        <w:rPr>
          <w:rFonts w:asciiTheme="majorBidi" w:hAnsiTheme="majorBidi" w:cstheme="majorBidi"/>
        </w:rPr>
        <w:t>several</w:t>
      </w:r>
      <w:r w:rsidRPr="00361139">
        <w:t xml:space="preserve"> projects that combine resources for the implementation</w:t>
      </w:r>
      <w:r w:rsidRPr="00361139">
        <w:rPr>
          <w:spacing w:val="-1"/>
        </w:rPr>
        <w:t xml:space="preserve"> </w:t>
      </w:r>
      <w:r w:rsidRPr="00361139">
        <w:t>of</w:t>
      </w:r>
      <w:r w:rsidRPr="00361139">
        <w:rPr>
          <w:spacing w:val="-5"/>
        </w:rPr>
        <w:t xml:space="preserve"> </w:t>
      </w:r>
      <w:r w:rsidRPr="00361139">
        <w:t>the</w:t>
      </w:r>
      <w:r w:rsidRPr="00361139">
        <w:rPr>
          <w:spacing w:val="-5"/>
        </w:rPr>
        <w:t xml:space="preserve"> </w:t>
      </w:r>
      <w:r w:rsidRPr="00361139">
        <w:t>Stockholm</w:t>
      </w:r>
      <w:r w:rsidRPr="00361139">
        <w:rPr>
          <w:spacing w:val="-2"/>
        </w:rPr>
        <w:t xml:space="preserve"> </w:t>
      </w:r>
      <w:r w:rsidRPr="00361139">
        <w:t>Convention</w:t>
      </w:r>
      <w:r w:rsidRPr="00361139">
        <w:rPr>
          <w:spacing w:val="-6"/>
        </w:rPr>
        <w:t xml:space="preserve"> </w:t>
      </w:r>
      <w:r w:rsidRPr="00361139">
        <w:t>on</w:t>
      </w:r>
      <w:r w:rsidRPr="00361139">
        <w:rPr>
          <w:spacing w:val="-3"/>
        </w:rPr>
        <w:t xml:space="preserve"> </w:t>
      </w:r>
      <w:r w:rsidRPr="00361139">
        <w:t>Persistent</w:t>
      </w:r>
      <w:r w:rsidRPr="00361139">
        <w:rPr>
          <w:spacing w:val="-5"/>
        </w:rPr>
        <w:t xml:space="preserve"> </w:t>
      </w:r>
      <w:r w:rsidRPr="00361139">
        <w:t>Organic</w:t>
      </w:r>
      <w:r w:rsidRPr="00361139">
        <w:rPr>
          <w:spacing w:val="-6"/>
        </w:rPr>
        <w:t xml:space="preserve"> </w:t>
      </w:r>
      <w:r w:rsidRPr="00361139">
        <w:t>Pollutants</w:t>
      </w:r>
      <w:r w:rsidRPr="00361139">
        <w:rPr>
          <w:spacing w:val="-6"/>
        </w:rPr>
        <w:t xml:space="preserve"> </w:t>
      </w:r>
      <w:r w:rsidRPr="00361139">
        <w:t>(POPs)</w:t>
      </w:r>
      <w:r w:rsidRPr="00361139">
        <w:rPr>
          <w:spacing w:val="-6"/>
        </w:rPr>
        <w:t xml:space="preserve"> </w:t>
      </w:r>
      <w:r w:rsidRPr="00361139">
        <w:t>and</w:t>
      </w:r>
      <w:r w:rsidRPr="00361139">
        <w:rPr>
          <w:spacing w:val="-6"/>
        </w:rPr>
        <w:t xml:space="preserve"> </w:t>
      </w:r>
      <w:r w:rsidRPr="00361139">
        <w:t>other focal</w:t>
      </w:r>
      <w:r w:rsidRPr="00361139">
        <w:rPr>
          <w:spacing w:val="-2"/>
        </w:rPr>
        <w:t xml:space="preserve"> </w:t>
      </w:r>
      <w:r w:rsidRPr="00361139">
        <w:t>areas</w:t>
      </w:r>
      <w:r w:rsidRPr="00361139">
        <w:rPr>
          <w:spacing w:val="-2"/>
        </w:rPr>
        <w:t xml:space="preserve"> </w:t>
      </w:r>
      <w:r w:rsidRPr="00361139">
        <w:t>with</w:t>
      </w:r>
      <w:r w:rsidRPr="00361139">
        <w:rPr>
          <w:spacing w:val="-3"/>
        </w:rPr>
        <w:t xml:space="preserve"> </w:t>
      </w:r>
      <w:r w:rsidRPr="00361139">
        <w:t>mercury</w:t>
      </w:r>
      <w:r w:rsidRPr="00361139">
        <w:rPr>
          <w:spacing w:val="-2"/>
        </w:rPr>
        <w:t xml:space="preserve"> </w:t>
      </w:r>
      <w:r w:rsidRPr="00361139">
        <w:t>resources.</w:t>
      </w:r>
      <w:r w:rsidRPr="00361139">
        <w:rPr>
          <w:spacing w:val="-2"/>
        </w:rPr>
        <w:t xml:space="preserve"> </w:t>
      </w:r>
      <w:r w:rsidRPr="00361139">
        <w:t>In</w:t>
      </w:r>
      <w:r w:rsidRPr="00361139">
        <w:rPr>
          <w:spacing w:val="-3"/>
        </w:rPr>
        <w:t xml:space="preserve"> </w:t>
      </w:r>
      <w:r w:rsidRPr="00361139">
        <w:t>this</w:t>
      </w:r>
      <w:r w:rsidRPr="00361139">
        <w:rPr>
          <w:spacing w:val="-3"/>
        </w:rPr>
        <w:t xml:space="preserve"> </w:t>
      </w:r>
      <w:r w:rsidRPr="00361139">
        <w:t>regard, the</w:t>
      </w:r>
      <w:r w:rsidRPr="00361139">
        <w:rPr>
          <w:spacing w:val="-2"/>
        </w:rPr>
        <w:t xml:space="preserve"> </w:t>
      </w:r>
      <w:r w:rsidRPr="00361139">
        <w:t>co-financing</w:t>
      </w:r>
      <w:r w:rsidRPr="00361139">
        <w:rPr>
          <w:spacing w:val="-3"/>
        </w:rPr>
        <w:t xml:space="preserve"> </w:t>
      </w:r>
      <w:r w:rsidRPr="00361139">
        <w:t>ratio</w:t>
      </w:r>
      <w:r w:rsidRPr="00361139">
        <w:rPr>
          <w:spacing w:val="-3"/>
        </w:rPr>
        <w:t xml:space="preserve"> </w:t>
      </w:r>
      <w:r w:rsidRPr="00361139">
        <w:t>in</w:t>
      </w:r>
      <w:r w:rsidRPr="00361139">
        <w:rPr>
          <w:spacing w:val="-3"/>
        </w:rPr>
        <w:t xml:space="preserve"> </w:t>
      </w:r>
      <w:r w:rsidRPr="00361139">
        <w:t>combined</w:t>
      </w:r>
      <w:r w:rsidRPr="00361139">
        <w:rPr>
          <w:spacing w:val="-3"/>
        </w:rPr>
        <w:t xml:space="preserve"> </w:t>
      </w:r>
      <w:r w:rsidRPr="00361139">
        <w:t>projects is not</w:t>
      </w:r>
      <w:r w:rsidRPr="00361139">
        <w:rPr>
          <w:spacing w:val="-5"/>
        </w:rPr>
        <w:t xml:space="preserve"> </w:t>
      </w:r>
      <w:r w:rsidRPr="00361139">
        <w:t>calculated</w:t>
      </w:r>
      <w:r w:rsidRPr="00361139">
        <w:rPr>
          <w:spacing w:val="-2"/>
        </w:rPr>
        <w:t xml:space="preserve"> </w:t>
      </w:r>
      <w:r w:rsidRPr="00361139">
        <w:t>for</w:t>
      </w:r>
      <w:r w:rsidRPr="00361139">
        <w:rPr>
          <w:spacing w:val="-2"/>
        </w:rPr>
        <w:t xml:space="preserve"> </w:t>
      </w:r>
      <w:r w:rsidRPr="00361139">
        <w:t>mercury</w:t>
      </w:r>
      <w:r w:rsidRPr="00361139">
        <w:rPr>
          <w:spacing w:val="-4"/>
        </w:rPr>
        <w:t xml:space="preserve"> </w:t>
      </w:r>
      <w:r w:rsidRPr="00361139">
        <w:t>alone.</w:t>
      </w:r>
      <w:r w:rsidRPr="00361139">
        <w:rPr>
          <w:spacing w:val="-7"/>
        </w:rPr>
        <w:t xml:space="preserve"> </w:t>
      </w:r>
      <w:r w:rsidRPr="00361139">
        <w:t>During</w:t>
      </w:r>
      <w:r w:rsidRPr="00361139">
        <w:rPr>
          <w:spacing w:val="-5"/>
        </w:rPr>
        <w:t xml:space="preserve"> </w:t>
      </w:r>
      <w:r w:rsidRPr="00361139">
        <w:t>GEF-7</w:t>
      </w:r>
      <w:r w:rsidRPr="00361139">
        <w:rPr>
          <w:spacing w:val="-5"/>
        </w:rPr>
        <w:t xml:space="preserve"> </w:t>
      </w:r>
      <w:r w:rsidRPr="00361139">
        <w:t>period,</w:t>
      </w:r>
      <w:r w:rsidRPr="00361139">
        <w:rPr>
          <w:spacing w:val="-6"/>
        </w:rPr>
        <w:t xml:space="preserve"> </w:t>
      </w:r>
      <w:r w:rsidRPr="00361139">
        <w:t>the</w:t>
      </w:r>
      <w:r w:rsidRPr="00361139">
        <w:rPr>
          <w:spacing w:val="-1"/>
        </w:rPr>
        <w:t xml:space="preserve"> </w:t>
      </w:r>
      <w:r w:rsidRPr="00361139">
        <w:t>overall</w:t>
      </w:r>
      <w:r w:rsidRPr="00361139">
        <w:rPr>
          <w:spacing w:val="-4"/>
        </w:rPr>
        <w:t xml:space="preserve"> </w:t>
      </w:r>
      <w:r w:rsidRPr="00361139">
        <w:t>average</w:t>
      </w:r>
      <w:r w:rsidRPr="00361139">
        <w:rPr>
          <w:spacing w:val="-4"/>
        </w:rPr>
        <w:t xml:space="preserve"> </w:t>
      </w:r>
      <w:r w:rsidRPr="00361139">
        <w:t>co-financing</w:t>
      </w:r>
      <w:r w:rsidRPr="00361139">
        <w:rPr>
          <w:spacing w:val="-1"/>
        </w:rPr>
        <w:t xml:space="preserve"> </w:t>
      </w:r>
      <w:r w:rsidRPr="00361139">
        <w:t>ratio</w:t>
      </w:r>
      <w:r w:rsidRPr="00361139">
        <w:rPr>
          <w:spacing w:val="-5"/>
        </w:rPr>
        <w:t xml:space="preserve"> </w:t>
      </w:r>
      <w:r w:rsidRPr="00361139">
        <w:t>for projects that included resources for the implementation of the Minamata Convention was 1 to 7.</w:t>
      </w:r>
      <w:r w:rsidRPr="00361139">
        <w:rPr>
          <w:rStyle w:val="FootnoteReference"/>
          <w:rFonts w:asciiTheme="majorBidi" w:hAnsiTheme="majorBidi" w:cstheme="majorBidi"/>
        </w:rPr>
        <w:footnoteReference w:id="77"/>
      </w:r>
      <w:r w:rsidRPr="00361139">
        <w:rPr>
          <w:spacing w:val="30"/>
          <w:position w:val="8"/>
        </w:rPr>
        <w:t xml:space="preserve"> </w:t>
      </w:r>
      <w:r w:rsidRPr="00361139">
        <w:t>This indicates that projects and programs approved in GEF-7 have promoted multiple- source</w:t>
      </w:r>
      <w:r w:rsidRPr="00361139">
        <w:rPr>
          <w:spacing w:val="-5"/>
        </w:rPr>
        <w:t xml:space="preserve"> </w:t>
      </w:r>
      <w:r w:rsidRPr="00361139">
        <w:t>funding</w:t>
      </w:r>
      <w:r w:rsidRPr="00361139">
        <w:rPr>
          <w:spacing w:val="-6"/>
        </w:rPr>
        <w:t xml:space="preserve"> </w:t>
      </w:r>
      <w:r w:rsidRPr="00361139">
        <w:t>approaches,</w:t>
      </w:r>
      <w:r w:rsidRPr="00361139">
        <w:rPr>
          <w:spacing w:val="-5"/>
        </w:rPr>
        <w:t xml:space="preserve"> </w:t>
      </w:r>
      <w:r w:rsidRPr="00361139">
        <w:t>including</w:t>
      </w:r>
      <w:r w:rsidRPr="00361139">
        <w:rPr>
          <w:spacing w:val="-5"/>
        </w:rPr>
        <w:t xml:space="preserve"> </w:t>
      </w:r>
      <w:r w:rsidRPr="00361139">
        <w:t>more</w:t>
      </w:r>
      <w:r w:rsidRPr="00361139">
        <w:rPr>
          <w:spacing w:val="-5"/>
        </w:rPr>
        <w:t xml:space="preserve"> </w:t>
      </w:r>
      <w:r w:rsidRPr="00361139">
        <w:t>than</w:t>
      </w:r>
      <w:r w:rsidRPr="00361139">
        <w:rPr>
          <w:spacing w:val="-6"/>
        </w:rPr>
        <w:t xml:space="preserve"> </w:t>
      </w:r>
      <w:r w:rsidRPr="00361139">
        <w:t>$640</w:t>
      </w:r>
      <w:r w:rsidRPr="00361139">
        <w:rPr>
          <w:spacing w:val="-5"/>
        </w:rPr>
        <w:t xml:space="preserve"> </w:t>
      </w:r>
      <w:r w:rsidRPr="00361139">
        <w:t>million</w:t>
      </w:r>
      <w:r w:rsidRPr="00361139">
        <w:rPr>
          <w:spacing w:val="-1"/>
        </w:rPr>
        <w:t xml:space="preserve"> </w:t>
      </w:r>
      <w:r w:rsidRPr="00361139">
        <w:t>of</w:t>
      </w:r>
      <w:r w:rsidRPr="00361139">
        <w:rPr>
          <w:spacing w:val="-1"/>
        </w:rPr>
        <w:t xml:space="preserve"> </w:t>
      </w:r>
      <w:r w:rsidRPr="00361139">
        <w:t>co-finance</w:t>
      </w:r>
      <w:r w:rsidRPr="00361139">
        <w:rPr>
          <w:spacing w:val="-5"/>
        </w:rPr>
        <w:t xml:space="preserve"> </w:t>
      </w:r>
      <w:r w:rsidRPr="00361139">
        <w:t>from</w:t>
      </w:r>
      <w:r w:rsidRPr="00361139">
        <w:rPr>
          <w:spacing w:val="-5"/>
        </w:rPr>
        <w:t xml:space="preserve"> </w:t>
      </w:r>
      <w:r w:rsidRPr="00361139">
        <w:t>private</w:t>
      </w:r>
      <w:r w:rsidRPr="00361139">
        <w:rPr>
          <w:spacing w:val="-5"/>
        </w:rPr>
        <w:t xml:space="preserve"> </w:t>
      </w:r>
      <w:r w:rsidRPr="00361139">
        <w:t>sector.</w:t>
      </w:r>
    </w:p>
    <w:p w14:paraId="64437F59" w14:textId="77777777" w:rsidR="00CC73DD" w:rsidRPr="00361139" w:rsidRDefault="00CC73DD" w:rsidP="000C76AC">
      <w:pPr>
        <w:pStyle w:val="ListParagraph"/>
        <w:numPr>
          <w:ilvl w:val="0"/>
          <w:numId w:val="8"/>
        </w:numPr>
        <w:tabs>
          <w:tab w:val="clear" w:pos="1247"/>
          <w:tab w:val="clear" w:pos="1814"/>
          <w:tab w:val="clear" w:pos="2381"/>
          <w:tab w:val="clear" w:pos="2948"/>
          <w:tab w:val="clear" w:pos="3515"/>
        </w:tabs>
        <w:spacing w:after="120"/>
        <w:ind w:left="1247" w:firstLine="0"/>
        <w:contextualSpacing w:val="0"/>
        <w:rPr>
          <w:rFonts w:asciiTheme="majorBidi" w:hAnsiTheme="majorBidi" w:cstheme="majorBidi"/>
        </w:rPr>
      </w:pPr>
      <w:r w:rsidRPr="00361139">
        <w:rPr>
          <w:rFonts w:asciiTheme="majorBidi" w:hAnsiTheme="majorBidi" w:cstheme="majorBidi"/>
        </w:rPr>
        <w:t xml:space="preserve">The projects and programs approved in GEF-7 have not only attracted substantial financial resources from the private sector, but have also promoted active involvement in the project implementation as exemplified by initiatives such as the GEF Gold partnership </w:t>
      </w:r>
      <w:proofErr w:type="spellStart"/>
      <w:r w:rsidRPr="00361139">
        <w:rPr>
          <w:rFonts w:asciiTheme="majorBidi" w:hAnsiTheme="majorBidi" w:cstheme="majorBidi"/>
        </w:rPr>
        <w:t>planetGOLD</w:t>
      </w:r>
      <w:proofErr w:type="spellEnd"/>
      <w:r w:rsidRPr="00361139">
        <w:rPr>
          <w:rFonts w:asciiTheme="majorBidi" w:hAnsiTheme="majorBidi" w:cstheme="majorBidi"/>
        </w:rPr>
        <w:t xml:space="preserve"> of the Global Opportunities for Long-term Development of artisanal and small- scale</w:t>
      </w:r>
      <w:r w:rsidRPr="00361139">
        <w:rPr>
          <w:rFonts w:asciiTheme="majorBidi" w:hAnsiTheme="majorBidi" w:cstheme="majorBidi"/>
          <w:spacing w:val="-4"/>
        </w:rPr>
        <w:t xml:space="preserve"> </w:t>
      </w:r>
      <w:r w:rsidRPr="00361139">
        <w:rPr>
          <w:rFonts w:asciiTheme="majorBidi" w:hAnsiTheme="majorBidi" w:cstheme="majorBidi"/>
        </w:rPr>
        <w:t>gold</w:t>
      </w:r>
      <w:r w:rsidRPr="00361139">
        <w:rPr>
          <w:rFonts w:asciiTheme="majorBidi" w:hAnsiTheme="majorBidi" w:cstheme="majorBidi"/>
          <w:spacing w:val="-5"/>
        </w:rPr>
        <w:t xml:space="preserve"> </w:t>
      </w:r>
      <w:r w:rsidRPr="00361139">
        <w:rPr>
          <w:rFonts w:asciiTheme="majorBidi" w:hAnsiTheme="majorBidi" w:cstheme="majorBidi"/>
        </w:rPr>
        <w:t>mining</w:t>
      </w:r>
      <w:r w:rsidRPr="00361139">
        <w:rPr>
          <w:rFonts w:asciiTheme="majorBidi" w:hAnsiTheme="majorBidi" w:cstheme="majorBidi"/>
          <w:spacing w:val="-4"/>
        </w:rPr>
        <w:t xml:space="preserve"> </w:t>
      </w:r>
      <w:r w:rsidRPr="00361139">
        <w:rPr>
          <w:rFonts w:asciiTheme="majorBidi" w:hAnsiTheme="majorBidi" w:cstheme="majorBidi"/>
        </w:rPr>
        <w:t>(ASGM)</w:t>
      </w:r>
      <w:r w:rsidRPr="00361139">
        <w:rPr>
          <w:rFonts w:asciiTheme="majorBidi" w:hAnsiTheme="majorBidi" w:cstheme="majorBidi"/>
          <w:spacing w:val="-4"/>
        </w:rPr>
        <w:t xml:space="preserve"> </w:t>
      </w:r>
      <w:r w:rsidRPr="00361139">
        <w:rPr>
          <w:rFonts w:asciiTheme="majorBidi" w:hAnsiTheme="majorBidi" w:cstheme="majorBidi"/>
        </w:rPr>
        <w:t>Sector</w:t>
      </w:r>
      <w:r w:rsidRPr="00361139">
        <w:rPr>
          <w:rFonts w:asciiTheme="majorBidi" w:hAnsiTheme="majorBidi" w:cstheme="majorBidi"/>
          <w:spacing w:val="-5"/>
        </w:rPr>
        <w:t xml:space="preserve"> </w:t>
      </w:r>
      <w:r w:rsidRPr="00361139">
        <w:rPr>
          <w:rFonts w:asciiTheme="majorBidi" w:hAnsiTheme="majorBidi" w:cstheme="majorBidi"/>
        </w:rPr>
        <w:t>Plus</w:t>
      </w:r>
      <w:r w:rsidRPr="00361139">
        <w:rPr>
          <w:rFonts w:asciiTheme="majorBidi" w:hAnsiTheme="majorBidi" w:cstheme="majorBidi"/>
          <w:spacing w:val="-1"/>
        </w:rPr>
        <w:t xml:space="preserve"> </w:t>
      </w:r>
      <w:r w:rsidRPr="00361139">
        <w:rPr>
          <w:rFonts w:asciiTheme="majorBidi" w:hAnsiTheme="majorBidi" w:cstheme="majorBidi"/>
        </w:rPr>
        <w:t>(GOLD+)</w:t>
      </w:r>
      <w:r w:rsidRPr="00361139">
        <w:rPr>
          <w:rFonts w:asciiTheme="majorBidi" w:hAnsiTheme="majorBidi" w:cstheme="majorBidi"/>
          <w:spacing w:val="-6"/>
        </w:rPr>
        <w:t xml:space="preserve"> </w:t>
      </w:r>
      <w:r w:rsidRPr="00361139">
        <w:rPr>
          <w:rFonts w:asciiTheme="majorBidi" w:hAnsiTheme="majorBidi" w:cstheme="majorBidi"/>
        </w:rPr>
        <w:t>program</w:t>
      </w:r>
      <w:r w:rsidRPr="00361139">
        <w:rPr>
          <w:rFonts w:asciiTheme="majorBidi" w:hAnsiTheme="majorBidi" w:cstheme="majorBidi"/>
          <w:spacing w:val="-4"/>
        </w:rPr>
        <w:t xml:space="preserve"> </w:t>
      </w:r>
      <w:r w:rsidRPr="00361139">
        <w:rPr>
          <w:rFonts w:asciiTheme="majorBidi" w:hAnsiTheme="majorBidi" w:cstheme="majorBidi"/>
        </w:rPr>
        <w:t>which</w:t>
      </w:r>
      <w:r w:rsidRPr="00361139">
        <w:rPr>
          <w:rFonts w:asciiTheme="majorBidi" w:hAnsiTheme="majorBidi" w:cstheme="majorBidi"/>
          <w:spacing w:val="-5"/>
        </w:rPr>
        <w:t xml:space="preserve"> </w:t>
      </w:r>
      <w:r w:rsidRPr="00361139">
        <w:rPr>
          <w:rFonts w:asciiTheme="majorBidi" w:hAnsiTheme="majorBidi" w:cstheme="majorBidi"/>
        </w:rPr>
        <w:t>aims</w:t>
      </w:r>
      <w:r w:rsidRPr="00361139">
        <w:rPr>
          <w:rFonts w:asciiTheme="majorBidi" w:hAnsiTheme="majorBidi" w:cstheme="majorBidi"/>
          <w:spacing w:val="-4"/>
        </w:rPr>
        <w:t xml:space="preserve"> </w:t>
      </w:r>
      <w:r w:rsidRPr="00361139">
        <w:rPr>
          <w:rFonts w:asciiTheme="majorBidi" w:hAnsiTheme="majorBidi" w:cstheme="majorBidi"/>
        </w:rPr>
        <w:t>at</w:t>
      </w:r>
      <w:r w:rsidRPr="00361139">
        <w:rPr>
          <w:rFonts w:asciiTheme="majorBidi" w:hAnsiTheme="majorBidi" w:cstheme="majorBidi"/>
          <w:spacing w:val="-5"/>
        </w:rPr>
        <w:t xml:space="preserve"> </w:t>
      </w:r>
      <w:r w:rsidRPr="00361139">
        <w:rPr>
          <w:rFonts w:asciiTheme="majorBidi" w:hAnsiTheme="majorBidi" w:cstheme="majorBidi"/>
        </w:rPr>
        <w:t>taking</w:t>
      </w:r>
      <w:r w:rsidRPr="00361139">
        <w:rPr>
          <w:rFonts w:asciiTheme="majorBidi" w:hAnsiTheme="majorBidi" w:cstheme="majorBidi"/>
          <w:spacing w:val="-4"/>
        </w:rPr>
        <w:t xml:space="preserve"> </w:t>
      </w:r>
      <w:r w:rsidRPr="00361139">
        <w:rPr>
          <w:rFonts w:asciiTheme="majorBidi" w:hAnsiTheme="majorBidi" w:cstheme="majorBidi"/>
        </w:rPr>
        <w:t>mercury</w:t>
      </w:r>
      <w:r w:rsidRPr="00361139">
        <w:rPr>
          <w:rFonts w:asciiTheme="majorBidi" w:hAnsiTheme="majorBidi" w:cstheme="majorBidi"/>
          <w:spacing w:val="-4"/>
        </w:rPr>
        <w:t xml:space="preserve"> </w:t>
      </w:r>
      <w:r w:rsidRPr="00361139">
        <w:rPr>
          <w:rFonts w:asciiTheme="majorBidi" w:hAnsiTheme="majorBidi" w:cstheme="majorBidi"/>
        </w:rPr>
        <w:t>out</w:t>
      </w:r>
      <w:r w:rsidRPr="00361139">
        <w:rPr>
          <w:rFonts w:asciiTheme="majorBidi" w:hAnsiTheme="majorBidi" w:cstheme="majorBidi"/>
          <w:spacing w:val="-4"/>
        </w:rPr>
        <w:t xml:space="preserve"> </w:t>
      </w:r>
      <w:r w:rsidRPr="00361139">
        <w:rPr>
          <w:rFonts w:asciiTheme="majorBidi" w:hAnsiTheme="majorBidi" w:cstheme="majorBidi"/>
        </w:rPr>
        <w:t>of</w:t>
      </w:r>
      <w:r w:rsidRPr="00361139">
        <w:rPr>
          <w:rFonts w:asciiTheme="majorBidi" w:hAnsiTheme="majorBidi" w:cstheme="majorBidi"/>
          <w:spacing w:val="-4"/>
        </w:rPr>
        <w:t xml:space="preserve"> </w:t>
      </w:r>
      <w:r w:rsidRPr="00361139">
        <w:rPr>
          <w:rFonts w:asciiTheme="majorBidi" w:hAnsiTheme="majorBidi" w:cstheme="majorBidi"/>
        </w:rPr>
        <w:t>the supply chain to build a bridge between suppliers and corporate consumers of gold.</w:t>
      </w:r>
    </w:p>
    <w:p w14:paraId="0C797318" w14:textId="14B67B95" w:rsidR="00CC73DD" w:rsidRPr="00361139" w:rsidRDefault="007E5EED" w:rsidP="007E5EED">
      <w:pPr>
        <w:pStyle w:val="CH2"/>
        <w:rPr>
          <w:lang w:val="en-GB"/>
        </w:rPr>
      </w:pPr>
      <w:bookmarkStart w:id="453" w:name="_Toc138848010"/>
      <w:bookmarkStart w:id="454" w:name="_Toc138848011"/>
      <w:bookmarkStart w:id="455" w:name="_Toc138848012"/>
      <w:bookmarkStart w:id="456" w:name="_Toc138848013"/>
      <w:bookmarkStart w:id="457" w:name="_Toc138848014"/>
      <w:bookmarkStart w:id="458" w:name="_Toc138848015"/>
      <w:bookmarkEnd w:id="453"/>
      <w:bookmarkEnd w:id="454"/>
      <w:bookmarkEnd w:id="455"/>
      <w:bookmarkEnd w:id="456"/>
      <w:bookmarkEnd w:id="457"/>
      <w:bookmarkEnd w:id="458"/>
      <w:r w:rsidRPr="00361139">
        <w:rPr>
          <w:lang w:val="en-GB"/>
        </w:rPr>
        <w:tab/>
      </w:r>
      <w:bookmarkStart w:id="459" w:name="_Toc139975498"/>
      <w:bookmarkStart w:id="460" w:name="_Toc139976250"/>
      <w:bookmarkStart w:id="461" w:name="_Toc139982270"/>
      <w:bookmarkStart w:id="462" w:name="_Toc139983982"/>
      <w:bookmarkStart w:id="463" w:name="_Toc139984222"/>
      <w:r w:rsidRPr="00361139">
        <w:rPr>
          <w:lang w:val="en-GB"/>
        </w:rPr>
        <w:t>(f)</w:t>
      </w:r>
      <w:r w:rsidRPr="00361139">
        <w:rPr>
          <w:lang w:val="en-GB"/>
        </w:rPr>
        <w:tab/>
      </w:r>
      <w:r w:rsidR="00CC73DD" w:rsidRPr="00361139">
        <w:rPr>
          <w:lang w:val="en-GB"/>
        </w:rPr>
        <w:t>Country ownership of activities funded by the financial mechanism</w:t>
      </w:r>
      <w:bookmarkEnd w:id="459"/>
      <w:bookmarkEnd w:id="460"/>
      <w:bookmarkEnd w:id="461"/>
      <w:bookmarkEnd w:id="462"/>
      <w:bookmarkEnd w:id="463"/>
    </w:p>
    <w:p w14:paraId="2A411991"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All</w:t>
      </w:r>
      <w:r w:rsidRPr="00361139">
        <w:rPr>
          <w:rFonts w:asciiTheme="majorBidi" w:hAnsiTheme="majorBidi" w:cstheme="majorBidi"/>
          <w:spacing w:val="-4"/>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 xml:space="preserve">projects and programs approved during GEF-7, except for two global MSPs, were country driven endorsed by country Operational Focal Points, and as such are expected to contribute to building capacity and promoting the utilization of local expertise. In addition, all the projects and programs were in conformity with programme priorities as reflected in relevant guidance provide by </w:t>
      </w:r>
      <w:r w:rsidRPr="00361139">
        <w:rPr>
          <w:rFonts w:asciiTheme="majorBidi" w:hAnsiTheme="majorBidi" w:cstheme="majorBidi"/>
        </w:rPr>
        <w:lastRenderedPageBreak/>
        <w:t xml:space="preserve">the COPs, and </w:t>
      </w:r>
      <w:proofErr w:type="gramStart"/>
      <w:r w:rsidRPr="00361139">
        <w:rPr>
          <w:rFonts w:asciiTheme="majorBidi" w:hAnsiTheme="majorBidi" w:cstheme="majorBidi"/>
        </w:rPr>
        <w:t>all of</w:t>
      </w:r>
      <w:proofErr w:type="gramEnd"/>
      <w:r w:rsidRPr="00361139">
        <w:rPr>
          <w:rFonts w:asciiTheme="majorBidi" w:hAnsiTheme="majorBidi" w:cstheme="majorBidi"/>
        </w:rPr>
        <w:t xml:space="preserve"> the projects and programs, except for MIAs were related to legally binding obligations.</w:t>
      </w:r>
    </w:p>
    <w:p w14:paraId="1E7E8BD8"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In the GEF-7 period, 25 EAs, including 10 MIA and 16 ASGM NAPs</w:t>
      </w:r>
      <w:r w:rsidRPr="00361139">
        <w:rPr>
          <w:vertAlign w:val="superscript"/>
        </w:rPr>
        <w:footnoteReference w:id="78"/>
      </w:r>
      <w:r w:rsidRPr="00361139">
        <w:rPr>
          <w:rFonts w:asciiTheme="majorBidi" w:hAnsiTheme="majorBidi" w:cstheme="majorBidi"/>
        </w:rPr>
        <w:t xml:space="preserve"> were approved. The primary objective of these investments is to assist nations to fulfil essential communication requirements related to the Convention, make informed policy decisions, and assist in prioritizing activities,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empower the nations in taking the ownership of the activities funded by the financial mechanism further.</w:t>
      </w:r>
    </w:p>
    <w:p w14:paraId="77C7B1D6" w14:textId="250E67E9" w:rsidR="00CC73DD" w:rsidRPr="00361139" w:rsidRDefault="007E5EED" w:rsidP="007E5EED">
      <w:pPr>
        <w:pStyle w:val="CH2"/>
        <w:rPr>
          <w:lang w:val="en-GB"/>
        </w:rPr>
      </w:pPr>
      <w:bookmarkStart w:id="464" w:name="_Toc138848017"/>
      <w:bookmarkEnd w:id="464"/>
      <w:r w:rsidRPr="00361139">
        <w:rPr>
          <w:lang w:val="en-GB"/>
        </w:rPr>
        <w:tab/>
      </w:r>
      <w:bookmarkStart w:id="465" w:name="_Toc139975499"/>
      <w:bookmarkStart w:id="466" w:name="_Toc139976251"/>
      <w:bookmarkStart w:id="467" w:name="_Toc139982271"/>
      <w:bookmarkStart w:id="468" w:name="_Toc139983983"/>
      <w:bookmarkStart w:id="469" w:name="_Toc139984223"/>
      <w:r w:rsidRPr="00361139">
        <w:rPr>
          <w:lang w:val="en-GB"/>
        </w:rPr>
        <w:t>(</w:t>
      </w:r>
      <w:r w:rsidR="00D772D2" w:rsidRPr="00361139">
        <w:rPr>
          <w:lang w:val="en-GB"/>
        </w:rPr>
        <w:t>g</w:t>
      </w:r>
      <w:r w:rsidRPr="00361139">
        <w:rPr>
          <w:lang w:val="en-GB"/>
        </w:rPr>
        <w:t>)</w:t>
      </w:r>
      <w:r w:rsidRPr="00361139">
        <w:rPr>
          <w:lang w:val="en-GB"/>
        </w:rPr>
        <w:tab/>
      </w:r>
      <w:r w:rsidR="00CC73DD" w:rsidRPr="00361139">
        <w:rPr>
          <w:lang w:val="en-GB"/>
        </w:rPr>
        <w:t>Level of stakeholder involvement</w:t>
      </w:r>
      <w:bookmarkEnd w:id="465"/>
      <w:bookmarkEnd w:id="466"/>
      <w:bookmarkEnd w:id="467"/>
      <w:bookmarkEnd w:id="468"/>
      <w:bookmarkEnd w:id="469"/>
    </w:p>
    <w:p w14:paraId="42FE4CD0"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GEFs Policy on Stakeholder Engagement, which became effective in July 2018, establishes</w:t>
      </w:r>
      <w:r w:rsidRPr="00361139">
        <w:rPr>
          <w:rFonts w:asciiTheme="majorBidi" w:hAnsiTheme="majorBidi" w:cstheme="majorBidi"/>
          <w:spacing w:val="-5"/>
        </w:rPr>
        <w:t xml:space="preserve"> </w:t>
      </w:r>
      <w:r w:rsidRPr="00361139">
        <w:rPr>
          <w:rFonts w:asciiTheme="majorBidi" w:hAnsiTheme="majorBidi" w:cstheme="majorBidi"/>
        </w:rPr>
        <w:t>mandatory</w:t>
      </w:r>
      <w:r w:rsidRPr="00361139">
        <w:rPr>
          <w:rFonts w:asciiTheme="majorBidi" w:hAnsiTheme="majorBidi" w:cstheme="majorBidi"/>
          <w:spacing w:val="-6"/>
        </w:rPr>
        <w:t xml:space="preserve"> </w:t>
      </w:r>
      <w:r w:rsidRPr="00361139">
        <w:rPr>
          <w:rFonts w:asciiTheme="majorBidi" w:hAnsiTheme="majorBidi" w:cstheme="majorBidi"/>
        </w:rPr>
        <w:t>requirements</w:t>
      </w:r>
      <w:r w:rsidRPr="00361139">
        <w:rPr>
          <w:rFonts w:asciiTheme="majorBidi" w:hAnsiTheme="majorBidi" w:cstheme="majorBidi"/>
          <w:spacing w:val="-4"/>
        </w:rPr>
        <w:t xml:space="preserve"> </w:t>
      </w:r>
      <w:r w:rsidRPr="00361139">
        <w:rPr>
          <w:rFonts w:asciiTheme="majorBidi" w:hAnsiTheme="majorBidi" w:cstheme="majorBidi"/>
        </w:rPr>
        <w:t>for</w:t>
      </w:r>
      <w:r w:rsidRPr="00361139">
        <w:rPr>
          <w:rFonts w:asciiTheme="majorBidi" w:hAnsiTheme="majorBidi" w:cstheme="majorBidi"/>
          <w:spacing w:val="-1"/>
        </w:rPr>
        <w:t xml:space="preserve"> </w:t>
      </w:r>
      <w:r w:rsidRPr="00361139">
        <w:rPr>
          <w:rFonts w:asciiTheme="majorBidi" w:hAnsiTheme="majorBidi" w:cstheme="majorBidi"/>
        </w:rPr>
        <w:t>GEF</w:t>
      </w:r>
      <w:r w:rsidRPr="00361139">
        <w:rPr>
          <w:rFonts w:asciiTheme="majorBidi" w:hAnsiTheme="majorBidi" w:cstheme="majorBidi"/>
          <w:spacing w:val="-5"/>
        </w:rPr>
        <w:t xml:space="preserve"> </w:t>
      </w:r>
      <w:r w:rsidRPr="00361139">
        <w:rPr>
          <w:rFonts w:asciiTheme="majorBidi" w:hAnsiTheme="majorBidi" w:cstheme="majorBidi"/>
        </w:rPr>
        <w:t>Agencies</w:t>
      </w:r>
      <w:r w:rsidRPr="00361139">
        <w:rPr>
          <w:rFonts w:asciiTheme="majorBidi" w:hAnsiTheme="majorBidi" w:cstheme="majorBidi"/>
          <w:spacing w:val="-5"/>
        </w:rPr>
        <w:t xml:space="preserve"> </w:t>
      </w:r>
      <w:r w:rsidRPr="00361139">
        <w:rPr>
          <w:rFonts w:asciiTheme="majorBidi" w:hAnsiTheme="majorBidi" w:cstheme="majorBidi"/>
        </w:rPr>
        <w:t>to</w:t>
      </w:r>
      <w:r w:rsidRPr="00361139">
        <w:rPr>
          <w:rFonts w:asciiTheme="majorBidi" w:hAnsiTheme="majorBidi" w:cstheme="majorBidi"/>
          <w:spacing w:val="-5"/>
        </w:rPr>
        <w:t xml:space="preserve"> </w:t>
      </w:r>
      <w:r w:rsidRPr="00361139">
        <w:rPr>
          <w:rFonts w:asciiTheme="majorBidi" w:hAnsiTheme="majorBidi" w:cstheme="majorBidi"/>
        </w:rPr>
        <w:t>engage</w:t>
      </w:r>
      <w:r w:rsidRPr="00361139">
        <w:rPr>
          <w:rFonts w:asciiTheme="majorBidi" w:hAnsiTheme="majorBidi" w:cstheme="majorBidi"/>
          <w:spacing w:val="-5"/>
        </w:rPr>
        <w:t xml:space="preserve"> </w:t>
      </w:r>
      <w:r w:rsidRPr="00361139">
        <w:rPr>
          <w:rFonts w:asciiTheme="majorBidi" w:hAnsiTheme="majorBidi" w:cstheme="majorBidi"/>
        </w:rPr>
        <w:t>stakeholders</w:t>
      </w:r>
      <w:r w:rsidRPr="00361139">
        <w:rPr>
          <w:rFonts w:asciiTheme="majorBidi" w:hAnsiTheme="majorBidi" w:cstheme="majorBidi"/>
          <w:spacing w:val="-5"/>
        </w:rPr>
        <w:t xml:space="preserve"> </w:t>
      </w:r>
      <w:r w:rsidRPr="00361139">
        <w:rPr>
          <w:rFonts w:asciiTheme="majorBidi" w:hAnsiTheme="majorBidi" w:cstheme="majorBidi"/>
        </w:rPr>
        <w:t>at</w:t>
      </w:r>
      <w:r w:rsidRPr="00361139">
        <w:rPr>
          <w:rFonts w:asciiTheme="majorBidi" w:hAnsiTheme="majorBidi" w:cstheme="majorBidi"/>
          <w:spacing w:val="-1"/>
        </w:rPr>
        <w:t xml:space="preserve"> </w:t>
      </w:r>
      <w:r w:rsidRPr="00361139">
        <w:rPr>
          <w:rFonts w:asciiTheme="majorBidi" w:hAnsiTheme="majorBidi" w:cstheme="majorBidi"/>
        </w:rPr>
        <w:t>all</w:t>
      </w:r>
      <w:r w:rsidRPr="00361139">
        <w:rPr>
          <w:rFonts w:asciiTheme="majorBidi" w:hAnsiTheme="majorBidi" w:cstheme="majorBidi"/>
          <w:spacing w:val="-7"/>
        </w:rPr>
        <w:t xml:space="preserve"> </w:t>
      </w:r>
      <w:r w:rsidRPr="00361139">
        <w:rPr>
          <w:rFonts w:asciiTheme="majorBidi" w:hAnsiTheme="majorBidi" w:cstheme="majorBidi"/>
        </w:rPr>
        <w:t>stages</w:t>
      </w:r>
      <w:r w:rsidRPr="00361139">
        <w:rPr>
          <w:rFonts w:asciiTheme="majorBidi" w:hAnsiTheme="majorBidi" w:cstheme="majorBidi"/>
          <w:spacing w:val="-7"/>
        </w:rPr>
        <w:t xml:space="preserve"> </w:t>
      </w:r>
      <w:r w:rsidRPr="00361139">
        <w:rPr>
          <w:rFonts w:asciiTheme="majorBidi" w:hAnsiTheme="majorBidi" w:cstheme="majorBidi"/>
        </w:rPr>
        <w:t>of the</w:t>
      </w:r>
      <w:r w:rsidRPr="00361139">
        <w:rPr>
          <w:rFonts w:asciiTheme="majorBidi" w:hAnsiTheme="majorBidi" w:cstheme="majorBidi"/>
          <w:spacing w:val="-2"/>
        </w:rPr>
        <w:t xml:space="preserve"> </w:t>
      </w:r>
      <w:r w:rsidRPr="00361139">
        <w:rPr>
          <w:rFonts w:asciiTheme="majorBidi" w:hAnsiTheme="majorBidi" w:cstheme="majorBidi"/>
        </w:rPr>
        <w:t>GEF’s</w:t>
      </w:r>
      <w:r w:rsidRPr="00361139">
        <w:rPr>
          <w:rFonts w:asciiTheme="majorBidi" w:hAnsiTheme="majorBidi" w:cstheme="majorBidi"/>
          <w:spacing w:val="-1"/>
        </w:rPr>
        <w:t xml:space="preserve"> </w:t>
      </w:r>
      <w:r w:rsidRPr="00361139">
        <w:rPr>
          <w:rFonts w:asciiTheme="majorBidi" w:hAnsiTheme="majorBidi" w:cstheme="majorBidi"/>
        </w:rPr>
        <w:t>project</w:t>
      </w:r>
      <w:r w:rsidRPr="00361139">
        <w:rPr>
          <w:rFonts w:asciiTheme="majorBidi" w:hAnsiTheme="majorBidi" w:cstheme="majorBidi"/>
          <w:spacing w:val="-4"/>
        </w:rPr>
        <w:t xml:space="preserve"> </w:t>
      </w:r>
      <w:r w:rsidRPr="00361139">
        <w:rPr>
          <w:rFonts w:asciiTheme="majorBidi" w:hAnsiTheme="majorBidi" w:cstheme="majorBidi"/>
        </w:rPr>
        <w:t>cycle (from</w:t>
      </w:r>
      <w:r w:rsidRPr="00361139">
        <w:rPr>
          <w:rFonts w:asciiTheme="majorBidi" w:hAnsiTheme="majorBidi" w:cstheme="majorBidi"/>
          <w:spacing w:val="-1"/>
        </w:rPr>
        <w:t xml:space="preserve"> </w:t>
      </w:r>
      <w:r w:rsidRPr="00361139">
        <w:rPr>
          <w:rFonts w:asciiTheme="majorBidi" w:hAnsiTheme="majorBidi" w:cstheme="majorBidi"/>
        </w:rPr>
        <w:t>development, preparation</w:t>
      </w:r>
      <w:r w:rsidRPr="00361139">
        <w:rPr>
          <w:rFonts w:asciiTheme="majorBidi" w:hAnsiTheme="majorBidi" w:cstheme="majorBidi"/>
          <w:spacing w:val="-2"/>
        </w:rPr>
        <w:t xml:space="preserve"> </w:t>
      </w:r>
      <w:r w:rsidRPr="00361139">
        <w:rPr>
          <w:rFonts w:asciiTheme="majorBidi" w:hAnsiTheme="majorBidi" w:cstheme="majorBidi"/>
        </w:rPr>
        <w:t>to</w:t>
      </w:r>
      <w:r w:rsidRPr="00361139">
        <w:rPr>
          <w:rFonts w:asciiTheme="majorBidi" w:hAnsiTheme="majorBidi" w:cstheme="majorBidi"/>
          <w:spacing w:val="-1"/>
        </w:rPr>
        <w:t xml:space="preserve"> </w:t>
      </w:r>
      <w:r w:rsidRPr="00361139">
        <w:rPr>
          <w:rFonts w:asciiTheme="majorBidi" w:hAnsiTheme="majorBidi" w:cstheme="majorBidi"/>
        </w:rPr>
        <w:t>implementation and monitoring). The main objective of the policy is to promote the inclusive and meaningful participation of stakeholders in support of GEF’s mandate to protect the global environment, with a view to promoting transparency, accountability, integrity, effective participation and inclusion.</w:t>
      </w:r>
    </w:p>
    <w:p w14:paraId="30D59AF5"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Inclusive and meaningful participation starts with early consultations in project design. In this regard, all GEF financed projects must include a stakeholder engagement plan or assessment to describe how key stakeholders will be consulted and engaged in project implementation.</w:t>
      </w:r>
      <w:r w:rsidRPr="00361139">
        <w:rPr>
          <w:rFonts w:asciiTheme="majorBidi" w:hAnsiTheme="majorBidi" w:cstheme="majorBidi"/>
          <w:spacing w:val="40"/>
        </w:rPr>
        <w:t xml:space="preserve"> </w:t>
      </w:r>
      <w:r w:rsidRPr="00361139">
        <w:rPr>
          <w:rFonts w:asciiTheme="majorBidi" w:hAnsiTheme="majorBidi" w:cstheme="majorBidi"/>
        </w:rPr>
        <w:t>The analysis</w:t>
      </w:r>
      <w:r w:rsidRPr="00361139">
        <w:rPr>
          <w:rFonts w:asciiTheme="majorBidi" w:hAnsiTheme="majorBidi" w:cstheme="majorBidi"/>
          <w:spacing w:val="-2"/>
        </w:rPr>
        <w:t xml:space="preserve"> </w:t>
      </w:r>
      <w:r w:rsidRPr="00361139">
        <w:rPr>
          <w:rFonts w:asciiTheme="majorBidi" w:hAnsiTheme="majorBidi" w:cstheme="majorBidi"/>
        </w:rPr>
        <w:t>of</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portfolio</w:t>
      </w:r>
      <w:r w:rsidRPr="00361139">
        <w:rPr>
          <w:rFonts w:asciiTheme="majorBidi" w:hAnsiTheme="majorBidi" w:cstheme="majorBidi"/>
          <w:spacing w:val="-2"/>
        </w:rPr>
        <w:t xml:space="preserve"> </w:t>
      </w:r>
      <w:r w:rsidRPr="00361139">
        <w:rPr>
          <w:rFonts w:asciiTheme="majorBidi" w:hAnsiTheme="majorBidi" w:cstheme="majorBidi"/>
        </w:rPr>
        <w:t>under</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chemicals</w:t>
      </w:r>
      <w:r w:rsidRPr="00361139">
        <w:rPr>
          <w:rFonts w:asciiTheme="majorBidi" w:hAnsiTheme="majorBidi" w:cstheme="majorBidi"/>
          <w:spacing w:val="-4"/>
        </w:rPr>
        <w:t xml:space="preserve"> </w:t>
      </w:r>
      <w:r w:rsidRPr="00361139">
        <w:rPr>
          <w:rFonts w:asciiTheme="majorBidi" w:hAnsiTheme="majorBidi" w:cstheme="majorBidi"/>
        </w:rPr>
        <w:t>and waste focal</w:t>
      </w:r>
      <w:r w:rsidRPr="00361139">
        <w:rPr>
          <w:rFonts w:asciiTheme="majorBidi" w:hAnsiTheme="majorBidi" w:cstheme="majorBidi"/>
          <w:spacing w:val="-2"/>
        </w:rPr>
        <w:t xml:space="preserve"> </w:t>
      </w:r>
      <w:r w:rsidRPr="00361139">
        <w:rPr>
          <w:rFonts w:asciiTheme="majorBidi" w:hAnsiTheme="majorBidi" w:cstheme="majorBidi"/>
        </w:rPr>
        <w:t>area,</w:t>
      </w:r>
      <w:r w:rsidRPr="00361139">
        <w:rPr>
          <w:rFonts w:asciiTheme="majorBidi" w:hAnsiTheme="majorBidi" w:cstheme="majorBidi"/>
          <w:spacing w:val="-3"/>
        </w:rPr>
        <w:t xml:space="preserve"> </w:t>
      </w:r>
      <w:r w:rsidRPr="00361139">
        <w:rPr>
          <w:rFonts w:asciiTheme="majorBidi" w:hAnsiTheme="majorBidi" w:cstheme="majorBidi"/>
        </w:rPr>
        <w:t>which aims</w:t>
      </w:r>
      <w:r w:rsidRPr="00361139">
        <w:rPr>
          <w:rFonts w:asciiTheme="majorBidi" w:hAnsiTheme="majorBidi" w:cstheme="majorBidi"/>
          <w:spacing w:val="-4"/>
        </w:rPr>
        <w:t xml:space="preserve"> </w:t>
      </w:r>
      <w:r w:rsidRPr="00361139">
        <w:rPr>
          <w:rFonts w:asciiTheme="majorBidi" w:hAnsiTheme="majorBidi" w:cstheme="majorBidi"/>
        </w:rPr>
        <w:t>at</w:t>
      </w:r>
      <w:r w:rsidRPr="00361139">
        <w:rPr>
          <w:rFonts w:asciiTheme="majorBidi" w:hAnsiTheme="majorBidi" w:cstheme="majorBidi"/>
          <w:spacing w:val="-5"/>
        </w:rPr>
        <w:t xml:space="preserve"> </w:t>
      </w:r>
      <w:r w:rsidRPr="00361139">
        <w:rPr>
          <w:rFonts w:asciiTheme="majorBidi" w:hAnsiTheme="majorBidi" w:cstheme="majorBidi"/>
        </w:rPr>
        <w:t>addressing</w:t>
      </w:r>
      <w:r w:rsidRPr="00361139">
        <w:rPr>
          <w:rFonts w:asciiTheme="majorBidi" w:hAnsiTheme="majorBidi" w:cstheme="majorBidi"/>
          <w:spacing w:val="-5"/>
        </w:rPr>
        <w:t xml:space="preserve"> </w:t>
      </w:r>
      <w:r w:rsidRPr="00361139">
        <w:rPr>
          <w:rFonts w:asciiTheme="majorBidi" w:hAnsiTheme="majorBidi" w:cstheme="majorBidi"/>
        </w:rPr>
        <w:t>mercury</w:t>
      </w:r>
      <w:r w:rsidRPr="00361139">
        <w:rPr>
          <w:rFonts w:asciiTheme="majorBidi" w:hAnsiTheme="majorBidi" w:cstheme="majorBidi"/>
          <w:spacing w:val="-4"/>
        </w:rPr>
        <w:t xml:space="preserve"> </w:t>
      </w:r>
      <w:r w:rsidRPr="00361139">
        <w:rPr>
          <w:rFonts w:asciiTheme="majorBidi" w:hAnsiTheme="majorBidi" w:cstheme="majorBidi"/>
        </w:rPr>
        <w:t>pollution,</w:t>
      </w:r>
      <w:r w:rsidRPr="00361139">
        <w:rPr>
          <w:rFonts w:asciiTheme="majorBidi" w:hAnsiTheme="majorBidi" w:cstheme="majorBidi"/>
          <w:spacing w:val="-6"/>
        </w:rPr>
        <w:t xml:space="preserve"> </w:t>
      </w:r>
      <w:r w:rsidRPr="00361139">
        <w:rPr>
          <w:rFonts w:asciiTheme="majorBidi" w:hAnsiTheme="majorBidi" w:cstheme="majorBidi"/>
        </w:rPr>
        <w:t>shows</w:t>
      </w:r>
      <w:r w:rsidRPr="00361139">
        <w:rPr>
          <w:rFonts w:asciiTheme="majorBidi" w:hAnsiTheme="majorBidi" w:cstheme="majorBidi"/>
          <w:spacing w:val="-3"/>
        </w:rPr>
        <w:t xml:space="preserve"> </w:t>
      </w:r>
      <w:r w:rsidRPr="00361139">
        <w:rPr>
          <w:rFonts w:asciiTheme="majorBidi" w:hAnsiTheme="majorBidi" w:cstheme="majorBidi"/>
        </w:rPr>
        <w:t>that</w:t>
      </w:r>
      <w:r w:rsidRPr="00361139">
        <w:rPr>
          <w:rFonts w:asciiTheme="majorBidi" w:hAnsiTheme="majorBidi" w:cstheme="majorBidi"/>
          <w:spacing w:val="-5"/>
        </w:rPr>
        <w:t xml:space="preserve"> </w:t>
      </w:r>
      <w:r w:rsidRPr="00361139">
        <w:rPr>
          <w:rFonts w:asciiTheme="majorBidi" w:hAnsiTheme="majorBidi" w:cstheme="majorBidi"/>
        </w:rPr>
        <w:t>all</w:t>
      </w:r>
      <w:r w:rsidRPr="00361139">
        <w:rPr>
          <w:rFonts w:asciiTheme="majorBidi" w:hAnsiTheme="majorBidi" w:cstheme="majorBidi"/>
          <w:spacing w:val="-4"/>
        </w:rPr>
        <w:t xml:space="preserve"> </w:t>
      </w:r>
      <w:r w:rsidRPr="00361139">
        <w:rPr>
          <w:rFonts w:asciiTheme="majorBidi" w:hAnsiTheme="majorBidi" w:cstheme="majorBidi"/>
        </w:rPr>
        <w:t>projects</w:t>
      </w:r>
      <w:r w:rsidRPr="00361139">
        <w:rPr>
          <w:rFonts w:asciiTheme="majorBidi" w:hAnsiTheme="majorBidi" w:cstheme="majorBidi"/>
          <w:spacing w:val="-6"/>
        </w:rPr>
        <w:t xml:space="preserve"> </w:t>
      </w:r>
      <w:r w:rsidRPr="00361139">
        <w:rPr>
          <w:rFonts w:asciiTheme="majorBidi" w:hAnsiTheme="majorBidi" w:cstheme="majorBidi"/>
        </w:rPr>
        <w:t>conducted consultations</w:t>
      </w:r>
      <w:r w:rsidRPr="00361139">
        <w:rPr>
          <w:rFonts w:asciiTheme="majorBidi" w:hAnsiTheme="majorBidi" w:cstheme="majorBidi"/>
          <w:spacing w:val="-5"/>
        </w:rPr>
        <w:t xml:space="preserve"> </w:t>
      </w:r>
      <w:r w:rsidRPr="00361139">
        <w:rPr>
          <w:rFonts w:asciiTheme="majorBidi" w:hAnsiTheme="majorBidi" w:cstheme="majorBidi"/>
        </w:rPr>
        <w:t>with</w:t>
      </w:r>
      <w:r w:rsidRPr="00361139">
        <w:rPr>
          <w:rFonts w:asciiTheme="majorBidi" w:hAnsiTheme="majorBidi" w:cstheme="majorBidi"/>
          <w:spacing w:val="-4"/>
        </w:rPr>
        <w:t xml:space="preserve"> </w:t>
      </w:r>
      <w:r w:rsidRPr="00361139">
        <w:rPr>
          <w:rFonts w:asciiTheme="majorBidi" w:hAnsiTheme="majorBidi" w:cstheme="majorBidi"/>
        </w:rPr>
        <w:t xml:space="preserve">civil society organizations, as well as with private sector and other stakeholders during project </w:t>
      </w:r>
      <w:r w:rsidRPr="00361139">
        <w:rPr>
          <w:rFonts w:asciiTheme="majorBidi" w:hAnsiTheme="majorBidi" w:cstheme="majorBidi"/>
          <w:spacing w:val="-2"/>
        </w:rPr>
        <w:t>development.</w:t>
      </w:r>
    </w:p>
    <w:p w14:paraId="0DA68937"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 GEF-7</w:t>
      </w:r>
      <w:r w:rsidRPr="00361139">
        <w:rPr>
          <w:rFonts w:asciiTheme="majorBidi" w:hAnsiTheme="majorBidi" w:cstheme="majorBidi"/>
          <w:spacing w:val="-3"/>
        </w:rPr>
        <w:t xml:space="preserve"> </w:t>
      </w:r>
      <w:r w:rsidRPr="00361139">
        <w:rPr>
          <w:rFonts w:asciiTheme="majorBidi" w:hAnsiTheme="majorBidi" w:cstheme="majorBidi"/>
        </w:rPr>
        <w:t>portfolio</w:t>
      </w:r>
      <w:r w:rsidRPr="00361139">
        <w:rPr>
          <w:rFonts w:asciiTheme="majorBidi" w:hAnsiTheme="majorBidi" w:cstheme="majorBidi"/>
          <w:spacing w:val="-4"/>
        </w:rPr>
        <w:t xml:space="preserve"> </w:t>
      </w:r>
      <w:r w:rsidRPr="00361139">
        <w:rPr>
          <w:rFonts w:asciiTheme="majorBidi" w:hAnsiTheme="majorBidi" w:cstheme="majorBidi"/>
        </w:rPr>
        <w:t>analysis,</w:t>
      </w:r>
      <w:r w:rsidRPr="00361139">
        <w:rPr>
          <w:rFonts w:asciiTheme="majorBidi" w:hAnsiTheme="majorBidi" w:cstheme="majorBidi"/>
          <w:spacing w:val="-2"/>
        </w:rPr>
        <w:t xml:space="preserve"> </w:t>
      </w:r>
      <w:r w:rsidRPr="00361139">
        <w:rPr>
          <w:rFonts w:asciiTheme="majorBidi" w:hAnsiTheme="majorBidi" w:cstheme="majorBidi"/>
        </w:rPr>
        <w:t>excluding</w:t>
      </w:r>
      <w:r w:rsidRPr="00361139">
        <w:rPr>
          <w:rFonts w:asciiTheme="majorBidi" w:hAnsiTheme="majorBidi" w:cstheme="majorBidi"/>
          <w:spacing w:val="-4"/>
        </w:rPr>
        <w:t xml:space="preserve"> </w:t>
      </w:r>
      <w:r w:rsidRPr="00361139">
        <w:rPr>
          <w:rFonts w:asciiTheme="majorBidi" w:hAnsiTheme="majorBidi" w:cstheme="majorBidi"/>
        </w:rPr>
        <w:t>EAs,</w:t>
      </w:r>
      <w:r w:rsidRPr="00361139">
        <w:rPr>
          <w:rFonts w:asciiTheme="majorBidi" w:hAnsiTheme="majorBidi" w:cstheme="majorBidi"/>
          <w:spacing w:val="-2"/>
        </w:rPr>
        <w:t xml:space="preserve"> </w:t>
      </w:r>
      <w:r w:rsidRPr="00361139">
        <w:rPr>
          <w:rFonts w:asciiTheme="majorBidi" w:hAnsiTheme="majorBidi" w:cstheme="majorBidi"/>
        </w:rPr>
        <w:t>showed</w:t>
      </w:r>
      <w:r w:rsidRPr="00361139">
        <w:rPr>
          <w:rFonts w:asciiTheme="majorBidi" w:hAnsiTheme="majorBidi" w:cstheme="majorBidi"/>
          <w:spacing w:val="-3"/>
        </w:rPr>
        <w:t xml:space="preserve"> </w:t>
      </w:r>
      <w:r w:rsidRPr="00361139">
        <w:rPr>
          <w:rFonts w:asciiTheme="majorBidi" w:hAnsiTheme="majorBidi" w:cstheme="majorBidi"/>
        </w:rPr>
        <w:t>that</w:t>
      </w:r>
      <w:r w:rsidRPr="00361139">
        <w:rPr>
          <w:rFonts w:asciiTheme="majorBidi" w:hAnsiTheme="majorBidi" w:cstheme="majorBidi"/>
          <w:spacing w:val="-3"/>
        </w:rPr>
        <w:t xml:space="preserve"> </w:t>
      </w:r>
      <w:r w:rsidRPr="00361139">
        <w:rPr>
          <w:rFonts w:asciiTheme="majorBidi" w:hAnsiTheme="majorBidi" w:cstheme="majorBidi"/>
        </w:rPr>
        <w:t>nearly</w:t>
      </w:r>
      <w:r w:rsidRPr="00361139">
        <w:rPr>
          <w:rFonts w:asciiTheme="majorBidi" w:hAnsiTheme="majorBidi" w:cstheme="majorBidi"/>
          <w:spacing w:val="-4"/>
        </w:rPr>
        <w:t xml:space="preserve"> </w:t>
      </w:r>
      <w:r w:rsidRPr="00361139">
        <w:rPr>
          <w:rFonts w:asciiTheme="majorBidi" w:hAnsiTheme="majorBidi" w:cstheme="majorBidi"/>
        </w:rPr>
        <w:t>50</w:t>
      </w:r>
      <w:r w:rsidRPr="00361139">
        <w:rPr>
          <w:rFonts w:asciiTheme="majorBidi" w:hAnsiTheme="majorBidi" w:cstheme="majorBidi"/>
          <w:spacing w:val="-1"/>
        </w:rPr>
        <w:t xml:space="preserve"> </w:t>
      </w:r>
      <w:r w:rsidRPr="00361139">
        <w:rPr>
          <w:rFonts w:asciiTheme="majorBidi" w:hAnsiTheme="majorBidi" w:cstheme="majorBidi"/>
        </w:rPr>
        <w:t>percent</w:t>
      </w:r>
      <w:r w:rsidRPr="00361139">
        <w:rPr>
          <w:rFonts w:asciiTheme="majorBidi" w:hAnsiTheme="majorBidi" w:cstheme="majorBidi"/>
          <w:spacing w:val="-3"/>
        </w:rPr>
        <w:t xml:space="preserve"> </w:t>
      </w:r>
      <w:r w:rsidRPr="00361139">
        <w:rPr>
          <w:rFonts w:asciiTheme="majorBidi" w:hAnsiTheme="majorBidi" w:cstheme="majorBidi"/>
        </w:rPr>
        <w:t>incorporated plans</w:t>
      </w:r>
      <w:r w:rsidRPr="00361139">
        <w:rPr>
          <w:rFonts w:asciiTheme="majorBidi" w:hAnsiTheme="majorBidi" w:cstheme="majorBidi"/>
          <w:spacing w:val="-5"/>
        </w:rPr>
        <w:t xml:space="preserve"> </w:t>
      </w:r>
      <w:r w:rsidRPr="00361139">
        <w:rPr>
          <w:rFonts w:asciiTheme="majorBidi" w:hAnsiTheme="majorBidi" w:cstheme="majorBidi"/>
        </w:rPr>
        <w:t>to</w:t>
      </w:r>
      <w:r w:rsidRPr="00361139">
        <w:rPr>
          <w:rFonts w:asciiTheme="majorBidi" w:hAnsiTheme="majorBidi" w:cstheme="majorBidi"/>
          <w:spacing w:val="-2"/>
        </w:rPr>
        <w:t xml:space="preserve"> </w:t>
      </w:r>
      <w:r w:rsidRPr="00361139">
        <w:rPr>
          <w:rFonts w:asciiTheme="majorBidi" w:hAnsiTheme="majorBidi" w:cstheme="majorBidi"/>
        </w:rPr>
        <w:t>engage</w:t>
      </w:r>
      <w:r w:rsidRPr="00361139">
        <w:rPr>
          <w:rFonts w:asciiTheme="majorBidi" w:hAnsiTheme="majorBidi" w:cstheme="majorBidi"/>
          <w:spacing w:val="-5"/>
        </w:rPr>
        <w:t xml:space="preserve"> </w:t>
      </w:r>
      <w:r w:rsidRPr="00361139">
        <w:rPr>
          <w:rFonts w:asciiTheme="majorBidi" w:hAnsiTheme="majorBidi" w:cstheme="majorBidi"/>
        </w:rPr>
        <w:t>civil</w:t>
      </w:r>
      <w:r w:rsidRPr="00361139">
        <w:rPr>
          <w:rFonts w:asciiTheme="majorBidi" w:hAnsiTheme="majorBidi" w:cstheme="majorBidi"/>
          <w:spacing w:val="-4"/>
        </w:rPr>
        <w:t xml:space="preserve"> </w:t>
      </w:r>
      <w:r w:rsidRPr="00361139">
        <w:rPr>
          <w:rFonts w:asciiTheme="majorBidi" w:hAnsiTheme="majorBidi" w:cstheme="majorBidi"/>
        </w:rPr>
        <w:t>society</w:t>
      </w:r>
      <w:r w:rsidRPr="00361139">
        <w:rPr>
          <w:rFonts w:asciiTheme="majorBidi" w:hAnsiTheme="majorBidi" w:cstheme="majorBidi"/>
          <w:spacing w:val="-2"/>
        </w:rPr>
        <w:t xml:space="preserve"> </w:t>
      </w:r>
      <w:r w:rsidRPr="00361139">
        <w:rPr>
          <w:rFonts w:asciiTheme="majorBidi" w:hAnsiTheme="majorBidi" w:cstheme="majorBidi"/>
        </w:rPr>
        <w:t>as</w:t>
      </w:r>
      <w:r w:rsidRPr="00361139">
        <w:rPr>
          <w:rFonts w:asciiTheme="majorBidi" w:hAnsiTheme="majorBidi" w:cstheme="majorBidi"/>
          <w:spacing w:val="-3"/>
        </w:rPr>
        <w:t xml:space="preserve"> </w:t>
      </w:r>
      <w:r w:rsidRPr="00361139">
        <w:rPr>
          <w:rFonts w:asciiTheme="majorBidi" w:hAnsiTheme="majorBidi" w:cstheme="majorBidi"/>
        </w:rPr>
        <w:t>well</w:t>
      </w:r>
      <w:r w:rsidRPr="00361139">
        <w:rPr>
          <w:rFonts w:asciiTheme="majorBidi" w:hAnsiTheme="majorBidi" w:cstheme="majorBidi"/>
          <w:spacing w:val="-4"/>
        </w:rPr>
        <w:t xml:space="preserve"> </w:t>
      </w:r>
      <w:r w:rsidRPr="00361139">
        <w:rPr>
          <w:rFonts w:asciiTheme="majorBidi" w:hAnsiTheme="majorBidi" w:cstheme="majorBidi"/>
        </w:rPr>
        <w:t>as</w:t>
      </w:r>
      <w:r w:rsidRPr="00361139">
        <w:rPr>
          <w:rFonts w:asciiTheme="majorBidi" w:hAnsiTheme="majorBidi" w:cstheme="majorBidi"/>
          <w:spacing w:val="-4"/>
        </w:rPr>
        <w:t xml:space="preserve"> </w:t>
      </w:r>
      <w:r w:rsidRPr="00361139">
        <w:rPr>
          <w:rFonts w:asciiTheme="majorBidi" w:hAnsiTheme="majorBidi" w:cstheme="majorBidi"/>
        </w:rPr>
        <w:t>private</w:t>
      </w:r>
      <w:r w:rsidRPr="00361139">
        <w:rPr>
          <w:rFonts w:asciiTheme="majorBidi" w:hAnsiTheme="majorBidi" w:cstheme="majorBidi"/>
          <w:spacing w:val="-5"/>
        </w:rPr>
        <w:t xml:space="preserve"> </w:t>
      </w:r>
      <w:r w:rsidRPr="00361139">
        <w:rPr>
          <w:rFonts w:asciiTheme="majorBidi" w:hAnsiTheme="majorBidi" w:cstheme="majorBidi"/>
        </w:rPr>
        <w:t>sector</w:t>
      </w:r>
      <w:r w:rsidRPr="00361139">
        <w:rPr>
          <w:rFonts w:asciiTheme="majorBidi" w:hAnsiTheme="majorBidi" w:cstheme="majorBidi"/>
          <w:spacing w:val="-2"/>
        </w:rPr>
        <w:t xml:space="preserve"> </w:t>
      </w:r>
      <w:r w:rsidRPr="00361139">
        <w:rPr>
          <w:rFonts w:asciiTheme="majorBidi" w:hAnsiTheme="majorBidi" w:cstheme="majorBidi"/>
        </w:rPr>
        <w:t>in</w:t>
      </w:r>
      <w:r w:rsidRPr="00361139">
        <w:rPr>
          <w:rFonts w:asciiTheme="majorBidi" w:hAnsiTheme="majorBidi" w:cstheme="majorBidi"/>
          <w:spacing w:val="-1"/>
        </w:rPr>
        <w:t xml:space="preserve"> </w:t>
      </w:r>
      <w:r w:rsidRPr="00361139">
        <w:rPr>
          <w:rFonts w:asciiTheme="majorBidi" w:hAnsiTheme="majorBidi" w:cstheme="majorBidi"/>
        </w:rPr>
        <w:t>an</w:t>
      </w:r>
      <w:r w:rsidRPr="00361139">
        <w:rPr>
          <w:rFonts w:asciiTheme="majorBidi" w:hAnsiTheme="majorBidi" w:cstheme="majorBidi"/>
          <w:spacing w:val="-4"/>
        </w:rPr>
        <w:t xml:space="preserve"> </w:t>
      </w:r>
      <w:r w:rsidRPr="00361139">
        <w:rPr>
          <w:rFonts w:asciiTheme="majorBidi" w:hAnsiTheme="majorBidi" w:cstheme="majorBidi"/>
        </w:rPr>
        <w:t>active</w:t>
      </w:r>
      <w:r w:rsidRPr="00361139">
        <w:rPr>
          <w:rFonts w:asciiTheme="majorBidi" w:hAnsiTheme="majorBidi" w:cstheme="majorBidi"/>
          <w:spacing w:val="-2"/>
        </w:rPr>
        <w:t xml:space="preserve"> </w:t>
      </w:r>
      <w:r w:rsidRPr="00361139">
        <w:rPr>
          <w:rFonts w:asciiTheme="majorBidi" w:hAnsiTheme="majorBidi" w:cstheme="majorBidi"/>
        </w:rPr>
        <w:t>role</w:t>
      </w:r>
      <w:r w:rsidRPr="00361139">
        <w:rPr>
          <w:rFonts w:asciiTheme="majorBidi" w:hAnsiTheme="majorBidi" w:cstheme="majorBidi"/>
          <w:spacing w:val="-2"/>
        </w:rPr>
        <w:t xml:space="preserve"> </w:t>
      </w:r>
      <w:r w:rsidRPr="00361139">
        <w:rPr>
          <w:rFonts w:asciiTheme="majorBidi" w:hAnsiTheme="majorBidi" w:cstheme="majorBidi"/>
        </w:rPr>
        <w:t>including</w:t>
      </w:r>
      <w:r w:rsidRPr="00361139">
        <w:rPr>
          <w:rFonts w:asciiTheme="majorBidi" w:hAnsiTheme="majorBidi" w:cstheme="majorBidi"/>
          <w:spacing w:val="-2"/>
        </w:rPr>
        <w:t xml:space="preserve"> </w:t>
      </w:r>
      <w:r w:rsidRPr="00361139">
        <w:rPr>
          <w:rFonts w:asciiTheme="majorBidi" w:hAnsiTheme="majorBidi" w:cstheme="majorBidi"/>
        </w:rPr>
        <w:t>as</w:t>
      </w:r>
      <w:r w:rsidRPr="00361139">
        <w:rPr>
          <w:rFonts w:asciiTheme="majorBidi" w:hAnsiTheme="majorBidi" w:cstheme="majorBidi"/>
          <w:spacing w:val="-6"/>
        </w:rPr>
        <w:t xml:space="preserve"> </w:t>
      </w:r>
      <w:r w:rsidRPr="00361139">
        <w:rPr>
          <w:rFonts w:asciiTheme="majorBidi" w:hAnsiTheme="majorBidi" w:cstheme="majorBidi"/>
        </w:rPr>
        <w:t>a</w:t>
      </w:r>
      <w:r w:rsidRPr="00361139">
        <w:rPr>
          <w:rFonts w:asciiTheme="majorBidi" w:hAnsiTheme="majorBidi" w:cstheme="majorBidi"/>
          <w:spacing w:val="-2"/>
        </w:rPr>
        <w:t xml:space="preserve"> </w:t>
      </w:r>
      <w:r w:rsidRPr="00361139">
        <w:rPr>
          <w:rFonts w:asciiTheme="majorBidi" w:hAnsiTheme="majorBidi" w:cstheme="majorBidi"/>
        </w:rPr>
        <w:t>co-financier. One of these roles is acting as Executing Entity and 22 percent will have civil society organizations (including academic and research organizations and international NGOs) as an Executing Entity. Civil society and indigenous peoples were identified mostly as beneficiaries of the projects’ outcomes.</w:t>
      </w:r>
    </w:p>
    <w:p w14:paraId="48EABF26" w14:textId="77777777" w:rsidR="00CC73DD" w:rsidRPr="00361139" w:rsidRDefault="00CC73DD" w:rsidP="000C76AC">
      <w:pPr>
        <w:pStyle w:val="ListParagraph"/>
        <w:numPr>
          <w:ilvl w:val="0"/>
          <w:numId w:val="8"/>
        </w:numPr>
        <w:tabs>
          <w:tab w:val="clear" w:pos="1247"/>
          <w:tab w:val="clear" w:pos="1814"/>
          <w:tab w:val="clear" w:pos="2381"/>
          <w:tab w:val="clear" w:pos="2948"/>
          <w:tab w:val="clear" w:pos="3515"/>
        </w:tabs>
        <w:spacing w:after="120"/>
        <w:ind w:left="1247" w:firstLine="0"/>
      </w:pPr>
      <w:r w:rsidRPr="00361139">
        <w:t>A</w:t>
      </w:r>
      <w:r w:rsidRPr="00361139">
        <w:rPr>
          <w:spacing w:val="-7"/>
        </w:rPr>
        <w:t xml:space="preserve"> </w:t>
      </w:r>
      <w:r w:rsidRPr="00361139">
        <w:rPr>
          <w:rFonts w:asciiTheme="majorBidi" w:hAnsiTheme="majorBidi" w:cstheme="majorBidi"/>
        </w:rPr>
        <w:t>core</w:t>
      </w:r>
      <w:r w:rsidRPr="00361139">
        <w:rPr>
          <w:spacing w:val="-7"/>
        </w:rPr>
        <w:t xml:space="preserve"> </w:t>
      </w:r>
      <w:r w:rsidRPr="00361139">
        <w:t>component</w:t>
      </w:r>
      <w:r w:rsidRPr="00361139">
        <w:rPr>
          <w:spacing w:val="-3"/>
        </w:rPr>
        <w:t xml:space="preserve"> </w:t>
      </w:r>
      <w:r w:rsidRPr="00361139">
        <w:t>of</w:t>
      </w:r>
      <w:r w:rsidRPr="00361139">
        <w:rPr>
          <w:spacing w:val="-7"/>
        </w:rPr>
        <w:t xml:space="preserve"> </w:t>
      </w:r>
      <w:r w:rsidRPr="00361139">
        <w:t>the</w:t>
      </w:r>
      <w:r w:rsidRPr="00361139">
        <w:rPr>
          <w:spacing w:val="-8"/>
        </w:rPr>
        <w:t xml:space="preserve"> </w:t>
      </w:r>
      <w:r w:rsidRPr="00361139">
        <w:t>GEF’s</w:t>
      </w:r>
      <w:r w:rsidRPr="00361139">
        <w:rPr>
          <w:spacing w:val="-4"/>
        </w:rPr>
        <w:t xml:space="preserve"> </w:t>
      </w:r>
      <w:r w:rsidRPr="00361139">
        <w:t>strategy</w:t>
      </w:r>
      <w:r w:rsidRPr="00361139">
        <w:rPr>
          <w:spacing w:val="-7"/>
        </w:rPr>
        <w:t xml:space="preserve"> </w:t>
      </w:r>
      <w:r w:rsidRPr="00361139">
        <w:t>to</w:t>
      </w:r>
      <w:r w:rsidRPr="00361139">
        <w:rPr>
          <w:spacing w:val="-5"/>
        </w:rPr>
        <w:t xml:space="preserve"> </w:t>
      </w:r>
      <w:r w:rsidRPr="00361139">
        <w:t>engage</w:t>
      </w:r>
      <w:r w:rsidRPr="00361139">
        <w:rPr>
          <w:spacing w:val="-7"/>
        </w:rPr>
        <w:t xml:space="preserve"> </w:t>
      </w:r>
      <w:r w:rsidRPr="00361139">
        <w:t>the</w:t>
      </w:r>
      <w:r w:rsidRPr="00361139">
        <w:rPr>
          <w:spacing w:val="-5"/>
        </w:rPr>
        <w:t xml:space="preserve"> </w:t>
      </w:r>
      <w:r w:rsidRPr="00361139">
        <w:t>private</w:t>
      </w:r>
      <w:r w:rsidRPr="00361139">
        <w:rPr>
          <w:spacing w:val="-7"/>
        </w:rPr>
        <w:t xml:space="preserve"> </w:t>
      </w:r>
      <w:r w:rsidRPr="00361139">
        <w:t>sector</w:t>
      </w:r>
      <w:r w:rsidRPr="00361139">
        <w:rPr>
          <w:spacing w:val="-3"/>
        </w:rPr>
        <w:t xml:space="preserve"> </w:t>
      </w:r>
      <w:r w:rsidRPr="00361139">
        <w:t>includes</w:t>
      </w:r>
      <w:r w:rsidRPr="00361139">
        <w:rPr>
          <w:spacing w:val="-7"/>
        </w:rPr>
        <w:t xml:space="preserve"> </w:t>
      </w:r>
      <w:r w:rsidRPr="00361139">
        <w:rPr>
          <w:spacing w:val="-2"/>
        </w:rPr>
        <w:t xml:space="preserve">working </w:t>
      </w:r>
      <w:r w:rsidRPr="00361139">
        <w:t>with</w:t>
      </w:r>
      <w:r w:rsidRPr="00361139">
        <w:rPr>
          <w:spacing w:val="-2"/>
        </w:rPr>
        <w:t xml:space="preserve"> </w:t>
      </w:r>
      <w:r w:rsidRPr="00361139">
        <w:t>multi-stakeholder</w:t>
      </w:r>
      <w:r w:rsidRPr="00361139">
        <w:rPr>
          <w:spacing w:val="-4"/>
        </w:rPr>
        <w:t xml:space="preserve"> </w:t>
      </w:r>
      <w:r w:rsidRPr="00361139">
        <w:t>platforms.</w:t>
      </w:r>
      <w:r w:rsidRPr="00361139">
        <w:rPr>
          <w:spacing w:val="40"/>
        </w:rPr>
        <w:t xml:space="preserve"> </w:t>
      </w:r>
      <w:r w:rsidRPr="00361139">
        <w:t>The strategy’s</w:t>
      </w:r>
      <w:r w:rsidRPr="00361139">
        <w:rPr>
          <w:spacing w:val="-3"/>
        </w:rPr>
        <w:t xml:space="preserve"> </w:t>
      </w:r>
      <w:r w:rsidRPr="00361139">
        <w:t>aim</w:t>
      </w:r>
      <w:r w:rsidRPr="00361139">
        <w:rPr>
          <w:spacing w:val="-2"/>
        </w:rPr>
        <w:t xml:space="preserve"> </w:t>
      </w:r>
      <w:r w:rsidRPr="00361139">
        <w:t>is</w:t>
      </w:r>
      <w:r w:rsidRPr="00361139">
        <w:rPr>
          <w:spacing w:val="-2"/>
        </w:rPr>
        <w:t xml:space="preserve"> </w:t>
      </w:r>
      <w:r w:rsidRPr="00361139">
        <w:t>to</w:t>
      </w:r>
      <w:r w:rsidRPr="00361139">
        <w:rPr>
          <w:spacing w:val="-3"/>
        </w:rPr>
        <w:t xml:space="preserve"> </w:t>
      </w:r>
      <w:r w:rsidRPr="00361139">
        <w:t>work</w:t>
      </w:r>
      <w:r w:rsidRPr="00361139">
        <w:rPr>
          <w:spacing w:val="-3"/>
        </w:rPr>
        <w:t xml:space="preserve"> </w:t>
      </w:r>
      <w:r w:rsidRPr="00361139">
        <w:t>with</w:t>
      </w:r>
      <w:r w:rsidRPr="00361139">
        <w:rPr>
          <w:spacing w:val="-2"/>
        </w:rPr>
        <w:t xml:space="preserve"> </w:t>
      </w:r>
      <w:r w:rsidRPr="00361139">
        <w:t>entire</w:t>
      </w:r>
      <w:r w:rsidRPr="00361139">
        <w:rPr>
          <w:spacing w:val="-2"/>
        </w:rPr>
        <w:t xml:space="preserve"> </w:t>
      </w:r>
      <w:r w:rsidRPr="00361139">
        <w:t>sectors,</w:t>
      </w:r>
      <w:r w:rsidRPr="00361139">
        <w:rPr>
          <w:spacing w:val="-4"/>
        </w:rPr>
        <w:t xml:space="preserve"> </w:t>
      </w:r>
      <w:r w:rsidRPr="00361139">
        <w:t>value chains</w:t>
      </w:r>
      <w:r w:rsidRPr="00361139">
        <w:rPr>
          <w:spacing w:val="-2"/>
        </w:rPr>
        <w:t xml:space="preserve"> </w:t>
      </w:r>
      <w:r w:rsidRPr="00361139">
        <w:t>or</w:t>
      </w:r>
      <w:r w:rsidRPr="00361139">
        <w:rPr>
          <w:spacing w:val="-4"/>
        </w:rPr>
        <w:t xml:space="preserve"> </w:t>
      </w:r>
      <w:r w:rsidRPr="00361139">
        <w:t>landscape</w:t>
      </w:r>
      <w:r w:rsidRPr="00361139">
        <w:rPr>
          <w:spacing w:val="-5"/>
        </w:rPr>
        <w:t xml:space="preserve"> </w:t>
      </w:r>
      <w:r w:rsidRPr="00361139">
        <w:t>actors</w:t>
      </w:r>
      <w:r w:rsidRPr="00361139">
        <w:rPr>
          <w:spacing w:val="-4"/>
        </w:rPr>
        <w:t xml:space="preserve"> </w:t>
      </w:r>
      <w:r w:rsidRPr="00361139">
        <w:t>to</w:t>
      </w:r>
      <w:r w:rsidRPr="00361139">
        <w:rPr>
          <w:spacing w:val="-4"/>
        </w:rPr>
        <w:t xml:space="preserve"> </w:t>
      </w:r>
      <w:r w:rsidRPr="00361139">
        <w:t>transform</w:t>
      </w:r>
      <w:r w:rsidRPr="00361139">
        <w:rPr>
          <w:spacing w:val="-4"/>
        </w:rPr>
        <w:t xml:space="preserve"> </w:t>
      </w:r>
      <w:r w:rsidRPr="00361139">
        <w:t>economic</w:t>
      </w:r>
      <w:r w:rsidRPr="00361139">
        <w:rPr>
          <w:spacing w:val="-5"/>
        </w:rPr>
        <w:t xml:space="preserve"> </w:t>
      </w:r>
      <w:r w:rsidRPr="00361139">
        <w:t>systems</w:t>
      </w:r>
      <w:r w:rsidRPr="00361139">
        <w:rPr>
          <w:spacing w:val="-4"/>
        </w:rPr>
        <w:t xml:space="preserve"> </w:t>
      </w:r>
      <w:r w:rsidRPr="00361139">
        <w:t>at</w:t>
      </w:r>
      <w:r w:rsidRPr="00361139">
        <w:rPr>
          <w:spacing w:val="-5"/>
        </w:rPr>
        <w:t xml:space="preserve"> </w:t>
      </w:r>
      <w:r w:rsidRPr="00361139">
        <w:t>a</w:t>
      </w:r>
      <w:r w:rsidRPr="00361139">
        <w:rPr>
          <w:spacing w:val="-2"/>
        </w:rPr>
        <w:t xml:space="preserve"> </w:t>
      </w:r>
      <w:r w:rsidRPr="00361139">
        <w:t>meaningful</w:t>
      </w:r>
      <w:r w:rsidRPr="00361139">
        <w:rPr>
          <w:spacing w:val="-4"/>
        </w:rPr>
        <w:t xml:space="preserve"> </w:t>
      </w:r>
      <w:r w:rsidRPr="00361139">
        <w:t>scale</w:t>
      </w:r>
      <w:r w:rsidRPr="00361139">
        <w:rPr>
          <w:spacing w:val="-2"/>
        </w:rPr>
        <w:t xml:space="preserve"> </w:t>
      </w:r>
      <w:r w:rsidRPr="00361139">
        <w:t>and</w:t>
      </w:r>
      <w:r w:rsidRPr="00361139">
        <w:rPr>
          <w:spacing w:val="-4"/>
        </w:rPr>
        <w:t xml:space="preserve"> </w:t>
      </w:r>
      <w:r w:rsidRPr="00361139">
        <w:t xml:space="preserve">with robust project outcomes that endure beyond GEF funding cycles. In addition to the </w:t>
      </w:r>
      <w:proofErr w:type="gramStart"/>
      <w:r w:rsidRPr="00361139">
        <w:t>aforementioned GEF GOLD</w:t>
      </w:r>
      <w:proofErr w:type="gramEnd"/>
      <w:r w:rsidRPr="00361139">
        <w:t>+ and ISLANDS programs, there are excellent examples of engagement with the private sector that exemplify this strategic approach.</w:t>
      </w:r>
    </w:p>
    <w:p w14:paraId="70B3E92C"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In</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global</w:t>
      </w:r>
      <w:r w:rsidRPr="00361139">
        <w:rPr>
          <w:rFonts w:asciiTheme="majorBidi" w:hAnsiTheme="majorBidi" w:cstheme="majorBidi"/>
          <w:spacing w:val="-5"/>
        </w:rPr>
        <w:t xml:space="preserve"> </w:t>
      </w:r>
      <w:r w:rsidRPr="00361139">
        <w:rPr>
          <w:rFonts w:asciiTheme="majorBidi" w:hAnsiTheme="majorBidi" w:cstheme="majorBidi"/>
        </w:rPr>
        <w:t>project</w:t>
      </w:r>
      <w:r w:rsidRPr="00361139">
        <w:rPr>
          <w:rFonts w:asciiTheme="majorBidi" w:hAnsiTheme="majorBidi" w:cstheme="majorBidi"/>
          <w:spacing w:val="-1"/>
        </w:rPr>
        <w:t xml:space="preserve"> </w:t>
      </w:r>
      <w:r w:rsidRPr="00361139">
        <w:rPr>
          <w:rFonts w:asciiTheme="majorBidi" w:hAnsiTheme="majorBidi" w:cstheme="majorBidi"/>
          <w:i/>
        </w:rPr>
        <w:t>Eliminating</w:t>
      </w:r>
      <w:r w:rsidRPr="00361139">
        <w:rPr>
          <w:rFonts w:asciiTheme="majorBidi" w:hAnsiTheme="majorBidi" w:cstheme="majorBidi"/>
          <w:i/>
          <w:spacing w:val="-5"/>
        </w:rPr>
        <w:t xml:space="preserve"> </w:t>
      </w:r>
      <w:r w:rsidRPr="00361139">
        <w:rPr>
          <w:rFonts w:asciiTheme="majorBidi" w:hAnsiTheme="majorBidi" w:cstheme="majorBidi"/>
          <w:i/>
        </w:rPr>
        <w:t>mercury</w:t>
      </w:r>
      <w:r w:rsidRPr="00361139">
        <w:rPr>
          <w:rFonts w:asciiTheme="majorBidi" w:hAnsiTheme="majorBidi" w:cstheme="majorBidi"/>
          <w:i/>
          <w:spacing w:val="-5"/>
        </w:rPr>
        <w:t xml:space="preserve"> </w:t>
      </w:r>
      <w:r w:rsidRPr="00361139">
        <w:rPr>
          <w:rFonts w:asciiTheme="majorBidi" w:hAnsiTheme="majorBidi" w:cstheme="majorBidi"/>
          <w:i/>
        </w:rPr>
        <w:t>skin</w:t>
      </w:r>
      <w:r w:rsidRPr="00361139">
        <w:rPr>
          <w:rFonts w:asciiTheme="majorBidi" w:hAnsiTheme="majorBidi" w:cstheme="majorBidi"/>
          <w:i/>
          <w:spacing w:val="-5"/>
        </w:rPr>
        <w:t xml:space="preserve"> </w:t>
      </w:r>
      <w:r w:rsidRPr="00361139">
        <w:rPr>
          <w:rFonts w:asciiTheme="majorBidi" w:hAnsiTheme="majorBidi" w:cstheme="majorBidi"/>
          <w:i/>
        </w:rPr>
        <w:t>lightening</w:t>
      </w:r>
      <w:r w:rsidRPr="00361139">
        <w:rPr>
          <w:rFonts w:asciiTheme="majorBidi" w:hAnsiTheme="majorBidi" w:cstheme="majorBidi"/>
          <w:i/>
          <w:spacing w:val="-5"/>
        </w:rPr>
        <w:t xml:space="preserve"> </w:t>
      </w:r>
      <w:r w:rsidRPr="00361139">
        <w:rPr>
          <w:rFonts w:asciiTheme="majorBidi" w:hAnsiTheme="majorBidi" w:cstheme="majorBidi"/>
          <w:i/>
        </w:rPr>
        <w:t xml:space="preserve">products </w:t>
      </w:r>
      <w:r w:rsidRPr="00361139">
        <w:rPr>
          <w:rFonts w:asciiTheme="majorBidi" w:hAnsiTheme="majorBidi" w:cstheme="majorBidi"/>
        </w:rPr>
        <w:t>(SLPs)</w:t>
      </w:r>
      <w:r w:rsidRPr="00361139">
        <w:rPr>
          <w:rFonts w:asciiTheme="majorBidi" w:hAnsiTheme="majorBidi" w:cstheme="majorBidi"/>
          <w:spacing w:val="-5"/>
        </w:rPr>
        <w:t xml:space="preserve"> </w:t>
      </w:r>
      <w:r w:rsidRPr="00361139">
        <w:rPr>
          <w:rFonts w:asciiTheme="majorBidi" w:hAnsiTheme="majorBidi" w:cstheme="majorBidi"/>
        </w:rPr>
        <w:t>(GEF</w:t>
      </w:r>
      <w:r w:rsidRPr="00361139">
        <w:rPr>
          <w:rFonts w:asciiTheme="majorBidi" w:hAnsiTheme="majorBidi" w:cstheme="majorBidi"/>
          <w:spacing w:val="-5"/>
        </w:rPr>
        <w:t xml:space="preserve"> </w:t>
      </w:r>
      <w:r w:rsidRPr="00361139">
        <w:rPr>
          <w:rFonts w:asciiTheme="majorBidi" w:hAnsiTheme="majorBidi" w:cstheme="majorBidi"/>
        </w:rPr>
        <w:t>project</w:t>
      </w:r>
      <w:r w:rsidRPr="00361139">
        <w:rPr>
          <w:rFonts w:asciiTheme="majorBidi" w:hAnsiTheme="majorBidi" w:cstheme="majorBidi"/>
          <w:spacing w:val="-1"/>
        </w:rPr>
        <w:t xml:space="preserve"> </w:t>
      </w:r>
      <w:r w:rsidRPr="00361139">
        <w:rPr>
          <w:rFonts w:asciiTheme="majorBidi" w:hAnsiTheme="majorBidi" w:cstheme="majorBidi"/>
        </w:rPr>
        <w:t xml:space="preserve">ID: 10810) the key partners Label </w:t>
      </w:r>
      <w:proofErr w:type="spellStart"/>
      <w:r w:rsidRPr="00361139">
        <w:rPr>
          <w:rFonts w:asciiTheme="majorBidi" w:hAnsiTheme="majorBidi" w:cstheme="majorBidi"/>
        </w:rPr>
        <w:t>Beauté</w:t>
      </w:r>
      <w:proofErr w:type="spellEnd"/>
      <w:r w:rsidRPr="00361139">
        <w:rPr>
          <w:rFonts w:asciiTheme="majorBidi" w:hAnsiTheme="majorBidi" w:cstheme="majorBidi"/>
        </w:rPr>
        <w:t xml:space="preserve"> Noire, Zero Mercury Working Group, </w:t>
      </w:r>
      <w:proofErr w:type="spellStart"/>
      <w:r w:rsidRPr="00361139">
        <w:rPr>
          <w:rFonts w:asciiTheme="majorBidi" w:hAnsiTheme="majorBidi" w:cstheme="majorBidi"/>
        </w:rPr>
        <w:t>BeautyWell</w:t>
      </w:r>
      <w:proofErr w:type="spellEnd"/>
      <w:r w:rsidRPr="00361139">
        <w:rPr>
          <w:rFonts w:asciiTheme="majorBidi" w:hAnsiTheme="majorBidi" w:cstheme="majorBidi"/>
        </w:rPr>
        <w:t xml:space="preserve">, Biodiversity Research Institute and Pantheon of Women Who Inspire aim to stop the production, trade and distribution of SLPs. Importantly, the project will not only address the production side of SLPs but also the powerful marketing channels and influential media representations with online retailers, such as Amazon and eBay. Cosmetics Europe will also be engaged for their distribution networks to their member cosmetics companies and other industry associations </w:t>
      </w:r>
      <w:proofErr w:type="gramStart"/>
      <w:r w:rsidRPr="00361139">
        <w:rPr>
          <w:rFonts w:asciiTheme="majorBidi" w:hAnsiTheme="majorBidi" w:cstheme="majorBidi"/>
        </w:rPr>
        <w:t>in order to</w:t>
      </w:r>
      <w:proofErr w:type="gramEnd"/>
      <w:r w:rsidRPr="00361139">
        <w:rPr>
          <w:rFonts w:asciiTheme="majorBidi" w:hAnsiTheme="majorBidi" w:cstheme="majorBidi"/>
        </w:rPr>
        <w:t xml:space="preserve"> scale down the promotion of SLPs and their undesirable effects, even when reformulated products no longer contain mercury, to reduce overall global </w:t>
      </w:r>
      <w:r w:rsidRPr="00361139">
        <w:rPr>
          <w:rFonts w:asciiTheme="majorBidi" w:hAnsiTheme="majorBidi" w:cstheme="majorBidi"/>
          <w:spacing w:val="-2"/>
        </w:rPr>
        <w:t>demand.</w:t>
      </w:r>
    </w:p>
    <w:p w14:paraId="41052B0E"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 xml:space="preserve">The FSP </w:t>
      </w:r>
      <w:r w:rsidRPr="00361139">
        <w:rPr>
          <w:rFonts w:asciiTheme="majorBidi" w:hAnsiTheme="majorBidi" w:cstheme="majorBidi"/>
          <w:i/>
        </w:rPr>
        <w:t xml:space="preserve">Accelerate implementation of dental amalgam provisions and strengthen country capacities in the environmental sound management of associated wastes under the Minamata Convention </w:t>
      </w:r>
      <w:r w:rsidRPr="00361139">
        <w:rPr>
          <w:rFonts w:asciiTheme="majorBidi" w:hAnsiTheme="majorBidi" w:cstheme="majorBidi"/>
        </w:rPr>
        <w:t>(GEF project ID: 10936) aims to phase down the use of dental amalgam and improve the management of its associated mercury and hazardous wastes based on the risks</w:t>
      </w:r>
      <w:r w:rsidRPr="00361139">
        <w:rPr>
          <w:rFonts w:asciiTheme="majorBidi" w:hAnsiTheme="majorBidi" w:cstheme="majorBidi"/>
          <w:spacing w:val="-4"/>
        </w:rPr>
        <w:t xml:space="preserve"> </w:t>
      </w:r>
      <w:r w:rsidRPr="00361139">
        <w:rPr>
          <w:rFonts w:asciiTheme="majorBidi" w:hAnsiTheme="majorBidi" w:cstheme="majorBidi"/>
        </w:rPr>
        <w:t>they</w:t>
      </w:r>
      <w:r w:rsidRPr="00361139">
        <w:rPr>
          <w:rFonts w:asciiTheme="majorBidi" w:hAnsiTheme="majorBidi" w:cstheme="majorBidi"/>
          <w:spacing w:val="-5"/>
        </w:rPr>
        <w:t xml:space="preserve"> </w:t>
      </w:r>
      <w:r w:rsidRPr="00361139">
        <w:rPr>
          <w:rFonts w:asciiTheme="majorBidi" w:hAnsiTheme="majorBidi" w:cstheme="majorBidi"/>
        </w:rPr>
        <w:t>posed</w:t>
      </w:r>
      <w:r w:rsidRPr="00361139">
        <w:rPr>
          <w:rFonts w:asciiTheme="majorBidi" w:hAnsiTheme="majorBidi" w:cstheme="majorBidi"/>
          <w:spacing w:val="-4"/>
        </w:rPr>
        <w:t xml:space="preserve"> </w:t>
      </w:r>
      <w:r w:rsidRPr="00361139">
        <w:rPr>
          <w:rFonts w:asciiTheme="majorBidi" w:hAnsiTheme="majorBidi" w:cstheme="majorBidi"/>
        </w:rPr>
        <w:t>to</w:t>
      </w:r>
      <w:r w:rsidRPr="00361139">
        <w:rPr>
          <w:rFonts w:asciiTheme="majorBidi" w:hAnsiTheme="majorBidi" w:cstheme="majorBidi"/>
          <w:spacing w:val="-2"/>
        </w:rPr>
        <w:t xml:space="preserve"> </w:t>
      </w:r>
      <w:r w:rsidRPr="00361139">
        <w:rPr>
          <w:rFonts w:asciiTheme="majorBidi" w:hAnsiTheme="majorBidi" w:cstheme="majorBidi"/>
        </w:rPr>
        <w:t>people.</w:t>
      </w:r>
      <w:r w:rsidRPr="00361139">
        <w:rPr>
          <w:rFonts w:asciiTheme="majorBidi" w:hAnsiTheme="majorBidi" w:cstheme="majorBidi"/>
          <w:spacing w:val="-4"/>
        </w:rPr>
        <w:t xml:space="preserve"> </w:t>
      </w:r>
      <w:r w:rsidRPr="00361139">
        <w:rPr>
          <w:rFonts w:asciiTheme="majorBidi" w:hAnsiTheme="majorBidi" w:cstheme="majorBidi"/>
        </w:rPr>
        <w:t>This</w:t>
      </w:r>
      <w:r w:rsidRPr="00361139">
        <w:rPr>
          <w:rFonts w:asciiTheme="majorBidi" w:hAnsiTheme="majorBidi" w:cstheme="majorBidi"/>
          <w:spacing w:val="-5"/>
        </w:rPr>
        <w:t xml:space="preserve"> </w:t>
      </w:r>
      <w:r w:rsidRPr="00361139">
        <w:rPr>
          <w:rFonts w:asciiTheme="majorBidi" w:hAnsiTheme="majorBidi" w:cstheme="majorBidi"/>
        </w:rPr>
        <w:t>project</w:t>
      </w:r>
      <w:r w:rsidRPr="00361139">
        <w:rPr>
          <w:rFonts w:asciiTheme="majorBidi" w:hAnsiTheme="majorBidi" w:cstheme="majorBidi"/>
          <w:spacing w:val="-4"/>
        </w:rPr>
        <w:t xml:space="preserve"> </w:t>
      </w:r>
      <w:r w:rsidRPr="00361139">
        <w:rPr>
          <w:rFonts w:asciiTheme="majorBidi" w:hAnsiTheme="majorBidi" w:cstheme="majorBidi"/>
        </w:rPr>
        <w:t>engages</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World</w:t>
      </w:r>
      <w:r w:rsidRPr="00361139">
        <w:rPr>
          <w:rFonts w:asciiTheme="majorBidi" w:hAnsiTheme="majorBidi" w:cstheme="majorBidi"/>
          <w:spacing w:val="-5"/>
        </w:rPr>
        <w:t xml:space="preserve"> </w:t>
      </w:r>
      <w:r w:rsidRPr="00361139">
        <w:rPr>
          <w:rFonts w:asciiTheme="majorBidi" w:hAnsiTheme="majorBidi" w:cstheme="majorBidi"/>
        </w:rPr>
        <w:t>Dental</w:t>
      </w:r>
      <w:r w:rsidRPr="00361139">
        <w:rPr>
          <w:rFonts w:asciiTheme="majorBidi" w:hAnsiTheme="majorBidi" w:cstheme="majorBidi"/>
          <w:spacing w:val="-6"/>
        </w:rPr>
        <w:t xml:space="preserve"> </w:t>
      </w:r>
      <w:r w:rsidRPr="00361139">
        <w:rPr>
          <w:rFonts w:asciiTheme="majorBidi" w:hAnsiTheme="majorBidi" w:cstheme="majorBidi"/>
        </w:rPr>
        <w:t>Federation</w:t>
      </w:r>
      <w:r w:rsidRPr="00361139">
        <w:rPr>
          <w:rFonts w:asciiTheme="majorBidi" w:hAnsiTheme="majorBidi" w:cstheme="majorBidi"/>
          <w:spacing w:val="-4"/>
        </w:rPr>
        <w:t xml:space="preserve"> </w:t>
      </w:r>
      <w:r w:rsidRPr="00361139">
        <w:rPr>
          <w:rFonts w:asciiTheme="majorBidi" w:hAnsiTheme="majorBidi" w:cstheme="majorBidi"/>
        </w:rPr>
        <w:t>representing</w:t>
      </w:r>
      <w:r w:rsidRPr="00361139">
        <w:rPr>
          <w:rFonts w:asciiTheme="majorBidi" w:hAnsiTheme="majorBidi" w:cstheme="majorBidi"/>
          <w:spacing w:val="-3"/>
        </w:rPr>
        <w:t xml:space="preserve"> </w:t>
      </w:r>
      <w:r w:rsidRPr="00361139">
        <w:rPr>
          <w:rFonts w:asciiTheme="majorBidi" w:hAnsiTheme="majorBidi" w:cstheme="majorBidi"/>
        </w:rPr>
        <w:t>over 200 national dental associations from Africa, Asia-Pacific, Europe, Latin America and North America along with the major dental industries in the participating countries. This approach brings a global scale and a level playing field for industry actors to collaborate and invest that would otherwise not be motivated to act or invest alone or take market risks that are not evenly shared.</w:t>
      </w:r>
    </w:p>
    <w:p w14:paraId="7E518B7A" w14:textId="1D5873FE"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Fashion</w:t>
      </w:r>
      <w:r w:rsidRPr="00361139">
        <w:rPr>
          <w:rFonts w:asciiTheme="majorBidi" w:hAnsiTheme="majorBidi" w:cstheme="majorBidi"/>
          <w:spacing w:val="-4"/>
        </w:rPr>
        <w:t xml:space="preserve"> </w:t>
      </w:r>
      <w:r w:rsidRPr="00361139">
        <w:rPr>
          <w:rFonts w:asciiTheme="majorBidi" w:hAnsiTheme="majorBidi" w:cstheme="majorBidi"/>
        </w:rPr>
        <w:t>Pact</w:t>
      </w:r>
      <w:r w:rsidRPr="00361139">
        <w:rPr>
          <w:rFonts w:asciiTheme="majorBidi" w:hAnsiTheme="majorBidi" w:cstheme="majorBidi"/>
          <w:spacing w:val="-4"/>
        </w:rPr>
        <w:t xml:space="preserve"> </w:t>
      </w:r>
      <w:r w:rsidRPr="00361139">
        <w:rPr>
          <w:rFonts w:asciiTheme="majorBidi" w:hAnsiTheme="majorBidi" w:cstheme="majorBidi"/>
        </w:rPr>
        <w:t>is</w:t>
      </w:r>
      <w:r w:rsidRPr="00361139">
        <w:rPr>
          <w:rFonts w:asciiTheme="majorBidi" w:hAnsiTheme="majorBidi" w:cstheme="majorBidi"/>
          <w:spacing w:val="-5"/>
        </w:rPr>
        <w:t xml:space="preserve"> </w:t>
      </w:r>
      <w:r w:rsidRPr="00361139">
        <w:rPr>
          <w:rFonts w:asciiTheme="majorBidi" w:hAnsiTheme="majorBidi" w:cstheme="majorBidi"/>
        </w:rPr>
        <w:t>the largest</w:t>
      </w:r>
      <w:r w:rsidRPr="00361139">
        <w:rPr>
          <w:rFonts w:asciiTheme="majorBidi" w:hAnsiTheme="majorBidi" w:cstheme="majorBidi"/>
          <w:spacing w:val="-4"/>
        </w:rPr>
        <w:t xml:space="preserve"> </w:t>
      </w:r>
      <w:r w:rsidRPr="00361139">
        <w:rPr>
          <w:rFonts w:asciiTheme="majorBidi" w:hAnsiTheme="majorBidi" w:cstheme="majorBidi"/>
        </w:rPr>
        <w:t>industry</w:t>
      </w:r>
      <w:r w:rsidRPr="00361139">
        <w:rPr>
          <w:rFonts w:asciiTheme="majorBidi" w:hAnsiTheme="majorBidi" w:cstheme="majorBidi"/>
          <w:spacing w:val="-5"/>
        </w:rPr>
        <w:t xml:space="preserve"> </w:t>
      </w:r>
      <w:r w:rsidRPr="00361139">
        <w:rPr>
          <w:rFonts w:asciiTheme="majorBidi" w:hAnsiTheme="majorBidi" w:cstheme="majorBidi"/>
        </w:rPr>
        <w:t>grouping</w:t>
      </w:r>
      <w:r w:rsidRPr="00361139">
        <w:rPr>
          <w:rFonts w:asciiTheme="majorBidi" w:hAnsiTheme="majorBidi" w:cstheme="majorBidi"/>
          <w:spacing w:val="-3"/>
        </w:rPr>
        <w:t xml:space="preserve"> </w:t>
      </w:r>
      <w:r w:rsidRPr="00361139">
        <w:rPr>
          <w:rFonts w:asciiTheme="majorBidi" w:hAnsiTheme="majorBidi" w:cstheme="majorBidi"/>
        </w:rPr>
        <w:t>for</w:t>
      </w:r>
      <w:r w:rsidRPr="00361139">
        <w:rPr>
          <w:rFonts w:asciiTheme="majorBidi" w:hAnsiTheme="majorBidi" w:cstheme="majorBidi"/>
          <w:spacing w:val="-4"/>
        </w:rPr>
        <w:t xml:space="preserve"> </w:t>
      </w:r>
      <w:r w:rsidRPr="00361139">
        <w:rPr>
          <w:rFonts w:asciiTheme="majorBidi" w:hAnsiTheme="majorBidi" w:cstheme="majorBidi"/>
        </w:rPr>
        <w:t>sustainability</w:t>
      </w:r>
      <w:r w:rsidRPr="00361139">
        <w:rPr>
          <w:rFonts w:asciiTheme="majorBidi" w:hAnsiTheme="majorBidi" w:cstheme="majorBidi"/>
          <w:spacing w:val="-2"/>
        </w:rPr>
        <w:t xml:space="preserve"> </w:t>
      </w:r>
      <w:r w:rsidRPr="00361139">
        <w:rPr>
          <w:rFonts w:asciiTheme="majorBidi" w:hAnsiTheme="majorBidi" w:cstheme="majorBidi"/>
        </w:rPr>
        <w:t>in</w:t>
      </w:r>
      <w:r w:rsidRPr="00361139">
        <w:rPr>
          <w:rFonts w:asciiTheme="majorBidi" w:hAnsiTheme="majorBidi" w:cstheme="majorBidi"/>
          <w:spacing w:val="-5"/>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fashion</w:t>
      </w:r>
      <w:r w:rsidRPr="00361139">
        <w:rPr>
          <w:rFonts w:asciiTheme="majorBidi" w:hAnsiTheme="majorBidi" w:cstheme="majorBidi"/>
          <w:spacing w:val="-5"/>
        </w:rPr>
        <w:t xml:space="preserve"> </w:t>
      </w:r>
      <w:r w:rsidRPr="00361139">
        <w:rPr>
          <w:rFonts w:asciiTheme="majorBidi" w:hAnsiTheme="majorBidi" w:cstheme="majorBidi"/>
        </w:rPr>
        <w:t xml:space="preserve">sector, which was launched by French President Emanuel Macron and is driven at the company CEO level, engages the 72 of the </w:t>
      </w:r>
      <w:proofErr w:type="spellStart"/>
      <w:r w:rsidRPr="00361139">
        <w:rPr>
          <w:rFonts w:asciiTheme="majorBidi" w:hAnsiTheme="majorBidi" w:cstheme="majorBidi"/>
        </w:rPr>
        <w:t>worlds</w:t>
      </w:r>
      <w:proofErr w:type="spellEnd"/>
      <w:r w:rsidRPr="00361139">
        <w:rPr>
          <w:rFonts w:asciiTheme="majorBidi" w:hAnsiTheme="majorBidi" w:cstheme="majorBidi"/>
        </w:rPr>
        <w:t xml:space="preserve"> largest companies and over 200 of their brands, ranging from high-end to fast fashion companies, representing one third of global production. In the GEF project </w:t>
      </w:r>
      <w:r w:rsidRPr="00361139">
        <w:rPr>
          <w:rFonts w:asciiTheme="majorBidi" w:hAnsiTheme="majorBidi" w:cstheme="majorBidi"/>
          <w:i/>
        </w:rPr>
        <w:t xml:space="preserve">Transforming the Fashion Sector to Drive Positive Outcomes for Biodiversity, Climate, and Oceans </w:t>
      </w:r>
      <w:r w:rsidRPr="00361139">
        <w:rPr>
          <w:rFonts w:asciiTheme="majorBidi" w:hAnsiTheme="majorBidi" w:cstheme="majorBidi"/>
        </w:rPr>
        <w:t xml:space="preserve">(GEF Project ID: 10658) their collective goal is to </w:t>
      </w:r>
      <w:r w:rsidRPr="00361139">
        <w:rPr>
          <w:rFonts w:asciiTheme="majorBidi" w:hAnsiTheme="majorBidi" w:cstheme="majorBidi"/>
          <w:color w:val="000000"/>
          <w:shd w:val="clear" w:color="auto" w:fill="FBFBFB"/>
        </w:rPr>
        <w:t>facilitate the fashion sector’s</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engagement</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in</w:t>
      </w:r>
      <w:r w:rsidRPr="00361139">
        <w:rPr>
          <w:rFonts w:asciiTheme="majorBidi" w:hAnsiTheme="majorBidi" w:cstheme="majorBidi"/>
          <w:color w:val="000000"/>
          <w:spacing w:val="-5"/>
          <w:shd w:val="clear" w:color="auto" w:fill="FBFBFB"/>
        </w:rPr>
        <w:t xml:space="preserve"> </w:t>
      </w:r>
      <w:r w:rsidRPr="00361139">
        <w:rPr>
          <w:rFonts w:asciiTheme="majorBidi" w:hAnsiTheme="majorBidi" w:cstheme="majorBidi"/>
          <w:color w:val="000000"/>
          <w:shd w:val="clear" w:color="auto" w:fill="FBFBFB"/>
        </w:rPr>
        <w:t>implementing</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the</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lastRenderedPageBreak/>
        <w:t>Science-Based</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Targets</w:t>
      </w:r>
      <w:r w:rsidRPr="00361139">
        <w:rPr>
          <w:rFonts w:asciiTheme="majorBidi" w:hAnsiTheme="majorBidi" w:cstheme="majorBidi"/>
          <w:color w:val="000000"/>
          <w:spacing w:val="-6"/>
          <w:shd w:val="clear" w:color="auto" w:fill="FBFBFB"/>
        </w:rPr>
        <w:t xml:space="preserve"> </w:t>
      </w:r>
      <w:r w:rsidRPr="00361139">
        <w:rPr>
          <w:rFonts w:asciiTheme="majorBidi" w:hAnsiTheme="majorBidi" w:cstheme="majorBidi"/>
          <w:color w:val="000000"/>
          <w:shd w:val="clear" w:color="auto" w:fill="FBFBFB"/>
        </w:rPr>
        <w:t>for</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Nature</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framework</w:t>
      </w:r>
      <w:r w:rsidRPr="00361139">
        <w:rPr>
          <w:rFonts w:asciiTheme="majorBidi" w:hAnsiTheme="majorBidi" w:cstheme="majorBidi"/>
          <w:color w:val="000000"/>
          <w:spacing w:val="-5"/>
          <w:shd w:val="clear" w:color="auto" w:fill="FBFBFB"/>
        </w:rPr>
        <w:t xml:space="preserve"> </w:t>
      </w:r>
      <w:r w:rsidRPr="00361139">
        <w:rPr>
          <w:rFonts w:asciiTheme="majorBidi" w:hAnsiTheme="majorBidi" w:cstheme="majorBidi"/>
          <w:color w:val="000000"/>
          <w:shd w:val="clear" w:color="auto" w:fill="FBFBFB"/>
        </w:rPr>
        <w:t>and</w:t>
      </w:r>
      <w:r w:rsidRPr="00361139">
        <w:rPr>
          <w:rFonts w:asciiTheme="majorBidi" w:hAnsiTheme="majorBidi" w:cstheme="majorBidi"/>
          <w:color w:val="000000"/>
          <w:spacing w:val="-4"/>
          <w:shd w:val="clear" w:color="auto" w:fill="FBFBFB"/>
        </w:rPr>
        <w:t xml:space="preserve"> </w:t>
      </w:r>
      <w:r w:rsidRPr="00361139">
        <w:rPr>
          <w:rFonts w:asciiTheme="majorBidi" w:hAnsiTheme="majorBidi" w:cstheme="majorBidi"/>
          <w:color w:val="000000"/>
          <w:shd w:val="clear" w:color="auto" w:fill="FBFBFB"/>
        </w:rPr>
        <w:t>to eliminate the use of mercury in the production of fashion items that contain gold or leather.</w:t>
      </w:r>
      <w:r w:rsidR="00334B82" w:rsidRPr="00361139">
        <w:rPr>
          <w:rFonts w:asciiTheme="majorBidi" w:hAnsiTheme="majorBidi" w:cstheme="majorBidi"/>
          <w:color w:val="000000"/>
          <w:shd w:val="clear" w:color="auto" w:fill="FBFBFB"/>
        </w:rPr>
        <w:t xml:space="preserve"> </w:t>
      </w:r>
      <w:r w:rsidRPr="00361139">
        <w:rPr>
          <w:rFonts w:asciiTheme="majorBidi" w:hAnsiTheme="majorBidi" w:cstheme="majorBidi"/>
          <w:color w:val="000000"/>
          <w:shd w:val="clear" w:color="auto" w:fill="FBFBFB"/>
        </w:rPr>
        <w:t xml:space="preserve">Participating </w:t>
      </w:r>
      <w:r w:rsidRPr="00361139">
        <w:rPr>
          <w:rFonts w:asciiTheme="majorBidi" w:hAnsiTheme="majorBidi" w:cstheme="majorBidi"/>
          <w:color w:val="000000"/>
        </w:rPr>
        <w:t>companies use a supply chain methodology to identify the environmental and biodiversity impacts of their supply chains with tracking and reporting on their supply chain impacts to inform their waste management and circular economy strategies.</w:t>
      </w:r>
    </w:p>
    <w:p w14:paraId="1960CDE5" w14:textId="77777777" w:rsidR="00CC73DD" w:rsidRPr="00361139" w:rsidRDefault="00CC73DD" w:rsidP="000C76AC">
      <w:pPr>
        <w:pStyle w:val="Normalnumber"/>
        <w:numPr>
          <w:ilvl w:val="0"/>
          <w:numId w:val="8"/>
        </w:numPr>
        <w:tabs>
          <w:tab w:val="left" w:pos="624"/>
          <w:tab w:val="left" w:pos="1247"/>
          <w:tab w:val="left" w:pos="1814"/>
          <w:tab w:val="left" w:pos="2381"/>
          <w:tab w:val="left" w:pos="2948"/>
          <w:tab w:val="left" w:pos="3515"/>
          <w:tab w:val="left" w:pos="4082"/>
        </w:tabs>
        <w:ind w:left="1247" w:firstLine="0"/>
        <w:rPr>
          <w:rFonts w:asciiTheme="majorBidi" w:hAnsiTheme="majorBidi" w:cstheme="majorBidi"/>
        </w:rPr>
      </w:pPr>
      <w:r w:rsidRPr="00361139">
        <w:rPr>
          <w:rFonts w:asciiTheme="majorBidi" w:hAnsiTheme="majorBidi" w:cstheme="majorBidi"/>
        </w:rPr>
        <w:t>In</w:t>
      </w:r>
      <w:r w:rsidRPr="00361139">
        <w:rPr>
          <w:rFonts w:asciiTheme="majorBidi" w:hAnsiTheme="majorBidi" w:cstheme="majorBidi"/>
          <w:spacing w:val="-4"/>
        </w:rPr>
        <w:t xml:space="preserve"> </w:t>
      </w:r>
      <w:r w:rsidRPr="00361139">
        <w:rPr>
          <w:rFonts w:asciiTheme="majorBidi" w:hAnsiTheme="majorBidi" w:cstheme="majorBidi"/>
        </w:rPr>
        <w:t>each</w:t>
      </w:r>
      <w:r w:rsidRPr="00361139">
        <w:rPr>
          <w:rFonts w:asciiTheme="majorBidi" w:hAnsiTheme="majorBidi" w:cstheme="majorBidi"/>
          <w:spacing w:val="-5"/>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these</w:t>
      </w:r>
      <w:r w:rsidRPr="00361139">
        <w:rPr>
          <w:rFonts w:asciiTheme="majorBidi" w:hAnsiTheme="majorBidi" w:cstheme="majorBidi"/>
          <w:spacing w:val="-4"/>
        </w:rPr>
        <w:t xml:space="preserve"> </w:t>
      </w:r>
      <w:r w:rsidRPr="00361139">
        <w:rPr>
          <w:rFonts w:asciiTheme="majorBidi" w:hAnsiTheme="majorBidi" w:cstheme="majorBidi"/>
        </w:rPr>
        <w:t>cases,</w:t>
      </w:r>
      <w:r w:rsidRPr="00361139">
        <w:rPr>
          <w:rFonts w:asciiTheme="majorBidi" w:hAnsiTheme="majorBidi" w:cstheme="majorBidi"/>
          <w:spacing w:val="-6"/>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approach</w:t>
      </w:r>
      <w:r w:rsidRPr="00361139">
        <w:rPr>
          <w:rFonts w:asciiTheme="majorBidi" w:hAnsiTheme="majorBidi" w:cstheme="majorBidi"/>
          <w:spacing w:val="-4"/>
        </w:rPr>
        <w:t xml:space="preserve"> </w:t>
      </w:r>
      <w:r w:rsidRPr="00361139">
        <w:rPr>
          <w:rFonts w:asciiTheme="majorBidi" w:hAnsiTheme="majorBidi" w:cstheme="majorBidi"/>
        </w:rPr>
        <w:t>of</w:t>
      </w:r>
      <w:r w:rsidRPr="00361139">
        <w:rPr>
          <w:rFonts w:asciiTheme="majorBidi" w:hAnsiTheme="majorBidi" w:cstheme="majorBidi"/>
          <w:spacing w:val="-5"/>
        </w:rPr>
        <w:t xml:space="preserve"> </w:t>
      </w:r>
      <w:r w:rsidRPr="00361139">
        <w:rPr>
          <w:rFonts w:asciiTheme="majorBidi" w:hAnsiTheme="majorBidi" w:cstheme="majorBidi"/>
        </w:rPr>
        <w:t>using</w:t>
      </w:r>
      <w:r w:rsidRPr="00361139">
        <w:rPr>
          <w:rFonts w:asciiTheme="majorBidi" w:hAnsiTheme="majorBidi" w:cstheme="majorBidi"/>
          <w:spacing w:val="-4"/>
        </w:rPr>
        <w:t xml:space="preserve"> </w:t>
      </w:r>
      <w:r w:rsidRPr="00361139">
        <w:rPr>
          <w:rFonts w:asciiTheme="majorBidi" w:hAnsiTheme="majorBidi" w:cstheme="majorBidi"/>
        </w:rPr>
        <w:t>multi-stakeholder</w:t>
      </w:r>
      <w:r w:rsidRPr="00361139">
        <w:rPr>
          <w:rFonts w:asciiTheme="majorBidi" w:hAnsiTheme="majorBidi" w:cstheme="majorBidi"/>
          <w:spacing w:val="-4"/>
        </w:rPr>
        <w:t xml:space="preserve"> </w:t>
      </w:r>
      <w:r w:rsidRPr="00361139">
        <w:rPr>
          <w:rFonts w:asciiTheme="majorBidi" w:hAnsiTheme="majorBidi" w:cstheme="majorBidi"/>
        </w:rPr>
        <w:t>platforms</w:t>
      </w:r>
      <w:r w:rsidRPr="00361139">
        <w:rPr>
          <w:rFonts w:asciiTheme="majorBidi" w:hAnsiTheme="majorBidi" w:cstheme="majorBidi"/>
          <w:spacing w:val="-4"/>
        </w:rPr>
        <w:t xml:space="preserve"> </w:t>
      </w:r>
      <w:r w:rsidRPr="00361139">
        <w:rPr>
          <w:rFonts w:asciiTheme="majorBidi" w:hAnsiTheme="majorBidi" w:cstheme="majorBidi"/>
        </w:rPr>
        <w:t>is</w:t>
      </w:r>
      <w:r w:rsidRPr="00361139">
        <w:rPr>
          <w:rFonts w:asciiTheme="majorBidi" w:hAnsiTheme="majorBidi" w:cstheme="majorBidi"/>
          <w:spacing w:val="-4"/>
        </w:rPr>
        <w:t xml:space="preserve"> </w:t>
      </w:r>
      <w:r w:rsidRPr="00361139">
        <w:rPr>
          <w:rFonts w:asciiTheme="majorBidi" w:hAnsiTheme="majorBidi" w:cstheme="majorBidi"/>
        </w:rPr>
        <w:t>bringing larger scale impacts, higher levels of co-financing and investment into solutions for their respective challenges in the management of mercury.</w:t>
      </w:r>
    </w:p>
    <w:p w14:paraId="43F7FA7A" w14:textId="77777777" w:rsidR="00CC73DD" w:rsidRPr="00361139" w:rsidRDefault="00CC73DD" w:rsidP="007E5EED">
      <w:pPr>
        <w:pStyle w:val="Normal-pool"/>
        <w:rPr>
          <w:lang w:val="en-GB"/>
        </w:rPr>
      </w:pPr>
    </w:p>
    <w:p w14:paraId="1B4A1A02" w14:textId="77777777" w:rsidR="007E5EED" w:rsidRPr="00361139" w:rsidRDefault="007E5EED" w:rsidP="007E5EED">
      <w:pPr>
        <w:pStyle w:val="Normal-pool"/>
        <w:rPr>
          <w:lang w:val="en-GB"/>
        </w:rPr>
        <w:sectPr w:rsidR="007E5EED" w:rsidRPr="00361139" w:rsidSect="00446EAC">
          <w:footerReference w:type="first" r:id="rId30"/>
          <w:footnotePr>
            <w:numRestart w:val="eachSect"/>
          </w:footnotePr>
          <w:pgSz w:w="11906" w:h="16838" w:code="9"/>
          <w:pgMar w:top="907" w:right="992" w:bottom="1418" w:left="1418" w:header="539" w:footer="975" w:gutter="0"/>
          <w:cols w:space="539"/>
          <w:docGrid w:linePitch="360"/>
        </w:sectPr>
      </w:pPr>
    </w:p>
    <w:p w14:paraId="4E7A4BCA" w14:textId="19975CD8" w:rsidR="00CC73DD" w:rsidRPr="00361139" w:rsidRDefault="00CC73DD" w:rsidP="007E5EED">
      <w:pPr>
        <w:pStyle w:val="ZZAnxheader"/>
        <w:rPr>
          <w:lang w:val="en-GB"/>
        </w:rPr>
      </w:pPr>
      <w:bookmarkStart w:id="470" w:name="_Toc139975500"/>
      <w:r w:rsidRPr="00361139">
        <w:rPr>
          <w:lang w:val="en-GB"/>
        </w:rPr>
        <w:lastRenderedPageBreak/>
        <w:t>Annex IV</w:t>
      </w:r>
      <w:bookmarkEnd w:id="470"/>
      <w:r w:rsidR="00985A93" w:rsidRPr="00361139">
        <w:rPr>
          <w:szCs w:val="18"/>
          <w:lang w:val="en-GB"/>
        </w:rPr>
        <w:footnoteReference w:customMarkFollows="1" w:id="79"/>
        <w:t>*</w:t>
      </w:r>
    </w:p>
    <w:p w14:paraId="44BA7274" w14:textId="5FE2194C" w:rsidR="00CC73DD" w:rsidRPr="00361139" w:rsidRDefault="00CC73DD" w:rsidP="007E5EED">
      <w:pPr>
        <w:pStyle w:val="ZZAnxtitle"/>
        <w:rPr>
          <w:rFonts w:eastAsia="DengXian"/>
          <w:sz w:val="22"/>
          <w:szCs w:val="22"/>
          <w:lang w:val="en-GB"/>
        </w:rPr>
      </w:pPr>
      <w:bookmarkStart w:id="471" w:name="_Toc139975501"/>
      <w:r w:rsidRPr="00361139">
        <w:rPr>
          <w:lang w:val="en-GB"/>
        </w:rPr>
        <w:t>Response of the co-chairs of the Executive Board of the Special Programme to the request for inputs on the Minamata Convention’s effectiveness review of the financial mechanism</w:t>
      </w:r>
      <w:bookmarkEnd w:id="471"/>
    </w:p>
    <w:p w14:paraId="3FC59F76" w14:textId="77777777" w:rsidR="00CC73DD" w:rsidRPr="00361139" w:rsidRDefault="00CC73DD" w:rsidP="00765A9D">
      <w:pPr>
        <w:pStyle w:val="NormalNonumber"/>
        <w:rPr>
          <w:rFonts w:eastAsia="DengXian"/>
          <w:lang w:val="en-GB"/>
        </w:rPr>
      </w:pPr>
      <w:r w:rsidRPr="00361139">
        <w:rPr>
          <w:rFonts w:eastAsia="DengXian"/>
          <w:lang w:val="en-GB"/>
        </w:rPr>
        <w:t>The Special Programme Terms of Reference, adopted by UNEA resolution 1/5, specify that the Special Programme’s objective is to support institutional strengthening at the national level in the context of an integrated approach to financing the sound management of chemicals and waste, taking into account the national development strategies, plans and priorities of each country, to increase sustainable public institutional capacity for the sound management of chemicals and wastes throughout their life cycle. Institutional strengthening under the Special Programme will facilitate and enable the implementation of the Basel, Rotterdam and Stockholm Conventions, the Minamata Convention and the Strategic Approach to International Chemicals Management.</w:t>
      </w:r>
    </w:p>
    <w:p w14:paraId="1B834B1C" w14:textId="77777777" w:rsidR="00CC73DD" w:rsidRPr="00361139" w:rsidRDefault="00CC73DD" w:rsidP="00765A9D">
      <w:pPr>
        <w:pStyle w:val="NormalNonumber"/>
        <w:rPr>
          <w:rFonts w:eastAsia="DengXian"/>
          <w:lang w:val="en-GB"/>
        </w:rPr>
      </w:pPr>
      <w:r w:rsidRPr="00361139">
        <w:rPr>
          <w:rFonts w:eastAsia="DengXian"/>
          <w:lang w:val="en-GB"/>
        </w:rPr>
        <w:t xml:space="preserve">Paragraph 4 of the Terms of Reference specifies that the Special Programme ‘should avoid duplication and proliferation of funding mechanisms and associated </w:t>
      </w:r>
      <w:proofErr w:type="gramStart"/>
      <w:r w:rsidRPr="00361139">
        <w:rPr>
          <w:rFonts w:eastAsia="DengXian"/>
          <w:lang w:val="en-GB"/>
        </w:rPr>
        <w:t>administration, and</w:t>
      </w:r>
      <w:proofErr w:type="gramEnd"/>
      <w:r w:rsidRPr="00361139">
        <w:rPr>
          <w:rFonts w:eastAsia="DengXian"/>
          <w:lang w:val="en-GB"/>
        </w:rPr>
        <w:t xml:space="preserve"> should fund activities that fall outside the mandate of the Global Environment Facility’.</w:t>
      </w:r>
    </w:p>
    <w:p w14:paraId="16E53177" w14:textId="77777777" w:rsidR="00CC73DD" w:rsidRPr="00361139" w:rsidRDefault="00CC73DD" w:rsidP="00765A9D">
      <w:pPr>
        <w:pStyle w:val="NormalNonumber"/>
        <w:rPr>
          <w:rFonts w:eastAsia="DengXian"/>
          <w:lang w:val="en-GB"/>
        </w:rPr>
      </w:pPr>
      <w:r w:rsidRPr="00361139">
        <w:rPr>
          <w:rFonts w:eastAsia="DengXian"/>
          <w:lang w:val="en-GB"/>
        </w:rPr>
        <w:t>The inputs from the Special Programme on the effectiveness of the financial mechanism of the Minamata Convention focus on the need to achieve complementarity and avoid duplication between the two funding mechanisms. In this respect the following is relevant:</w:t>
      </w:r>
    </w:p>
    <w:p w14:paraId="71A74FDC" w14:textId="77777777" w:rsidR="00CC73DD" w:rsidRPr="00361139" w:rsidRDefault="00CC73DD" w:rsidP="000C76AC">
      <w:pPr>
        <w:pStyle w:val="Normalnumber"/>
        <w:numPr>
          <w:ilvl w:val="0"/>
          <w:numId w:val="11"/>
        </w:numPr>
        <w:ind w:left="1247"/>
        <w:rPr>
          <w:rFonts w:eastAsia="DengXian"/>
        </w:rPr>
      </w:pPr>
      <w:r w:rsidRPr="00361139">
        <w:rPr>
          <w:rFonts w:eastAsia="DengXian"/>
        </w:rPr>
        <w:t>The Minamata Secretariat and the Special Programme Secretariat have established a good working relationship, interacting on a regular basis during the review of project applications, and as needed on issues that may arise from time to time.</w:t>
      </w:r>
    </w:p>
    <w:p w14:paraId="3AAF9C84" w14:textId="77777777" w:rsidR="00CC73DD" w:rsidRPr="00361139" w:rsidRDefault="00CC73DD" w:rsidP="00D66608">
      <w:pPr>
        <w:pStyle w:val="Normalnumber"/>
        <w:ind w:left="1247"/>
        <w:rPr>
          <w:rFonts w:eastAsia="DengXian"/>
        </w:rPr>
      </w:pPr>
      <w:r w:rsidRPr="00361139">
        <w:rPr>
          <w:rFonts w:eastAsia="DengXian"/>
        </w:rPr>
        <w:t>The Minamata Secretariat participates as an observer at meetings of the Special Programme Executive Board, allowing it to maintain an overview of the Special Programme’s operations and approved projects.</w:t>
      </w:r>
    </w:p>
    <w:p w14:paraId="7E143583" w14:textId="77777777" w:rsidR="00CC73DD" w:rsidRPr="00361139" w:rsidRDefault="00CC73DD" w:rsidP="00D66608">
      <w:pPr>
        <w:pStyle w:val="Normalnumber"/>
        <w:ind w:left="1247"/>
        <w:rPr>
          <w:rFonts w:eastAsia="DengXian"/>
        </w:rPr>
      </w:pPr>
      <w:r w:rsidRPr="00361139">
        <w:rPr>
          <w:rFonts w:eastAsia="DengXian"/>
        </w:rPr>
        <w:t xml:space="preserve">The Minamata and Special Programme Secretariats have developed complementary mechanisms whereby each secretariat participates in the substantive review and appraisal of the applications submitted under the other funding mechanism. This ensures that the mandate of each is respected, and that new applications can build upon existing approved projects, while avoiding duplication of efforts and funding. </w:t>
      </w:r>
    </w:p>
    <w:p w14:paraId="3F736484" w14:textId="77777777" w:rsidR="003E517B" w:rsidRPr="00361139" w:rsidRDefault="00CC73DD" w:rsidP="00765A9D">
      <w:pPr>
        <w:pStyle w:val="Normal-pool"/>
        <w:rPr>
          <w:lang w:val="en-GB"/>
        </w:rPr>
        <w:sectPr w:rsidR="003E517B" w:rsidRPr="00361139" w:rsidSect="00446EAC">
          <w:footnotePr>
            <w:numRestart w:val="eachSect"/>
          </w:footnotePr>
          <w:pgSz w:w="11906" w:h="16838" w:code="9"/>
          <w:pgMar w:top="907" w:right="992" w:bottom="1418" w:left="1418" w:header="539" w:footer="975" w:gutter="0"/>
          <w:cols w:space="539"/>
          <w:docGrid w:linePitch="360"/>
        </w:sectPr>
      </w:pPr>
      <w:r w:rsidRPr="00361139">
        <w:rPr>
          <w:lang w:val="en-GB"/>
        </w:rPr>
        <w:br w:type="page"/>
      </w:r>
    </w:p>
    <w:p w14:paraId="1F1A969D" w14:textId="3C4F5B63" w:rsidR="00CC73DD" w:rsidRPr="00361139" w:rsidRDefault="00CC73DD" w:rsidP="003E517B">
      <w:pPr>
        <w:pStyle w:val="ZZAnxheader"/>
        <w:rPr>
          <w:lang w:val="en-GB"/>
        </w:rPr>
      </w:pPr>
      <w:bookmarkStart w:id="472" w:name="_Toc139975502"/>
      <w:r w:rsidRPr="00361139">
        <w:rPr>
          <w:lang w:val="en-GB"/>
        </w:rPr>
        <w:lastRenderedPageBreak/>
        <w:t>Annex V</w:t>
      </w:r>
      <w:bookmarkEnd w:id="472"/>
      <w:r w:rsidR="00985A93" w:rsidRPr="00361139">
        <w:rPr>
          <w:szCs w:val="18"/>
          <w:lang w:val="en-GB"/>
        </w:rPr>
        <w:footnoteReference w:customMarkFollows="1" w:id="80"/>
        <w:t>*</w:t>
      </w:r>
    </w:p>
    <w:p w14:paraId="5A10BEA7" w14:textId="77777777" w:rsidR="00CC73DD" w:rsidRPr="00361139" w:rsidRDefault="00CC73DD" w:rsidP="003E517B">
      <w:pPr>
        <w:pStyle w:val="ZZAnxtitle"/>
        <w:rPr>
          <w:lang w:val="en-GB"/>
        </w:rPr>
      </w:pPr>
      <w:bookmarkStart w:id="473" w:name="_Toc138845706"/>
      <w:bookmarkStart w:id="474" w:name="_Toc138845761"/>
      <w:bookmarkStart w:id="475" w:name="_Toc138848019"/>
      <w:bookmarkStart w:id="476" w:name="_Toc139975503"/>
      <w:r w:rsidRPr="00361139">
        <w:rPr>
          <w:lang w:val="en-GB"/>
        </w:rPr>
        <w:t>Submission</w:t>
      </w:r>
      <w:r w:rsidRPr="00361139">
        <w:rPr>
          <w:spacing w:val="-1"/>
          <w:lang w:val="en-GB"/>
        </w:rPr>
        <w:t xml:space="preserve"> </w:t>
      </w:r>
      <w:r w:rsidRPr="00361139">
        <w:rPr>
          <w:lang w:val="en-GB"/>
        </w:rPr>
        <w:t>from</w:t>
      </w:r>
      <w:r w:rsidRPr="00361139">
        <w:rPr>
          <w:spacing w:val="-3"/>
          <w:lang w:val="en-GB"/>
        </w:rPr>
        <w:t xml:space="preserve"> </w:t>
      </w:r>
      <w:r w:rsidRPr="00361139">
        <w:rPr>
          <w:lang w:val="en-GB"/>
        </w:rPr>
        <w:t>the</w:t>
      </w:r>
      <w:r w:rsidRPr="00361139">
        <w:rPr>
          <w:spacing w:val="-2"/>
          <w:lang w:val="en-GB"/>
        </w:rPr>
        <w:t xml:space="preserve"> </w:t>
      </w:r>
      <w:r w:rsidRPr="00361139">
        <w:rPr>
          <w:lang w:val="en-GB"/>
        </w:rPr>
        <w:t>Chair</w:t>
      </w:r>
      <w:r w:rsidRPr="00361139">
        <w:rPr>
          <w:spacing w:val="-1"/>
          <w:lang w:val="en-GB"/>
        </w:rPr>
        <w:t xml:space="preserve"> </w:t>
      </w:r>
      <w:r w:rsidRPr="00361139">
        <w:rPr>
          <w:lang w:val="en-GB"/>
        </w:rPr>
        <w:t>of</w:t>
      </w:r>
      <w:r w:rsidRPr="00361139">
        <w:rPr>
          <w:spacing w:val="-2"/>
          <w:lang w:val="en-GB"/>
        </w:rPr>
        <w:t xml:space="preserve"> </w:t>
      </w:r>
      <w:r w:rsidRPr="00361139">
        <w:rPr>
          <w:lang w:val="en-GB"/>
        </w:rPr>
        <w:t>the Global Mercury Partnership Advisory Group</w:t>
      </w:r>
      <w:bookmarkEnd w:id="473"/>
      <w:bookmarkEnd w:id="474"/>
      <w:bookmarkEnd w:id="475"/>
      <w:bookmarkEnd w:id="476"/>
    </w:p>
    <w:p w14:paraId="4F6F00A8" w14:textId="1E801959" w:rsidR="00CC73DD" w:rsidRPr="00361139" w:rsidRDefault="003E517B" w:rsidP="003E517B">
      <w:pPr>
        <w:pStyle w:val="CH1"/>
        <w:rPr>
          <w:lang w:val="en-GB"/>
        </w:rPr>
      </w:pPr>
      <w:r w:rsidRPr="00361139">
        <w:rPr>
          <w:lang w:val="en-GB"/>
        </w:rPr>
        <w:tab/>
      </w:r>
      <w:r w:rsidRPr="00361139">
        <w:rPr>
          <w:lang w:val="en-GB"/>
        </w:rPr>
        <w:tab/>
      </w:r>
      <w:bookmarkStart w:id="477" w:name="_Toc139975504"/>
      <w:bookmarkStart w:id="478" w:name="_Toc139976252"/>
      <w:bookmarkStart w:id="479" w:name="_Toc139982272"/>
      <w:bookmarkStart w:id="480" w:name="_Toc139983984"/>
      <w:bookmarkStart w:id="481" w:name="_Toc139984224"/>
      <w:r w:rsidR="00CC73DD" w:rsidRPr="00361139">
        <w:rPr>
          <w:lang w:val="en-GB"/>
        </w:rPr>
        <w:t>Introduction</w:t>
      </w:r>
      <w:bookmarkEnd w:id="477"/>
      <w:bookmarkEnd w:id="478"/>
      <w:bookmarkEnd w:id="479"/>
      <w:bookmarkEnd w:id="480"/>
      <w:bookmarkEnd w:id="481"/>
    </w:p>
    <w:p w14:paraId="70790DC3" w14:textId="625B3670" w:rsidR="00CC73DD" w:rsidRPr="00361139" w:rsidRDefault="00CC73DD" w:rsidP="000C76AC">
      <w:pPr>
        <w:pStyle w:val="Normalnumber"/>
        <w:numPr>
          <w:ilvl w:val="0"/>
          <w:numId w:val="12"/>
        </w:numPr>
      </w:pPr>
      <w:r w:rsidRPr="00361139">
        <w:t>In its decision MC-4/7 (“Second review of the</w:t>
      </w:r>
      <w:r w:rsidRPr="00361139">
        <w:rPr>
          <w:spacing w:val="-1"/>
        </w:rPr>
        <w:t xml:space="preserve"> </w:t>
      </w:r>
      <w:r w:rsidRPr="00361139">
        <w:t>financial mechanism”), the</w:t>
      </w:r>
      <w:r w:rsidRPr="00361139">
        <w:rPr>
          <w:spacing w:val="-1"/>
        </w:rPr>
        <w:t xml:space="preserve"> </w:t>
      </w:r>
      <w:r w:rsidRPr="00361139">
        <w:t>fourth meeting</w:t>
      </w:r>
      <w:r w:rsidRPr="00361139">
        <w:rPr>
          <w:spacing w:val="-5"/>
        </w:rPr>
        <w:t xml:space="preserve"> </w:t>
      </w:r>
      <w:r w:rsidRPr="00361139">
        <w:t>of the Conference of the Parties to the Minamata Convention on Mercury invited submissions from Parties, intergovernmental</w:t>
      </w:r>
      <w:r w:rsidRPr="00361139">
        <w:rPr>
          <w:spacing w:val="-4"/>
        </w:rPr>
        <w:t xml:space="preserve"> </w:t>
      </w:r>
      <w:r w:rsidRPr="00361139">
        <w:t>organizations,</w:t>
      </w:r>
      <w:r w:rsidRPr="00361139">
        <w:rPr>
          <w:spacing w:val="-3"/>
        </w:rPr>
        <w:t xml:space="preserve"> </w:t>
      </w:r>
      <w:r w:rsidRPr="00361139">
        <w:t>non-governmental</w:t>
      </w:r>
      <w:r w:rsidRPr="00361139">
        <w:rPr>
          <w:spacing w:val="-5"/>
        </w:rPr>
        <w:t xml:space="preserve"> </w:t>
      </w:r>
      <w:r w:rsidRPr="00361139">
        <w:t>organizations</w:t>
      </w:r>
      <w:r w:rsidRPr="00361139">
        <w:rPr>
          <w:spacing w:val="-3"/>
        </w:rPr>
        <w:t xml:space="preserve"> </w:t>
      </w:r>
      <w:r w:rsidRPr="00361139">
        <w:t>and</w:t>
      </w:r>
      <w:r w:rsidRPr="00361139">
        <w:rPr>
          <w:spacing w:val="-3"/>
        </w:rPr>
        <w:t xml:space="preserve"> </w:t>
      </w:r>
      <w:r w:rsidRPr="00361139">
        <w:t>stakeholders</w:t>
      </w:r>
      <w:r w:rsidRPr="00361139">
        <w:rPr>
          <w:spacing w:val="-3"/>
        </w:rPr>
        <w:t xml:space="preserve"> </w:t>
      </w:r>
      <w:r w:rsidRPr="00361139">
        <w:t>on</w:t>
      </w:r>
      <w:r w:rsidRPr="00361139">
        <w:rPr>
          <w:spacing w:val="-3"/>
        </w:rPr>
        <w:t xml:space="preserve"> </w:t>
      </w:r>
      <w:r w:rsidRPr="00361139">
        <w:t>their</w:t>
      </w:r>
      <w:r w:rsidRPr="00361139">
        <w:rPr>
          <w:spacing w:val="-3"/>
        </w:rPr>
        <w:t xml:space="preserve"> </w:t>
      </w:r>
      <w:r w:rsidRPr="00361139">
        <w:t xml:space="preserve">experience gained through their interactions with the financial mechanism of the Convention, over the period of August 2019 to July 2022. Submission from the UNEP Global Mercury Partnership was called for relative to its interaction with the financial mechanism in advancing the implementation of the </w:t>
      </w:r>
      <w:r w:rsidRPr="00361139">
        <w:rPr>
          <w:spacing w:val="-2"/>
        </w:rPr>
        <w:t>Convention.</w:t>
      </w:r>
    </w:p>
    <w:p w14:paraId="6F11DEC8" w14:textId="77777777" w:rsidR="00CC73DD" w:rsidRPr="00361139" w:rsidRDefault="00CC73DD" w:rsidP="00361139">
      <w:pPr>
        <w:pStyle w:val="Normalnumber"/>
        <w:numPr>
          <w:ilvl w:val="0"/>
          <w:numId w:val="12"/>
        </w:numPr>
      </w:pPr>
      <w:r w:rsidRPr="00361139">
        <w:t>In response to this request, the Chair of the Partnership Advisory Group is delighted to hereby share some observations with respect to the experience of the Partnership. It should</w:t>
      </w:r>
      <w:r w:rsidRPr="00361139">
        <w:rPr>
          <w:spacing w:val="-1"/>
        </w:rPr>
        <w:t xml:space="preserve"> </w:t>
      </w:r>
      <w:r w:rsidRPr="00361139">
        <w:t>be</w:t>
      </w:r>
      <w:r w:rsidRPr="00361139">
        <w:rPr>
          <w:spacing w:val="-4"/>
        </w:rPr>
        <w:t xml:space="preserve"> </w:t>
      </w:r>
      <w:r w:rsidRPr="00361139">
        <w:t xml:space="preserve">highlighted that interactions with the entities comprising the financial mechanism of the Convention occur at different levels, </w:t>
      </w:r>
      <w:proofErr w:type="gramStart"/>
      <w:r w:rsidRPr="00361139">
        <w:t>in light of</w:t>
      </w:r>
      <w:proofErr w:type="gramEnd"/>
      <w:r w:rsidRPr="00361139">
        <w:t xml:space="preserve"> the Partnership’s multistakeholder membership and its activities. Members of the Partnership, from governments, international organizations, non-governmental</w:t>
      </w:r>
      <w:r w:rsidRPr="00361139">
        <w:rPr>
          <w:spacing w:val="-2"/>
        </w:rPr>
        <w:t xml:space="preserve"> </w:t>
      </w:r>
      <w:r w:rsidRPr="00361139">
        <w:t>organizations, industry, private sector, academia</w:t>
      </w:r>
      <w:r w:rsidRPr="00361139">
        <w:rPr>
          <w:spacing w:val="-1"/>
        </w:rPr>
        <w:t xml:space="preserve"> </w:t>
      </w:r>
      <w:r w:rsidRPr="00361139">
        <w:t>or the scientific community may indeed endorse different</w:t>
      </w:r>
      <w:r w:rsidRPr="00361139">
        <w:rPr>
          <w:spacing w:val="-2"/>
        </w:rPr>
        <w:t xml:space="preserve"> </w:t>
      </w:r>
      <w:r w:rsidRPr="00361139">
        <w:t>“roles”</w:t>
      </w:r>
      <w:r w:rsidRPr="00361139">
        <w:rPr>
          <w:spacing w:val="-1"/>
        </w:rPr>
        <w:t xml:space="preserve"> </w:t>
      </w:r>
      <w:r w:rsidRPr="00361139">
        <w:t>with respect to the Convention’s financial mechanism, including as donors, direct beneficiaries, or project partners in the</w:t>
      </w:r>
      <w:r w:rsidRPr="00361139">
        <w:rPr>
          <w:spacing w:val="-2"/>
        </w:rPr>
        <w:t xml:space="preserve"> </w:t>
      </w:r>
      <w:r w:rsidRPr="00361139">
        <w:t>implementation or execution.</w:t>
      </w:r>
      <w:r w:rsidRPr="00361139">
        <w:rPr>
          <w:spacing w:val="-1"/>
        </w:rPr>
        <w:t xml:space="preserve"> </w:t>
      </w:r>
      <w:r w:rsidRPr="00361139">
        <w:t>Further information</w:t>
      </w:r>
      <w:r w:rsidRPr="00361139">
        <w:rPr>
          <w:spacing w:val="-1"/>
        </w:rPr>
        <w:t xml:space="preserve"> </w:t>
      </w:r>
      <w:r w:rsidRPr="00361139">
        <w:t>on</w:t>
      </w:r>
      <w:r w:rsidRPr="00361139">
        <w:rPr>
          <w:spacing w:val="-2"/>
        </w:rPr>
        <w:t xml:space="preserve"> </w:t>
      </w:r>
      <w:r w:rsidRPr="00361139">
        <w:t>the work of</w:t>
      </w:r>
      <w:r w:rsidRPr="00361139">
        <w:rPr>
          <w:spacing w:val="-2"/>
        </w:rPr>
        <w:t xml:space="preserve"> </w:t>
      </w:r>
      <w:r w:rsidRPr="00361139">
        <w:t>the Partnership and its</w:t>
      </w:r>
      <w:r w:rsidRPr="00361139">
        <w:rPr>
          <w:spacing w:val="-2"/>
        </w:rPr>
        <w:t xml:space="preserve"> </w:t>
      </w:r>
      <w:r w:rsidRPr="00361139">
        <w:t>partners is made available to the Conference of the Parties through its regular activity reports</w:t>
      </w:r>
      <w:r w:rsidRPr="00361139">
        <w:rPr>
          <w:rStyle w:val="FootnoteReference"/>
          <w:rFonts w:asciiTheme="majorBidi" w:hAnsiTheme="majorBidi" w:cstheme="majorBidi"/>
        </w:rPr>
        <w:footnoteReference w:id="81"/>
      </w:r>
      <w:r w:rsidRPr="00361139">
        <w:t>.</w:t>
      </w:r>
    </w:p>
    <w:p w14:paraId="1B9CA30F" w14:textId="44FAA788" w:rsidR="00CC73DD" w:rsidRPr="00361139" w:rsidRDefault="007441C0" w:rsidP="007441C0">
      <w:pPr>
        <w:pStyle w:val="CH1"/>
        <w:rPr>
          <w:lang w:val="en-GB"/>
        </w:rPr>
      </w:pPr>
      <w:bookmarkStart w:id="482" w:name="_Toc138845707"/>
      <w:bookmarkStart w:id="483" w:name="_Toc138845762"/>
      <w:bookmarkStart w:id="484" w:name="_Toc138847500"/>
      <w:bookmarkStart w:id="485" w:name="_Toc138848020"/>
      <w:bookmarkStart w:id="486" w:name="_Toc138845708"/>
      <w:bookmarkStart w:id="487" w:name="_Toc138845763"/>
      <w:bookmarkStart w:id="488" w:name="_Toc138848021"/>
      <w:bookmarkEnd w:id="482"/>
      <w:bookmarkEnd w:id="483"/>
      <w:bookmarkEnd w:id="484"/>
      <w:bookmarkEnd w:id="485"/>
      <w:r w:rsidRPr="00361139">
        <w:rPr>
          <w:lang w:val="en-GB"/>
        </w:rPr>
        <w:tab/>
      </w:r>
      <w:bookmarkStart w:id="489" w:name="_Toc139975505"/>
      <w:bookmarkStart w:id="490" w:name="_Toc139976253"/>
      <w:bookmarkStart w:id="491" w:name="_Toc139982273"/>
      <w:bookmarkStart w:id="492" w:name="_Toc139983985"/>
      <w:bookmarkStart w:id="493" w:name="_Toc139984225"/>
      <w:r w:rsidRPr="00361139">
        <w:rPr>
          <w:lang w:val="en-GB"/>
        </w:rPr>
        <w:t>I.</w:t>
      </w:r>
      <w:r w:rsidRPr="00361139">
        <w:rPr>
          <w:lang w:val="en-GB"/>
        </w:rPr>
        <w:tab/>
      </w:r>
      <w:r w:rsidR="00CC73DD" w:rsidRPr="00361139">
        <w:rPr>
          <w:lang w:val="en-GB"/>
        </w:rPr>
        <w:t>Global</w:t>
      </w:r>
      <w:r w:rsidR="00CC73DD" w:rsidRPr="00361139">
        <w:rPr>
          <w:spacing w:val="-15"/>
          <w:lang w:val="en-GB"/>
        </w:rPr>
        <w:t xml:space="preserve"> </w:t>
      </w:r>
      <w:r w:rsidR="00CC73DD" w:rsidRPr="00361139">
        <w:rPr>
          <w:lang w:val="en-GB"/>
        </w:rPr>
        <w:t>Environment</w:t>
      </w:r>
      <w:r w:rsidR="00CC73DD" w:rsidRPr="00361139">
        <w:rPr>
          <w:spacing w:val="-15"/>
          <w:lang w:val="en-GB"/>
        </w:rPr>
        <w:t xml:space="preserve"> </w:t>
      </w:r>
      <w:r w:rsidR="00CC73DD" w:rsidRPr="00361139">
        <w:rPr>
          <w:spacing w:val="-2"/>
          <w:lang w:val="en-GB"/>
        </w:rPr>
        <w:t>Facility</w:t>
      </w:r>
      <w:bookmarkEnd w:id="486"/>
      <w:bookmarkEnd w:id="487"/>
      <w:bookmarkEnd w:id="488"/>
      <w:bookmarkEnd w:id="489"/>
      <w:bookmarkEnd w:id="490"/>
      <w:bookmarkEnd w:id="491"/>
      <w:bookmarkEnd w:id="492"/>
      <w:bookmarkEnd w:id="493"/>
    </w:p>
    <w:p w14:paraId="6328286D"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 xml:space="preserve">Interactions with the Global Environment Facility take place at different levels, including through direct </w:t>
      </w:r>
      <w:r w:rsidRPr="00361139">
        <w:t>implementation</w:t>
      </w:r>
      <w:r w:rsidRPr="00361139">
        <w:rPr>
          <w:rFonts w:asciiTheme="majorBidi" w:hAnsiTheme="majorBidi" w:cstheme="majorBidi"/>
        </w:rPr>
        <w:t xml:space="preserve"> and </w:t>
      </w:r>
      <w:r w:rsidRPr="00361139">
        <w:t>execution</w:t>
      </w:r>
      <w:r w:rsidRPr="00361139">
        <w:rPr>
          <w:rFonts w:asciiTheme="majorBidi" w:hAnsiTheme="majorBidi" w:cstheme="majorBidi"/>
        </w:rPr>
        <w:t xml:space="preserve"> of projects. The GEF Secretariat also participates on a regular</w:t>
      </w:r>
      <w:r w:rsidRPr="00361139">
        <w:rPr>
          <w:rFonts w:asciiTheme="majorBidi" w:hAnsiTheme="majorBidi" w:cstheme="majorBidi"/>
          <w:spacing w:val="-5"/>
        </w:rPr>
        <w:t xml:space="preserve"> </w:t>
      </w:r>
      <w:r w:rsidRPr="00361139">
        <w:rPr>
          <w:rFonts w:asciiTheme="majorBidi" w:hAnsiTheme="majorBidi" w:cstheme="majorBidi"/>
        </w:rPr>
        <w:t>basis</w:t>
      </w:r>
      <w:r w:rsidRPr="00361139">
        <w:rPr>
          <w:rFonts w:asciiTheme="majorBidi" w:hAnsiTheme="majorBidi" w:cstheme="majorBidi"/>
          <w:spacing w:val="-7"/>
        </w:rPr>
        <w:t xml:space="preserve"> </w:t>
      </w:r>
      <w:r w:rsidRPr="00361139">
        <w:rPr>
          <w:rFonts w:asciiTheme="majorBidi" w:hAnsiTheme="majorBidi" w:cstheme="majorBidi"/>
        </w:rPr>
        <w:t>in</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6"/>
        </w:rPr>
        <w:t xml:space="preserve"> </w:t>
      </w:r>
      <w:r w:rsidRPr="00361139">
        <w:rPr>
          <w:rFonts w:asciiTheme="majorBidi" w:hAnsiTheme="majorBidi" w:cstheme="majorBidi"/>
        </w:rPr>
        <w:t>meetings</w:t>
      </w:r>
      <w:r w:rsidRPr="00361139">
        <w:rPr>
          <w:rFonts w:asciiTheme="majorBidi" w:hAnsiTheme="majorBidi" w:cstheme="majorBidi"/>
          <w:spacing w:val="-7"/>
        </w:rPr>
        <w:t xml:space="preserve"> </w:t>
      </w:r>
      <w:r w:rsidRPr="00361139">
        <w:rPr>
          <w:rFonts w:asciiTheme="majorBidi" w:hAnsiTheme="majorBidi" w:cstheme="majorBidi"/>
        </w:rPr>
        <w:t>of</w:t>
      </w:r>
      <w:r w:rsidRPr="00361139">
        <w:rPr>
          <w:rFonts w:asciiTheme="majorBidi" w:hAnsiTheme="majorBidi" w:cstheme="majorBidi"/>
          <w:spacing w:val="-4"/>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Partnership</w:t>
      </w:r>
      <w:r w:rsidRPr="00361139">
        <w:rPr>
          <w:rFonts w:asciiTheme="majorBidi" w:hAnsiTheme="majorBidi" w:cstheme="majorBidi"/>
          <w:spacing w:val="-2"/>
        </w:rPr>
        <w:t xml:space="preserve"> </w:t>
      </w:r>
      <w:r w:rsidRPr="00361139">
        <w:rPr>
          <w:rFonts w:asciiTheme="majorBidi" w:hAnsiTheme="majorBidi" w:cstheme="majorBidi"/>
        </w:rPr>
        <w:t>Advisory</w:t>
      </w:r>
      <w:r w:rsidRPr="00361139">
        <w:rPr>
          <w:rFonts w:asciiTheme="majorBidi" w:hAnsiTheme="majorBidi" w:cstheme="majorBidi"/>
          <w:spacing w:val="-5"/>
        </w:rPr>
        <w:t xml:space="preserve"> </w:t>
      </w:r>
      <w:r w:rsidRPr="00361139">
        <w:rPr>
          <w:rFonts w:asciiTheme="majorBidi" w:hAnsiTheme="majorBidi" w:cstheme="majorBidi"/>
        </w:rPr>
        <w:t>Group</w:t>
      </w:r>
      <w:r w:rsidRPr="00361139">
        <w:rPr>
          <w:rFonts w:asciiTheme="majorBidi" w:hAnsiTheme="majorBidi" w:cstheme="majorBidi"/>
          <w:spacing w:val="-3"/>
        </w:rPr>
        <w:t xml:space="preserve"> </w:t>
      </w:r>
      <w:r w:rsidRPr="00361139">
        <w:rPr>
          <w:rFonts w:asciiTheme="majorBidi" w:hAnsiTheme="majorBidi" w:cstheme="majorBidi"/>
        </w:rPr>
        <w:t>and</w:t>
      </w:r>
      <w:r w:rsidRPr="00361139">
        <w:rPr>
          <w:rFonts w:asciiTheme="majorBidi" w:hAnsiTheme="majorBidi" w:cstheme="majorBidi"/>
          <w:spacing w:val="-6"/>
        </w:rPr>
        <w:t xml:space="preserve"> </w:t>
      </w:r>
      <w:r w:rsidRPr="00361139">
        <w:rPr>
          <w:rFonts w:asciiTheme="majorBidi" w:hAnsiTheme="majorBidi" w:cstheme="majorBidi"/>
        </w:rPr>
        <w:t>of</w:t>
      </w:r>
      <w:r w:rsidRPr="00361139">
        <w:rPr>
          <w:rFonts w:asciiTheme="majorBidi" w:hAnsiTheme="majorBidi" w:cstheme="majorBidi"/>
          <w:spacing w:val="-6"/>
        </w:rPr>
        <w:t xml:space="preserve"> </w:t>
      </w:r>
      <w:r w:rsidRPr="00361139">
        <w:rPr>
          <w:rFonts w:asciiTheme="majorBidi" w:hAnsiTheme="majorBidi" w:cstheme="majorBidi"/>
        </w:rPr>
        <w:t>its</w:t>
      </w:r>
      <w:r w:rsidRPr="00361139">
        <w:rPr>
          <w:rFonts w:asciiTheme="majorBidi" w:hAnsiTheme="majorBidi" w:cstheme="majorBidi"/>
          <w:spacing w:val="-7"/>
        </w:rPr>
        <w:t xml:space="preserve"> </w:t>
      </w:r>
      <w:r w:rsidRPr="00361139">
        <w:rPr>
          <w:rFonts w:asciiTheme="majorBidi" w:hAnsiTheme="majorBidi" w:cstheme="majorBidi"/>
        </w:rPr>
        <w:t>areas</w:t>
      </w:r>
      <w:r w:rsidRPr="00361139">
        <w:rPr>
          <w:rFonts w:asciiTheme="majorBidi" w:hAnsiTheme="majorBidi" w:cstheme="majorBidi"/>
          <w:spacing w:val="-5"/>
        </w:rPr>
        <w:t xml:space="preserve"> </w:t>
      </w:r>
      <w:r w:rsidRPr="00361139">
        <w:rPr>
          <w:rFonts w:asciiTheme="majorBidi" w:hAnsiTheme="majorBidi" w:cstheme="majorBidi"/>
        </w:rPr>
        <w:t>of</w:t>
      </w:r>
      <w:r w:rsidRPr="00361139">
        <w:rPr>
          <w:rFonts w:asciiTheme="majorBidi" w:hAnsiTheme="majorBidi" w:cstheme="majorBidi"/>
          <w:spacing w:val="-4"/>
        </w:rPr>
        <w:t xml:space="preserve"> </w:t>
      </w:r>
      <w:r w:rsidRPr="00361139">
        <w:rPr>
          <w:rFonts w:asciiTheme="majorBidi" w:hAnsiTheme="majorBidi" w:cstheme="majorBidi"/>
        </w:rPr>
        <w:t>work to</w:t>
      </w:r>
      <w:r w:rsidRPr="00361139">
        <w:rPr>
          <w:rFonts w:asciiTheme="majorBidi" w:hAnsiTheme="majorBidi" w:cstheme="majorBidi"/>
          <w:spacing w:val="-8"/>
        </w:rPr>
        <w:t xml:space="preserve"> </w:t>
      </w:r>
      <w:r w:rsidRPr="00361139">
        <w:rPr>
          <w:rFonts w:asciiTheme="majorBidi" w:hAnsiTheme="majorBidi" w:cstheme="majorBidi"/>
        </w:rPr>
        <w:t>exchange</w:t>
      </w:r>
      <w:r w:rsidRPr="00361139">
        <w:rPr>
          <w:rFonts w:asciiTheme="majorBidi" w:hAnsiTheme="majorBidi" w:cstheme="majorBidi"/>
          <w:spacing w:val="-6"/>
        </w:rPr>
        <w:t xml:space="preserve"> </w:t>
      </w:r>
      <w:r w:rsidRPr="00361139">
        <w:rPr>
          <w:rFonts w:asciiTheme="majorBidi" w:hAnsiTheme="majorBidi" w:cstheme="majorBidi"/>
        </w:rPr>
        <w:t>on substantive activities of common interest.</w:t>
      </w:r>
    </w:p>
    <w:p w14:paraId="16A3BD5C"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Through enabling activities funded by the GEF, the Partnership has provided technical support to</w:t>
      </w:r>
      <w:r w:rsidRPr="00361139">
        <w:rPr>
          <w:rFonts w:asciiTheme="majorBidi" w:hAnsiTheme="majorBidi" w:cstheme="majorBidi"/>
          <w:spacing w:val="-10"/>
        </w:rPr>
        <w:t xml:space="preserve"> </w:t>
      </w:r>
      <w:r w:rsidRPr="00361139">
        <w:rPr>
          <w:rFonts w:asciiTheme="majorBidi" w:hAnsiTheme="majorBidi" w:cstheme="majorBidi"/>
        </w:rPr>
        <w:t>67</w:t>
      </w:r>
      <w:r w:rsidRPr="00361139">
        <w:rPr>
          <w:rFonts w:asciiTheme="majorBidi" w:hAnsiTheme="majorBidi" w:cstheme="majorBidi"/>
          <w:spacing w:val="-12"/>
        </w:rPr>
        <w:t xml:space="preserve"> </w:t>
      </w:r>
      <w:r w:rsidRPr="00361139">
        <w:rPr>
          <w:rFonts w:asciiTheme="majorBidi" w:hAnsiTheme="majorBidi" w:cstheme="majorBidi"/>
        </w:rPr>
        <w:t>countries</w:t>
      </w:r>
      <w:r w:rsidRPr="00361139">
        <w:rPr>
          <w:rFonts w:asciiTheme="majorBidi" w:hAnsiTheme="majorBidi" w:cstheme="majorBidi"/>
          <w:spacing w:val="-13"/>
        </w:rPr>
        <w:t xml:space="preserve"> </w:t>
      </w:r>
      <w:r w:rsidRPr="00361139">
        <w:rPr>
          <w:rFonts w:asciiTheme="majorBidi" w:hAnsiTheme="majorBidi" w:cstheme="majorBidi"/>
        </w:rPr>
        <w:t>undertaking</w:t>
      </w:r>
      <w:r w:rsidRPr="00361139">
        <w:rPr>
          <w:rFonts w:asciiTheme="majorBidi" w:hAnsiTheme="majorBidi" w:cstheme="majorBidi"/>
          <w:spacing w:val="-6"/>
        </w:rPr>
        <w:t xml:space="preserve"> </w:t>
      </w:r>
      <w:r w:rsidRPr="00361139">
        <w:rPr>
          <w:rFonts w:asciiTheme="majorBidi" w:hAnsiTheme="majorBidi" w:cstheme="majorBidi"/>
        </w:rPr>
        <w:t>Minamata</w:t>
      </w:r>
      <w:r w:rsidRPr="00361139">
        <w:rPr>
          <w:rFonts w:asciiTheme="majorBidi" w:hAnsiTheme="majorBidi" w:cstheme="majorBidi"/>
          <w:spacing w:val="-10"/>
        </w:rPr>
        <w:t xml:space="preserve"> </w:t>
      </w:r>
      <w:r w:rsidRPr="00361139">
        <w:rPr>
          <w:rFonts w:asciiTheme="majorBidi" w:hAnsiTheme="majorBidi" w:cstheme="majorBidi"/>
        </w:rPr>
        <w:t>Initial</w:t>
      </w:r>
      <w:r w:rsidRPr="00361139">
        <w:rPr>
          <w:rFonts w:asciiTheme="majorBidi" w:hAnsiTheme="majorBidi" w:cstheme="majorBidi"/>
          <w:spacing w:val="-11"/>
        </w:rPr>
        <w:t xml:space="preserve"> </w:t>
      </w:r>
      <w:r w:rsidRPr="00361139">
        <w:rPr>
          <w:rFonts w:asciiTheme="majorBidi" w:hAnsiTheme="majorBidi" w:cstheme="majorBidi"/>
        </w:rPr>
        <w:t>Assessments</w:t>
      </w:r>
      <w:r w:rsidRPr="00361139">
        <w:rPr>
          <w:rFonts w:asciiTheme="majorBidi" w:hAnsiTheme="majorBidi" w:cstheme="majorBidi"/>
          <w:spacing w:val="-12"/>
        </w:rPr>
        <w:t xml:space="preserve"> </w:t>
      </w:r>
      <w:r w:rsidRPr="00361139">
        <w:rPr>
          <w:rFonts w:asciiTheme="majorBidi" w:hAnsiTheme="majorBidi" w:cstheme="majorBidi"/>
        </w:rPr>
        <w:t>(MIAs)</w:t>
      </w:r>
      <w:r w:rsidRPr="00361139">
        <w:rPr>
          <w:rFonts w:asciiTheme="majorBidi" w:hAnsiTheme="majorBidi" w:cstheme="majorBidi"/>
          <w:spacing w:val="-8"/>
        </w:rPr>
        <w:t xml:space="preserve"> </w:t>
      </w:r>
      <w:r w:rsidRPr="00361139">
        <w:rPr>
          <w:rFonts w:asciiTheme="majorBidi" w:hAnsiTheme="majorBidi" w:cstheme="majorBidi"/>
        </w:rPr>
        <w:t>and</w:t>
      </w:r>
      <w:r w:rsidRPr="00361139">
        <w:rPr>
          <w:rFonts w:asciiTheme="majorBidi" w:hAnsiTheme="majorBidi" w:cstheme="majorBidi"/>
          <w:spacing w:val="-12"/>
        </w:rPr>
        <w:t xml:space="preserve"> </w:t>
      </w:r>
      <w:r w:rsidRPr="00361139">
        <w:rPr>
          <w:rFonts w:asciiTheme="majorBidi" w:hAnsiTheme="majorBidi" w:cstheme="majorBidi"/>
        </w:rPr>
        <w:t>33</w:t>
      </w:r>
      <w:r w:rsidRPr="00361139">
        <w:rPr>
          <w:rFonts w:asciiTheme="majorBidi" w:hAnsiTheme="majorBidi" w:cstheme="majorBidi"/>
          <w:spacing w:val="-9"/>
        </w:rPr>
        <w:t xml:space="preserve"> </w:t>
      </w:r>
      <w:r w:rsidRPr="00361139">
        <w:rPr>
          <w:rFonts w:asciiTheme="majorBidi" w:hAnsiTheme="majorBidi" w:cstheme="majorBidi"/>
        </w:rPr>
        <w:t>countries</w:t>
      </w:r>
      <w:r w:rsidRPr="00361139">
        <w:rPr>
          <w:rFonts w:asciiTheme="majorBidi" w:hAnsiTheme="majorBidi" w:cstheme="majorBidi"/>
          <w:spacing w:val="-13"/>
        </w:rPr>
        <w:t xml:space="preserve"> </w:t>
      </w:r>
      <w:r w:rsidRPr="00361139">
        <w:rPr>
          <w:rFonts w:asciiTheme="majorBidi" w:hAnsiTheme="majorBidi" w:cstheme="majorBidi"/>
        </w:rPr>
        <w:t>developing</w:t>
      </w:r>
      <w:r w:rsidRPr="00361139">
        <w:rPr>
          <w:rFonts w:asciiTheme="majorBidi" w:hAnsiTheme="majorBidi" w:cstheme="majorBidi"/>
          <w:spacing w:val="-9"/>
        </w:rPr>
        <w:t xml:space="preserve"> </w:t>
      </w:r>
      <w:r w:rsidRPr="00361139">
        <w:rPr>
          <w:rFonts w:asciiTheme="majorBidi" w:hAnsiTheme="majorBidi" w:cstheme="majorBidi"/>
        </w:rPr>
        <w:t>National Action</w:t>
      </w:r>
      <w:r w:rsidRPr="00361139">
        <w:rPr>
          <w:rFonts w:asciiTheme="majorBidi" w:hAnsiTheme="majorBidi" w:cstheme="majorBidi"/>
          <w:spacing w:val="-3"/>
        </w:rPr>
        <w:t xml:space="preserve"> </w:t>
      </w:r>
      <w:r w:rsidRPr="00361139">
        <w:rPr>
          <w:rFonts w:asciiTheme="majorBidi" w:hAnsiTheme="majorBidi" w:cstheme="majorBidi"/>
        </w:rPr>
        <w:t>Plans</w:t>
      </w:r>
      <w:r w:rsidRPr="00361139">
        <w:rPr>
          <w:rFonts w:asciiTheme="majorBidi" w:hAnsiTheme="majorBidi" w:cstheme="majorBidi"/>
          <w:spacing w:val="-4"/>
        </w:rPr>
        <w:t xml:space="preserve"> </w:t>
      </w:r>
      <w:r w:rsidRPr="00361139">
        <w:rPr>
          <w:rFonts w:asciiTheme="majorBidi" w:hAnsiTheme="majorBidi" w:cstheme="majorBidi"/>
        </w:rPr>
        <w:t>(NAPs)</w:t>
      </w:r>
      <w:r w:rsidRPr="00361139">
        <w:rPr>
          <w:rFonts w:asciiTheme="majorBidi" w:hAnsiTheme="majorBidi" w:cstheme="majorBidi"/>
          <w:spacing w:val="-3"/>
        </w:rPr>
        <w:t xml:space="preserve"> </w:t>
      </w:r>
      <w:r w:rsidRPr="00361139">
        <w:rPr>
          <w:rFonts w:asciiTheme="majorBidi" w:hAnsiTheme="majorBidi" w:cstheme="majorBidi"/>
        </w:rPr>
        <w:t>on</w:t>
      </w:r>
      <w:r w:rsidRPr="00361139">
        <w:rPr>
          <w:rFonts w:asciiTheme="majorBidi" w:hAnsiTheme="majorBidi" w:cstheme="majorBidi"/>
          <w:spacing w:val="-3"/>
        </w:rPr>
        <w:t xml:space="preserve"> </w:t>
      </w:r>
      <w:r w:rsidRPr="00361139">
        <w:rPr>
          <w:rFonts w:asciiTheme="majorBidi" w:hAnsiTheme="majorBidi" w:cstheme="majorBidi"/>
        </w:rPr>
        <w:t>artisanal</w:t>
      </w:r>
      <w:r w:rsidRPr="00361139">
        <w:rPr>
          <w:rFonts w:asciiTheme="majorBidi" w:hAnsiTheme="majorBidi" w:cstheme="majorBidi"/>
          <w:spacing w:val="-4"/>
        </w:rPr>
        <w:t xml:space="preserve"> </w:t>
      </w:r>
      <w:r w:rsidRPr="00361139">
        <w:rPr>
          <w:rFonts w:asciiTheme="majorBidi" w:hAnsiTheme="majorBidi" w:cstheme="majorBidi"/>
        </w:rPr>
        <w:t>and</w:t>
      </w:r>
      <w:r w:rsidRPr="00361139">
        <w:rPr>
          <w:rFonts w:asciiTheme="majorBidi" w:hAnsiTheme="majorBidi" w:cstheme="majorBidi"/>
          <w:spacing w:val="-6"/>
        </w:rPr>
        <w:t xml:space="preserve"> </w:t>
      </w:r>
      <w:r w:rsidRPr="00361139">
        <w:rPr>
          <w:rFonts w:asciiTheme="majorBidi" w:hAnsiTheme="majorBidi" w:cstheme="majorBidi"/>
        </w:rPr>
        <w:t>small-scale</w:t>
      </w:r>
      <w:r w:rsidRPr="00361139">
        <w:rPr>
          <w:rFonts w:asciiTheme="majorBidi" w:hAnsiTheme="majorBidi" w:cstheme="majorBidi"/>
          <w:spacing w:val="-4"/>
        </w:rPr>
        <w:t xml:space="preserve"> </w:t>
      </w:r>
      <w:r w:rsidRPr="00361139">
        <w:rPr>
          <w:rFonts w:asciiTheme="majorBidi" w:hAnsiTheme="majorBidi" w:cstheme="majorBidi"/>
        </w:rPr>
        <w:t>gold</w:t>
      </w:r>
      <w:r w:rsidRPr="00361139">
        <w:rPr>
          <w:rFonts w:asciiTheme="majorBidi" w:hAnsiTheme="majorBidi" w:cstheme="majorBidi"/>
          <w:spacing w:val="-5"/>
        </w:rPr>
        <w:t xml:space="preserve"> </w:t>
      </w:r>
      <w:r w:rsidRPr="00361139">
        <w:rPr>
          <w:rFonts w:asciiTheme="majorBidi" w:hAnsiTheme="majorBidi" w:cstheme="majorBidi"/>
        </w:rPr>
        <w:t>mining</w:t>
      </w:r>
      <w:r w:rsidRPr="00361139">
        <w:rPr>
          <w:rFonts w:asciiTheme="majorBidi" w:hAnsiTheme="majorBidi" w:cstheme="majorBidi"/>
          <w:spacing w:val="-3"/>
        </w:rPr>
        <w:t xml:space="preserve"> </w:t>
      </w:r>
      <w:r w:rsidRPr="00361139">
        <w:rPr>
          <w:rFonts w:asciiTheme="majorBidi" w:hAnsiTheme="majorBidi" w:cstheme="majorBidi"/>
        </w:rPr>
        <w:t>(ASGM),</w:t>
      </w:r>
      <w:r w:rsidRPr="00361139">
        <w:rPr>
          <w:rFonts w:asciiTheme="majorBidi" w:hAnsiTheme="majorBidi" w:cstheme="majorBidi"/>
          <w:spacing w:val="-3"/>
        </w:rPr>
        <w:t xml:space="preserve"> </w:t>
      </w:r>
      <w:r w:rsidRPr="00361139">
        <w:rPr>
          <w:rFonts w:asciiTheme="majorBidi" w:hAnsiTheme="majorBidi" w:cstheme="majorBidi"/>
        </w:rPr>
        <w:t>through</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35"/>
        </w:rPr>
        <w:t xml:space="preserve"> </w:t>
      </w:r>
      <w:r w:rsidRPr="00361139">
        <w:rPr>
          <w:rFonts w:asciiTheme="majorBidi" w:hAnsiTheme="majorBidi" w:cstheme="majorBidi"/>
        </w:rPr>
        <w:t>global</w:t>
      </w:r>
      <w:r w:rsidRPr="00361139">
        <w:rPr>
          <w:rFonts w:asciiTheme="majorBidi" w:hAnsiTheme="majorBidi" w:cstheme="majorBidi"/>
          <w:spacing w:val="-6"/>
        </w:rPr>
        <w:t xml:space="preserve"> </w:t>
      </w:r>
      <w:r w:rsidRPr="00361139">
        <w:rPr>
          <w:rFonts w:asciiTheme="majorBidi" w:hAnsiTheme="majorBidi" w:cstheme="majorBidi"/>
        </w:rPr>
        <w:t xml:space="preserve">component of the UNEP-implemented projects. These </w:t>
      </w:r>
      <w:r w:rsidRPr="00361139">
        <w:t>projects</w:t>
      </w:r>
      <w:r w:rsidRPr="00361139">
        <w:rPr>
          <w:rFonts w:asciiTheme="majorBidi" w:hAnsiTheme="majorBidi" w:cstheme="majorBidi"/>
        </w:rPr>
        <w:t xml:space="preserve"> have enabled beneficiary countries to develop amongst others an overview of mercury sources, emissions and releases at the national level, </w:t>
      </w:r>
      <w:proofErr w:type="gramStart"/>
      <w:r w:rsidRPr="00361139">
        <w:rPr>
          <w:rFonts w:asciiTheme="majorBidi" w:hAnsiTheme="majorBidi" w:cstheme="majorBidi"/>
        </w:rPr>
        <w:t>and also</w:t>
      </w:r>
      <w:proofErr w:type="gramEnd"/>
      <w:r w:rsidRPr="00361139">
        <w:rPr>
          <w:rFonts w:asciiTheme="majorBidi" w:hAnsiTheme="majorBidi" w:cstheme="majorBidi"/>
        </w:rPr>
        <w:t xml:space="preserve"> enhance the understanding of ASGM in the country, allowing tailored strategies to be defined for the reduction of mercury sources, emissions and releases. For example, it has been estimated that through the implementation of the submitted NAPs developed by countries, close to 260 tonnes of mercury would be eliminated by 2030</w:t>
      </w:r>
      <w:r w:rsidRPr="00361139">
        <w:rPr>
          <w:rStyle w:val="FootnoteReference"/>
          <w:rFonts w:asciiTheme="majorBidi" w:hAnsiTheme="majorBidi" w:cstheme="majorBidi"/>
        </w:rPr>
        <w:footnoteReference w:id="82"/>
      </w:r>
      <w:r w:rsidRPr="00361139">
        <w:rPr>
          <w:rFonts w:asciiTheme="majorBidi" w:hAnsiTheme="majorBidi" w:cstheme="majorBidi"/>
        </w:rPr>
        <w:t>.</w:t>
      </w:r>
    </w:p>
    <w:p w14:paraId="22A42B25"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Information</w:t>
      </w:r>
      <w:r w:rsidRPr="00361139">
        <w:rPr>
          <w:rFonts w:asciiTheme="majorBidi" w:hAnsiTheme="majorBidi" w:cstheme="majorBidi"/>
          <w:spacing w:val="-1"/>
        </w:rPr>
        <w:t xml:space="preserve"> </w:t>
      </w:r>
      <w:r w:rsidRPr="00361139">
        <w:rPr>
          <w:rFonts w:asciiTheme="majorBidi" w:hAnsiTheme="majorBidi" w:cstheme="majorBidi"/>
        </w:rPr>
        <w:t>collected</w:t>
      </w:r>
      <w:r w:rsidRPr="00361139">
        <w:rPr>
          <w:rFonts w:asciiTheme="majorBidi" w:hAnsiTheme="majorBidi" w:cstheme="majorBidi"/>
          <w:spacing w:val="-2"/>
        </w:rPr>
        <w:t xml:space="preserve"> </w:t>
      </w:r>
      <w:r w:rsidRPr="00361139">
        <w:rPr>
          <w:rFonts w:asciiTheme="majorBidi" w:hAnsiTheme="majorBidi" w:cstheme="majorBidi"/>
        </w:rPr>
        <w:t>through</w:t>
      </w:r>
      <w:r w:rsidRPr="00361139">
        <w:rPr>
          <w:rFonts w:asciiTheme="majorBidi" w:hAnsiTheme="majorBidi" w:cstheme="majorBidi"/>
          <w:spacing w:val="-9"/>
        </w:rPr>
        <w:t xml:space="preserve"> </w:t>
      </w:r>
      <w:r w:rsidRPr="00361139">
        <w:rPr>
          <w:rFonts w:asciiTheme="majorBidi" w:hAnsiTheme="majorBidi" w:cstheme="majorBidi"/>
        </w:rPr>
        <w:t>national</w:t>
      </w:r>
      <w:r w:rsidRPr="00361139">
        <w:rPr>
          <w:rFonts w:asciiTheme="majorBidi" w:hAnsiTheme="majorBidi" w:cstheme="majorBidi"/>
          <w:spacing w:val="-5"/>
        </w:rPr>
        <w:t xml:space="preserve"> </w:t>
      </w:r>
      <w:r w:rsidRPr="00361139">
        <w:rPr>
          <w:rFonts w:asciiTheme="majorBidi" w:hAnsiTheme="majorBidi" w:cstheme="majorBidi"/>
        </w:rPr>
        <w:t>mercury</w:t>
      </w:r>
      <w:r w:rsidRPr="00361139">
        <w:rPr>
          <w:rFonts w:asciiTheme="majorBidi" w:hAnsiTheme="majorBidi" w:cstheme="majorBidi"/>
          <w:spacing w:val="-2"/>
        </w:rPr>
        <w:t xml:space="preserve"> </w:t>
      </w:r>
      <w:r w:rsidRPr="00361139">
        <w:rPr>
          <w:rFonts w:asciiTheme="majorBidi" w:hAnsiTheme="majorBidi" w:cstheme="majorBidi"/>
        </w:rPr>
        <w:t>inventories</w:t>
      </w:r>
      <w:r w:rsidRPr="00361139">
        <w:rPr>
          <w:rFonts w:asciiTheme="majorBidi" w:hAnsiTheme="majorBidi" w:cstheme="majorBidi"/>
          <w:spacing w:val="-6"/>
        </w:rPr>
        <w:t xml:space="preserve"> </w:t>
      </w:r>
      <w:r w:rsidRPr="00361139">
        <w:rPr>
          <w:rFonts w:asciiTheme="majorBidi" w:hAnsiTheme="majorBidi" w:cstheme="majorBidi"/>
        </w:rPr>
        <w:t>developed under</w:t>
      </w:r>
      <w:r w:rsidRPr="00361139">
        <w:rPr>
          <w:rFonts w:asciiTheme="majorBidi" w:hAnsiTheme="majorBidi" w:cstheme="majorBidi"/>
          <w:spacing w:val="-3"/>
        </w:rPr>
        <w:t xml:space="preserve"> </w:t>
      </w:r>
      <w:r w:rsidRPr="00361139">
        <w:rPr>
          <w:rFonts w:asciiTheme="majorBidi" w:hAnsiTheme="majorBidi" w:cstheme="majorBidi"/>
        </w:rPr>
        <w:t>GEF</w:t>
      </w:r>
      <w:r w:rsidRPr="00361139">
        <w:rPr>
          <w:rFonts w:asciiTheme="majorBidi" w:hAnsiTheme="majorBidi" w:cstheme="majorBidi"/>
          <w:spacing w:val="-7"/>
        </w:rPr>
        <w:t xml:space="preserve"> </w:t>
      </w:r>
      <w:r w:rsidRPr="00361139">
        <w:rPr>
          <w:rFonts w:asciiTheme="majorBidi" w:hAnsiTheme="majorBidi" w:cstheme="majorBidi"/>
        </w:rPr>
        <w:t>funded</w:t>
      </w:r>
      <w:r w:rsidRPr="00361139">
        <w:rPr>
          <w:rFonts w:asciiTheme="majorBidi" w:hAnsiTheme="majorBidi" w:cstheme="majorBidi"/>
          <w:spacing w:val="-7"/>
        </w:rPr>
        <w:t xml:space="preserve"> </w:t>
      </w:r>
      <w:r w:rsidRPr="00361139">
        <w:rPr>
          <w:rFonts w:asciiTheme="majorBidi" w:hAnsiTheme="majorBidi" w:cstheme="majorBidi"/>
        </w:rPr>
        <w:t xml:space="preserve">MIAs with the </w:t>
      </w:r>
      <w:r w:rsidRPr="00361139">
        <w:t>UNEP</w:t>
      </w:r>
      <w:r w:rsidRPr="00361139">
        <w:rPr>
          <w:rFonts w:asciiTheme="majorBidi" w:hAnsiTheme="majorBidi" w:cstheme="majorBidi"/>
        </w:rPr>
        <w:t xml:space="preserve"> toolkit for the identification and quantification of mercury releases</w:t>
      </w:r>
      <w:r w:rsidRPr="00361139">
        <w:rPr>
          <w:rStyle w:val="FootnoteReference"/>
          <w:rFonts w:asciiTheme="majorBidi" w:hAnsiTheme="majorBidi" w:cstheme="majorBidi"/>
        </w:rPr>
        <w:footnoteReference w:id="83"/>
      </w:r>
      <w:r w:rsidRPr="00361139">
        <w:rPr>
          <w:rFonts w:asciiTheme="majorBidi" w:hAnsiTheme="majorBidi" w:cstheme="majorBidi"/>
        </w:rPr>
        <w:t>, trends</w:t>
      </w:r>
      <w:r w:rsidRPr="00361139">
        <w:rPr>
          <w:rFonts w:asciiTheme="majorBidi" w:hAnsiTheme="majorBidi" w:cstheme="majorBidi"/>
          <w:spacing w:val="-2"/>
        </w:rPr>
        <w:t xml:space="preserve"> </w:t>
      </w:r>
      <w:r w:rsidRPr="00361139">
        <w:rPr>
          <w:rFonts w:asciiTheme="majorBidi" w:hAnsiTheme="majorBidi" w:cstheme="majorBidi"/>
        </w:rPr>
        <w:t>in the main source categories of inputs, emissions and releases of mercury and its compounds by region were the basis of exchange of information among partners of the Partnership</w:t>
      </w:r>
      <w:r w:rsidRPr="00361139">
        <w:rPr>
          <w:rStyle w:val="FootnoteReference"/>
          <w:rFonts w:asciiTheme="majorBidi" w:hAnsiTheme="majorBidi" w:cstheme="majorBidi"/>
        </w:rPr>
        <w:footnoteReference w:id="84"/>
      </w:r>
      <w:r w:rsidRPr="00361139">
        <w:rPr>
          <w:rFonts w:asciiTheme="majorBidi" w:hAnsiTheme="majorBidi" w:cstheme="majorBidi"/>
        </w:rPr>
        <w:t>, and provided substantial data to various</w:t>
      </w:r>
      <w:r w:rsidRPr="00361139">
        <w:rPr>
          <w:rFonts w:asciiTheme="majorBidi" w:hAnsiTheme="majorBidi" w:cstheme="majorBidi"/>
          <w:spacing w:val="-4"/>
        </w:rPr>
        <w:t xml:space="preserve"> </w:t>
      </w:r>
      <w:r w:rsidRPr="00361139">
        <w:rPr>
          <w:rFonts w:asciiTheme="majorBidi" w:hAnsiTheme="majorBidi" w:cstheme="majorBidi"/>
        </w:rPr>
        <w:t>initiatives,</w:t>
      </w:r>
      <w:r w:rsidRPr="00361139">
        <w:rPr>
          <w:rFonts w:asciiTheme="majorBidi" w:hAnsiTheme="majorBidi" w:cstheme="majorBidi"/>
          <w:spacing w:val="-1"/>
        </w:rPr>
        <w:t xml:space="preserve"> </w:t>
      </w:r>
      <w:r w:rsidRPr="00361139">
        <w:rPr>
          <w:rFonts w:asciiTheme="majorBidi" w:hAnsiTheme="majorBidi" w:cstheme="majorBidi"/>
        </w:rPr>
        <w:t>such as</w:t>
      </w:r>
      <w:r w:rsidRPr="00361139">
        <w:rPr>
          <w:rFonts w:asciiTheme="majorBidi" w:hAnsiTheme="majorBidi" w:cstheme="majorBidi"/>
          <w:spacing w:val="-3"/>
        </w:rPr>
        <w:t xml:space="preserve"> </w:t>
      </w:r>
      <w:r w:rsidRPr="00361139">
        <w:rPr>
          <w:rFonts w:asciiTheme="majorBidi" w:hAnsiTheme="majorBidi" w:cstheme="majorBidi"/>
        </w:rPr>
        <w:t>recently</w:t>
      </w:r>
      <w:r w:rsidRPr="00361139">
        <w:rPr>
          <w:rFonts w:asciiTheme="majorBidi" w:hAnsiTheme="majorBidi" w:cstheme="majorBidi"/>
          <w:spacing w:val="-1"/>
        </w:rPr>
        <w:t xml:space="preserve"> </w:t>
      </w:r>
      <w:r w:rsidRPr="00361139">
        <w:rPr>
          <w:rFonts w:asciiTheme="majorBidi" w:hAnsiTheme="majorBidi" w:cstheme="majorBidi"/>
        </w:rPr>
        <w:t>to</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ongoing</w:t>
      </w:r>
      <w:r w:rsidRPr="00361139">
        <w:rPr>
          <w:rFonts w:asciiTheme="majorBidi" w:hAnsiTheme="majorBidi" w:cstheme="majorBidi"/>
          <w:spacing w:val="40"/>
        </w:rPr>
        <w:t xml:space="preserve"> </w:t>
      </w:r>
      <w:r w:rsidRPr="00361139">
        <w:rPr>
          <w:rFonts w:asciiTheme="majorBidi" w:hAnsiTheme="majorBidi" w:cstheme="majorBidi"/>
        </w:rPr>
        <w:t>development</w:t>
      </w:r>
      <w:r w:rsidRPr="00361139">
        <w:rPr>
          <w:rFonts w:asciiTheme="majorBidi" w:hAnsiTheme="majorBidi" w:cstheme="majorBidi"/>
          <w:spacing w:val="-4"/>
        </w:rPr>
        <w:t xml:space="preserve"> </w:t>
      </w:r>
      <w:r w:rsidRPr="00361139">
        <w:rPr>
          <w:rFonts w:asciiTheme="majorBidi" w:hAnsiTheme="majorBidi" w:cstheme="majorBidi"/>
        </w:rPr>
        <w:t>of</w:t>
      </w:r>
      <w:r w:rsidRPr="00361139">
        <w:rPr>
          <w:rFonts w:asciiTheme="majorBidi" w:hAnsiTheme="majorBidi" w:cstheme="majorBidi"/>
          <w:spacing w:val="-1"/>
        </w:rPr>
        <w:t xml:space="preserve"> </w:t>
      </w:r>
      <w:r w:rsidRPr="00361139">
        <w:rPr>
          <w:rFonts w:asciiTheme="majorBidi" w:hAnsiTheme="majorBidi" w:cstheme="majorBidi"/>
        </w:rPr>
        <w:t>factsheets</w:t>
      </w:r>
      <w:r w:rsidRPr="00361139">
        <w:rPr>
          <w:rFonts w:asciiTheme="majorBidi" w:hAnsiTheme="majorBidi" w:cstheme="majorBidi"/>
          <w:spacing w:val="-4"/>
        </w:rPr>
        <w:t xml:space="preserve"> </w:t>
      </w:r>
      <w:r w:rsidRPr="00361139">
        <w:rPr>
          <w:rFonts w:asciiTheme="majorBidi" w:hAnsiTheme="majorBidi" w:cstheme="majorBidi"/>
        </w:rPr>
        <w:t>on</w:t>
      </w:r>
      <w:r w:rsidRPr="00361139">
        <w:rPr>
          <w:rFonts w:asciiTheme="majorBidi" w:hAnsiTheme="majorBidi" w:cstheme="majorBidi"/>
          <w:spacing w:val="-3"/>
        </w:rPr>
        <w:t xml:space="preserve"> </w:t>
      </w:r>
      <w:r w:rsidRPr="00361139">
        <w:rPr>
          <w:rFonts w:asciiTheme="majorBidi" w:hAnsiTheme="majorBidi" w:cstheme="majorBidi"/>
        </w:rPr>
        <w:t>priority waste</w:t>
      </w:r>
      <w:r w:rsidRPr="00361139">
        <w:rPr>
          <w:rFonts w:asciiTheme="majorBidi" w:hAnsiTheme="majorBidi" w:cstheme="majorBidi"/>
          <w:spacing w:val="-2"/>
        </w:rPr>
        <w:t xml:space="preserve"> </w:t>
      </w:r>
      <w:r w:rsidRPr="00361139">
        <w:rPr>
          <w:rFonts w:asciiTheme="majorBidi" w:hAnsiTheme="majorBidi" w:cstheme="majorBidi"/>
        </w:rPr>
        <w:t>streams by the Partnership Area on Mercury Waste Management.</w:t>
      </w:r>
    </w:p>
    <w:p w14:paraId="0F17F12D" w14:textId="77777777" w:rsidR="00CC73DD" w:rsidRPr="00361139" w:rsidRDefault="00CC73DD" w:rsidP="00361139">
      <w:pPr>
        <w:pStyle w:val="Normalnumber"/>
        <w:numPr>
          <w:ilvl w:val="0"/>
          <w:numId w:val="12"/>
        </w:numPr>
      </w:pPr>
      <w:r w:rsidRPr="00361139">
        <w:rPr>
          <w:rFonts w:asciiTheme="majorBidi" w:hAnsiTheme="majorBidi" w:cstheme="majorBidi"/>
        </w:rPr>
        <w:lastRenderedPageBreak/>
        <w:t>The</w:t>
      </w:r>
      <w:r w:rsidRPr="00361139">
        <w:t xml:space="preserve"> </w:t>
      </w:r>
      <w:r w:rsidRPr="00361139">
        <w:rPr>
          <w:rFonts w:asciiTheme="majorBidi" w:hAnsiTheme="majorBidi" w:cstheme="majorBidi"/>
        </w:rPr>
        <w:t>resources</w:t>
      </w:r>
      <w:r w:rsidRPr="00361139">
        <w:t xml:space="preserve"> allocated to the NAP projects global component, which is coordinated through the </w:t>
      </w:r>
      <w:r w:rsidRPr="00361139">
        <w:rPr>
          <w:rFonts w:asciiTheme="majorBidi" w:hAnsiTheme="majorBidi" w:cstheme="majorBidi"/>
        </w:rPr>
        <w:t>Partnership</w:t>
      </w:r>
      <w:r w:rsidRPr="00361139">
        <w:rPr>
          <w:rFonts w:asciiTheme="majorBidi" w:hAnsiTheme="majorBidi" w:cstheme="majorBidi"/>
          <w:vertAlign w:val="superscript"/>
        </w:rPr>
        <w:footnoteReference w:id="85"/>
      </w:r>
      <w:r w:rsidRPr="00361139">
        <w:rPr>
          <w:rFonts w:asciiTheme="majorBidi" w:hAnsiTheme="majorBidi" w:cstheme="majorBidi"/>
        </w:rPr>
        <w:t>, resulted in enhanced quality of NAPs (</w:t>
      </w:r>
      <w:proofErr w:type="gramStart"/>
      <w:r w:rsidRPr="00361139">
        <w:rPr>
          <w:rFonts w:asciiTheme="majorBidi" w:hAnsiTheme="majorBidi" w:cstheme="majorBidi"/>
        </w:rPr>
        <w:t>e.g.</w:t>
      </w:r>
      <w:proofErr w:type="gramEnd"/>
      <w:r w:rsidRPr="00361139">
        <w:rPr>
          <w:rFonts w:asciiTheme="majorBidi" w:hAnsiTheme="majorBidi" w:cstheme="majorBidi"/>
        </w:rPr>
        <w:t xml:space="preserve"> through facilitated technical peer reviews) as well as further regional knowledge and experience exchange among countries, including through dedicated events</w:t>
      </w:r>
      <w:r w:rsidRPr="00361139">
        <w:t xml:space="preserve"> organized under the Partnership. The NAP global component of the UNEP- implemented project further contributes to the sustainability of NAP projects by acting as a knowledge hub, developing and disseminating knowledge products and engaging national focal points in consultations at the regional level, including once the projects have finished.</w:t>
      </w:r>
    </w:p>
    <w:p w14:paraId="248C10CF"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The</w:t>
      </w:r>
      <w:r w:rsidRPr="00361139">
        <w:rPr>
          <w:rFonts w:asciiTheme="majorBidi" w:hAnsiTheme="majorBidi" w:cstheme="majorBidi"/>
          <w:spacing w:val="-3"/>
        </w:rPr>
        <w:t xml:space="preserve"> </w:t>
      </w:r>
      <w:r w:rsidRPr="00361139">
        <w:rPr>
          <w:rFonts w:asciiTheme="majorBidi" w:hAnsiTheme="majorBidi" w:cstheme="majorBidi"/>
        </w:rPr>
        <w:t>NAP</w:t>
      </w:r>
      <w:r w:rsidRPr="00361139">
        <w:rPr>
          <w:rFonts w:asciiTheme="majorBidi" w:hAnsiTheme="majorBidi" w:cstheme="majorBidi"/>
          <w:spacing w:val="-4"/>
        </w:rPr>
        <w:t xml:space="preserve"> </w:t>
      </w:r>
      <w:r w:rsidRPr="00361139">
        <w:rPr>
          <w:rFonts w:asciiTheme="majorBidi" w:hAnsiTheme="majorBidi" w:cstheme="majorBidi"/>
        </w:rPr>
        <w:t>global</w:t>
      </w:r>
      <w:r w:rsidRPr="00361139">
        <w:rPr>
          <w:rFonts w:asciiTheme="majorBidi" w:hAnsiTheme="majorBidi" w:cstheme="majorBidi"/>
          <w:spacing w:val="-5"/>
        </w:rPr>
        <w:t xml:space="preserve"> </w:t>
      </w:r>
      <w:r w:rsidRPr="00361139">
        <w:rPr>
          <w:rFonts w:asciiTheme="majorBidi" w:hAnsiTheme="majorBidi" w:cstheme="majorBidi"/>
        </w:rPr>
        <w:t>component,</w:t>
      </w:r>
      <w:r w:rsidRPr="00361139">
        <w:rPr>
          <w:rFonts w:asciiTheme="majorBidi" w:hAnsiTheme="majorBidi" w:cstheme="majorBidi"/>
          <w:spacing w:val="-5"/>
        </w:rPr>
        <w:t xml:space="preserve"> </w:t>
      </w:r>
      <w:r w:rsidRPr="00361139">
        <w:rPr>
          <w:rFonts w:asciiTheme="majorBidi" w:hAnsiTheme="majorBidi" w:cstheme="majorBidi"/>
        </w:rPr>
        <w:t>through</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5"/>
        </w:rPr>
        <w:t xml:space="preserve"> </w:t>
      </w:r>
      <w:r w:rsidRPr="00361139">
        <w:rPr>
          <w:rFonts w:asciiTheme="majorBidi" w:hAnsiTheme="majorBidi" w:cstheme="majorBidi"/>
        </w:rPr>
        <w:t>Partnership,</w:t>
      </w:r>
      <w:r w:rsidRPr="00361139">
        <w:rPr>
          <w:rFonts w:asciiTheme="majorBidi" w:hAnsiTheme="majorBidi" w:cstheme="majorBidi"/>
          <w:spacing w:val="-5"/>
        </w:rPr>
        <w:t xml:space="preserve"> </w:t>
      </w:r>
      <w:r w:rsidRPr="00361139">
        <w:rPr>
          <w:rFonts w:asciiTheme="majorBidi" w:hAnsiTheme="majorBidi" w:cstheme="majorBidi"/>
        </w:rPr>
        <w:t>also</w:t>
      </w:r>
      <w:r w:rsidRPr="00361139">
        <w:rPr>
          <w:rFonts w:asciiTheme="majorBidi" w:hAnsiTheme="majorBidi" w:cstheme="majorBidi"/>
          <w:spacing w:val="-3"/>
        </w:rPr>
        <w:t xml:space="preserve"> </w:t>
      </w:r>
      <w:r w:rsidRPr="00361139">
        <w:rPr>
          <w:rFonts w:asciiTheme="majorBidi" w:hAnsiTheme="majorBidi" w:cstheme="majorBidi"/>
        </w:rPr>
        <w:t>contributed</w:t>
      </w:r>
      <w:r w:rsidRPr="00361139">
        <w:rPr>
          <w:rFonts w:asciiTheme="majorBidi" w:hAnsiTheme="majorBidi" w:cstheme="majorBidi"/>
          <w:spacing w:val="-1"/>
        </w:rPr>
        <w:t xml:space="preserve"> </w:t>
      </w:r>
      <w:r w:rsidRPr="00361139">
        <w:rPr>
          <w:rFonts w:asciiTheme="majorBidi" w:hAnsiTheme="majorBidi" w:cstheme="majorBidi"/>
        </w:rPr>
        <w:t>to</w:t>
      </w:r>
      <w:r w:rsidRPr="00361139">
        <w:rPr>
          <w:rFonts w:asciiTheme="majorBidi" w:hAnsiTheme="majorBidi" w:cstheme="majorBidi"/>
          <w:spacing w:val="-5"/>
        </w:rPr>
        <w:t xml:space="preserve"> </w:t>
      </w:r>
      <w:r w:rsidRPr="00361139">
        <w:rPr>
          <w:rFonts w:asciiTheme="majorBidi" w:hAnsiTheme="majorBidi" w:cstheme="majorBidi"/>
        </w:rPr>
        <w:t>addressing the</w:t>
      </w:r>
      <w:r w:rsidRPr="00361139">
        <w:rPr>
          <w:rFonts w:asciiTheme="majorBidi" w:hAnsiTheme="majorBidi" w:cstheme="majorBidi"/>
          <w:spacing w:val="-5"/>
        </w:rPr>
        <w:t xml:space="preserve"> </w:t>
      </w:r>
      <w:r w:rsidRPr="00361139">
        <w:rPr>
          <w:rFonts w:asciiTheme="majorBidi" w:hAnsiTheme="majorBidi" w:cstheme="majorBidi"/>
        </w:rPr>
        <w:t>request by the</w:t>
      </w:r>
      <w:r w:rsidRPr="00361139">
        <w:rPr>
          <w:rFonts w:asciiTheme="majorBidi" w:hAnsiTheme="majorBidi" w:cstheme="majorBidi"/>
          <w:spacing w:val="-1"/>
        </w:rPr>
        <w:t xml:space="preserve"> </w:t>
      </w:r>
      <w:r w:rsidRPr="00361139">
        <w:t>Conference</w:t>
      </w:r>
      <w:r w:rsidRPr="00361139">
        <w:rPr>
          <w:rFonts w:asciiTheme="majorBidi" w:hAnsiTheme="majorBidi" w:cstheme="majorBidi"/>
          <w:spacing w:val="-1"/>
        </w:rPr>
        <w:t xml:space="preserve"> </w:t>
      </w:r>
      <w:r w:rsidRPr="00361139">
        <w:rPr>
          <w:rFonts w:asciiTheme="majorBidi" w:hAnsiTheme="majorBidi" w:cstheme="majorBidi"/>
        </w:rPr>
        <w:t>of</w:t>
      </w:r>
      <w:r w:rsidRPr="00361139">
        <w:rPr>
          <w:rFonts w:asciiTheme="majorBidi" w:hAnsiTheme="majorBidi" w:cstheme="majorBidi"/>
          <w:spacing w:val="-1"/>
        </w:rPr>
        <w:t xml:space="preserve"> </w:t>
      </w:r>
      <w:r w:rsidRPr="00361139">
        <w:rPr>
          <w:rFonts w:asciiTheme="majorBidi" w:hAnsiTheme="majorBidi" w:cstheme="majorBidi"/>
        </w:rPr>
        <w:t>the Parties</w:t>
      </w:r>
      <w:r w:rsidRPr="00361139">
        <w:rPr>
          <w:rFonts w:asciiTheme="majorBidi" w:hAnsiTheme="majorBidi" w:cstheme="majorBidi"/>
          <w:spacing w:val="-1"/>
        </w:rPr>
        <w:t xml:space="preserve"> </w:t>
      </w:r>
      <w:r w:rsidRPr="00361139">
        <w:rPr>
          <w:rFonts w:asciiTheme="majorBidi" w:hAnsiTheme="majorBidi" w:cstheme="majorBidi"/>
        </w:rPr>
        <w:t>to the Minamata Convention at its</w:t>
      </w:r>
      <w:r w:rsidRPr="00361139">
        <w:rPr>
          <w:rFonts w:asciiTheme="majorBidi" w:hAnsiTheme="majorBidi" w:cstheme="majorBidi"/>
          <w:spacing w:val="-3"/>
        </w:rPr>
        <w:t xml:space="preserve"> </w:t>
      </w:r>
      <w:r w:rsidRPr="00361139">
        <w:rPr>
          <w:rFonts w:asciiTheme="majorBidi" w:hAnsiTheme="majorBidi" w:cstheme="majorBidi"/>
        </w:rPr>
        <w:t>third</w:t>
      </w:r>
      <w:r w:rsidRPr="00361139">
        <w:rPr>
          <w:rFonts w:asciiTheme="majorBidi" w:hAnsiTheme="majorBidi" w:cstheme="majorBidi"/>
          <w:spacing w:val="-1"/>
        </w:rPr>
        <w:t xml:space="preserve"> </w:t>
      </w:r>
      <w:r w:rsidRPr="00361139">
        <w:rPr>
          <w:rFonts w:asciiTheme="majorBidi" w:hAnsiTheme="majorBidi" w:cstheme="majorBidi"/>
        </w:rPr>
        <w:t xml:space="preserve">meeting (COP3) to update the NAP guidance document with respect to ASGM tailings management, in collaboration with the </w:t>
      </w:r>
      <w:r w:rsidRPr="00361139">
        <w:t>Secretariat</w:t>
      </w:r>
      <w:r w:rsidRPr="00361139">
        <w:rPr>
          <w:rFonts w:asciiTheme="majorBidi" w:hAnsiTheme="majorBidi" w:cstheme="majorBidi"/>
        </w:rPr>
        <w:t xml:space="preserve"> of the Convention. The updated NAP guidance document</w:t>
      </w:r>
      <w:r w:rsidRPr="00361139">
        <w:rPr>
          <w:rStyle w:val="FootnoteReference"/>
          <w:rFonts w:asciiTheme="majorBidi" w:hAnsiTheme="majorBidi" w:cstheme="majorBidi"/>
        </w:rPr>
        <w:footnoteReference w:id="86"/>
      </w:r>
      <w:r w:rsidRPr="00361139">
        <w:rPr>
          <w:rFonts w:asciiTheme="majorBidi" w:hAnsiTheme="majorBidi" w:cstheme="majorBidi"/>
        </w:rPr>
        <w:t xml:space="preserve"> was adopted at COP4 and the guidance</w:t>
      </w:r>
      <w:r w:rsidRPr="00361139">
        <w:rPr>
          <w:rFonts w:asciiTheme="majorBidi" w:hAnsiTheme="majorBidi" w:cstheme="majorBidi"/>
          <w:spacing w:val="-11"/>
        </w:rPr>
        <w:t xml:space="preserve"> </w:t>
      </w:r>
      <w:r w:rsidRPr="00361139">
        <w:rPr>
          <w:rFonts w:asciiTheme="majorBidi" w:hAnsiTheme="majorBidi" w:cstheme="majorBidi"/>
        </w:rPr>
        <w:t>document</w:t>
      </w:r>
      <w:r w:rsidRPr="00361139">
        <w:rPr>
          <w:rFonts w:asciiTheme="majorBidi" w:hAnsiTheme="majorBidi" w:cstheme="majorBidi"/>
          <w:spacing w:val="-12"/>
        </w:rPr>
        <w:t xml:space="preserve"> </w:t>
      </w:r>
      <w:r w:rsidRPr="00361139">
        <w:rPr>
          <w:rFonts w:asciiTheme="majorBidi" w:hAnsiTheme="majorBidi" w:cstheme="majorBidi"/>
        </w:rPr>
        <w:t>on</w:t>
      </w:r>
      <w:r w:rsidRPr="00361139">
        <w:rPr>
          <w:rFonts w:asciiTheme="majorBidi" w:hAnsiTheme="majorBidi" w:cstheme="majorBidi"/>
          <w:spacing w:val="-9"/>
        </w:rPr>
        <w:t xml:space="preserve"> </w:t>
      </w:r>
      <w:r w:rsidRPr="00361139">
        <w:rPr>
          <w:rFonts w:asciiTheme="majorBidi" w:hAnsiTheme="majorBidi" w:cstheme="majorBidi"/>
        </w:rPr>
        <w:t>the</w:t>
      </w:r>
      <w:r w:rsidRPr="00361139">
        <w:rPr>
          <w:rFonts w:asciiTheme="majorBidi" w:hAnsiTheme="majorBidi" w:cstheme="majorBidi"/>
          <w:spacing w:val="-11"/>
        </w:rPr>
        <w:t xml:space="preserve"> </w:t>
      </w:r>
      <w:r w:rsidRPr="00361139">
        <w:rPr>
          <w:rFonts w:asciiTheme="majorBidi" w:hAnsiTheme="majorBidi" w:cstheme="majorBidi"/>
        </w:rPr>
        <w:t>management</w:t>
      </w:r>
      <w:r w:rsidRPr="00361139">
        <w:rPr>
          <w:rFonts w:asciiTheme="majorBidi" w:hAnsiTheme="majorBidi" w:cstheme="majorBidi"/>
          <w:spacing w:val="-12"/>
        </w:rPr>
        <w:t xml:space="preserve"> </w:t>
      </w:r>
      <w:r w:rsidRPr="00361139">
        <w:rPr>
          <w:rFonts w:asciiTheme="majorBidi" w:hAnsiTheme="majorBidi" w:cstheme="majorBidi"/>
        </w:rPr>
        <w:t>of</w:t>
      </w:r>
      <w:r w:rsidRPr="00361139">
        <w:rPr>
          <w:rFonts w:asciiTheme="majorBidi" w:hAnsiTheme="majorBidi" w:cstheme="majorBidi"/>
          <w:spacing w:val="-11"/>
        </w:rPr>
        <w:t xml:space="preserve"> </w:t>
      </w:r>
      <w:r w:rsidRPr="00361139">
        <w:rPr>
          <w:rFonts w:asciiTheme="majorBidi" w:hAnsiTheme="majorBidi" w:cstheme="majorBidi"/>
        </w:rPr>
        <w:t>artisanal</w:t>
      </w:r>
      <w:r w:rsidRPr="00361139">
        <w:rPr>
          <w:rFonts w:asciiTheme="majorBidi" w:hAnsiTheme="majorBidi" w:cstheme="majorBidi"/>
          <w:spacing w:val="-9"/>
        </w:rPr>
        <w:t xml:space="preserve"> </w:t>
      </w:r>
      <w:r w:rsidRPr="00361139">
        <w:rPr>
          <w:rFonts w:asciiTheme="majorBidi" w:hAnsiTheme="majorBidi" w:cstheme="majorBidi"/>
        </w:rPr>
        <w:t>and</w:t>
      </w:r>
      <w:r w:rsidRPr="00361139">
        <w:rPr>
          <w:rFonts w:asciiTheme="majorBidi" w:hAnsiTheme="majorBidi" w:cstheme="majorBidi"/>
          <w:spacing w:val="-11"/>
        </w:rPr>
        <w:t xml:space="preserve"> </w:t>
      </w:r>
      <w:r w:rsidRPr="00361139">
        <w:rPr>
          <w:rFonts w:asciiTheme="majorBidi" w:hAnsiTheme="majorBidi" w:cstheme="majorBidi"/>
        </w:rPr>
        <w:t>small-scale</w:t>
      </w:r>
      <w:r w:rsidRPr="00361139">
        <w:rPr>
          <w:rFonts w:asciiTheme="majorBidi" w:hAnsiTheme="majorBidi" w:cstheme="majorBidi"/>
          <w:spacing w:val="-9"/>
        </w:rPr>
        <w:t xml:space="preserve"> </w:t>
      </w:r>
      <w:r w:rsidRPr="00361139">
        <w:rPr>
          <w:rFonts w:asciiTheme="majorBidi" w:hAnsiTheme="majorBidi" w:cstheme="majorBidi"/>
        </w:rPr>
        <w:t>gold</w:t>
      </w:r>
      <w:r w:rsidRPr="00361139">
        <w:rPr>
          <w:rFonts w:asciiTheme="majorBidi" w:hAnsiTheme="majorBidi" w:cstheme="majorBidi"/>
          <w:spacing w:val="-11"/>
        </w:rPr>
        <w:t xml:space="preserve"> </w:t>
      </w:r>
      <w:r w:rsidRPr="00361139">
        <w:rPr>
          <w:rFonts w:asciiTheme="majorBidi" w:hAnsiTheme="majorBidi" w:cstheme="majorBidi"/>
        </w:rPr>
        <w:t>mining</w:t>
      </w:r>
      <w:r w:rsidRPr="00361139">
        <w:rPr>
          <w:rFonts w:asciiTheme="majorBidi" w:hAnsiTheme="majorBidi" w:cstheme="majorBidi"/>
          <w:spacing w:val="-9"/>
        </w:rPr>
        <w:t xml:space="preserve"> </w:t>
      </w:r>
      <w:r w:rsidRPr="00361139">
        <w:rPr>
          <w:rFonts w:asciiTheme="majorBidi" w:hAnsiTheme="majorBidi" w:cstheme="majorBidi"/>
        </w:rPr>
        <w:t>tailings</w:t>
      </w:r>
      <w:r w:rsidRPr="00361139">
        <w:rPr>
          <w:rStyle w:val="FootnoteReference"/>
          <w:rFonts w:asciiTheme="majorBidi" w:hAnsiTheme="majorBidi" w:cstheme="majorBidi"/>
        </w:rPr>
        <w:footnoteReference w:id="87"/>
      </w:r>
      <w:r w:rsidRPr="00361139">
        <w:rPr>
          <w:rFonts w:asciiTheme="majorBidi" w:hAnsiTheme="majorBidi" w:cstheme="majorBidi"/>
          <w:spacing w:val="-9"/>
        </w:rPr>
        <w:t xml:space="preserve"> </w:t>
      </w:r>
      <w:r w:rsidRPr="00361139">
        <w:rPr>
          <w:rFonts w:asciiTheme="majorBidi" w:hAnsiTheme="majorBidi" w:cstheme="majorBidi"/>
        </w:rPr>
        <w:t>was</w:t>
      </w:r>
      <w:r w:rsidRPr="00361139">
        <w:rPr>
          <w:rFonts w:asciiTheme="majorBidi" w:hAnsiTheme="majorBidi" w:cstheme="majorBidi"/>
          <w:spacing w:val="-10"/>
        </w:rPr>
        <w:t xml:space="preserve"> </w:t>
      </w:r>
      <w:r w:rsidRPr="00361139">
        <w:rPr>
          <w:rFonts w:asciiTheme="majorBidi" w:hAnsiTheme="majorBidi" w:cstheme="majorBidi"/>
        </w:rPr>
        <w:t>presented.</w:t>
      </w:r>
    </w:p>
    <w:p w14:paraId="2C6D974A"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 xml:space="preserve">The Partnership, through its Areas of work and its partners, also contributes to sector specific projects </w:t>
      </w:r>
      <w:r w:rsidRPr="00361139">
        <w:t>implemented</w:t>
      </w:r>
      <w:r w:rsidRPr="00361139">
        <w:rPr>
          <w:rFonts w:asciiTheme="majorBidi" w:hAnsiTheme="majorBidi" w:cstheme="majorBidi"/>
        </w:rPr>
        <w:t xml:space="preserve"> with the support of the GEF, including those related to artisanal and small-scale gold mining, releases from coal combustion, mercury supply and storage, mercury cell chlor-alkali, mercury-added products and mercury waste management. Several new projects foreseeing the </w:t>
      </w:r>
      <w:r w:rsidRPr="00361139">
        <w:t>contribution</w:t>
      </w:r>
      <w:r w:rsidRPr="00361139">
        <w:rPr>
          <w:rFonts w:asciiTheme="majorBidi" w:hAnsiTheme="majorBidi" w:cstheme="majorBidi"/>
        </w:rPr>
        <w:t xml:space="preserve"> of</w:t>
      </w:r>
      <w:r w:rsidRPr="00361139">
        <w:rPr>
          <w:rFonts w:asciiTheme="majorBidi" w:hAnsiTheme="majorBidi" w:cstheme="majorBidi"/>
          <w:spacing w:val="-1"/>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r w:rsidRPr="00361139">
        <w:rPr>
          <w:rFonts w:asciiTheme="majorBidi" w:hAnsiTheme="majorBidi" w:cstheme="majorBidi"/>
        </w:rPr>
        <w:t xml:space="preserve">Partnership are also </w:t>
      </w:r>
      <w:proofErr w:type="gramStart"/>
      <w:r w:rsidRPr="00361139">
        <w:rPr>
          <w:rFonts w:asciiTheme="majorBidi" w:hAnsiTheme="majorBidi" w:cstheme="majorBidi"/>
        </w:rPr>
        <w:t>in the course of</w:t>
      </w:r>
      <w:proofErr w:type="gramEnd"/>
      <w:r w:rsidRPr="00361139">
        <w:rPr>
          <w:rFonts w:asciiTheme="majorBidi" w:hAnsiTheme="majorBidi" w:cstheme="majorBidi"/>
        </w:rPr>
        <w:t xml:space="preserve"> development or inception.</w:t>
      </w:r>
    </w:p>
    <w:p w14:paraId="0351AD4E"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For example, the Partnership Area on mercury in artisanal and small-scale gold mining is providing technical</w:t>
      </w:r>
      <w:r w:rsidRPr="00361139">
        <w:rPr>
          <w:rFonts w:asciiTheme="majorBidi" w:hAnsiTheme="majorBidi" w:cstheme="majorBidi"/>
          <w:spacing w:val="-1"/>
        </w:rPr>
        <w:t xml:space="preserve"> </w:t>
      </w:r>
      <w:r w:rsidRPr="00361139">
        <w:rPr>
          <w:rFonts w:asciiTheme="majorBidi" w:hAnsiTheme="majorBidi" w:cstheme="majorBidi"/>
        </w:rPr>
        <w:t>support to</w:t>
      </w:r>
      <w:r w:rsidRPr="00361139">
        <w:rPr>
          <w:rFonts w:asciiTheme="majorBidi" w:hAnsiTheme="majorBidi" w:cstheme="majorBidi"/>
          <w:spacing w:val="-6"/>
        </w:rPr>
        <w:t xml:space="preserve"> </w:t>
      </w:r>
      <w:r w:rsidRPr="00361139">
        <w:rPr>
          <w:rFonts w:asciiTheme="majorBidi" w:hAnsiTheme="majorBidi" w:cstheme="majorBidi"/>
        </w:rPr>
        <w:t>the</w:t>
      </w:r>
      <w:r w:rsidRPr="00361139">
        <w:rPr>
          <w:rFonts w:asciiTheme="majorBidi" w:hAnsiTheme="majorBidi" w:cstheme="majorBidi"/>
          <w:spacing w:val="-1"/>
        </w:rPr>
        <w:t xml:space="preserve"> </w:t>
      </w:r>
      <w:proofErr w:type="spellStart"/>
      <w:r w:rsidRPr="00361139">
        <w:rPr>
          <w:rFonts w:asciiTheme="majorBidi" w:hAnsiTheme="majorBidi" w:cstheme="majorBidi"/>
        </w:rPr>
        <w:t>planetGOLD</w:t>
      </w:r>
      <w:proofErr w:type="spellEnd"/>
      <w:r w:rsidRPr="00361139">
        <w:rPr>
          <w:rFonts w:asciiTheme="majorBidi" w:hAnsiTheme="majorBidi" w:cstheme="majorBidi"/>
          <w:spacing w:val="-1"/>
        </w:rPr>
        <w:t xml:space="preserve"> </w:t>
      </w:r>
      <w:r w:rsidRPr="00361139">
        <w:rPr>
          <w:rFonts w:asciiTheme="majorBidi" w:hAnsiTheme="majorBidi" w:cstheme="majorBidi"/>
        </w:rPr>
        <w:t>programme,</w:t>
      </w:r>
      <w:r w:rsidRPr="00361139">
        <w:rPr>
          <w:rFonts w:asciiTheme="majorBidi" w:hAnsiTheme="majorBidi" w:cstheme="majorBidi"/>
          <w:spacing w:val="-4"/>
        </w:rPr>
        <w:t xml:space="preserve"> </w:t>
      </w:r>
      <w:r w:rsidRPr="00361139">
        <w:rPr>
          <w:rFonts w:asciiTheme="majorBidi" w:hAnsiTheme="majorBidi" w:cstheme="majorBidi"/>
        </w:rPr>
        <w:t>which aims</w:t>
      </w:r>
      <w:r w:rsidRPr="00361139">
        <w:rPr>
          <w:rFonts w:asciiTheme="majorBidi" w:hAnsiTheme="majorBidi" w:cstheme="majorBidi"/>
          <w:spacing w:val="-4"/>
        </w:rPr>
        <w:t xml:space="preserve"> </w:t>
      </w:r>
      <w:r w:rsidRPr="00361139">
        <w:rPr>
          <w:rFonts w:asciiTheme="majorBidi" w:hAnsiTheme="majorBidi" w:cstheme="majorBidi"/>
        </w:rPr>
        <w:t>at</w:t>
      </w:r>
      <w:r w:rsidRPr="00361139">
        <w:rPr>
          <w:rFonts w:asciiTheme="majorBidi" w:hAnsiTheme="majorBidi" w:cstheme="majorBidi"/>
          <w:spacing w:val="-2"/>
        </w:rPr>
        <w:t xml:space="preserve"> </w:t>
      </w:r>
      <w:r w:rsidRPr="00361139">
        <w:rPr>
          <w:rFonts w:asciiTheme="majorBidi" w:hAnsiTheme="majorBidi" w:cstheme="majorBidi"/>
        </w:rPr>
        <w:t>helping gold</w:t>
      </w:r>
      <w:r w:rsidRPr="00361139">
        <w:rPr>
          <w:rFonts w:asciiTheme="majorBidi" w:hAnsiTheme="majorBidi" w:cstheme="majorBidi"/>
          <w:spacing w:val="-1"/>
        </w:rPr>
        <w:t xml:space="preserve"> </w:t>
      </w:r>
      <w:r w:rsidRPr="00361139">
        <w:rPr>
          <w:rFonts w:asciiTheme="majorBidi" w:hAnsiTheme="majorBidi" w:cstheme="majorBidi"/>
        </w:rPr>
        <w:t>miners</w:t>
      </w:r>
      <w:r w:rsidRPr="00361139">
        <w:rPr>
          <w:rFonts w:asciiTheme="majorBidi" w:hAnsiTheme="majorBidi" w:cstheme="majorBidi"/>
          <w:spacing w:val="-4"/>
        </w:rPr>
        <w:t xml:space="preserve"> </w:t>
      </w:r>
      <w:r w:rsidRPr="00361139">
        <w:rPr>
          <w:rFonts w:asciiTheme="majorBidi" w:hAnsiTheme="majorBidi" w:cstheme="majorBidi"/>
        </w:rPr>
        <w:t>replace mercury</w:t>
      </w:r>
      <w:r w:rsidRPr="00361139">
        <w:rPr>
          <w:rFonts w:asciiTheme="majorBidi" w:hAnsiTheme="majorBidi" w:cstheme="majorBidi"/>
          <w:spacing w:val="-1"/>
        </w:rPr>
        <w:t xml:space="preserve"> </w:t>
      </w:r>
      <w:r w:rsidRPr="00361139">
        <w:rPr>
          <w:rFonts w:asciiTheme="majorBidi" w:hAnsiTheme="majorBidi" w:cstheme="majorBidi"/>
        </w:rPr>
        <w:t>with cleaner techniques,</w:t>
      </w:r>
      <w:r w:rsidRPr="00361139">
        <w:rPr>
          <w:rFonts w:asciiTheme="majorBidi" w:hAnsiTheme="majorBidi" w:cstheme="majorBidi"/>
          <w:spacing w:val="-1"/>
        </w:rPr>
        <w:t xml:space="preserve"> </w:t>
      </w:r>
      <w:r w:rsidRPr="00361139">
        <w:rPr>
          <w:rFonts w:asciiTheme="majorBidi" w:hAnsiTheme="majorBidi" w:cstheme="majorBidi"/>
        </w:rPr>
        <w:t>at improving access</w:t>
      </w:r>
      <w:r w:rsidRPr="00361139">
        <w:rPr>
          <w:rFonts w:asciiTheme="majorBidi" w:hAnsiTheme="majorBidi" w:cstheme="majorBidi"/>
          <w:spacing w:val="-1"/>
        </w:rPr>
        <w:t xml:space="preserve"> </w:t>
      </w:r>
      <w:r w:rsidRPr="00361139">
        <w:rPr>
          <w:rFonts w:asciiTheme="majorBidi" w:hAnsiTheme="majorBidi" w:cstheme="majorBidi"/>
        </w:rPr>
        <w:t>to finance and at</w:t>
      </w:r>
      <w:r w:rsidRPr="00361139">
        <w:rPr>
          <w:rFonts w:asciiTheme="majorBidi" w:hAnsiTheme="majorBidi" w:cstheme="majorBidi"/>
          <w:spacing w:val="-1"/>
        </w:rPr>
        <w:t xml:space="preserve"> </w:t>
      </w:r>
      <w:r w:rsidRPr="00361139">
        <w:rPr>
          <w:rFonts w:asciiTheme="majorBidi" w:hAnsiTheme="majorBidi" w:cstheme="majorBidi"/>
        </w:rPr>
        <w:t>facilitating formalization of the sector. The programme was initially launched in 2019 in eight countries (Burkina Faso, Colombia, Guyana,</w:t>
      </w:r>
      <w:r w:rsidRPr="00361139">
        <w:rPr>
          <w:rFonts w:asciiTheme="majorBidi" w:hAnsiTheme="majorBidi" w:cstheme="majorBidi"/>
          <w:spacing w:val="-4"/>
        </w:rPr>
        <w:t xml:space="preserve"> </w:t>
      </w:r>
      <w:r w:rsidRPr="00361139">
        <w:rPr>
          <w:rFonts w:asciiTheme="majorBidi" w:hAnsiTheme="majorBidi" w:cstheme="majorBidi"/>
        </w:rPr>
        <w:t>Indonesia,</w:t>
      </w:r>
      <w:r w:rsidRPr="00361139">
        <w:rPr>
          <w:rFonts w:asciiTheme="majorBidi" w:hAnsiTheme="majorBidi" w:cstheme="majorBidi"/>
          <w:spacing w:val="-2"/>
        </w:rPr>
        <w:t xml:space="preserve"> </w:t>
      </w:r>
      <w:r w:rsidRPr="00361139">
        <w:rPr>
          <w:rFonts w:asciiTheme="majorBidi" w:hAnsiTheme="majorBidi" w:cstheme="majorBidi"/>
        </w:rPr>
        <w:t>Kenya,</w:t>
      </w:r>
      <w:r w:rsidRPr="00361139">
        <w:rPr>
          <w:rFonts w:asciiTheme="majorBidi" w:hAnsiTheme="majorBidi" w:cstheme="majorBidi"/>
          <w:spacing w:val="-1"/>
        </w:rPr>
        <w:t xml:space="preserve"> </w:t>
      </w:r>
      <w:r w:rsidRPr="00361139">
        <w:rPr>
          <w:rFonts w:asciiTheme="majorBidi" w:hAnsiTheme="majorBidi" w:cstheme="majorBidi"/>
        </w:rPr>
        <w:t>Mongolia,</w:t>
      </w:r>
      <w:r w:rsidRPr="00361139">
        <w:rPr>
          <w:rFonts w:asciiTheme="majorBidi" w:hAnsiTheme="majorBidi" w:cstheme="majorBidi"/>
          <w:spacing w:val="-4"/>
        </w:rPr>
        <w:t xml:space="preserve"> </w:t>
      </w:r>
      <w:r w:rsidRPr="00361139">
        <w:rPr>
          <w:rFonts w:asciiTheme="majorBidi" w:hAnsiTheme="majorBidi" w:cstheme="majorBidi"/>
        </w:rPr>
        <w:t>Peru</w:t>
      </w:r>
      <w:r w:rsidRPr="00361139">
        <w:rPr>
          <w:rFonts w:asciiTheme="majorBidi" w:hAnsiTheme="majorBidi" w:cstheme="majorBidi"/>
          <w:spacing w:val="-2"/>
        </w:rPr>
        <w:t xml:space="preserve"> </w:t>
      </w:r>
      <w:r w:rsidRPr="00361139">
        <w:rPr>
          <w:rFonts w:asciiTheme="majorBidi" w:hAnsiTheme="majorBidi" w:cstheme="majorBidi"/>
        </w:rPr>
        <w:t>and</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Philippines), with a</w:t>
      </w:r>
      <w:r w:rsidRPr="00361139">
        <w:rPr>
          <w:rFonts w:asciiTheme="majorBidi" w:hAnsiTheme="majorBidi" w:cstheme="majorBidi"/>
          <w:spacing w:val="-5"/>
        </w:rPr>
        <w:t xml:space="preserve"> </w:t>
      </w:r>
      <w:r w:rsidRPr="00361139">
        <w:rPr>
          <w:rFonts w:asciiTheme="majorBidi" w:hAnsiTheme="majorBidi" w:cstheme="majorBidi"/>
        </w:rPr>
        <w:t>global</w:t>
      </w:r>
      <w:r w:rsidRPr="00361139">
        <w:rPr>
          <w:rFonts w:asciiTheme="majorBidi" w:hAnsiTheme="majorBidi" w:cstheme="majorBidi"/>
          <w:spacing w:val="-5"/>
        </w:rPr>
        <w:t xml:space="preserve"> </w:t>
      </w:r>
      <w:r w:rsidRPr="00361139">
        <w:rPr>
          <w:rFonts w:asciiTheme="majorBidi" w:hAnsiTheme="majorBidi" w:cstheme="majorBidi"/>
        </w:rPr>
        <w:t>knowledge</w:t>
      </w:r>
      <w:r w:rsidRPr="00361139">
        <w:rPr>
          <w:rFonts w:asciiTheme="majorBidi" w:hAnsiTheme="majorBidi" w:cstheme="majorBidi"/>
          <w:spacing w:val="-7"/>
        </w:rPr>
        <w:t xml:space="preserve"> </w:t>
      </w:r>
      <w:r w:rsidRPr="00361139">
        <w:rPr>
          <w:rFonts w:asciiTheme="majorBidi" w:hAnsiTheme="majorBidi" w:cstheme="majorBidi"/>
        </w:rPr>
        <w:t xml:space="preserve">management and communications component. In June 2020, the GEF Council approved an expansion of the </w:t>
      </w:r>
      <w:proofErr w:type="spellStart"/>
      <w:r w:rsidRPr="00361139">
        <w:rPr>
          <w:rFonts w:asciiTheme="majorBidi" w:hAnsiTheme="majorBidi" w:cstheme="majorBidi"/>
        </w:rPr>
        <w:t>planetGOLD</w:t>
      </w:r>
      <w:proofErr w:type="spellEnd"/>
      <w:r w:rsidRPr="00361139">
        <w:rPr>
          <w:rFonts w:asciiTheme="majorBidi" w:hAnsiTheme="majorBidi" w:cstheme="majorBidi"/>
        </w:rPr>
        <w:t xml:space="preserve"> programme to another nine countries (Bolivia, Ecuador, Ghana, Honduras, Madagascar, Nigeria, Republic of the Congo, Suriname, and Uganda) and in June 2021, to an additional seven countries (Sierra Leone, Zambia, Mali, Guinea, Cote d’Ivoire, Nicaragua, Ecuador).</w:t>
      </w:r>
    </w:p>
    <w:p w14:paraId="6F723E62"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On coal combustion, the GEF funded project: “Assessment of existing and future emissions reduction</w:t>
      </w:r>
      <w:r w:rsidRPr="00361139">
        <w:rPr>
          <w:rFonts w:asciiTheme="majorBidi" w:hAnsiTheme="majorBidi" w:cstheme="majorBidi"/>
          <w:spacing w:val="-13"/>
        </w:rPr>
        <w:t xml:space="preserve"> </w:t>
      </w:r>
      <w:r w:rsidRPr="00361139">
        <w:rPr>
          <w:rFonts w:asciiTheme="majorBidi" w:hAnsiTheme="majorBidi" w:cstheme="majorBidi"/>
        </w:rPr>
        <w:t>from</w:t>
      </w:r>
      <w:r w:rsidRPr="00361139">
        <w:rPr>
          <w:rFonts w:asciiTheme="majorBidi" w:hAnsiTheme="majorBidi" w:cstheme="majorBidi"/>
          <w:spacing w:val="-12"/>
        </w:rPr>
        <w:t xml:space="preserve"> </w:t>
      </w:r>
      <w:r w:rsidRPr="00361139">
        <w:rPr>
          <w:rFonts w:asciiTheme="majorBidi" w:hAnsiTheme="majorBidi" w:cstheme="majorBidi"/>
        </w:rPr>
        <w:t>the</w:t>
      </w:r>
      <w:r w:rsidRPr="00361139">
        <w:rPr>
          <w:rFonts w:asciiTheme="majorBidi" w:hAnsiTheme="majorBidi" w:cstheme="majorBidi"/>
          <w:spacing w:val="-13"/>
        </w:rPr>
        <w:t xml:space="preserve"> </w:t>
      </w:r>
      <w:r w:rsidRPr="00361139">
        <w:rPr>
          <w:rFonts w:asciiTheme="majorBidi" w:hAnsiTheme="majorBidi" w:cstheme="majorBidi"/>
        </w:rPr>
        <w:t>coal</w:t>
      </w:r>
      <w:r w:rsidRPr="00361139">
        <w:rPr>
          <w:rFonts w:asciiTheme="majorBidi" w:hAnsiTheme="majorBidi" w:cstheme="majorBidi"/>
          <w:spacing w:val="-11"/>
        </w:rPr>
        <w:t xml:space="preserve"> </w:t>
      </w:r>
      <w:r w:rsidRPr="00361139">
        <w:rPr>
          <w:rFonts w:asciiTheme="majorBidi" w:hAnsiTheme="majorBidi" w:cstheme="majorBidi"/>
        </w:rPr>
        <w:t>sector</w:t>
      </w:r>
      <w:r w:rsidRPr="00361139">
        <w:rPr>
          <w:rFonts w:asciiTheme="majorBidi" w:hAnsiTheme="majorBidi" w:cstheme="majorBidi"/>
          <w:spacing w:val="-13"/>
        </w:rPr>
        <w:t xml:space="preserve"> </w:t>
      </w:r>
      <w:r w:rsidRPr="00361139">
        <w:rPr>
          <w:rFonts w:asciiTheme="majorBidi" w:hAnsiTheme="majorBidi" w:cstheme="majorBidi"/>
        </w:rPr>
        <w:t>toward</w:t>
      </w:r>
      <w:r w:rsidRPr="00361139">
        <w:rPr>
          <w:rFonts w:asciiTheme="majorBidi" w:hAnsiTheme="majorBidi" w:cstheme="majorBidi"/>
          <w:spacing w:val="-11"/>
        </w:rPr>
        <w:t xml:space="preserve"> </w:t>
      </w:r>
      <w:r w:rsidRPr="00361139">
        <w:rPr>
          <w:rFonts w:asciiTheme="majorBidi" w:hAnsiTheme="majorBidi" w:cstheme="majorBidi"/>
        </w:rPr>
        <w:t>the</w:t>
      </w:r>
      <w:r w:rsidRPr="00361139">
        <w:rPr>
          <w:rFonts w:asciiTheme="majorBidi" w:hAnsiTheme="majorBidi" w:cstheme="majorBidi"/>
          <w:spacing w:val="-11"/>
        </w:rPr>
        <w:t xml:space="preserve"> </w:t>
      </w:r>
      <w:r w:rsidRPr="00361139">
        <w:rPr>
          <w:rFonts w:asciiTheme="majorBidi" w:hAnsiTheme="majorBidi" w:cstheme="majorBidi"/>
        </w:rPr>
        <w:t>implementation</w:t>
      </w:r>
      <w:r w:rsidRPr="00361139">
        <w:rPr>
          <w:rFonts w:asciiTheme="majorBidi" w:hAnsiTheme="majorBidi" w:cstheme="majorBidi"/>
          <w:spacing w:val="-11"/>
        </w:rPr>
        <w:t xml:space="preserve"> </w:t>
      </w:r>
      <w:r w:rsidRPr="00361139">
        <w:rPr>
          <w:rFonts w:asciiTheme="majorBidi" w:hAnsiTheme="majorBidi" w:cstheme="majorBidi"/>
        </w:rPr>
        <w:t>of</w:t>
      </w:r>
      <w:r w:rsidRPr="00361139">
        <w:rPr>
          <w:rFonts w:asciiTheme="majorBidi" w:hAnsiTheme="majorBidi" w:cstheme="majorBidi"/>
          <w:spacing w:val="-11"/>
        </w:rPr>
        <w:t xml:space="preserve"> </w:t>
      </w:r>
      <w:r w:rsidRPr="00361139">
        <w:rPr>
          <w:rFonts w:asciiTheme="majorBidi" w:hAnsiTheme="majorBidi" w:cstheme="majorBidi"/>
        </w:rPr>
        <w:t>the</w:t>
      </w:r>
      <w:r w:rsidRPr="00361139">
        <w:rPr>
          <w:rFonts w:asciiTheme="majorBidi" w:hAnsiTheme="majorBidi" w:cstheme="majorBidi"/>
          <w:spacing w:val="-11"/>
        </w:rPr>
        <w:t xml:space="preserve"> </w:t>
      </w:r>
      <w:r w:rsidRPr="00361139">
        <w:rPr>
          <w:rFonts w:asciiTheme="majorBidi" w:hAnsiTheme="majorBidi" w:cstheme="majorBidi"/>
        </w:rPr>
        <w:t>Minamata</w:t>
      </w:r>
      <w:r w:rsidRPr="00361139">
        <w:rPr>
          <w:rFonts w:asciiTheme="majorBidi" w:hAnsiTheme="majorBidi" w:cstheme="majorBidi"/>
          <w:spacing w:val="-11"/>
        </w:rPr>
        <w:t xml:space="preserve"> </w:t>
      </w:r>
      <w:r w:rsidRPr="00361139">
        <w:rPr>
          <w:rFonts w:asciiTheme="majorBidi" w:hAnsiTheme="majorBidi" w:cstheme="majorBidi"/>
        </w:rPr>
        <w:t>and</w:t>
      </w:r>
      <w:r w:rsidRPr="00361139">
        <w:rPr>
          <w:rFonts w:asciiTheme="majorBidi" w:hAnsiTheme="majorBidi" w:cstheme="majorBidi"/>
          <w:spacing w:val="-11"/>
        </w:rPr>
        <w:t xml:space="preserve"> </w:t>
      </w:r>
      <w:r w:rsidRPr="00361139">
        <w:rPr>
          <w:rFonts w:asciiTheme="majorBidi" w:hAnsiTheme="majorBidi" w:cstheme="majorBidi"/>
        </w:rPr>
        <w:t>Stockholm</w:t>
      </w:r>
      <w:r w:rsidRPr="00361139">
        <w:rPr>
          <w:rFonts w:asciiTheme="majorBidi" w:hAnsiTheme="majorBidi" w:cstheme="majorBidi"/>
          <w:spacing w:val="-11"/>
        </w:rPr>
        <w:t xml:space="preserve"> </w:t>
      </w:r>
      <w:r w:rsidRPr="00361139">
        <w:rPr>
          <w:rFonts w:asciiTheme="majorBidi" w:hAnsiTheme="majorBidi" w:cstheme="majorBidi"/>
        </w:rPr>
        <w:t>Conventions” implemented by UNEP and executed by the Partnership area leads, Macquarie University and the International Centre for Sustainable Carbon (ICSC) will draw on expertise and input from the Partnership</w:t>
      </w:r>
      <w:r w:rsidRPr="00361139">
        <w:rPr>
          <w:rFonts w:asciiTheme="majorBidi" w:hAnsiTheme="majorBidi" w:cstheme="majorBidi"/>
          <w:spacing w:val="-2"/>
        </w:rPr>
        <w:t xml:space="preserve"> </w:t>
      </w:r>
      <w:r w:rsidRPr="00361139">
        <w:rPr>
          <w:rFonts w:asciiTheme="majorBidi" w:hAnsiTheme="majorBidi" w:cstheme="majorBidi"/>
        </w:rPr>
        <w:t>Area</w:t>
      </w:r>
      <w:r w:rsidRPr="00361139">
        <w:rPr>
          <w:rFonts w:asciiTheme="majorBidi" w:hAnsiTheme="majorBidi" w:cstheme="majorBidi"/>
          <w:spacing w:val="-2"/>
        </w:rPr>
        <w:t xml:space="preserve"> </w:t>
      </w:r>
      <w:r w:rsidRPr="00361139">
        <w:rPr>
          <w:rFonts w:asciiTheme="majorBidi" w:hAnsiTheme="majorBidi" w:cstheme="majorBidi"/>
        </w:rPr>
        <w:t>on</w:t>
      </w:r>
      <w:r w:rsidRPr="00361139">
        <w:rPr>
          <w:rFonts w:asciiTheme="majorBidi" w:hAnsiTheme="majorBidi" w:cstheme="majorBidi"/>
          <w:spacing w:val="-2"/>
        </w:rPr>
        <w:t xml:space="preserve"> </w:t>
      </w:r>
      <w:r w:rsidRPr="00361139">
        <w:rPr>
          <w:rFonts w:asciiTheme="majorBidi" w:hAnsiTheme="majorBidi" w:cstheme="majorBidi"/>
        </w:rPr>
        <w:t>Mercury</w:t>
      </w:r>
      <w:r w:rsidRPr="00361139">
        <w:rPr>
          <w:rFonts w:asciiTheme="majorBidi" w:hAnsiTheme="majorBidi" w:cstheme="majorBidi"/>
          <w:spacing w:val="-3"/>
        </w:rPr>
        <w:t xml:space="preserve"> </w:t>
      </w:r>
      <w:r w:rsidRPr="00361139">
        <w:rPr>
          <w:rFonts w:asciiTheme="majorBidi" w:hAnsiTheme="majorBidi" w:cstheme="majorBidi"/>
        </w:rPr>
        <w:t>Releases</w:t>
      </w:r>
      <w:r w:rsidRPr="00361139">
        <w:rPr>
          <w:rFonts w:asciiTheme="majorBidi" w:hAnsiTheme="majorBidi" w:cstheme="majorBidi"/>
          <w:spacing w:val="-3"/>
        </w:rPr>
        <w:t xml:space="preserve"> </w:t>
      </w:r>
      <w:r w:rsidRPr="00361139">
        <w:rPr>
          <w:rFonts w:asciiTheme="majorBidi" w:hAnsiTheme="majorBidi" w:cstheme="majorBidi"/>
        </w:rPr>
        <w:t>from</w:t>
      </w:r>
      <w:r w:rsidRPr="00361139">
        <w:rPr>
          <w:rFonts w:asciiTheme="majorBidi" w:hAnsiTheme="majorBidi" w:cstheme="majorBidi"/>
          <w:spacing w:val="-2"/>
        </w:rPr>
        <w:t xml:space="preserve"> </w:t>
      </w:r>
      <w:r w:rsidRPr="00361139">
        <w:rPr>
          <w:rFonts w:asciiTheme="majorBidi" w:hAnsiTheme="majorBidi" w:cstheme="majorBidi"/>
        </w:rPr>
        <w:t>Coal</w:t>
      </w:r>
      <w:r w:rsidRPr="00361139">
        <w:rPr>
          <w:rFonts w:asciiTheme="majorBidi" w:hAnsiTheme="majorBidi" w:cstheme="majorBidi"/>
          <w:spacing w:val="-2"/>
        </w:rPr>
        <w:t xml:space="preserve"> </w:t>
      </w:r>
      <w:r w:rsidRPr="00361139">
        <w:rPr>
          <w:rFonts w:asciiTheme="majorBidi" w:hAnsiTheme="majorBidi" w:cstheme="majorBidi"/>
        </w:rPr>
        <w:t>Combustion and</w:t>
      </w:r>
      <w:r w:rsidRPr="00361139">
        <w:rPr>
          <w:rFonts w:asciiTheme="majorBidi" w:hAnsiTheme="majorBidi" w:cstheme="majorBidi"/>
          <w:spacing w:val="-2"/>
        </w:rPr>
        <w:t xml:space="preserve"> </w:t>
      </w:r>
      <w:r w:rsidRPr="00361139">
        <w:rPr>
          <w:rFonts w:asciiTheme="majorBidi" w:hAnsiTheme="majorBidi" w:cstheme="majorBidi"/>
        </w:rPr>
        <w:t>partners.</w:t>
      </w:r>
      <w:r w:rsidRPr="00361139">
        <w:rPr>
          <w:rFonts w:asciiTheme="majorBidi" w:hAnsiTheme="majorBidi" w:cstheme="majorBidi"/>
          <w:spacing w:val="-2"/>
        </w:rPr>
        <w:t xml:space="preserve"> </w:t>
      </w:r>
      <w:r w:rsidRPr="00361139">
        <w:rPr>
          <w:rFonts w:asciiTheme="majorBidi" w:hAnsiTheme="majorBidi" w:cstheme="majorBidi"/>
        </w:rPr>
        <w:t>This</w:t>
      </w:r>
      <w:r w:rsidRPr="00361139">
        <w:rPr>
          <w:rFonts w:asciiTheme="majorBidi" w:hAnsiTheme="majorBidi" w:cstheme="majorBidi"/>
          <w:spacing w:val="-3"/>
        </w:rPr>
        <w:t xml:space="preserve"> </w:t>
      </w:r>
      <w:r w:rsidRPr="00361139">
        <w:rPr>
          <w:rFonts w:asciiTheme="majorBidi" w:hAnsiTheme="majorBidi" w:cstheme="majorBidi"/>
        </w:rPr>
        <w:t>project,</w:t>
      </w:r>
      <w:r w:rsidRPr="00361139">
        <w:rPr>
          <w:rFonts w:asciiTheme="majorBidi" w:hAnsiTheme="majorBidi" w:cstheme="majorBidi"/>
          <w:spacing w:val="-4"/>
        </w:rPr>
        <w:t xml:space="preserve"> </w:t>
      </w:r>
      <w:r w:rsidRPr="00361139">
        <w:rPr>
          <w:rFonts w:asciiTheme="majorBidi" w:hAnsiTheme="majorBidi" w:cstheme="majorBidi"/>
        </w:rPr>
        <w:t>which</w:t>
      </w:r>
      <w:r w:rsidRPr="00361139">
        <w:rPr>
          <w:rFonts w:asciiTheme="majorBidi" w:hAnsiTheme="majorBidi" w:cstheme="majorBidi"/>
          <w:spacing w:val="-1"/>
        </w:rPr>
        <w:t xml:space="preserve"> </w:t>
      </w:r>
      <w:r w:rsidRPr="00361139">
        <w:rPr>
          <w:rFonts w:asciiTheme="majorBidi" w:hAnsiTheme="majorBidi" w:cstheme="majorBidi"/>
        </w:rPr>
        <w:t>started in October 2021, consists of two components: a comprehensive sectoral analysis, which will review scientific data on mercury/POPs/GHGs from the coal sector and estimate future emissions in the light of the UNFCCC Paris Agreement commitments and targets; and the synthesis of strategies, including policy</w:t>
      </w:r>
      <w:r w:rsidRPr="00361139">
        <w:rPr>
          <w:rFonts w:asciiTheme="majorBidi" w:hAnsiTheme="majorBidi" w:cstheme="majorBidi"/>
          <w:spacing w:val="-1"/>
        </w:rPr>
        <w:t xml:space="preserve"> </w:t>
      </w:r>
      <w:r w:rsidRPr="00361139">
        <w:rPr>
          <w:rFonts w:asciiTheme="majorBidi" w:hAnsiTheme="majorBidi" w:cstheme="majorBidi"/>
        </w:rPr>
        <w:t>guidance,</w:t>
      </w:r>
      <w:r w:rsidRPr="00361139">
        <w:rPr>
          <w:rFonts w:asciiTheme="majorBidi" w:hAnsiTheme="majorBidi" w:cstheme="majorBidi"/>
          <w:spacing w:val="-2"/>
        </w:rPr>
        <w:t xml:space="preserve"> </w:t>
      </w:r>
      <w:r w:rsidRPr="00361139">
        <w:rPr>
          <w:rFonts w:asciiTheme="majorBidi" w:hAnsiTheme="majorBidi" w:cstheme="majorBidi"/>
        </w:rPr>
        <w:t>for</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coal</w:t>
      </w:r>
      <w:r w:rsidRPr="00361139">
        <w:rPr>
          <w:rFonts w:asciiTheme="majorBidi" w:hAnsiTheme="majorBidi" w:cstheme="majorBidi"/>
          <w:spacing w:val="-2"/>
        </w:rPr>
        <w:t xml:space="preserve"> </w:t>
      </w:r>
      <w:r w:rsidRPr="00361139">
        <w:rPr>
          <w:rFonts w:asciiTheme="majorBidi" w:hAnsiTheme="majorBidi" w:cstheme="majorBidi"/>
        </w:rPr>
        <w:t>sector’s</w:t>
      </w:r>
      <w:r w:rsidRPr="00361139">
        <w:rPr>
          <w:rFonts w:asciiTheme="majorBidi" w:hAnsiTheme="majorBidi" w:cstheme="majorBidi"/>
          <w:spacing w:val="-3"/>
        </w:rPr>
        <w:t xml:space="preserve"> </w:t>
      </w:r>
      <w:r w:rsidRPr="00361139">
        <w:rPr>
          <w:rFonts w:asciiTheme="majorBidi" w:hAnsiTheme="majorBidi" w:cstheme="majorBidi"/>
        </w:rPr>
        <w:t>emissions</w:t>
      </w:r>
      <w:r w:rsidRPr="00361139">
        <w:rPr>
          <w:rFonts w:asciiTheme="majorBidi" w:hAnsiTheme="majorBidi" w:cstheme="majorBidi"/>
          <w:spacing w:val="-3"/>
        </w:rPr>
        <w:t xml:space="preserve"> </w:t>
      </w:r>
      <w:r w:rsidRPr="00361139">
        <w:rPr>
          <w:rFonts w:asciiTheme="majorBidi" w:hAnsiTheme="majorBidi" w:cstheme="majorBidi"/>
        </w:rPr>
        <w:t>reduction</w:t>
      </w:r>
      <w:r w:rsidRPr="00361139">
        <w:rPr>
          <w:rFonts w:asciiTheme="majorBidi" w:hAnsiTheme="majorBidi" w:cstheme="majorBidi"/>
          <w:spacing w:val="-1"/>
        </w:rPr>
        <w:t xml:space="preserve"> </w:t>
      </w:r>
      <w:r w:rsidRPr="00361139">
        <w:rPr>
          <w:rFonts w:asciiTheme="majorBidi" w:hAnsiTheme="majorBidi" w:cstheme="majorBidi"/>
        </w:rPr>
        <w:t>contribution</w:t>
      </w:r>
      <w:r w:rsidRPr="00361139">
        <w:rPr>
          <w:rFonts w:asciiTheme="majorBidi" w:hAnsiTheme="majorBidi" w:cstheme="majorBidi"/>
          <w:spacing w:val="-1"/>
        </w:rPr>
        <w:t xml:space="preserve"> </w:t>
      </w:r>
      <w:r w:rsidRPr="00361139">
        <w:rPr>
          <w:rFonts w:asciiTheme="majorBidi" w:hAnsiTheme="majorBidi" w:cstheme="majorBidi"/>
        </w:rPr>
        <w:t>to</w:t>
      </w:r>
      <w:r w:rsidRPr="00361139">
        <w:rPr>
          <w:rFonts w:asciiTheme="majorBidi" w:hAnsiTheme="majorBidi" w:cstheme="majorBidi"/>
          <w:spacing w:val="-1"/>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Stockholm and</w:t>
      </w:r>
      <w:r w:rsidRPr="00361139">
        <w:rPr>
          <w:rFonts w:asciiTheme="majorBidi" w:hAnsiTheme="majorBidi" w:cstheme="majorBidi"/>
          <w:spacing w:val="-1"/>
        </w:rPr>
        <w:t xml:space="preserve"> </w:t>
      </w:r>
      <w:r w:rsidRPr="00361139">
        <w:rPr>
          <w:rFonts w:asciiTheme="majorBidi" w:hAnsiTheme="majorBidi" w:cstheme="majorBidi"/>
        </w:rPr>
        <w:t xml:space="preserve">Minamata </w:t>
      </w:r>
      <w:r w:rsidRPr="00361139">
        <w:rPr>
          <w:rFonts w:asciiTheme="majorBidi" w:hAnsiTheme="majorBidi" w:cstheme="majorBidi"/>
          <w:spacing w:val="-2"/>
        </w:rPr>
        <w:t>conventions.</w:t>
      </w:r>
    </w:p>
    <w:p w14:paraId="0CD02686"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 xml:space="preserve">On mercury-added products, the </w:t>
      </w:r>
      <w:r w:rsidRPr="00361139">
        <w:rPr>
          <w:rFonts w:asciiTheme="majorBidi" w:hAnsiTheme="majorBidi" w:cstheme="majorBidi"/>
          <w:spacing w:val="-11"/>
        </w:rPr>
        <w:t>GEF</w:t>
      </w:r>
      <w:r w:rsidRPr="00361139">
        <w:rPr>
          <w:rFonts w:asciiTheme="majorBidi" w:hAnsiTheme="majorBidi" w:cstheme="majorBidi"/>
        </w:rPr>
        <w:t xml:space="preserve"> funded project “Eliminating Mercury Skin Lightening Products” implemented by UNEP and co-executed by WHO and the Biodiversity Research Institute (BRI) in collaboration with the Governments of Gabon, Jamaica, and Sri Lanka, will receive technical support from the Partnership, as confirmed by its Steering Committee (December 2022 meeting). In particular, the Partnership will support knowledge generation, curation and dissemination through stakeholder engagement and its channels, as well as global communication and advocacy. The Partnership’s network will also be leveraged to gather data, especially on supply chain aspects</w:t>
      </w:r>
      <w:r w:rsidRPr="00361139">
        <w:rPr>
          <w:rStyle w:val="FootnoteReference"/>
          <w:rFonts w:asciiTheme="majorBidi" w:hAnsiTheme="majorBidi" w:cstheme="majorBidi"/>
        </w:rPr>
        <w:footnoteReference w:id="88"/>
      </w:r>
      <w:r w:rsidRPr="00361139">
        <w:rPr>
          <w:rFonts w:asciiTheme="majorBidi" w:hAnsiTheme="majorBidi" w:cstheme="majorBidi"/>
        </w:rPr>
        <w:t>. The project held its inception workshop in February 2023. Other projects focusing on dental amalgam and mercury-containing</w:t>
      </w:r>
      <w:r w:rsidRPr="00361139">
        <w:rPr>
          <w:rFonts w:asciiTheme="majorBidi" w:hAnsiTheme="majorBidi" w:cstheme="majorBidi"/>
          <w:spacing w:val="-2"/>
        </w:rPr>
        <w:t xml:space="preserve"> </w:t>
      </w:r>
      <w:r w:rsidRPr="00361139">
        <w:rPr>
          <w:rFonts w:asciiTheme="majorBidi" w:hAnsiTheme="majorBidi" w:cstheme="majorBidi"/>
        </w:rPr>
        <w:t>medical</w:t>
      </w:r>
      <w:r w:rsidRPr="00361139">
        <w:rPr>
          <w:rFonts w:asciiTheme="majorBidi" w:hAnsiTheme="majorBidi" w:cstheme="majorBidi"/>
          <w:spacing w:val="-3"/>
        </w:rPr>
        <w:t xml:space="preserve"> </w:t>
      </w:r>
      <w:r w:rsidRPr="00361139">
        <w:rPr>
          <w:rFonts w:asciiTheme="majorBidi" w:hAnsiTheme="majorBidi" w:cstheme="majorBidi"/>
        </w:rPr>
        <w:t xml:space="preserve">devices </w:t>
      </w:r>
      <w:proofErr w:type="gramStart"/>
      <w:r w:rsidRPr="00361139">
        <w:rPr>
          <w:rFonts w:asciiTheme="majorBidi" w:hAnsiTheme="majorBidi" w:cstheme="majorBidi"/>
        </w:rPr>
        <w:t>in the</w:t>
      </w:r>
      <w:r w:rsidRPr="00361139">
        <w:rPr>
          <w:rFonts w:asciiTheme="majorBidi" w:hAnsiTheme="majorBidi" w:cstheme="majorBidi"/>
          <w:spacing w:val="-3"/>
        </w:rPr>
        <w:t xml:space="preserve"> </w:t>
      </w:r>
      <w:r w:rsidRPr="00361139">
        <w:rPr>
          <w:rFonts w:asciiTheme="majorBidi" w:hAnsiTheme="majorBidi" w:cstheme="majorBidi"/>
        </w:rPr>
        <w:t>course of</w:t>
      </w:r>
      <w:proofErr w:type="gramEnd"/>
      <w:r w:rsidRPr="00361139">
        <w:rPr>
          <w:rFonts w:asciiTheme="majorBidi" w:hAnsiTheme="majorBidi" w:cstheme="majorBidi"/>
        </w:rPr>
        <w:t xml:space="preserve"> development</w:t>
      </w:r>
      <w:r w:rsidRPr="00361139">
        <w:rPr>
          <w:rFonts w:asciiTheme="majorBidi" w:hAnsiTheme="majorBidi" w:cstheme="majorBidi"/>
          <w:spacing w:val="-4"/>
        </w:rPr>
        <w:t xml:space="preserve"> </w:t>
      </w:r>
      <w:r w:rsidRPr="00361139">
        <w:rPr>
          <w:rFonts w:asciiTheme="majorBidi" w:hAnsiTheme="majorBidi" w:cstheme="majorBidi"/>
        </w:rPr>
        <w:t>or inception</w:t>
      </w:r>
      <w:r w:rsidRPr="00361139">
        <w:rPr>
          <w:rFonts w:asciiTheme="majorBidi" w:hAnsiTheme="majorBidi" w:cstheme="majorBidi"/>
          <w:spacing w:val="-2"/>
        </w:rPr>
        <w:t xml:space="preserve"> </w:t>
      </w:r>
      <w:r w:rsidRPr="00361139">
        <w:rPr>
          <w:rFonts w:asciiTheme="majorBidi" w:hAnsiTheme="majorBidi" w:cstheme="majorBidi"/>
        </w:rPr>
        <w:t>foresee the</w:t>
      </w:r>
      <w:r w:rsidRPr="00361139">
        <w:rPr>
          <w:rFonts w:asciiTheme="majorBidi" w:hAnsiTheme="majorBidi" w:cstheme="majorBidi"/>
          <w:spacing w:val="-3"/>
        </w:rPr>
        <w:t xml:space="preserve"> </w:t>
      </w:r>
      <w:r w:rsidRPr="00361139">
        <w:rPr>
          <w:rFonts w:asciiTheme="majorBidi" w:hAnsiTheme="majorBidi" w:cstheme="majorBidi"/>
        </w:rPr>
        <w:t>contribution of the Partnership in terms of technical support.</w:t>
      </w:r>
    </w:p>
    <w:p w14:paraId="2862A2E5"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 xml:space="preserve">On </w:t>
      </w:r>
      <w:r w:rsidRPr="00361139">
        <w:t>mercury</w:t>
      </w:r>
      <w:r w:rsidRPr="00361139">
        <w:rPr>
          <w:rFonts w:asciiTheme="majorBidi" w:hAnsiTheme="majorBidi" w:cstheme="majorBidi"/>
        </w:rPr>
        <w:t xml:space="preserve"> cell chlor-alkali production, the GEF funded project “Eliminate mercury use and adequately manage mercury and </w:t>
      </w:r>
      <w:r w:rsidRPr="00361139">
        <w:rPr>
          <w:rFonts w:asciiTheme="majorBidi" w:hAnsiTheme="majorBidi" w:cstheme="majorBidi"/>
          <w:spacing w:val="-11"/>
        </w:rPr>
        <w:t>mercury</w:t>
      </w:r>
      <w:r w:rsidRPr="00361139">
        <w:rPr>
          <w:rFonts w:asciiTheme="majorBidi" w:hAnsiTheme="majorBidi" w:cstheme="majorBidi"/>
        </w:rPr>
        <w:t xml:space="preserve"> wastes in the chlor-alkali sector in Mexico” implemented by UNEP and executed by the Environmental Protection Institute of Nuevo Leon and the Mexican Center for</w:t>
      </w:r>
      <w:r w:rsidRPr="00361139">
        <w:rPr>
          <w:rFonts w:asciiTheme="majorBidi" w:hAnsiTheme="majorBidi" w:cstheme="majorBidi"/>
          <w:spacing w:val="-4"/>
        </w:rPr>
        <w:t xml:space="preserve"> </w:t>
      </w:r>
      <w:r w:rsidRPr="00361139">
        <w:rPr>
          <w:rFonts w:asciiTheme="majorBidi" w:hAnsiTheme="majorBidi" w:cstheme="majorBidi"/>
        </w:rPr>
        <w:t>Cleaner</w:t>
      </w:r>
      <w:r w:rsidRPr="00361139">
        <w:rPr>
          <w:rFonts w:asciiTheme="majorBidi" w:hAnsiTheme="majorBidi" w:cstheme="majorBidi"/>
          <w:spacing w:val="-3"/>
        </w:rPr>
        <w:t xml:space="preserve"> </w:t>
      </w:r>
      <w:r w:rsidRPr="00361139">
        <w:rPr>
          <w:rFonts w:asciiTheme="majorBidi" w:hAnsiTheme="majorBidi" w:cstheme="majorBidi"/>
        </w:rPr>
        <w:t>Production,</w:t>
      </w:r>
      <w:r w:rsidRPr="00361139">
        <w:rPr>
          <w:rFonts w:asciiTheme="majorBidi" w:hAnsiTheme="majorBidi" w:cstheme="majorBidi"/>
          <w:spacing w:val="-4"/>
        </w:rPr>
        <w:t xml:space="preserve"> </w:t>
      </w:r>
      <w:r w:rsidRPr="00361139">
        <w:rPr>
          <w:rFonts w:asciiTheme="majorBidi" w:hAnsiTheme="majorBidi" w:cstheme="majorBidi"/>
        </w:rPr>
        <w:t>is</w:t>
      </w:r>
      <w:r w:rsidRPr="00361139">
        <w:rPr>
          <w:rFonts w:asciiTheme="majorBidi" w:hAnsiTheme="majorBidi" w:cstheme="majorBidi"/>
          <w:spacing w:val="-5"/>
        </w:rPr>
        <w:t xml:space="preserve"> </w:t>
      </w:r>
      <w:r w:rsidRPr="00361139">
        <w:rPr>
          <w:rFonts w:asciiTheme="majorBidi" w:hAnsiTheme="majorBidi" w:cstheme="majorBidi"/>
        </w:rPr>
        <w:t>expected</w:t>
      </w:r>
      <w:r w:rsidRPr="00361139">
        <w:rPr>
          <w:rFonts w:asciiTheme="majorBidi" w:hAnsiTheme="majorBidi" w:cstheme="majorBidi"/>
          <w:spacing w:val="-3"/>
        </w:rPr>
        <w:t xml:space="preserve"> </w:t>
      </w:r>
      <w:r w:rsidRPr="00361139">
        <w:rPr>
          <w:rFonts w:asciiTheme="majorBidi" w:hAnsiTheme="majorBidi" w:cstheme="majorBidi"/>
        </w:rPr>
        <w:t>to</w:t>
      </w:r>
      <w:r w:rsidRPr="00361139">
        <w:rPr>
          <w:rFonts w:asciiTheme="majorBidi" w:hAnsiTheme="majorBidi" w:cstheme="majorBidi"/>
          <w:spacing w:val="-4"/>
        </w:rPr>
        <w:t xml:space="preserve"> </w:t>
      </w:r>
      <w:r w:rsidRPr="00361139">
        <w:rPr>
          <w:rFonts w:asciiTheme="majorBidi" w:hAnsiTheme="majorBidi" w:cstheme="majorBidi"/>
        </w:rPr>
        <w:t>draw</w:t>
      </w:r>
      <w:r w:rsidRPr="00361139">
        <w:rPr>
          <w:rFonts w:asciiTheme="majorBidi" w:hAnsiTheme="majorBidi" w:cstheme="majorBidi"/>
          <w:spacing w:val="-4"/>
        </w:rPr>
        <w:t xml:space="preserve"> </w:t>
      </w:r>
      <w:r w:rsidRPr="00361139">
        <w:rPr>
          <w:rFonts w:asciiTheme="majorBidi" w:hAnsiTheme="majorBidi" w:cstheme="majorBidi"/>
        </w:rPr>
        <w:t>on</w:t>
      </w:r>
      <w:r w:rsidRPr="00361139">
        <w:rPr>
          <w:rFonts w:asciiTheme="majorBidi" w:hAnsiTheme="majorBidi" w:cstheme="majorBidi"/>
          <w:spacing w:val="-3"/>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Partnership</w:t>
      </w:r>
      <w:r w:rsidRPr="00361139">
        <w:rPr>
          <w:rFonts w:asciiTheme="majorBidi" w:hAnsiTheme="majorBidi" w:cstheme="majorBidi"/>
          <w:spacing w:val="-4"/>
        </w:rPr>
        <w:t xml:space="preserve"> </w:t>
      </w:r>
      <w:r w:rsidRPr="00361139">
        <w:rPr>
          <w:rFonts w:asciiTheme="majorBidi" w:hAnsiTheme="majorBidi" w:cstheme="majorBidi"/>
        </w:rPr>
        <w:t>to</w:t>
      </w:r>
      <w:r w:rsidRPr="00361139">
        <w:rPr>
          <w:rFonts w:asciiTheme="majorBidi" w:hAnsiTheme="majorBidi" w:cstheme="majorBidi"/>
          <w:spacing w:val="-4"/>
        </w:rPr>
        <w:t xml:space="preserve"> </w:t>
      </w:r>
      <w:r w:rsidRPr="00361139">
        <w:rPr>
          <w:rFonts w:asciiTheme="majorBidi" w:hAnsiTheme="majorBidi" w:cstheme="majorBidi"/>
        </w:rPr>
        <w:t>provide</w:t>
      </w:r>
      <w:r w:rsidRPr="00361139">
        <w:rPr>
          <w:rFonts w:asciiTheme="majorBidi" w:hAnsiTheme="majorBidi" w:cstheme="majorBidi"/>
          <w:spacing w:val="-4"/>
        </w:rPr>
        <w:t xml:space="preserve"> </w:t>
      </w:r>
      <w:r w:rsidRPr="00361139">
        <w:rPr>
          <w:rFonts w:asciiTheme="majorBidi" w:hAnsiTheme="majorBidi" w:cstheme="majorBidi"/>
        </w:rPr>
        <w:t>assistance</w:t>
      </w:r>
      <w:r w:rsidRPr="00361139">
        <w:rPr>
          <w:rFonts w:asciiTheme="majorBidi" w:hAnsiTheme="majorBidi" w:cstheme="majorBidi"/>
          <w:spacing w:val="-4"/>
        </w:rPr>
        <w:t xml:space="preserve"> </w:t>
      </w:r>
      <w:r w:rsidRPr="00361139">
        <w:rPr>
          <w:rFonts w:asciiTheme="majorBidi" w:hAnsiTheme="majorBidi" w:cstheme="majorBidi"/>
        </w:rPr>
        <w:t>for</w:t>
      </w:r>
      <w:r w:rsidRPr="00361139">
        <w:rPr>
          <w:rFonts w:asciiTheme="majorBidi" w:hAnsiTheme="majorBidi" w:cstheme="majorBidi"/>
          <w:spacing w:val="-4"/>
        </w:rPr>
        <w:t xml:space="preserve"> </w:t>
      </w:r>
      <w:r w:rsidRPr="00361139">
        <w:rPr>
          <w:rFonts w:asciiTheme="majorBidi" w:hAnsiTheme="majorBidi" w:cstheme="majorBidi"/>
        </w:rPr>
        <w:t>the</w:t>
      </w:r>
      <w:r w:rsidRPr="00361139">
        <w:rPr>
          <w:rFonts w:asciiTheme="majorBidi" w:hAnsiTheme="majorBidi" w:cstheme="majorBidi"/>
          <w:spacing w:val="-4"/>
        </w:rPr>
        <w:t xml:space="preserve"> </w:t>
      </w:r>
      <w:r w:rsidRPr="00361139">
        <w:rPr>
          <w:rFonts w:asciiTheme="majorBidi" w:hAnsiTheme="majorBidi" w:cstheme="majorBidi"/>
        </w:rPr>
        <w:t xml:space="preserve">remediation </w:t>
      </w:r>
      <w:r w:rsidRPr="00361139">
        <w:rPr>
          <w:rFonts w:asciiTheme="majorBidi" w:hAnsiTheme="majorBidi" w:cstheme="majorBidi"/>
        </w:rPr>
        <w:lastRenderedPageBreak/>
        <w:t>assessment and dissemination with partners, with experts from the Partnership to be invited to share experience and expertise. The</w:t>
      </w:r>
      <w:r w:rsidRPr="00361139">
        <w:rPr>
          <w:rFonts w:asciiTheme="majorBidi" w:hAnsiTheme="majorBidi" w:cstheme="majorBidi"/>
          <w:spacing w:val="-5"/>
        </w:rPr>
        <w:t xml:space="preserve"> </w:t>
      </w:r>
      <w:r w:rsidRPr="00361139">
        <w:rPr>
          <w:rFonts w:asciiTheme="majorBidi" w:hAnsiTheme="majorBidi" w:cstheme="majorBidi"/>
        </w:rPr>
        <w:t>Project Cooperation</w:t>
      </w:r>
      <w:r w:rsidRPr="00361139">
        <w:rPr>
          <w:rFonts w:asciiTheme="majorBidi" w:hAnsiTheme="majorBidi" w:cstheme="majorBidi"/>
          <w:spacing w:val="-2"/>
        </w:rPr>
        <w:t xml:space="preserve"> </w:t>
      </w:r>
      <w:r w:rsidRPr="00361139">
        <w:rPr>
          <w:rFonts w:asciiTheme="majorBidi" w:hAnsiTheme="majorBidi" w:cstheme="majorBidi"/>
        </w:rPr>
        <w:t>Agreements with both executing</w:t>
      </w:r>
      <w:r w:rsidRPr="00361139">
        <w:rPr>
          <w:rFonts w:asciiTheme="majorBidi" w:hAnsiTheme="majorBidi" w:cstheme="majorBidi"/>
          <w:spacing w:val="-2"/>
        </w:rPr>
        <w:t xml:space="preserve"> </w:t>
      </w:r>
      <w:r w:rsidRPr="00361139">
        <w:rPr>
          <w:rFonts w:asciiTheme="majorBidi" w:hAnsiTheme="majorBidi" w:cstheme="majorBidi"/>
        </w:rPr>
        <w:t>agencies</w:t>
      </w:r>
      <w:r w:rsidRPr="00361139">
        <w:rPr>
          <w:rFonts w:asciiTheme="majorBidi" w:hAnsiTheme="majorBidi" w:cstheme="majorBidi"/>
          <w:spacing w:val="-1"/>
        </w:rPr>
        <w:t xml:space="preserve"> </w:t>
      </w:r>
      <w:r w:rsidRPr="00361139">
        <w:rPr>
          <w:rFonts w:asciiTheme="majorBidi" w:hAnsiTheme="majorBidi" w:cstheme="majorBidi"/>
        </w:rPr>
        <w:t>are in the process of being signed. The project is expected to start in the coming months through the inception workshop and the first Project Steering Committee.</w:t>
      </w:r>
    </w:p>
    <w:p w14:paraId="6B0FF837" w14:textId="099259E8" w:rsidR="00CC73DD" w:rsidRPr="00361139" w:rsidRDefault="002D5274" w:rsidP="002D5274">
      <w:pPr>
        <w:pStyle w:val="CH1"/>
        <w:ind w:left="0" w:firstLine="0"/>
        <w:rPr>
          <w:lang w:val="en-GB"/>
        </w:rPr>
      </w:pPr>
      <w:bookmarkStart w:id="495" w:name="_Toc138845709"/>
      <w:bookmarkStart w:id="496" w:name="_Toc138845764"/>
      <w:bookmarkStart w:id="497" w:name="_Toc138847502"/>
      <w:bookmarkStart w:id="498" w:name="_Toc138848022"/>
      <w:bookmarkStart w:id="499" w:name="_Toc138845710"/>
      <w:bookmarkStart w:id="500" w:name="_Toc138845765"/>
      <w:bookmarkStart w:id="501" w:name="_Toc138847503"/>
      <w:bookmarkStart w:id="502" w:name="_Toc138848023"/>
      <w:bookmarkStart w:id="503" w:name="_Toc138845711"/>
      <w:bookmarkStart w:id="504" w:name="_Toc138845766"/>
      <w:bookmarkStart w:id="505" w:name="_Toc138847504"/>
      <w:bookmarkStart w:id="506" w:name="_Toc138848024"/>
      <w:bookmarkStart w:id="507" w:name="_Toc138845712"/>
      <w:bookmarkStart w:id="508" w:name="_Toc138845767"/>
      <w:bookmarkStart w:id="509" w:name="_Toc138847505"/>
      <w:bookmarkStart w:id="510" w:name="_Toc138848025"/>
      <w:bookmarkStart w:id="511" w:name="_Toc138845713"/>
      <w:bookmarkStart w:id="512" w:name="_Toc138845768"/>
      <w:bookmarkStart w:id="513" w:name="_Toc138848026"/>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361139">
        <w:rPr>
          <w:lang w:val="en-GB"/>
        </w:rPr>
        <w:tab/>
      </w:r>
      <w:bookmarkStart w:id="514" w:name="_Toc139975506"/>
      <w:bookmarkStart w:id="515" w:name="_Toc139976254"/>
      <w:bookmarkStart w:id="516" w:name="_Toc139982274"/>
      <w:bookmarkStart w:id="517" w:name="_Toc139983986"/>
      <w:bookmarkStart w:id="518" w:name="_Toc139984226"/>
      <w:r w:rsidRPr="00361139">
        <w:rPr>
          <w:lang w:val="en-GB"/>
        </w:rPr>
        <w:t>II.</w:t>
      </w:r>
      <w:r w:rsidRPr="00361139">
        <w:rPr>
          <w:lang w:val="en-GB"/>
        </w:rPr>
        <w:tab/>
      </w:r>
      <w:r w:rsidR="00CC73DD" w:rsidRPr="00361139">
        <w:rPr>
          <w:lang w:val="en-GB"/>
        </w:rPr>
        <w:t>Specific</w:t>
      </w:r>
      <w:r w:rsidR="00CC73DD" w:rsidRPr="00361139">
        <w:rPr>
          <w:spacing w:val="2"/>
          <w:lang w:val="en-GB"/>
        </w:rPr>
        <w:t xml:space="preserve"> </w:t>
      </w:r>
      <w:r w:rsidR="00CC73DD" w:rsidRPr="00361139">
        <w:rPr>
          <w:lang w:val="en-GB"/>
        </w:rPr>
        <w:t>International</w:t>
      </w:r>
      <w:r w:rsidR="00CC73DD" w:rsidRPr="00361139">
        <w:rPr>
          <w:spacing w:val="4"/>
          <w:lang w:val="en-GB"/>
        </w:rPr>
        <w:t xml:space="preserve"> </w:t>
      </w:r>
      <w:r w:rsidR="00CC73DD" w:rsidRPr="00361139">
        <w:rPr>
          <w:lang w:val="en-GB"/>
        </w:rPr>
        <w:t>Programme</w:t>
      </w:r>
      <w:bookmarkEnd w:id="511"/>
      <w:bookmarkEnd w:id="512"/>
      <w:bookmarkEnd w:id="513"/>
      <w:bookmarkEnd w:id="514"/>
      <w:bookmarkEnd w:id="515"/>
      <w:bookmarkEnd w:id="516"/>
      <w:bookmarkEnd w:id="517"/>
      <w:bookmarkEnd w:id="518"/>
    </w:p>
    <w:p w14:paraId="5EB24BB1"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In the</w:t>
      </w:r>
      <w:r w:rsidRPr="00361139">
        <w:rPr>
          <w:rFonts w:asciiTheme="majorBidi" w:hAnsiTheme="majorBidi" w:cstheme="majorBidi"/>
          <w:spacing w:val="-2"/>
        </w:rPr>
        <w:t xml:space="preserve"> </w:t>
      </w:r>
      <w:r w:rsidRPr="00361139">
        <w:rPr>
          <w:rFonts w:asciiTheme="majorBidi" w:hAnsiTheme="majorBidi" w:cstheme="majorBidi"/>
        </w:rPr>
        <w:t>framework</w:t>
      </w:r>
      <w:r w:rsidRPr="00361139">
        <w:rPr>
          <w:rFonts w:asciiTheme="majorBidi" w:hAnsiTheme="majorBidi" w:cstheme="majorBidi"/>
          <w:spacing w:val="-3"/>
        </w:rPr>
        <w:t xml:space="preserve"> </w:t>
      </w:r>
      <w:r w:rsidRPr="00361139">
        <w:rPr>
          <w:rFonts w:asciiTheme="majorBidi" w:hAnsiTheme="majorBidi" w:cstheme="majorBidi"/>
        </w:rPr>
        <w:t>of</w:t>
      </w:r>
      <w:r w:rsidRPr="00361139">
        <w:rPr>
          <w:rFonts w:asciiTheme="majorBidi" w:hAnsiTheme="majorBidi" w:cstheme="majorBidi"/>
          <w:spacing w:val="-2"/>
        </w:rPr>
        <w:t xml:space="preserve"> </w:t>
      </w:r>
      <w:r w:rsidRPr="00361139">
        <w:rPr>
          <w:rFonts w:asciiTheme="majorBidi" w:hAnsiTheme="majorBidi" w:cstheme="majorBidi"/>
        </w:rPr>
        <w:t>the</w:t>
      </w:r>
      <w:r w:rsidRPr="00361139">
        <w:rPr>
          <w:rFonts w:asciiTheme="majorBidi" w:hAnsiTheme="majorBidi" w:cstheme="majorBidi"/>
          <w:spacing w:val="-2"/>
        </w:rPr>
        <w:t xml:space="preserve"> </w:t>
      </w:r>
      <w:r w:rsidRPr="00361139">
        <w:rPr>
          <w:rFonts w:asciiTheme="majorBidi" w:hAnsiTheme="majorBidi" w:cstheme="majorBidi"/>
        </w:rPr>
        <w:t>third</w:t>
      </w:r>
      <w:r w:rsidRPr="00361139">
        <w:rPr>
          <w:rFonts w:asciiTheme="majorBidi" w:hAnsiTheme="majorBidi" w:cstheme="majorBidi"/>
          <w:spacing w:val="-4"/>
        </w:rPr>
        <w:t xml:space="preserve"> </w:t>
      </w:r>
      <w:r w:rsidRPr="00361139">
        <w:rPr>
          <w:rFonts w:asciiTheme="majorBidi" w:hAnsiTheme="majorBidi" w:cstheme="majorBidi"/>
        </w:rPr>
        <w:t>Round of</w:t>
      </w:r>
      <w:r w:rsidRPr="00361139">
        <w:rPr>
          <w:rFonts w:asciiTheme="majorBidi" w:hAnsiTheme="majorBidi" w:cstheme="majorBidi"/>
          <w:spacing w:val="-2"/>
        </w:rPr>
        <w:t xml:space="preserve"> </w:t>
      </w:r>
      <w:r w:rsidRPr="00361139">
        <w:rPr>
          <w:rFonts w:asciiTheme="majorBidi" w:hAnsiTheme="majorBidi" w:cstheme="majorBidi"/>
        </w:rPr>
        <w:t>applications</w:t>
      </w:r>
      <w:r w:rsidRPr="00361139">
        <w:rPr>
          <w:rFonts w:asciiTheme="majorBidi" w:hAnsiTheme="majorBidi" w:cstheme="majorBidi"/>
          <w:spacing w:val="-3"/>
        </w:rPr>
        <w:t xml:space="preserve"> </w:t>
      </w:r>
      <w:r w:rsidRPr="00361139">
        <w:rPr>
          <w:rFonts w:asciiTheme="majorBidi" w:hAnsiTheme="majorBidi" w:cstheme="majorBidi"/>
        </w:rPr>
        <w:t>to the</w:t>
      </w:r>
      <w:r w:rsidRPr="00361139">
        <w:rPr>
          <w:rFonts w:asciiTheme="majorBidi" w:hAnsiTheme="majorBidi" w:cstheme="majorBidi"/>
          <w:spacing w:val="-2"/>
        </w:rPr>
        <w:t xml:space="preserve"> </w:t>
      </w:r>
      <w:r w:rsidRPr="00361139">
        <w:rPr>
          <w:rFonts w:asciiTheme="majorBidi" w:hAnsiTheme="majorBidi" w:cstheme="majorBidi"/>
        </w:rPr>
        <w:t>Specific</w:t>
      </w:r>
      <w:r w:rsidRPr="00361139">
        <w:rPr>
          <w:rFonts w:asciiTheme="majorBidi" w:hAnsiTheme="majorBidi" w:cstheme="majorBidi"/>
          <w:spacing w:val="-2"/>
        </w:rPr>
        <w:t xml:space="preserve"> </w:t>
      </w:r>
      <w:r w:rsidRPr="00361139">
        <w:rPr>
          <w:rFonts w:asciiTheme="majorBidi" w:hAnsiTheme="majorBidi" w:cstheme="majorBidi"/>
        </w:rPr>
        <w:t>International</w:t>
      </w:r>
      <w:r w:rsidRPr="00361139">
        <w:rPr>
          <w:rFonts w:asciiTheme="majorBidi" w:hAnsiTheme="majorBidi" w:cstheme="majorBidi"/>
          <w:spacing w:val="-1"/>
        </w:rPr>
        <w:t xml:space="preserve"> </w:t>
      </w:r>
      <w:r w:rsidRPr="00361139">
        <w:rPr>
          <w:rFonts w:asciiTheme="majorBidi" w:hAnsiTheme="majorBidi" w:cstheme="majorBidi"/>
        </w:rPr>
        <w:t>Programme</w:t>
      </w:r>
      <w:r w:rsidRPr="00361139">
        <w:rPr>
          <w:rFonts w:asciiTheme="majorBidi" w:hAnsiTheme="majorBidi" w:cstheme="majorBidi"/>
          <w:spacing w:val="-2"/>
        </w:rPr>
        <w:t xml:space="preserve"> </w:t>
      </w:r>
      <w:r w:rsidRPr="00361139">
        <w:rPr>
          <w:rFonts w:asciiTheme="majorBidi" w:hAnsiTheme="majorBidi" w:cstheme="majorBidi"/>
        </w:rPr>
        <w:t>of the</w:t>
      </w:r>
      <w:r w:rsidRPr="00361139">
        <w:rPr>
          <w:rFonts w:asciiTheme="majorBidi" w:hAnsiTheme="majorBidi" w:cstheme="majorBidi"/>
          <w:spacing w:val="-13"/>
        </w:rPr>
        <w:t xml:space="preserve"> </w:t>
      </w:r>
      <w:r w:rsidRPr="00361139">
        <w:rPr>
          <w:rFonts w:asciiTheme="majorBidi" w:hAnsiTheme="majorBidi" w:cstheme="majorBidi"/>
        </w:rPr>
        <w:t>Minamata</w:t>
      </w:r>
      <w:r w:rsidRPr="00361139">
        <w:rPr>
          <w:rFonts w:asciiTheme="majorBidi" w:hAnsiTheme="majorBidi" w:cstheme="majorBidi"/>
          <w:spacing w:val="-12"/>
        </w:rPr>
        <w:t xml:space="preserve"> </w:t>
      </w:r>
      <w:r w:rsidRPr="00361139">
        <w:rPr>
          <w:rFonts w:asciiTheme="majorBidi" w:hAnsiTheme="majorBidi" w:cstheme="majorBidi"/>
        </w:rPr>
        <w:t>Convention,</w:t>
      </w:r>
      <w:r w:rsidRPr="00361139">
        <w:rPr>
          <w:rFonts w:asciiTheme="majorBidi" w:hAnsiTheme="majorBidi" w:cstheme="majorBidi"/>
          <w:spacing w:val="-13"/>
        </w:rPr>
        <w:t xml:space="preserve"> </w:t>
      </w:r>
      <w:r w:rsidRPr="00361139">
        <w:rPr>
          <w:rFonts w:asciiTheme="majorBidi" w:hAnsiTheme="majorBidi" w:cstheme="majorBidi"/>
        </w:rPr>
        <w:t>the</w:t>
      </w:r>
      <w:r w:rsidRPr="00361139">
        <w:rPr>
          <w:rFonts w:asciiTheme="majorBidi" w:hAnsiTheme="majorBidi" w:cstheme="majorBidi"/>
          <w:spacing w:val="-12"/>
        </w:rPr>
        <w:t xml:space="preserve"> </w:t>
      </w:r>
      <w:r w:rsidRPr="00361139">
        <w:rPr>
          <w:rFonts w:asciiTheme="majorBidi" w:hAnsiTheme="majorBidi" w:cstheme="majorBidi"/>
        </w:rPr>
        <w:t>Partnership,</w:t>
      </w:r>
      <w:r w:rsidRPr="00361139">
        <w:rPr>
          <w:rFonts w:asciiTheme="majorBidi" w:hAnsiTheme="majorBidi" w:cstheme="majorBidi"/>
          <w:spacing w:val="-13"/>
        </w:rPr>
        <w:t xml:space="preserve"> </w:t>
      </w:r>
      <w:r w:rsidRPr="00361139">
        <w:rPr>
          <w:rFonts w:asciiTheme="majorBidi" w:hAnsiTheme="majorBidi" w:cstheme="majorBidi"/>
        </w:rPr>
        <w:t>through</w:t>
      </w:r>
      <w:r w:rsidRPr="00361139">
        <w:rPr>
          <w:rFonts w:asciiTheme="majorBidi" w:hAnsiTheme="majorBidi" w:cstheme="majorBidi"/>
          <w:spacing w:val="-12"/>
        </w:rPr>
        <w:t xml:space="preserve"> </w:t>
      </w:r>
      <w:r w:rsidRPr="00361139">
        <w:rPr>
          <w:rFonts w:asciiTheme="majorBidi" w:hAnsiTheme="majorBidi" w:cstheme="majorBidi"/>
        </w:rPr>
        <w:t>its</w:t>
      </w:r>
      <w:r w:rsidRPr="00361139">
        <w:rPr>
          <w:rFonts w:asciiTheme="majorBidi" w:hAnsiTheme="majorBidi" w:cstheme="majorBidi"/>
          <w:spacing w:val="-13"/>
        </w:rPr>
        <w:t xml:space="preserve"> </w:t>
      </w:r>
      <w:r w:rsidRPr="00361139">
        <w:rPr>
          <w:rFonts w:asciiTheme="majorBidi" w:hAnsiTheme="majorBidi" w:cstheme="majorBidi"/>
        </w:rPr>
        <w:t>Secretariat,</w:t>
      </w:r>
      <w:r w:rsidRPr="00361139">
        <w:rPr>
          <w:rFonts w:asciiTheme="majorBidi" w:hAnsiTheme="majorBidi" w:cstheme="majorBidi"/>
          <w:spacing w:val="-12"/>
        </w:rPr>
        <w:t xml:space="preserve"> </w:t>
      </w:r>
      <w:r w:rsidRPr="00361139">
        <w:rPr>
          <w:rFonts w:asciiTheme="majorBidi" w:hAnsiTheme="majorBidi" w:cstheme="majorBidi"/>
        </w:rPr>
        <w:t>also</w:t>
      </w:r>
      <w:r w:rsidRPr="00361139">
        <w:rPr>
          <w:rFonts w:asciiTheme="majorBidi" w:hAnsiTheme="majorBidi" w:cstheme="majorBidi"/>
          <w:spacing w:val="-10"/>
        </w:rPr>
        <w:t xml:space="preserve"> </w:t>
      </w:r>
      <w:r w:rsidRPr="00361139">
        <w:rPr>
          <w:rFonts w:asciiTheme="majorBidi" w:hAnsiTheme="majorBidi" w:cstheme="majorBidi"/>
        </w:rPr>
        <w:t>contributed</w:t>
      </w:r>
      <w:r w:rsidRPr="00361139">
        <w:rPr>
          <w:rFonts w:asciiTheme="majorBidi" w:hAnsiTheme="majorBidi" w:cstheme="majorBidi"/>
          <w:spacing w:val="-10"/>
        </w:rPr>
        <w:t xml:space="preserve"> </w:t>
      </w:r>
      <w:r w:rsidRPr="00361139">
        <w:rPr>
          <w:rFonts w:asciiTheme="majorBidi" w:hAnsiTheme="majorBidi" w:cstheme="majorBidi"/>
        </w:rPr>
        <w:t>to</w:t>
      </w:r>
      <w:r w:rsidRPr="00361139">
        <w:rPr>
          <w:rFonts w:asciiTheme="majorBidi" w:hAnsiTheme="majorBidi" w:cstheme="majorBidi"/>
          <w:spacing w:val="-11"/>
        </w:rPr>
        <w:t xml:space="preserve"> </w:t>
      </w:r>
      <w:r w:rsidRPr="00361139">
        <w:rPr>
          <w:rFonts w:asciiTheme="majorBidi" w:hAnsiTheme="majorBidi" w:cstheme="majorBidi"/>
        </w:rPr>
        <w:t>the</w:t>
      </w:r>
      <w:r w:rsidRPr="00361139">
        <w:rPr>
          <w:rFonts w:asciiTheme="majorBidi" w:hAnsiTheme="majorBidi" w:cstheme="majorBidi"/>
          <w:spacing w:val="-13"/>
        </w:rPr>
        <w:t xml:space="preserve"> </w:t>
      </w:r>
      <w:r w:rsidRPr="00361139">
        <w:rPr>
          <w:rFonts w:asciiTheme="majorBidi" w:hAnsiTheme="majorBidi" w:cstheme="majorBidi"/>
        </w:rPr>
        <w:t>review</w:t>
      </w:r>
      <w:r w:rsidRPr="00361139">
        <w:rPr>
          <w:rFonts w:asciiTheme="majorBidi" w:hAnsiTheme="majorBidi" w:cstheme="majorBidi"/>
          <w:spacing w:val="-11"/>
        </w:rPr>
        <w:t xml:space="preserve"> </w:t>
      </w:r>
      <w:r w:rsidRPr="00361139">
        <w:rPr>
          <w:rFonts w:asciiTheme="majorBidi" w:hAnsiTheme="majorBidi" w:cstheme="majorBidi"/>
        </w:rPr>
        <w:t>process of project proposals submitted by Parties with the provision of technical input and the participation in Cross-Secretariat Task Team meetings, together with the secretariats of the Minamata Convention, the Global Environment Facility (GEF) and the Special Programme.</w:t>
      </w:r>
    </w:p>
    <w:p w14:paraId="790EACEC"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 xml:space="preserve">Members of the Partnership also contributes to the actual delivery of projects. For example, Members of the </w:t>
      </w:r>
      <w:r w:rsidRPr="00361139">
        <w:t>Partnership</w:t>
      </w:r>
      <w:r w:rsidRPr="00361139">
        <w:rPr>
          <w:rFonts w:asciiTheme="majorBidi" w:hAnsiTheme="majorBidi" w:cstheme="majorBidi"/>
        </w:rPr>
        <w:t xml:space="preserve"> Area on Mercury Air Transport and Fate Research were involved in the Antigua and Barbuda and Gabon projects supported by the Specific International Programme, through the provision of assistance in initiation of regional networks such as the Caribbean Region Mercury Monitoring </w:t>
      </w:r>
      <w:proofErr w:type="gramStart"/>
      <w:r w:rsidRPr="00361139">
        <w:rPr>
          <w:rFonts w:asciiTheme="majorBidi" w:hAnsiTheme="majorBidi" w:cstheme="majorBidi"/>
        </w:rPr>
        <w:t>Network, and</w:t>
      </w:r>
      <w:proofErr w:type="gramEnd"/>
      <w:r w:rsidRPr="00361139">
        <w:rPr>
          <w:rFonts w:asciiTheme="majorBidi" w:hAnsiTheme="majorBidi" w:cstheme="majorBidi"/>
        </w:rPr>
        <w:t xml:space="preserve"> is envisaging similar networks in other regions such as central Africa and southern Asia.</w:t>
      </w:r>
    </w:p>
    <w:p w14:paraId="430CE1F4" w14:textId="497E4BAD" w:rsidR="00CC73DD" w:rsidRPr="00361139" w:rsidRDefault="002D5274" w:rsidP="002D5274">
      <w:pPr>
        <w:pStyle w:val="CH1"/>
        <w:rPr>
          <w:lang w:val="en-GB"/>
        </w:rPr>
      </w:pPr>
      <w:bookmarkStart w:id="519" w:name="_Toc138845714"/>
      <w:bookmarkStart w:id="520" w:name="_Toc138845769"/>
      <w:bookmarkStart w:id="521" w:name="_Toc138848027"/>
      <w:r w:rsidRPr="00361139">
        <w:rPr>
          <w:lang w:val="en-GB"/>
        </w:rPr>
        <w:tab/>
      </w:r>
      <w:bookmarkStart w:id="522" w:name="_Toc139975507"/>
      <w:bookmarkStart w:id="523" w:name="_Toc139976255"/>
      <w:bookmarkStart w:id="524" w:name="_Toc139982275"/>
      <w:bookmarkStart w:id="525" w:name="_Toc139983987"/>
      <w:bookmarkStart w:id="526" w:name="_Toc139984227"/>
      <w:r w:rsidRPr="00361139">
        <w:rPr>
          <w:lang w:val="en-GB"/>
        </w:rPr>
        <w:t>III.</w:t>
      </w:r>
      <w:r w:rsidRPr="00361139">
        <w:rPr>
          <w:lang w:val="en-GB"/>
        </w:rPr>
        <w:tab/>
      </w:r>
      <w:r w:rsidR="00CC73DD" w:rsidRPr="00361139">
        <w:rPr>
          <w:lang w:val="en-GB"/>
        </w:rPr>
        <w:t>Elements for possible consideration in the review of the financial mechanism</w:t>
      </w:r>
      <w:bookmarkEnd w:id="519"/>
      <w:bookmarkEnd w:id="520"/>
      <w:bookmarkEnd w:id="521"/>
      <w:bookmarkEnd w:id="522"/>
      <w:bookmarkEnd w:id="523"/>
      <w:bookmarkEnd w:id="524"/>
      <w:bookmarkEnd w:id="525"/>
      <w:bookmarkEnd w:id="526"/>
    </w:p>
    <w:p w14:paraId="6045302B" w14:textId="77777777" w:rsidR="00CC73DD" w:rsidRPr="00361139" w:rsidRDefault="00CC73DD" w:rsidP="00361139">
      <w:pPr>
        <w:pStyle w:val="Normalnumber"/>
        <w:numPr>
          <w:ilvl w:val="0"/>
          <w:numId w:val="12"/>
        </w:numPr>
        <w:rPr>
          <w:rFonts w:asciiTheme="majorBidi" w:hAnsiTheme="majorBidi" w:cstheme="majorBidi"/>
        </w:rPr>
      </w:pPr>
      <w:r w:rsidRPr="00361139">
        <w:rPr>
          <w:rFonts w:asciiTheme="majorBidi" w:hAnsiTheme="majorBidi" w:cstheme="majorBidi"/>
        </w:rPr>
        <w:t>The Chair of the Global Mercury Partnership reiterates his appreciation of the funding mechanism that support countries in the effective implementation of the Minamata Convention, and would like to bring the following points to the attention of the Conference of the Parties:</w:t>
      </w:r>
    </w:p>
    <w:p w14:paraId="5955DC5A" w14:textId="77777777" w:rsidR="00CC73DD" w:rsidRPr="00361139" w:rsidRDefault="00CC73DD" w:rsidP="000C76AC">
      <w:pPr>
        <w:pStyle w:val="NormalNonumber"/>
        <w:numPr>
          <w:ilvl w:val="0"/>
          <w:numId w:val="19"/>
        </w:numPr>
        <w:ind w:left="1871" w:hanging="624"/>
        <w:rPr>
          <w:lang w:val="en-GB"/>
        </w:rPr>
      </w:pPr>
      <w:r w:rsidRPr="00361139">
        <w:rPr>
          <w:lang w:val="en-GB"/>
        </w:rPr>
        <w:t>The</w:t>
      </w:r>
      <w:r w:rsidRPr="00361139">
        <w:rPr>
          <w:spacing w:val="-4"/>
          <w:lang w:val="en-GB"/>
        </w:rPr>
        <w:t xml:space="preserve"> </w:t>
      </w:r>
      <w:r w:rsidRPr="00361139">
        <w:rPr>
          <w:lang w:val="en-GB"/>
        </w:rPr>
        <w:t>objective</w:t>
      </w:r>
      <w:r w:rsidRPr="00361139">
        <w:rPr>
          <w:spacing w:val="-4"/>
          <w:lang w:val="en-GB"/>
        </w:rPr>
        <w:t xml:space="preserve"> </w:t>
      </w:r>
      <w:r w:rsidRPr="00361139">
        <w:rPr>
          <w:lang w:val="en-GB"/>
        </w:rPr>
        <w:t>and</w:t>
      </w:r>
      <w:r w:rsidRPr="00361139">
        <w:rPr>
          <w:spacing w:val="-3"/>
          <w:lang w:val="en-GB"/>
        </w:rPr>
        <w:t xml:space="preserve"> </w:t>
      </w:r>
      <w:r w:rsidRPr="00361139">
        <w:rPr>
          <w:lang w:val="en-GB"/>
        </w:rPr>
        <w:t>work</w:t>
      </w:r>
      <w:r w:rsidRPr="00361139">
        <w:rPr>
          <w:spacing w:val="-3"/>
          <w:lang w:val="en-GB"/>
        </w:rPr>
        <w:t xml:space="preserve"> </w:t>
      </w:r>
      <w:r w:rsidRPr="00361139">
        <w:rPr>
          <w:lang w:val="en-GB"/>
        </w:rPr>
        <w:t>priorities</w:t>
      </w:r>
      <w:r w:rsidRPr="00361139">
        <w:rPr>
          <w:spacing w:val="-5"/>
          <w:lang w:val="en-GB"/>
        </w:rPr>
        <w:t xml:space="preserve"> </w:t>
      </w:r>
      <w:r w:rsidRPr="00361139">
        <w:rPr>
          <w:lang w:val="en-GB"/>
        </w:rPr>
        <w:t>of</w:t>
      </w:r>
      <w:r w:rsidRPr="00361139">
        <w:rPr>
          <w:spacing w:val="-4"/>
          <w:lang w:val="en-GB"/>
        </w:rPr>
        <w:t xml:space="preserve"> </w:t>
      </w:r>
      <w:r w:rsidRPr="00361139">
        <w:rPr>
          <w:lang w:val="en-GB"/>
        </w:rPr>
        <w:t>the</w:t>
      </w:r>
      <w:r w:rsidRPr="00361139">
        <w:rPr>
          <w:spacing w:val="-4"/>
          <w:lang w:val="en-GB"/>
        </w:rPr>
        <w:t xml:space="preserve"> </w:t>
      </w:r>
      <w:r w:rsidRPr="00361139">
        <w:rPr>
          <w:lang w:val="en-GB"/>
        </w:rPr>
        <w:t>Partnership</w:t>
      </w:r>
      <w:r w:rsidRPr="00361139">
        <w:rPr>
          <w:spacing w:val="-4"/>
          <w:lang w:val="en-GB"/>
        </w:rPr>
        <w:t xml:space="preserve"> </w:t>
      </w:r>
      <w:r w:rsidRPr="00361139">
        <w:rPr>
          <w:lang w:val="en-GB"/>
        </w:rPr>
        <w:t>are</w:t>
      </w:r>
      <w:r w:rsidRPr="00361139">
        <w:rPr>
          <w:spacing w:val="-4"/>
          <w:lang w:val="en-GB"/>
        </w:rPr>
        <w:t xml:space="preserve"> </w:t>
      </w:r>
      <w:r w:rsidRPr="00361139">
        <w:rPr>
          <w:lang w:val="en-GB"/>
        </w:rPr>
        <w:t>strongly</w:t>
      </w:r>
      <w:r w:rsidRPr="00361139">
        <w:rPr>
          <w:spacing w:val="-4"/>
          <w:lang w:val="en-GB"/>
        </w:rPr>
        <w:t xml:space="preserve"> </w:t>
      </w:r>
      <w:r w:rsidRPr="00361139">
        <w:rPr>
          <w:lang w:val="en-GB"/>
        </w:rPr>
        <w:t>aligned</w:t>
      </w:r>
      <w:r w:rsidRPr="00361139">
        <w:rPr>
          <w:spacing w:val="-3"/>
          <w:lang w:val="en-GB"/>
        </w:rPr>
        <w:t xml:space="preserve"> </w:t>
      </w:r>
      <w:r w:rsidRPr="00361139">
        <w:rPr>
          <w:lang w:val="en-GB"/>
        </w:rPr>
        <w:t>with</w:t>
      </w:r>
      <w:r w:rsidRPr="00361139">
        <w:rPr>
          <w:spacing w:val="-4"/>
          <w:lang w:val="en-GB"/>
        </w:rPr>
        <w:t xml:space="preserve"> </w:t>
      </w:r>
      <w:r w:rsidRPr="00361139">
        <w:rPr>
          <w:lang w:val="en-GB"/>
        </w:rPr>
        <w:t>those</w:t>
      </w:r>
      <w:r w:rsidRPr="00361139">
        <w:rPr>
          <w:spacing w:val="-4"/>
          <w:lang w:val="en-GB"/>
        </w:rPr>
        <w:t xml:space="preserve"> </w:t>
      </w:r>
      <w:r w:rsidRPr="00361139">
        <w:rPr>
          <w:lang w:val="en-GB"/>
        </w:rPr>
        <w:t>of</w:t>
      </w:r>
      <w:r w:rsidRPr="00361139">
        <w:rPr>
          <w:spacing w:val="-4"/>
          <w:lang w:val="en-GB"/>
        </w:rPr>
        <w:t xml:space="preserve"> </w:t>
      </w:r>
      <w:r w:rsidRPr="00361139">
        <w:rPr>
          <w:lang w:val="en-GB"/>
        </w:rPr>
        <w:t>the Minamata</w:t>
      </w:r>
      <w:r w:rsidRPr="00361139">
        <w:rPr>
          <w:spacing w:val="-13"/>
          <w:lang w:val="en-GB"/>
        </w:rPr>
        <w:t xml:space="preserve"> </w:t>
      </w:r>
      <w:r w:rsidRPr="00361139">
        <w:rPr>
          <w:lang w:val="en-GB"/>
        </w:rPr>
        <w:t>Convention</w:t>
      </w:r>
      <w:r w:rsidRPr="00361139">
        <w:rPr>
          <w:spacing w:val="-12"/>
          <w:lang w:val="en-GB"/>
        </w:rPr>
        <w:t xml:space="preserve"> </w:t>
      </w:r>
      <w:r w:rsidRPr="00361139">
        <w:rPr>
          <w:lang w:val="en-GB"/>
        </w:rPr>
        <w:t>and</w:t>
      </w:r>
      <w:r w:rsidRPr="00361139">
        <w:rPr>
          <w:spacing w:val="-13"/>
          <w:lang w:val="en-GB"/>
        </w:rPr>
        <w:t xml:space="preserve"> </w:t>
      </w:r>
      <w:r w:rsidRPr="00361139">
        <w:rPr>
          <w:lang w:val="en-GB"/>
        </w:rPr>
        <w:t>its</w:t>
      </w:r>
      <w:r w:rsidRPr="00361139">
        <w:rPr>
          <w:spacing w:val="-12"/>
          <w:lang w:val="en-GB"/>
        </w:rPr>
        <w:t xml:space="preserve"> </w:t>
      </w:r>
      <w:r w:rsidRPr="00361139">
        <w:rPr>
          <w:lang w:val="en-GB"/>
        </w:rPr>
        <w:t>financial</w:t>
      </w:r>
      <w:r w:rsidRPr="00361139">
        <w:rPr>
          <w:spacing w:val="-13"/>
          <w:lang w:val="en-GB"/>
        </w:rPr>
        <w:t xml:space="preserve"> </w:t>
      </w:r>
      <w:r w:rsidRPr="00361139">
        <w:rPr>
          <w:lang w:val="en-GB"/>
        </w:rPr>
        <w:t>mechanism.</w:t>
      </w:r>
      <w:r w:rsidRPr="00361139">
        <w:rPr>
          <w:spacing w:val="-12"/>
          <w:lang w:val="en-GB"/>
        </w:rPr>
        <w:t xml:space="preserve"> </w:t>
      </w:r>
      <w:r w:rsidRPr="00361139">
        <w:rPr>
          <w:lang w:val="en-GB"/>
        </w:rPr>
        <w:t>With</w:t>
      </w:r>
      <w:r w:rsidRPr="00361139">
        <w:rPr>
          <w:spacing w:val="-13"/>
          <w:lang w:val="en-GB"/>
        </w:rPr>
        <w:t xml:space="preserve"> </w:t>
      </w:r>
      <w:r w:rsidRPr="00361139">
        <w:rPr>
          <w:lang w:val="en-GB"/>
        </w:rPr>
        <w:t>the</w:t>
      </w:r>
      <w:r w:rsidRPr="00361139">
        <w:rPr>
          <w:spacing w:val="-12"/>
          <w:lang w:val="en-GB"/>
        </w:rPr>
        <w:t xml:space="preserve"> </w:t>
      </w:r>
      <w:r w:rsidRPr="00361139">
        <w:rPr>
          <w:lang w:val="en-GB"/>
        </w:rPr>
        <w:t>overall</w:t>
      </w:r>
      <w:r w:rsidRPr="00361139">
        <w:rPr>
          <w:spacing w:val="-13"/>
          <w:lang w:val="en-GB"/>
        </w:rPr>
        <w:t xml:space="preserve"> </w:t>
      </w:r>
      <w:r w:rsidRPr="00361139">
        <w:rPr>
          <w:lang w:val="en-GB"/>
        </w:rPr>
        <w:t>goal</w:t>
      </w:r>
      <w:r w:rsidRPr="00361139">
        <w:rPr>
          <w:spacing w:val="-12"/>
          <w:lang w:val="en-GB"/>
        </w:rPr>
        <w:t xml:space="preserve"> </w:t>
      </w:r>
      <w:r w:rsidRPr="00361139">
        <w:rPr>
          <w:lang w:val="en-GB"/>
        </w:rPr>
        <w:t>to</w:t>
      </w:r>
      <w:r w:rsidRPr="00361139">
        <w:rPr>
          <w:spacing w:val="-13"/>
          <w:lang w:val="en-GB"/>
        </w:rPr>
        <w:t xml:space="preserve"> </w:t>
      </w:r>
      <w:r w:rsidRPr="00361139">
        <w:rPr>
          <w:lang w:val="en-GB"/>
        </w:rPr>
        <w:t>protect</w:t>
      </w:r>
      <w:r w:rsidRPr="00361139">
        <w:rPr>
          <w:spacing w:val="-12"/>
          <w:lang w:val="en-GB"/>
        </w:rPr>
        <w:t xml:space="preserve"> </w:t>
      </w:r>
      <w:r w:rsidRPr="00361139">
        <w:rPr>
          <w:lang w:val="en-GB"/>
        </w:rPr>
        <w:t>human health and the environment from mercury, the Partnership indeed works closely with a wide</w:t>
      </w:r>
      <w:r w:rsidRPr="00361139">
        <w:rPr>
          <w:spacing w:val="-5"/>
          <w:lang w:val="en-GB"/>
        </w:rPr>
        <w:t xml:space="preserve"> </w:t>
      </w:r>
      <w:r w:rsidRPr="00361139">
        <w:rPr>
          <w:lang w:val="en-GB"/>
        </w:rPr>
        <w:t>range</w:t>
      </w:r>
      <w:r w:rsidRPr="00361139">
        <w:rPr>
          <w:spacing w:val="-7"/>
          <w:lang w:val="en-GB"/>
        </w:rPr>
        <w:t xml:space="preserve"> </w:t>
      </w:r>
      <w:r w:rsidRPr="00361139">
        <w:rPr>
          <w:lang w:val="en-GB"/>
        </w:rPr>
        <w:t>of</w:t>
      </w:r>
      <w:r w:rsidRPr="00361139">
        <w:rPr>
          <w:spacing w:val="-5"/>
          <w:lang w:val="en-GB"/>
        </w:rPr>
        <w:t xml:space="preserve"> </w:t>
      </w:r>
      <w:r w:rsidRPr="00361139">
        <w:rPr>
          <w:lang w:val="en-GB"/>
        </w:rPr>
        <w:t>stakeholders</w:t>
      </w:r>
      <w:r w:rsidRPr="00361139">
        <w:rPr>
          <w:spacing w:val="-6"/>
          <w:lang w:val="en-GB"/>
        </w:rPr>
        <w:t xml:space="preserve"> </w:t>
      </w:r>
      <w:r w:rsidRPr="00361139">
        <w:rPr>
          <w:lang w:val="en-GB"/>
        </w:rPr>
        <w:t>across</w:t>
      </w:r>
      <w:r w:rsidRPr="00361139">
        <w:rPr>
          <w:spacing w:val="-6"/>
          <w:lang w:val="en-GB"/>
        </w:rPr>
        <w:t xml:space="preserve"> </w:t>
      </w:r>
      <w:r w:rsidRPr="00361139">
        <w:rPr>
          <w:lang w:val="en-GB"/>
        </w:rPr>
        <w:t>sectors,</w:t>
      </w:r>
      <w:r w:rsidRPr="00361139">
        <w:rPr>
          <w:spacing w:val="-5"/>
          <w:lang w:val="en-GB"/>
        </w:rPr>
        <w:t xml:space="preserve"> </w:t>
      </w:r>
      <w:r w:rsidRPr="00361139">
        <w:rPr>
          <w:lang w:val="en-GB"/>
        </w:rPr>
        <w:t>to</w:t>
      </w:r>
      <w:r w:rsidRPr="00361139">
        <w:rPr>
          <w:spacing w:val="-5"/>
          <w:lang w:val="en-GB"/>
        </w:rPr>
        <w:t xml:space="preserve"> </w:t>
      </w:r>
      <w:r w:rsidRPr="00361139">
        <w:rPr>
          <w:lang w:val="en-GB"/>
        </w:rPr>
        <w:t>support</w:t>
      </w:r>
      <w:r w:rsidRPr="00361139">
        <w:rPr>
          <w:spacing w:val="-8"/>
          <w:lang w:val="en-GB"/>
        </w:rPr>
        <w:t xml:space="preserve"> </w:t>
      </w:r>
      <w:r w:rsidRPr="00361139">
        <w:rPr>
          <w:lang w:val="en-GB"/>
        </w:rPr>
        <w:t>the</w:t>
      </w:r>
      <w:r w:rsidRPr="00361139">
        <w:rPr>
          <w:spacing w:val="-5"/>
          <w:lang w:val="en-GB"/>
        </w:rPr>
        <w:t xml:space="preserve"> </w:t>
      </w:r>
      <w:r w:rsidRPr="00361139">
        <w:rPr>
          <w:lang w:val="en-GB"/>
        </w:rPr>
        <w:t>implementation</w:t>
      </w:r>
      <w:r w:rsidRPr="00361139">
        <w:rPr>
          <w:spacing w:val="-5"/>
          <w:lang w:val="en-GB"/>
        </w:rPr>
        <w:t xml:space="preserve"> </w:t>
      </w:r>
      <w:r w:rsidRPr="00361139">
        <w:rPr>
          <w:lang w:val="en-GB"/>
        </w:rPr>
        <w:t>of</w:t>
      </w:r>
      <w:r w:rsidRPr="00361139">
        <w:rPr>
          <w:spacing w:val="-5"/>
          <w:lang w:val="en-GB"/>
        </w:rPr>
        <w:t xml:space="preserve"> </w:t>
      </w:r>
      <w:r w:rsidRPr="00361139">
        <w:rPr>
          <w:lang w:val="en-GB"/>
        </w:rPr>
        <w:t>the</w:t>
      </w:r>
      <w:r w:rsidRPr="00361139">
        <w:rPr>
          <w:spacing w:val="-7"/>
          <w:lang w:val="en-GB"/>
        </w:rPr>
        <w:t xml:space="preserve"> </w:t>
      </w:r>
      <w:r w:rsidRPr="00361139">
        <w:rPr>
          <w:lang w:val="en-GB"/>
        </w:rPr>
        <w:t>Minamata Convention,</w:t>
      </w:r>
      <w:r w:rsidRPr="00361139">
        <w:rPr>
          <w:spacing w:val="-9"/>
          <w:lang w:val="en-GB"/>
        </w:rPr>
        <w:t xml:space="preserve"> </w:t>
      </w:r>
      <w:r w:rsidRPr="00361139">
        <w:rPr>
          <w:lang w:val="en-GB"/>
        </w:rPr>
        <w:t>provide</w:t>
      </w:r>
      <w:r w:rsidRPr="00361139">
        <w:rPr>
          <w:spacing w:val="-9"/>
          <w:lang w:val="en-GB"/>
        </w:rPr>
        <w:t xml:space="preserve"> </w:t>
      </w:r>
      <w:r w:rsidRPr="00361139">
        <w:rPr>
          <w:lang w:val="en-GB"/>
        </w:rPr>
        <w:t>knowledge</w:t>
      </w:r>
      <w:r w:rsidRPr="00361139">
        <w:rPr>
          <w:spacing w:val="-9"/>
          <w:lang w:val="en-GB"/>
        </w:rPr>
        <w:t xml:space="preserve"> </w:t>
      </w:r>
      <w:r w:rsidRPr="00361139">
        <w:rPr>
          <w:lang w:val="en-GB"/>
        </w:rPr>
        <w:t>and</w:t>
      </w:r>
      <w:r w:rsidRPr="00361139">
        <w:rPr>
          <w:spacing w:val="-8"/>
          <w:lang w:val="en-GB"/>
        </w:rPr>
        <w:t xml:space="preserve"> </w:t>
      </w:r>
      <w:r w:rsidRPr="00361139">
        <w:rPr>
          <w:lang w:val="en-GB"/>
        </w:rPr>
        <w:t>science</w:t>
      </w:r>
      <w:r w:rsidRPr="00361139">
        <w:rPr>
          <w:spacing w:val="-9"/>
          <w:lang w:val="en-GB"/>
        </w:rPr>
        <w:t xml:space="preserve"> </w:t>
      </w:r>
      <w:r w:rsidRPr="00361139">
        <w:rPr>
          <w:lang w:val="en-GB"/>
        </w:rPr>
        <w:t>and</w:t>
      </w:r>
      <w:r w:rsidRPr="00361139">
        <w:rPr>
          <w:spacing w:val="-8"/>
          <w:lang w:val="en-GB"/>
        </w:rPr>
        <w:t xml:space="preserve"> </w:t>
      </w:r>
      <w:r w:rsidRPr="00361139">
        <w:rPr>
          <w:lang w:val="en-GB"/>
        </w:rPr>
        <w:t>raise</w:t>
      </w:r>
      <w:r w:rsidRPr="00361139">
        <w:rPr>
          <w:spacing w:val="-9"/>
          <w:lang w:val="en-GB"/>
        </w:rPr>
        <w:t xml:space="preserve"> </w:t>
      </w:r>
      <w:r w:rsidRPr="00361139">
        <w:rPr>
          <w:lang w:val="en-GB"/>
        </w:rPr>
        <w:t>awareness</w:t>
      </w:r>
      <w:r w:rsidRPr="00361139">
        <w:rPr>
          <w:spacing w:val="-10"/>
          <w:lang w:val="en-GB"/>
        </w:rPr>
        <w:t xml:space="preserve"> </w:t>
      </w:r>
      <w:r w:rsidRPr="00361139">
        <w:rPr>
          <w:lang w:val="en-GB"/>
        </w:rPr>
        <w:t>towards</w:t>
      </w:r>
      <w:r w:rsidRPr="00361139">
        <w:rPr>
          <w:spacing w:val="-10"/>
          <w:lang w:val="en-GB"/>
        </w:rPr>
        <w:t xml:space="preserve"> </w:t>
      </w:r>
      <w:r w:rsidRPr="00361139">
        <w:rPr>
          <w:lang w:val="en-GB"/>
        </w:rPr>
        <w:t>global</w:t>
      </w:r>
      <w:r w:rsidRPr="00361139">
        <w:rPr>
          <w:spacing w:val="-9"/>
          <w:lang w:val="en-GB"/>
        </w:rPr>
        <w:t xml:space="preserve"> </w:t>
      </w:r>
      <w:r w:rsidRPr="00361139">
        <w:rPr>
          <w:lang w:val="en-GB"/>
        </w:rPr>
        <w:t>action</w:t>
      </w:r>
      <w:r w:rsidRPr="00361139">
        <w:rPr>
          <w:spacing w:val="-8"/>
          <w:lang w:val="en-GB"/>
        </w:rPr>
        <w:t xml:space="preserve"> </w:t>
      </w:r>
      <w:r w:rsidRPr="00361139">
        <w:rPr>
          <w:lang w:val="en-GB"/>
        </w:rPr>
        <w:t xml:space="preserve">on </w:t>
      </w:r>
      <w:r w:rsidRPr="00361139">
        <w:rPr>
          <w:spacing w:val="-2"/>
          <w:lang w:val="en-GB"/>
        </w:rPr>
        <w:t>mercury.</w:t>
      </w:r>
    </w:p>
    <w:p w14:paraId="4DF356C4" w14:textId="77777777" w:rsidR="00CC73DD" w:rsidRPr="00361139" w:rsidRDefault="00CC73DD" w:rsidP="000C76AC">
      <w:pPr>
        <w:pStyle w:val="NormalNonumber"/>
        <w:numPr>
          <w:ilvl w:val="0"/>
          <w:numId w:val="19"/>
        </w:numPr>
        <w:ind w:left="1871" w:hanging="624"/>
        <w:rPr>
          <w:rFonts w:asciiTheme="majorBidi" w:hAnsiTheme="majorBidi" w:cstheme="majorBidi"/>
          <w:lang w:val="en-GB"/>
        </w:rPr>
      </w:pPr>
      <w:r w:rsidRPr="00361139">
        <w:rPr>
          <w:rFonts w:asciiTheme="majorBidi" w:hAnsiTheme="majorBidi" w:cstheme="majorBidi"/>
          <w:lang w:val="en-GB"/>
        </w:rPr>
        <w:t>The</w:t>
      </w:r>
      <w:r w:rsidRPr="00361139">
        <w:rPr>
          <w:rFonts w:asciiTheme="majorBidi" w:hAnsiTheme="majorBidi" w:cstheme="majorBidi"/>
          <w:spacing w:val="-11"/>
          <w:lang w:val="en-GB"/>
        </w:rPr>
        <w:t xml:space="preserve"> </w:t>
      </w:r>
      <w:r w:rsidRPr="00361139">
        <w:rPr>
          <w:rFonts w:asciiTheme="majorBidi" w:hAnsiTheme="majorBidi" w:cstheme="majorBidi"/>
          <w:lang w:val="en-GB"/>
        </w:rPr>
        <w:t>Partnership</w:t>
      </w:r>
      <w:r w:rsidRPr="00361139">
        <w:rPr>
          <w:rFonts w:asciiTheme="majorBidi" w:hAnsiTheme="majorBidi" w:cstheme="majorBidi"/>
          <w:spacing w:val="-10"/>
          <w:lang w:val="en-GB"/>
        </w:rPr>
        <w:t xml:space="preserve"> </w:t>
      </w:r>
      <w:r w:rsidRPr="00361139">
        <w:rPr>
          <w:rFonts w:asciiTheme="majorBidi" w:hAnsiTheme="majorBidi" w:cstheme="majorBidi"/>
          <w:lang w:val="en-GB"/>
        </w:rPr>
        <w:t>can</w:t>
      </w:r>
      <w:r w:rsidRPr="00361139">
        <w:rPr>
          <w:rFonts w:asciiTheme="majorBidi" w:hAnsiTheme="majorBidi" w:cstheme="majorBidi"/>
          <w:spacing w:val="-10"/>
          <w:lang w:val="en-GB"/>
        </w:rPr>
        <w:t xml:space="preserve"> </w:t>
      </w:r>
      <w:r w:rsidRPr="00361139">
        <w:rPr>
          <w:rFonts w:asciiTheme="majorBidi" w:hAnsiTheme="majorBidi" w:cstheme="majorBidi"/>
          <w:lang w:val="en-GB"/>
        </w:rPr>
        <w:t>further</w:t>
      </w:r>
      <w:r w:rsidRPr="00361139">
        <w:rPr>
          <w:rFonts w:asciiTheme="majorBidi" w:hAnsiTheme="majorBidi" w:cstheme="majorBidi"/>
          <w:spacing w:val="-12"/>
          <w:lang w:val="en-GB"/>
        </w:rPr>
        <w:t xml:space="preserve"> </w:t>
      </w:r>
      <w:r w:rsidRPr="00361139">
        <w:rPr>
          <w:rFonts w:asciiTheme="majorBidi" w:hAnsiTheme="majorBidi" w:cstheme="majorBidi"/>
          <w:lang w:val="en-GB"/>
        </w:rPr>
        <w:t>contribute</w:t>
      </w:r>
      <w:r w:rsidRPr="00361139">
        <w:rPr>
          <w:rFonts w:asciiTheme="majorBidi" w:hAnsiTheme="majorBidi" w:cstheme="majorBidi"/>
          <w:spacing w:val="-11"/>
          <w:lang w:val="en-GB"/>
        </w:rPr>
        <w:t xml:space="preserve"> </w:t>
      </w:r>
      <w:r w:rsidRPr="00361139">
        <w:rPr>
          <w:rFonts w:asciiTheme="majorBidi" w:hAnsiTheme="majorBidi" w:cstheme="majorBidi"/>
          <w:lang w:val="en-GB"/>
        </w:rPr>
        <w:t>to</w:t>
      </w:r>
      <w:r w:rsidRPr="00361139">
        <w:rPr>
          <w:rFonts w:asciiTheme="majorBidi" w:hAnsiTheme="majorBidi" w:cstheme="majorBidi"/>
          <w:spacing w:val="-13"/>
          <w:lang w:val="en-GB"/>
        </w:rPr>
        <w:t xml:space="preserve"> </w:t>
      </w:r>
      <w:r w:rsidRPr="00361139">
        <w:rPr>
          <w:rFonts w:asciiTheme="majorBidi" w:hAnsiTheme="majorBidi" w:cstheme="majorBidi"/>
          <w:lang w:val="en-GB"/>
        </w:rPr>
        <w:t>supporting</w:t>
      </w:r>
      <w:r w:rsidRPr="00361139">
        <w:rPr>
          <w:rFonts w:asciiTheme="majorBidi" w:hAnsiTheme="majorBidi" w:cstheme="majorBidi"/>
          <w:spacing w:val="-9"/>
          <w:lang w:val="en-GB"/>
        </w:rPr>
        <w:t xml:space="preserve"> </w:t>
      </w:r>
      <w:r w:rsidRPr="00361139">
        <w:rPr>
          <w:rFonts w:asciiTheme="majorBidi" w:hAnsiTheme="majorBidi" w:cstheme="majorBidi"/>
          <w:lang w:val="en-GB"/>
        </w:rPr>
        <w:t>GEF</w:t>
      </w:r>
      <w:r w:rsidRPr="00361139">
        <w:rPr>
          <w:rFonts w:asciiTheme="majorBidi" w:hAnsiTheme="majorBidi" w:cstheme="majorBidi"/>
          <w:spacing w:val="-12"/>
          <w:lang w:val="en-GB"/>
        </w:rPr>
        <w:t xml:space="preserve"> </w:t>
      </w:r>
      <w:r w:rsidRPr="00361139">
        <w:rPr>
          <w:rFonts w:asciiTheme="majorBidi" w:hAnsiTheme="majorBidi" w:cstheme="majorBidi"/>
          <w:lang w:val="en-GB"/>
        </w:rPr>
        <w:t>and</w:t>
      </w:r>
      <w:r w:rsidRPr="00361139">
        <w:rPr>
          <w:rFonts w:asciiTheme="majorBidi" w:hAnsiTheme="majorBidi" w:cstheme="majorBidi"/>
          <w:spacing w:val="-5"/>
          <w:lang w:val="en-GB"/>
        </w:rPr>
        <w:t xml:space="preserve"> </w:t>
      </w:r>
      <w:r w:rsidRPr="00361139">
        <w:rPr>
          <w:rFonts w:asciiTheme="majorBidi" w:hAnsiTheme="majorBidi" w:cstheme="majorBidi"/>
          <w:lang w:val="en-GB"/>
        </w:rPr>
        <w:t>SIP</w:t>
      </w:r>
      <w:r w:rsidRPr="00361139">
        <w:rPr>
          <w:rFonts w:asciiTheme="majorBidi" w:hAnsiTheme="majorBidi" w:cstheme="majorBidi"/>
          <w:spacing w:val="-11"/>
          <w:lang w:val="en-GB"/>
        </w:rPr>
        <w:t xml:space="preserve"> </w:t>
      </w:r>
      <w:r w:rsidRPr="00361139">
        <w:rPr>
          <w:rFonts w:asciiTheme="majorBidi" w:hAnsiTheme="majorBidi" w:cstheme="majorBidi"/>
          <w:lang w:val="en-GB"/>
        </w:rPr>
        <w:t>funded</w:t>
      </w:r>
      <w:r w:rsidRPr="00361139">
        <w:rPr>
          <w:rFonts w:asciiTheme="majorBidi" w:hAnsiTheme="majorBidi" w:cstheme="majorBidi"/>
          <w:spacing w:val="-12"/>
          <w:lang w:val="en-GB"/>
        </w:rPr>
        <w:t xml:space="preserve"> </w:t>
      </w:r>
      <w:r w:rsidRPr="00361139">
        <w:rPr>
          <w:rFonts w:asciiTheme="majorBidi" w:hAnsiTheme="majorBidi" w:cstheme="majorBidi"/>
          <w:lang w:val="en-GB"/>
        </w:rPr>
        <w:t>projects</w:t>
      </w:r>
      <w:r w:rsidRPr="00361139">
        <w:rPr>
          <w:rFonts w:asciiTheme="majorBidi" w:hAnsiTheme="majorBidi" w:cstheme="majorBidi"/>
          <w:spacing w:val="-12"/>
          <w:lang w:val="en-GB"/>
        </w:rPr>
        <w:t xml:space="preserve"> </w:t>
      </w:r>
      <w:r w:rsidRPr="00361139">
        <w:rPr>
          <w:rFonts w:asciiTheme="majorBidi" w:hAnsiTheme="majorBidi" w:cstheme="majorBidi"/>
          <w:lang w:val="en-GB"/>
        </w:rPr>
        <w:t>through different angles:</w:t>
      </w:r>
    </w:p>
    <w:p w14:paraId="0B547087" w14:textId="77777777" w:rsidR="00CC73DD" w:rsidRPr="00361139" w:rsidRDefault="00CC73DD" w:rsidP="000C76AC">
      <w:pPr>
        <w:pStyle w:val="NormalNonumber"/>
        <w:numPr>
          <w:ilvl w:val="0"/>
          <w:numId w:val="20"/>
        </w:numPr>
        <w:ind w:left="1247" w:firstLine="624"/>
        <w:rPr>
          <w:lang w:val="en-GB"/>
        </w:rPr>
      </w:pPr>
      <w:r w:rsidRPr="00361139">
        <w:rPr>
          <w:lang w:val="en-GB"/>
        </w:rPr>
        <w:t>First,</w:t>
      </w:r>
      <w:r w:rsidRPr="00361139">
        <w:rPr>
          <w:spacing w:val="-1"/>
          <w:lang w:val="en-GB"/>
        </w:rPr>
        <w:t xml:space="preserve"> </w:t>
      </w:r>
      <w:r w:rsidRPr="00361139">
        <w:rPr>
          <w:lang w:val="en-GB"/>
        </w:rPr>
        <w:t>projects</w:t>
      </w:r>
      <w:r w:rsidRPr="00361139">
        <w:rPr>
          <w:spacing w:val="-1"/>
          <w:lang w:val="en-GB"/>
        </w:rPr>
        <w:t xml:space="preserve"> </w:t>
      </w:r>
      <w:r w:rsidRPr="00361139">
        <w:rPr>
          <w:lang w:val="en-GB"/>
        </w:rPr>
        <w:t>can benefit</w:t>
      </w:r>
      <w:r w:rsidRPr="00361139">
        <w:rPr>
          <w:spacing w:val="-1"/>
          <w:lang w:val="en-GB"/>
        </w:rPr>
        <w:t xml:space="preserve"> </w:t>
      </w:r>
      <w:r w:rsidRPr="00361139">
        <w:rPr>
          <w:lang w:val="en-GB"/>
        </w:rPr>
        <w:t>from leveraging the</w:t>
      </w:r>
      <w:r w:rsidRPr="00361139">
        <w:rPr>
          <w:spacing w:val="-3"/>
          <w:lang w:val="en-GB"/>
        </w:rPr>
        <w:t xml:space="preserve"> </w:t>
      </w:r>
      <w:r w:rsidRPr="00361139">
        <w:rPr>
          <w:lang w:val="en-GB"/>
        </w:rPr>
        <w:t>broad network of</w:t>
      </w:r>
      <w:r w:rsidRPr="00361139">
        <w:rPr>
          <w:spacing w:val="-2"/>
          <w:lang w:val="en-GB"/>
        </w:rPr>
        <w:t xml:space="preserve"> </w:t>
      </w:r>
      <w:r w:rsidRPr="00361139">
        <w:rPr>
          <w:lang w:val="en-GB"/>
        </w:rPr>
        <w:t>the Partnership to support the development of various types of knowledge products and their dissemination, including tools, guidance, methodologies, training materials and knowledge</w:t>
      </w:r>
      <w:r w:rsidRPr="00361139">
        <w:rPr>
          <w:spacing w:val="-10"/>
          <w:lang w:val="en-GB"/>
        </w:rPr>
        <w:t xml:space="preserve"> </w:t>
      </w:r>
      <w:r w:rsidRPr="00361139">
        <w:rPr>
          <w:lang w:val="en-GB"/>
        </w:rPr>
        <w:t>hubs</w:t>
      </w:r>
      <w:r w:rsidRPr="00361139">
        <w:rPr>
          <w:spacing w:val="-8"/>
          <w:lang w:val="en-GB"/>
        </w:rPr>
        <w:t xml:space="preserve"> </w:t>
      </w:r>
      <w:r w:rsidRPr="00361139">
        <w:rPr>
          <w:lang w:val="en-GB"/>
        </w:rPr>
        <w:t>coordination</w:t>
      </w:r>
      <w:r w:rsidRPr="00361139">
        <w:rPr>
          <w:spacing w:val="-11"/>
          <w:lang w:val="en-GB"/>
        </w:rPr>
        <w:t xml:space="preserve"> </w:t>
      </w:r>
      <w:r w:rsidRPr="00361139">
        <w:rPr>
          <w:lang w:val="en-GB"/>
        </w:rPr>
        <w:t>that</w:t>
      </w:r>
      <w:r w:rsidRPr="00361139">
        <w:rPr>
          <w:spacing w:val="-8"/>
          <w:lang w:val="en-GB"/>
        </w:rPr>
        <w:t xml:space="preserve"> </w:t>
      </w:r>
      <w:r w:rsidRPr="00361139">
        <w:rPr>
          <w:lang w:val="en-GB"/>
        </w:rPr>
        <w:t>can</w:t>
      </w:r>
      <w:r w:rsidRPr="00361139">
        <w:rPr>
          <w:spacing w:val="-7"/>
          <w:lang w:val="en-GB"/>
        </w:rPr>
        <w:t xml:space="preserve"> </w:t>
      </w:r>
      <w:r w:rsidRPr="00361139">
        <w:rPr>
          <w:lang w:val="en-GB"/>
        </w:rPr>
        <w:t>benefit</w:t>
      </w:r>
      <w:r w:rsidRPr="00361139">
        <w:rPr>
          <w:spacing w:val="-5"/>
          <w:lang w:val="en-GB"/>
        </w:rPr>
        <w:t xml:space="preserve"> </w:t>
      </w:r>
      <w:r w:rsidRPr="00361139">
        <w:rPr>
          <w:lang w:val="en-GB"/>
        </w:rPr>
        <w:t>all</w:t>
      </w:r>
      <w:r w:rsidRPr="00361139">
        <w:rPr>
          <w:spacing w:val="-8"/>
          <w:lang w:val="en-GB"/>
        </w:rPr>
        <w:t xml:space="preserve"> </w:t>
      </w:r>
      <w:r w:rsidRPr="00361139">
        <w:rPr>
          <w:lang w:val="en-GB"/>
        </w:rPr>
        <w:t>Parties</w:t>
      </w:r>
      <w:r w:rsidRPr="00361139">
        <w:rPr>
          <w:spacing w:val="-8"/>
          <w:lang w:val="en-GB"/>
        </w:rPr>
        <w:t xml:space="preserve"> </w:t>
      </w:r>
      <w:r w:rsidRPr="00361139">
        <w:rPr>
          <w:lang w:val="en-GB"/>
        </w:rPr>
        <w:t>and</w:t>
      </w:r>
      <w:r w:rsidRPr="00361139">
        <w:rPr>
          <w:spacing w:val="-9"/>
          <w:lang w:val="en-GB"/>
        </w:rPr>
        <w:t xml:space="preserve"> </w:t>
      </w:r>
      <w:r w:rsidRPr="00361139">
        <w:rPr>
          <w:lang w:val="en-GB"/>
        </w:rPr>
        <w:t>relevant</w:t>
      </w:r>
      <w:r w:rsidRPr="00361139">
        <w:rPr>
          <w:spacing w:val="-8"/>
          <w:lang w:val="en-GB"/>
        </w:rPr>
        <w:t xml:space="preserve"> </w:t>
      </w:r>
      <w:r w:rsidRPr="00361139">
        <w:rPr>
          <w:lang w:val="en-GB"/>
        </w:rPr>
        <w:t xml:space="preserve">stakeholders. With its specific set up, the Partnership </w:t>
      </w:r>
      <w:proofErr w:type="gramStart"/>
      <w:r w:rsidRPr="00361139">
        <w:rPr>
          <w:lang w:val="en-GB"/>
        </w:rPr>
        <w:t>has the ability to</w:t>
      </w:r>
      <w:proofErr w:type="gramEnd"/>
      <w:r w:rsidRPr="00361139">
        <w:rPr>
          <w:lang w:val="en-GB"/>
        </w:rPr>
        <w:t xml:space="preserve"> ensure the materials developed</w:t>
      </w:r>
      <w:r w:rsidRPr="00361139">
        <w:rPr>
          <w:spacing w:val="-2"/>
          <w:lang w:val="en-GB"/>
        </w:rPr>
        <w:t xml:space="preserve"> </w:t>
      </w:r>
      <w:r w:rsidRPr="00361139">
        <w:rPr>
          <w:lang w:val="en-GB"/>
        </w:rPr>
        <w:t>are</w:t>
      </w:r>
      <w:r w:rsidRPr="00361139">
        <w:rPr>
          <w:spacing w:val="-3"/>
          <w:lang w:val="en-GB"/>
        </w:rPr>
        <w:t xml:space="preserve"> </w:t>
      </w:r>
      <w:r w:rsidRPr="00361139">
        <w:rPr>
          <w:lang w:val="en-GB"/>
        </w:rPr>
        <w:t>widely</w:t>
      </w:r>
      <w:r w:rsidRPr="00361139">
        <w:rPr>
          <w:spacing w:val="-2"/>
          <w:lang w:val="en-GB"/>
        </w:rPr>
        <w:t xml:space="preserve"> </w:t>
      </w:r>
      <w:r w:rsidRPr="00361139">
        <w:rPr>
          <w:lang w:val="en-GB"/>
        </w:rPr>
        <w:t>disseminated</w:t>
      </w:r>
      <w:r w:rsidRPr="00361139">
        <w:rPr>
          <w:spacing w:val="-2"/>
          <w:lang w:val="en-GB"/>
        </w:rPr>
        <w:t xml:space="preserve"> </w:t>
      </w:r>
      <w:r w:rsidRPr="00361139">
        <w:rPr>
          <w:lang w:val="en-GB"/>
        </w:rPr>
        <w:t>and</w:t>
      </w:r>
      <w:r w:rsidRPr="00361139">
        <w:rPr>
          <w:spacing w:val="-4"/>
          <w:lang w:val="en-GB"/>
        </w:rPr>
        <w:t xml:space="preserve"> </w:t>
      </w:r>
      <w:r w:rsidRPr="00361139">
        <w:rPr>
          <w:lang w:val="en-GB"/>
        </w:rPr>
        <w:t>respond</w:t>
      </w:r>
      <w:r w:rsidRPr="00361139">
        <w:rPr>
          <w:spacing w:val="-2"/>
          <w:lang w:val="en-GB"/>
        </w:rPr>
        <w:t xml:space="preserve"> </w:t>
      </w:r>
      <w:r w:rsidRPr="00361139">
        <w:rPr>
          <w:lang w:val="en-GB"/>
        </w:rPr>
        <w:t>as</w:t>
      </w:r>
      <w:r w:rsidRPr="00361139">
        <w:rPr>
          <w:spacing w:val="-4"/>
          <w:lang w:val="en-GB"/>
        </w:rPr>
        <w:t xml:space="preserve"> </w:t>
      </w:r>
      <w:r w:rsidRPr="00361139">
        <w:rPr>
          <w:lang w:val="en-GB"/>
        </w:rPr>
        <w:t>closely</w:t>
      </w:r>
      <w:r w:rsidRPr="00361139">
        <w:rPr>
          <w:spacing w:val="-2"/>
          <w:lang w:val="en-GB"/>
        </w:rPr>
        <w:t xml:space="preserve"> </w:t>
      </w:r>
      <w:r w:rsidRPr="00361139">
        <w:rPr>
          <w:lang w:val="en-GB"/>
        </w:rPr>
        <w:t>as</w:t>
      </w:r>
      <w:r w:rsidRPr="00361139">
        <w:rPr>
          <w:spacing w:val="-4"/>
          <w:lang w:val="en-GB"/>
        </w:rPr>
        <w:t xml:space="preserve"> </w:t>
      </w:r>
      <w:r w:rsidRPr="00361139">
        <w:rPr>
          <w:lang w:val="en-GB"/>
        </w:rPr>
        <w:t>possible</w:t>
      </w:r>
      <w:r w:rsidRPr="00361139">
        <w:rPr>
          <w:spacing w:val="-3"/>
          <w:lang w:val="en-GB"/>
        </w:rPr>
        <w:t xml:space="preserve"> </w:t>
      </w:r>
      <w:r w:rsidRPr="00361139">
        <w:rPr>
          <w:lang w:val="en-GB"/>
        </w:rPr>
        <w:t>to</w:t>
      </w:r>
      <w:r w:rsidRPr="00361139">
        <w:rPr>
          <w:spacing w:val="-2"/>
          <w:lang w:val="en-GB"/>
        </w:rPr>
        <w:t xml:space="preserve"> </w:t>
      </w:r>
      <w:r w:rsidRPr="00361139">
        <w:rPr>
          <w:lang w:val="en-GB"/>
        </w:rPr>
        <w:t>countries needs in implementing their obligations under the Minamata Convention.</w:t>
      </w:r>
    </w:p>
    <w:p w14:paraId="416D9DEB" w14:textId="77777777" w:rsidR="00CC73DD" w:rsidRPr="00361139" w:rsidRDefault="00CC73DD" w:rsidP="000C76AC">
      <w:pPr>
        <w:pStyle w:val="NormalNonumber"/>
        <w:numPr>
          <w:ilvl w:val="0"/>
          <w:numId w:val="20"/>
        </w:numPr>
        <w:ind w:left="1247" w:firstLine="624"/>
        <w:rPr>
          <w:rFonts w:asciiTheme="majorBidi" w:hAnsiTheme="majorBidi" w:cstheme="majorBidi"/>
          <w:lang w:val="en-GB"/>
        </w:rPr>
      </w:pPr>
      <w:r w:rsidRPr="00361139">
        <w:rPr>
          <w:rFonts w:asciiTheme="majorBidi" w:hAnsiTheme="majorBidi" w:cstheme="majorBidi"/>
          <w:lang w:val="en-GB"/>
        </w:rPr>
        <w:t xml:space="preserve">Second, provisions for technical assistance from the Partnership may be encouraged in future projects </w:t>
      </w:r>
      <w:r w:rsidRPr="00361139">
        <w:rPr>
          <w:lang w:val="en-GB"/>
        </w:rPr>
        <w:t>developed</w:t>
      </w:r>
      <w:r w:rsidRPr="00361139">
        <w:rPr>
          <w:rFonts w:asciiTheme="majorBidi" w:hAnsiTheme="majorBidi" w:cstheme="majorBidi"/>
          <w:lang w:val="en-GB"/>
        </w:rPr>
        <w:t xml:space="preserve"> for funding through the financial mechanism, including through regional or global components, allowing the Partnership to contribute with its expertise to project implementation, responding to</w:t>
      </w:r>
      <w:r w:rsidRPr="00361139">
        <w:rPr>
          <w:rFonts w:asciiTheme="majorBidi" w:hAnsiTheme="majorBidi" w:cstheme="majorBidi"/>
          <w:spacing w:val="-2"/>
          <w:lang w:val="en-GB"/>
        </w:rPr>
        <w:t xml:space="preserve"> </w:t>
      </w:r>
      <w:r w:rsidRPr="00361139">
        <w:rPr>
          <w:rFonts w:asciiTheme="majorBidi" w:hAnsiTheme="majorBidi" w:cstheme="majorBidi"/>
          <w:lang w:val="en-GB"/>
        </w:rPr>
        <w:t>requests</w:t>
      </w:r>
      <w:r w:rsidRPr="00361139">
        <w:rPr>
          <w:rFonts w:asciiTheme="majorBidi" w:hAnsiTheme="majorBidi" w:cstheme="majorBidi"/>
          <w:spacing w:val="-4"/>
          <w:lang w:val="en-GB"/>
        </w:rPr>
        <w:t xml:space="preserve"> </w:t>
      </w:r>
      <w:r w:rsidRPr="00361139">
        <w:rPr>
          <w:rFonts w:asciiTheme="majorBidi" w:hAnsiTheme="majorBidi" w:cstheme="majorBidi"/>
          <w:lang w:val="en-GB"/>
        </w:rPr>
        <w:t>from</w:t>
      </w:r>
      <w:r w:rsidRPr="00361139">
        <w:rPr>
          <w:rFonts w:asciiTheme="majorBidi" w:hAnsiTheme="majorBidi" w:cstheme="majorBidi"/>
          <w:spacing w:val="-5"/>
          <w:lang w:val="en-GB"/>
        </w:rPr>
        <w:t xml:space="preserve"> </w:t>
      </w:r>
      <w:r w:rsidRPr="00361139">
        <w:rPr>
          <w:rFonts w:asciiTheme="majorBidi" w:hAnsiTheme="majorBidi" w:cstheme="majorBidi"/>
          <w:lang w:val="en-GB"/>
        </w:rPr>
        <w:t>projects stakeholders. The Partnership may also be included from the design phase of the projects, as relevant, allowing to draw on its knowledge, network and expertise, including in the development of baseline information.</w:t>
      </w:r>
    </w:p>
    <w:p w14:paraId="25502706" w14:textId="77777777" w:rsidR="00CC73DD" w:rsidRPr="00361139" w:rsidRDefault="00CC73DD" w:rsidP="000C76AC">
      <w:pPr>
        <w:pStyle w:val="NormalNonumber"/>
        <w:numPr>
          <w:ilvl w:val="0"/>
          <w:numId w:val="20"/>
        </w:numPr>
        <w:ind w:left="1247" w:firstLine="624"/>
        <w:rPr>
          <w:rFonts w:asciiTheme="majorBidi" w:hAnsiTheme="majorBidi" w:cstheme="majorBidi"/>
          <w:lang w:val="en-GB"/>
        </w:rPr>
      </w:pPr>
      <w:r w:rsidRPr="00361139">
        <w:rPr>
          <w:rFonts w:asciiTheme="majorBidi" w:hAnsiTheme="majorBidi" w:cstheme="majorBidi"/>
          <w:lang w:val="en-GB"/>
        </w:rPr>
        <w:t xml:space="preserve">Third, the involvement of the Partnership in the delivery of projects funded by the GEF and the SIP could be </w:t>
      </w:r>
      <w:r w:rsidRPr="00361139">
        <w:rPr>
          <w:lang w:val="en-GB"/>
        </w:rPr>
        <w:t>encouraged</w:t>
      </w:r>
      <w:r w:rsidRPr="00361139">
        <w:rPr>
          <w:rFonts w:asciiTheme="majorBidi" w:hAnsiTheme="majorBidi" w:cstheme="majorBidi"/>
          <w:lang w:val="en-GB"/>
        </w:rPr>
        <w:t xml:space="preserve"> as a means of bringing diverse stakeholders, knowledge and expertise together to support implementation through communities of practice. The awareness raising and outreach activities of the Partnership through</w:t>
      </w:r>
      <w:r w:rsidRPr="00361139">
        <w:rPr>
          <w:rFonts w:asciiTheme="majorBidi" w:hAnsiTheme="majorBidi" w:cstheme="majorBidi"/>
          <w:spacing w:val="-9"/>
          <w:lang w:val="en-GB"/>
        </w:rPr>
        <w:t xml:space="preserve"> </w:t>
      </w:r>
      <w:r w:rsidRPr="00361139">
        <w:rPr>
          <w:rFonts w:asciiTheme="majorBidi" w:hAnsiTheme="majorBidi" w:cstheme="majorBidi"/>
          <w:lang w:val="en-GB"/>
        </w:rPr>
        <w:t>its</w:t>
      </w:r>
      <w:r w:rsidRPr="00361139">
        <w:rPr>
          <w:rFonts w:asciiTheme="majorBidi" w:hAnsiTheme="majorBidi" w:cstheme="majorBidi"/>
          <w:spacing w:val="-11"/>
          <w:lang w:val="en-GB"/>
        </w:rPr>
        <w:t xml:space="preserve"> </w:t>
      </w:r>
      <w:r w:rsidRPr="00361139">
        <w:rPr>
          <w:rFonts w:asciiTheme="majorBidi" w:hAnsiTheme="majorBidi" w:cstheme="majorBidi"/>
          <w:lang w:val="en-GB"/>
        </w:rPr>
        <w:t>broad</w:t>
      </w:r>
      <w:r w:rsidRPr="00361139">
        <w:rPr>
          <w:rFonts w:asciiTheme="majorBidi" w:hAnsiTheme="majorBidi" w:cstheme="majorBidi"/>
          <w:spacing w:val="-9"/>
          <w:lang w:val="en-GB"/>
        </w:rPr>
        <w:t xml:space="preserve"> </w:t>
      </w:r>
      <w:r w:rsidRPr="00361139">
        <w:rPr>
          <w:rFonts w:asciiTheme="majorBidi" w:hAnsiTheme="majorBidi" w:cstheme="majorBidi"/>
          <w:lang w:val="en-GB"/>
        </w:rPr>
        <w:t>and</w:t>
      </w:r>
      <w:r w:rsidRPr="00361139">
        <w:rPr>
          <w:rFonts w:asciiTheme="majorBidi" w:hAnsiTheme="majorBidi" w:cstheme="majorBidi"/>
          <w:spacing w:val="-9"/>
          <w:lang w:val="en-GB"/>
        </w:rPr>
        <w:t xml:space="preserve"> </w:t>
      </w:r>
      <w:r w:rsidRPr="00361139">
        <w:rPr>
          <w:rFonts w:asciiTheme="majorBidi" w:hAnsiTheme="majorBidi" w:cstheme="majorBidi"/>
          <w:lang w:val="en-GB"/>
        </w:rPr>
        <w:t>multistakeholder</w:t>
      </w:r>
      <w:r w:rsidRPr="00361139">
        <w:rPr>
          <w:rFonts w:asciiTheme="majorBidi" w:hAnsiTheme="majorBidi" w:cstheme="majorBidi"/>
          <w:spacing w:val="-12"/>
          <w:lang w:val="en-GB"/>
        </w:rPr>
        <w:t xml:space="preserve"> </w:t>
      </w:r>
      <w:r w:rsidRPr="00361139">
        <w:rPr>
          <w:rFonts w:asciiTheme="majorBidi" w:hAnsiTheme="majorBidi" w:cstheme="majorBidi"/>
          <w:lang w:val="en-GB"/>
        </w:rPr>
        <w:t>network</w:t>
      </w:r>
      <w:r w:rsidRPr="00361139">
        <w:rPr>
          <w:rFonts w:asciiTheme="majorBidi" w:hAnsiTheme="majorBidi" w:cstheme="majorBidi"/>
          <w:spacing w:val="-9"/>
          <w:lang w:val="en-GB"/>
        </w:rPr>
        <w:t xml:space="preserve"> </w:t>
      </w:r>
      <w:r w:rsidRPr="00361139">
        <w:rPr>
          <w:rFonts w:asciiTheme="majorBidi" w:hAnsiTheme="majorBidi" w:cstheme="majorBidi"/>
          <w:lang w:val="en-GB"/>
        </w:rPr>
        <w:t>allows</w:t>
      </w:r>
      <w:r w:rsidRPr="00361139">
        <w:rPr>
          <w:rFonts w:asciiTheme="majorBidi" w:hAnsiTheme="majorBidi" w:cstheme="majorBidi"/>
          <w:spacing w:val="-11"/>
          <w:lang w:val="en-GB"/>
        </w:rPr>
        <w:t xml:space="preserve"> </w:t>
      </w:r>
      <w:r w:rsidRPr="00361139">
        <w:rPr>
          <w:rFonts w:asciiTheme="majorBidi" w:hAnsiTheme="majorBidi" w:cstheme="majorBidi"/>
          <w:lang w:val="en-GB"/>
        </w:rPr>
        <w:t>for</w:t>
      </w:r>
      <w:r w:rsidRPr="00361139">
        <w:rPr>
          <w:rFonts w:asciiTheme="majorBidi" w:hAnsiTheme="majorBidi" w:cstheme="majorBidi"/>
          <w:spacing w:val="-10"/>
          <w:lang w:val="en-GB"/>
        </w:rPr>
        <w:t xml:space="preserve"> </w:t>
      </w:r>
      <w:r w:rsidRPr="00361139">
        <w:rPr>
          <w:rFonts w:asciiTheme="majorBidi" w:hAnsiTheme="majorBidi" w:cstheme="majorBidi"/>
          <w:lang w:val="en-GB"/>
        </w:rPr>
        <w:t>scaling</w:t>
      </w:r>
      <w:r w:rsidRPr="00361139">
        <w:rPr>
          <w:rFonts w:asciiTheme="majorBidi" w:hAnsiTheme="majorBidi" w:cstheme="majorBidi"/>
          <w:spacing w:val="-3"/>
          <w:lang w:val="en-GB"/>
        </w:rPr>
        <w:t xml:space="preserve"> </w:t>
      </w:r>
      <w:r w:rsidRPr="00361139">
        <w:rPr>
          <w:rFonts w:asciiTheme="majorBidi" w:hAnsiTheme="majorBidi" w:cstheme="majorBidi"/>
          <w:lang w:val="en-GB"/>
        </w:rPr>
        <w:t>up</w:t>
      </w:r>
      <w:r w:rsidRPr="00361139">
        <w:rPr>
          <w:rFonts w:asciiTheme="majorBidi" w:hAnsiTheme="majorBidi" w:cstheme="majorBidi"/>
          <w:spacing w:val="-9"/>
          <w:lang w:val="en-GB"/>
        </w:rPr>
        <w:t xml:space="preserve"> </w:t>
      </w:r>
      <w:r w:rsidRPr="00361139">
        <w:rPr>
          <w:rFonts w:asciiTheme="majorBidi" w:hAnsiTheme="majorBidi" w:cstheme="majorBidi"/>
          <w:lang w:val="en-GB"/>
        </w:rPr>
        <w:t>of</w:t>
      </w:r>
      <w:r w:rsidRPr="00361139">
        <w:rPr>
          <w:rFonts w:asciiTheme="majorBidi" w:hAnsiTheme="majorBidi" w:cstheme="majorBidi"/>
          <w:spacing w:val="-12"/>
          <w:lang w:val="en-GB"/>
        </w:rPr>
        <w:t xml:space="preserve"> </w:t>
      </w:r>
      <w:r w:rsidRPr="00361139">
        <w:rPr>
          <w:rFonts w:asciiTheme="majorBidi" w:hAnsiTheme="majorBidi" w:cstheme="majorBidi"/>
          <w:lang w:val="en-GB"/>
        </w:rPr>
        <w:t>results</w:t>
      </w:r>
      <w:r w:rsidRPr="00361139">
        <w:rPr>
          <w:rFonts w:asciiTheme="majorBidi" w:hAnsiTheme="majorBidi" w:cstheme="majorBidi"/>
          <w:spacing w:val="-11"/>
          <w:lang w:val="en-GB"/>
        </w:rPr>
        <w:t xml:space="preserve"> </w:t>
      </w:r>
      <w:r w:rsidRPr="00361139">
        <w:rPr>
          <w:rFonts w:asciiTheme="majorBidi" w:hAnsiTheme="majorBidi" w:cstheme="majorBidi"/>
          <w:lang w:val="en-GB"/>
        </w:rPr>
        <w:t>and broad reach out, ensuring lessons learnt are shared amounts</w:t>
      </w:r>
      <w:r w:rsidRPr="00361139">
        <w:rPr>
          <w:rFonts w:asciiTheme="majorBidi" w:hAnsiTheme="majorBidi" w:cstheme="majorBidi"/>
          <w:spacing w:val="-1"/>
          <w:lang w:val="en-GB"/>
        </w:rPr>
        <w:t xml:space="preserve"> </w:t>
      </w:r>
      <w:r w:rsidRPr="00361139">
        <w:rPr>
          <w:rFonts w:asciiTheme="majorBidi" w:hAnsiTheme="majorBidi" w:cstheme="majorBidi"/>
          <w:lang w:val="en-GB"/>
        </w:rPr>
        <w:t>a wide group but also the sustainability of the project results and their future uptake.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2D5274" w:rsidRPr="00361139" w14:paraId="46E136F3" w14:textId="77777777" w:rsidTr="002D5274">
        <w:tc>
          <w:tcPr>
            <w:tcW w:w="1897" w:type="dxa"/>
          </w:tcPr>
          <w:p w14:paraId="3B8E7316" w14:textId="77777777" w:rsidR="002D5274" w:rsidRPr="00361139" w:rsidRDefault="002D5274" w:rsidP="002D5274">
            <w:pPr>
              <w:pStyle w:val="Normal-pool"/>
              <w:spacing w:before="520"/>
              <w:rPr>
                <w:lang w:val="en-GB"/>
              </w:rPr>
            </w:pPr>
          </w:p>
        </w:tc>
        <w:tc>
          <w:tcPr>
            <w:tcW w:w="1897" w:type="dxa"/>
          </w:tcPr>
          <w:p w14:paraId="62E1EB7B" w14:textId="77777777" w:rsidR="002D5274" w:rsidRPr="00361139" w:rsidRDefault="002D5274" w:rsidP="002D5274">
            <w:pPr>
              <w:pStyle w:val="Normal-pool"/>
              <w:spacing w:before="520"/>
              <w:rPr>
                <w:lang w:val="en-GB"/>
              </w:rPr>
            </w:pPr>
          </w:p>
        </w:tc>
        <w:tc>
          <w:tcPr>
            <w:tcW w:w="1897" w:type="dxa"/>
            <w:tcBorders>
              <w:bottom w:val="single" w:sz="4" w:space="0" w:color="auto"/>
            </w:tcBorders>
          </w:tcPr>
          <w:p w14:paraId="1013BB62" w14:textId="77777777" w:rsidR="002D5274" w:rsidRPr="00361139" w:rsidRDefault="002D5274" w:rsidP="002D5274">
            <w:pPr>
              <w:pStyle w:val="Normal-pool"/>
              <w:spacing w:before="520"/>
              <w:rPr>
                <w:lang w:val="en-GB"/>
              </w:rPr>
            </w:pPr>
          </w:p>
        </w:tc>
        <w:tc>
          <w:tcPr>
            <w:tcW w:w="1897" w:type="dxa"/>
          </w:tcPr>
          <w:p w14:paraId="60084F14" w14:textId="77777777" w:rsidR="002D5274" w:rsidRPr="00361139" w:rsidRDefault="002D5274" w:rsidP="002D5274">
            <w:pPr>
              <w:pStyle w:val="Normal-pool"/>
              <w:spacing w:before="520"/>
              <w:rPr>
                <w:lang w:val="en-GB"/>
              </w:rPr>
            </w:pPr>
          </w:p>
        </w:tc>
        <w:tc>
          <w:tcPr>
            <w:tcW w:w="1898" w:type="dxa"/>
          </w:tcPr>
          <w:p w14:paraId="39CEA01C" w14:textId="77777777" w:rsidR="002D5274" w:rsidRPr="00361139" w:rsidRDefault="002D5274" w:rsidP="002D5274">
            <w:pPr>
              <w:pStyle w:val="Normal-pool"/>
              <w:spacing w:before="520"/>
              <w:rPr>
                <w:lang w:val="en-GB"/>
              </w:rPr>
            </w:pPr>
          </w:p>
        </w:tc>
      </w:tr>
    </w:tbl>
    <w:p w14:paraId="3B99266B" w14:textId="77777777" w:rsidR="002D5274" w:rsidRPr="00361139" w:rsidRDefault="002D5274" w:rsidP="002D5274">
      <w:pPr>
        <w:pStyle w:val="Normal-pool"/>
        <w:rPr>
          <w:lang w:val="en-GB"/>
        </w:rPr>
      </w:pPr>
    </w:p>
    <w:sectPr w:rsidR="002D5274" w:rsidRPr="00361139" w:rsidSect="00446EAC">
      <w:footnotePr>
        <w:numRestart w:val="eachSect"/>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8BE8C" w14:textId="77777777" w:rsidR="0050742D" w:rsidRDefault="0050742D">
      <w:r>
        <w:separator/>
      </w:r>
    </w:p>
  </w:endnote>
  <w:endnote w:type="continuationSeparator" w:id="0">
    <w:p w14:paraId="53239559" w14:textId="77777777" w:rsidR="0050742D" w:rsidRDefault="0050742D">
      <w:r>
        <w:continuationSeparator/>
      </w:r>
    </w:p>
  </w:endnote>
  <w:endnote w:type="continuationNotice" w:id="1">
    <w:p w14:paraId="103A190B" w14:textId="77777777" w:rsidR="0050742D" w:rsidRDefault="00507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Roboto">
    <w:altName w:val="Arial"/>
    <w:panose1 w:val="00000000000000000000"/>
    <w:charset w:val="00"/>
    <w:family w:val="auto"/>
    <w:pitch w:val="variable"/>
    <w:sig w:usb0="E00002EF" w:usb1="5000205B" w:usb2="0000002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E188" w14:textId="59469AF3" w:rsidR="00446EAC" w:rsidRPr="00446EAC" w:rsidRDefault="00446EAC" w:rsidP="00446EAC">
    <w:pPr>
      <w:pStyle w:val="Footer"/>
    </w:pPr>
    <w:r>
      <w:rPr>
        <w:b/>
        <w:lang w:val="en-US"/>
      </w:rPr>
      <w:fldChar w:fldCharType="begin"/>
    </w:r>
    <w:r>
      <w:rPr>
        <w:b/>
        <w:lang w:val="en-US"/>
      </w:rPr>
      <w:instrText xml:space="preserve"> PAGE </w:instrText>
    </w:r>
    <w:r>
      <w:rPr>
        <w:b/>
        <w:lang w:val="en-US"/>
      </w:rPr>
      <w:fldChar w:fldCharType="separate"/>
    </w:r>
    <w:r>
      <w:rPr>
        <w:b/>
        <w:noProof/>
        <w:lang w:val="en-US"/>
      </w:rPr>
      <w:t>1</w:t>
    </w:r>
    <w:r>
      <w:rP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97B7" w14:textId="4875397D" w:rsidR="00446EAC" w:rsidRPr="00446EAC" w:rsidRDefault="00446EAC" w:rsidP="00446EAC">
    <w:pPr>
      <w:pStyle w:val="Footer-pool"/>
      <w:jc w:val="right"/>
    </w:pPr>
    <w:r>
      <w:fldChar w:fldCharType="begin"/>
    </w:r>
    <w:r>
      <w:instrText xml:space="preserve"> PAGE \* MERGEFORMAT </w:instrText>
    </w:r>
    <w:r>
      <w:fldChar w:fldCharType="separate"/>
    </w:r>
    <w:r>
      <w:rPr>
        <w:noProof/>
      </w:rPr>
      <w:t>92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1A19" w14:textId="3E8DE816" w:rsidR="00CC73DD" w:rsidRPr="00784AE8" w:rsidRDefault="00361139" w:rsidP="00446EAC">
    <w:pPr>
      <w:pStyle w:val="Normal-pool"/>
    </w:pPr>
    <w:bookmarkStart w:id="15" w:name="FooterJobDate"/>
    <w:r>
      <w:t>K231083[E]</w:t>
    </w:r>
    <w:r>
      <w:tab/>
      <w:t>290823</w:t>
    </w:r>
    <w:bookmarkEnd w:id="15"/>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9614C" w14:textId="77777777" w:rsidR="00CC73DD" w:rsidRPr="00784AE8" w:rsidRDefault="00CC73DD" w:rsidP="008144F7">
    <w:pPr>
      <w:pStyle w:val="Footer"/>
      <w:jc w:val="right"/>
      <w:rPr>
        <w:b/>
        <w:bCs/>
      </w:rPr>
    </w:pPr>
    <w:r w:rsidRPr="00784AE8">
      <w:rPr>
        <w:b/>
        <w:bCs/>
      </w:rPr>
      <w:fldChar w:fldCharType="begin"/>
    </w:r>
    <w:r w:rsidRPr="00784AE8">
      <w:rPr>
        <w:b/>
        <w:bCs/>
      </w:rPr>
      <w:instrText xml:space="preserve"> PAGE   \* MERGEFORMAT </w:instrText>
    </w:r>
    <w:r w:rsidRPr="00784AE8">
      <w:rPr>
        <w:b/>
        <w:bCs/>
      </w:rPr>
      <w:fldChar w:fldCharType="separate"/>
    </w:r>
    <w:r w:rsidRPr="00784AE8">
      <w:rPr>
        <w:b/>
        <w:bCs/>
        <w:noProof/>
      </w:rPr>
      <w:t>2</w:t>
    </w:r>
    <w:r w:rsidRPr="00784AE8">
      <w:rPr>
        <w:b/>
        <w:bC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DAE6" w14:textId="77777777" w:rsidR="00CC73DD" w:rsidRPr="00784AE8" w:rsidRDefault="00CC73DD" w:rsidP="008144F7">
    <w:pPr>
      <w:pStyle w:val="Footer"/>
      <w:rPr>
        <w:b/>
        <w:bCs/>
      </w:rPr>
    </w:pPr>
    <w:r w:rsidRPr="00784AE8">
      <w:rPr>
        <w:b/>
        <w:bCs/>
      </w:rPr>
      <w:fldChar w:fldCharType="begin"/>
    </w:r>
    <w:r w:rsidRPr="00784AE8">
      <w:rPr>
        <w:b/>
        <w:bCs/>
      </w:rPr>
      <w:instrText xml:space="preserve"> PAGE   \* MERGEFORMAT </w:instrText>
    </w:r>
    <w:r w:rsidRPr="00784AE8">
      <w:rPr>
        <w:b/>
        <w:bCs/>
      </w:rPr>
      <w:fldChar w:fldCharType="separate"/>
    </w:r>
    <w:r w:rsidRPr="00784AE8">
      <w:rPr>
        <w:b/>
        <w:bCs/>
        <w:noProof/>
      </w:rPr>
      <w:t>2</w:t>
    </w:r>
    <w:r w:rsidRPr="00784AE8">
      <w:rPr>
        <w:b/>
        <w:bCs/>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C26B" w14:textId="59FEA0F8" w:rsidR="00D44601" w:rsidRDefault="007B2F37" w:rsidP="00D44601">
    <w:pPr>
      <w:pStyle w:val="Normal-pool"/>
    </w:pPr>
    <w:r>
      <w:t>K2312902[E]</w:t>
    </w:r>
    <w:r>
      <w:tab/>
      <w:t>xx0723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49402" w14:textId="77777777" w:rsidR="0050742D" w:rsidRPr="00433014" w:rsidRDefault="0050742D" w:rsidP="00843984">
      <w:pPr>
        <w:pStyle w:val="Normal-pool"/>
        <w:tabs>
          <w:tab w:val="clear" w:pos="1247"/>
          <w:tab w:val="clear" w:pos="1871"/>
          <w:tab w:val="clear" w:pos="2495"/>
          <w:tab w:val="clear" w:pos="3119"/>
          <w:tab w:val="clear" w:pos="3742"/>
          <w:tab w:val="clear" w:pos="4366"/>
        </w:tabs>
        <w:spacing w:before="60"/>
        <w:ind w:left="624"/>
        <w:rPr>
          <w:sz w:val="18"/>
          <w:szCs w:val="18"/>
        </w:rPr>
      </w:pPr>
      <w:r w:rsidRPr="00433014">
        <w:rPr>
          <w:sz w:val="18"/>
          <w:szCs w:val="18"/>
        </w:rPr>
        <w:separator/>
      </w:r>
    </w:p>
  </w:footnote>
  <w:footnote w:type="continuationSeparator" w:id="0">
    <w:p w14:paraId="7EF3CA5A" w14:textId="77777777" w:rsidR="0050742D" w:rsidRDefault="0050742D" w:rsidP="00BC07FE">
      <w:pPr>
        <w:pStyle w:val="Normal-pool"/>
      </w:pPr>
      <w:r>
        <w:continuationSeparator/>
      </w:r>
    </w:p>
  </w:footnote>
  <w:footnote w:type="continuationNotice" w:id="1">
    <w:p w14:paraId="40CABA6C" w14:textId="77777777" w:rsidR="0050742D" w:rsidRPr="00E94B48" w:rsidRDefault="0050742D" w:rsidP="00E94B48">
      <w:pPr>
        <w:pStyle w:val="Footer"/>
        <w:rPr>
          <w:sz w:val="4"/>
          <w:szCs w:val="4"/>
        </w:rPr>
      </w:pPr>
    </w:p>
  </w:footnote>
  <w:footnote w:id="2">
    <w:p w14:paraId="7850F2A8" w14:textId="77777777" w:rsidR="00F55399" w:rsidRPr="00361139" w:rsidRDefault="00F55399" w:rsidP="00361139">
      <w:pPr>
        <w:pStyle w:val="Footnote-Text"/>
        <w:rPr>
          <w:szCs w:val="18"/>
        </w:rPr>
      </w:pPr>
      <w:r w:rsidRPr="00361139">
        <w:rPr>
          <w:rStyle w:val="FootnoteReference"/>
          <w:sz w:val="18"/>
          <w:vertAlign w:val="baseline"/>
        </w:rPr>
        <w:t>*</w:t>
      </w:r>
      <w:r w:rsidRPr="00361139">
        <w:rPr>
          <w:szCs w:val="18"/>
        </w:rPr>
        <w:t xml:space="preserve"> UNEP</w:t>
      </w:r>
      <w:r w:rsidRPr="00361139">
        <w:rPr>
          <w:b/>
          <w:bCs/>
          <w:szCs w:val="18"/>
        </w:rPr>
        <w:t>/</w:t>
      </w:r>
      <w:r w:rsidRPr="00361139">
        <w:rPr>
          <w:szCs w:val="18"/>
        </w:rPr>
        <w:t>MC/COP.5/1.</w:t>
      </w:r>
    </w:p>
  </w:footnote>
  <w:footnote w:id="3">
    <w:p w14:paraId="6E95A43B" w14:textId="66AB77D0" w:rsidR="00985A93" w:rsidRPr="00361139" w:rsidRDefault="00985A93" w:rsidP="00361139">
      <w:pPr>
        <w:pStyle w:val="FootnoteText"/>
        <w:tabs>
          <w:tab w:val="left" w:pos="624"/>
        </w:tabs>
        <w:rPr>
          <w:szCs w:val="18"/>
        </w:rPr>
      </w:pPr>
      <w:r w:rsidRPr="00361139">
        <w:rPr>
          <w:rStyle w:val="FootnoteReference"/>
          <w:sz w:val="18"/>
          <w:vertAlign w:val="baseline"/>
        </w:rPr>
        <w:t>*</w:t>
      </w:r>
      <w:r w:rsidRPr="00361139">
        <w:rPr>
          <w:szCs w:val="18"/>
        </w:rPr>
        <w:t xml:space="preserve"> The </w:t>
      </w:r>
      <w:r w:rsidR="00F644BF" w:rsidRPr="00361139">
        <w:rPr>
          <w:szCs w:val="18"/>
        </w:rPr>
        <w:t xml:space="preserve">present </w:t>
      </w:r>
      <w:r w:rsidRPr="00361139">
        <w:rPr>
          <w:szCs w:val="18"/>
        </w:rPr>
        <w:t>annex has not been formally edited.</w:t>
      </w:r>
    </w:p>
  </w:footnote>
  <w:footnote w:id="4">
    <w:p w14:paraId="39FFA76B"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MSPs are funded at up to 2M in GEF resources, According to GEF Secretariat, in GEF 7 have been rarely used by countries as they are working on implementation which requires larger amounts of resources resulting in the MSP not being used widely (Source: GEF Secretariat).</w:t>
      </w:r>
    </w:p>
  </w:footnote>
  <w:footnote w:id="5">
    <w:p w14:paraId="1FC683BF"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Minamata Convention, in Article 13.7, directs the GEF to provide “resources to meet the agreed incremental costs of global environmental benefits and the agreed full costs of some enabling activities” which is the source of requiring co-financing for MSPs, FSPs and PFDs. Consistently with this convention text, enabling activities are not required to provide co-financing (Source: GEF Secretariat).</w:t>
      </w:r>
    </w:p>
  </w:footnote>
  <w:footnote w:id="6">
    <w:p w14:paraId="1DB901FE"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w:t>
      </w:r>
      <w:r w:rsidRPr="00361139">
        <w:rPr>
          <w:rFonts w:eastAsia="Cambria"/>
          <w:color w:val="000000"/>
          <w:szCs w:val="18"/>
        </w:rPr>
        <w:t>The usual implementation period of GEF projects is 5 years and the length of implementation in the period under review was skewed by the Covid-19 pandemic which stopped or significantly slowed project activities</w:t>
      </w:r>
      <w:r w:rsidRPr="00361139">
        <w:rPr>
          <w:szCs w:val="18"/>
        </w:rPr>
        <w:t xml:space="preserve"> (Source: GEF Secretariat).</w:t>
      </w:r>
    </w:p>
  </w:footnote>
  <w:footnote w:id="7">
    <w:p w14:paraId="5D8E2B50" w14:textId="77777777" w:rsidR="00CC73DD" w:rsidRPr="00361139" w:rsidRDefault="00CC73DD" w:rsidP="00361139">
      <w:pPr>
        <w:pStyle w:val="Footnote-Text"/>
        <w:rPr>
          <w:rStyle w:val="FootnoteReference"/>
          <w:sz w:val="18"/>
          <w:vertAlign w:val="baseline"/>
        </w:rPr>
      </w:pPr>
      <w:r w:rsidRPr="00361139">
        <w:rPr>
          <w:rStyle w:val="FootnoteReference"/>
          <w:sz w:val="18"/>
        </w:rPr>
        <w:footnoteRef/>
      </w:r>
      <w:r w:rsidRPr="00361139">
        <w:rPr>
          <w:szCs w:val="18"/>
        </w:rPr>
        <w:t xml:space="preserve"> UNEP/MC/COP.3/11</w:t>
      </w:r>
    </w:p>
  </w:footnote>
  <w:footnote w:id="8">
    <w:p w14:paraId="32208530"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document UNEP/MC/COP.2/19</w:t>
      </w:r>
    </w:p>
  </w:footnote>
  <w:footnote w:id="9">
    <w:p w14:paraId="24A25636"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UNEP/MC/COP.4/12</w:t>
      </w:r>
    </w:p>
  </w:footnote>
  <w:footnote w:id="10">
    <w:p w14:paraId="02D20BF2"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document UNEP/MC/COP.4/28/Add.1</w:t>
      </w:r>
    </w:p>
  </w:footnote>
  <w:footnote w:id="11">
    <w:p w14:paraId="4F20EA7A"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Special Programme to support institutional strengthening at the national level for implementation of the Basel, Rotterdam and Stockholm conventions, the Minamata Convention and the Strategic Approach to International Chemicals Management (at </w:t>
      </w:r>
      <w:hyperlink r:id="rId1" w:history="1">
        <w:r w:rsidRPr="00361139">
          <w:rPr>
            <w:rStyle w:val="Hyperlink"/>
            <w:sz w:val="18"/>
            <w:szCs w:val="18"/>
          </w:rPr>
          <w:t>https://www.unep.org/explore-topics/chemicals-waste/what-we-do/special-programme</w:t>
        </w:r>
      </w:hyperlink>
      <w:r w:rsidRPr="00361139">
        <w:rPr>
          <w:szCs w:val="18"/>
        </w:rPr>
        <w:t>)</w:t>
      </w:r>
    </w:p>
  </w:footnote>
  <w:footnote w:id="12">
    <w:p w14:paraId="3CD02091"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At https://www.unep.org/globalmercurypartnership/</w:t>
      </w:r>
    </w:p>
  </w:footnote>
  <w:footnote w:id="13">
    <w:p w14:paraId="177E27C8"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UNEP/MC/COP.4/13</w:t>
      </w:r>
    </w:p>
  </w:footnote>
  <w:footnote w:id="14">
    <w:p w14:paraId="5DC8D39C"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At </w:t>
      </w:r>
      <w:hyperlink r:id="rId2" w:history="1">
        <w:r w:rsidRPr="00361139">
          <w:rPr>
            <w:szCs w:val="18"/>
          </w:rPr>
          <w:t>https://www.thegef.org/projects-operations/database</w:t>
        </w:r>
      </w:hyperlink>
    </w:p>
  </w:footnote>
  <w:footnote w:id="15">
    <w:p w14:paraId="7C6AEB19"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As of 31 </w:t>
      </w:r>
      <w:proofErr w:type="gramStart"/>
      <w:r w:rsidRPr="00361139">
        <w:rPr>
          <w:szCs w:val="18"/>
        </w:rPr>
        <w:t>December,</w:t>
      </w:r>
      <w:proofErr w:type="gramEnd"/>
      <w:r w:rsidRPr="00361139">
        <w:rPr>
          <w:szCs w:val="18"/>
        </w:rPr>
        <w:t xml:space="preserve"> 2022 the Minamata Convention had 139 Parties and </w:t>
      </w:r>
      <w:r w:rsidRPr="00361139">
        <w:rPr>
          <w:szCs w:val="18"/>
          <w:lang w:val="en-GB"/>
        </w:rPr>
        <w:t>120 countries were differently eligible for funding under the MC financial mechanism.</w:t>
      </w:r>
    </w:p>
  </w:footnote>
  <w:footnote w:id="16">
    <w:p w14:paraId="2CCA1FB6"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All funding reported, unless otherwise specified, are inclusive </w:t>
      </w:r>
      <w:proofErr w:type="gramStart"/>
      <w:r w:rsidRPr="00361139">
        <w:rPr>
          <w:szCs w:val="18"/>
        </w:rPr>
        <w:t>of:</w:t>
      </w:r>
      <w:proofErr w:type="gramEnd"/>
      <w:r w:rsidRPr="00361139">
        <w:rPr>
          <w:szCs w:val="18"/>
        </w:rPr>
        <w:t xml:space="preserve"> a) project grants, project preparation grants and respective fees for the GEF funded projects; and b) total project costs and operation costs for SIP funded projects.</w:t>
      </w:r>
    </w:p>
  </w:footnote>
  <w:footnote w:id="17">
    <w:p w14:paraId="612F45E2" w14:textId="73050EC6" w:rsidR="00CC73DD" w:rsidRPr="00361139" w:rsidRDefault="00CC73DD" w:rsidP="00361139">
      <w:pPr>
        <w:pStyle w:val="Footnote-Text"/>
        <w:rPr>
          <w:szCs w:val="18"/>
        </w:rPr>
      </w:pPr>
      <w:r w:rsidRPr="00361139">
        <w:rPr>
          <w:rStyle w:val="FootnoteReference"/>
          <w:sz w:val="18"/>
        </w:rPr>
        <w:footnoteRef/>
      </w:r>
      <w:r w:rsidRPr="00361139">
        <w:rPr>
          <w:szCs w:val="18"/>
        </w:rPr>
        <w:t xml:space="preserve"> Such as: development of a Minamata Initial Assessment (MIA), National Action Plans for Artisanal and Small</w:t>
      </w:r>
      <w:bookmarkStart w:id="130" w:name="_Hlk139538858"/>
      <w:r w:rsidR="00F93494" w:rsidRPr="00361139">
        <w:rPr>
          <w:szCs w:val="18"/>
        </w:rPr>
        <w:noBreakHyphen/>
      </w:r>
      <w:bookmarkEnd w:id="130"/>
      <w:r w:rsidRPr="00361139">
        <w:rPr>
          <w:szCs w:val="18"/>
        </w:rPr>
        <w:t>Scale Gold Mining (ASGM NAP), GEF GOLD and Artisanal and Small-Scale Gold Mining (ASGM) initiatives, or capacity strengthening for the implementation of the Minamata Convention.</w:t>
      </w:r>
    </w:p>
  </w:footnote>
  <w:footnote w:id="18">
    <w:p w14:paraId="6D98D4DA"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rough estimation is based on the application, to the total costs of those GEF-6 funded projects that are not uniquely related to the Convention, of the percentage of funds directly related to the Convention, calculated in the same category of GEF-7 funded projects for which this level of details is provided.</w:t>
      </w:r>
    </w:p>
  </w:footnote>
  <w:footnote w:id="19">
    <w:p w14:paraId="1B2AA2AA"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GEF Enabling Activities (EA) are projects for the preparation of a plan, strategy, or report to fulfill commitments under a convention (Source GEF Secretariat).</w:t>
      </w:r>
    </w:p>
  </w:footnote>
  <w:footnote w:id="20">
    <w:p w14:paraId="4DAF03C9" w14:textId="0BE85747" w:rsidR="00CC73DD" w:rsidRPr="00361139" w:rsidRDefault="00CC73DD" w:rsidP="00361139">
      <w:pPr>
        <w:pStyle w:val="Footnote-Text"/>
        <w:rPr>
          <w:rStyle w:val="FootnoteReference"/>
          <w:sz w:val="18"/>
        </w:rPr>
      </w:pPr>
      <w:r w:rsidRPr="00361139">
        <w:rPr>
          <w:rStyle w:val="FootnoteReference"/>
          <w:sz w:val="18"/>
        </w:rPr>
        <w:footnoteRef/>
      </w:r>
      <w:r w:rsidRPr="00361139">
        <w:rPr>
          <w:szCs w:val="18"/>
        </w:rPr>
        <w:t xml:space="preserve"> GEF Medium-sized Projects (MSPs) are project with financing of less than, or equivalent to, two million US</w:t>
      </w:r>
      <w:r w:rsidR="00F93494" w:rsidRPr="00361139">
        <w:rPr>
          <w:szCs w:val="18"/>
        </w:rPr>
        <w:t> </w:t>
      </w:r>
      <w:r w:rsidRPr="00361139">
        <w:rPr>
          <w:szCs w:val="18"/>
        </w:rPr>
        <w:t>dollars. The GEF CEO can approve</w:t>
      </w:r>
      <w:r w:rsidR="00334B82" w:rsidRPr="00361139">
        <w:rPr>
          <w:szCs w:val="18"/>
        </w:rPr>
        <w:t xml:space="preserve"> </w:t>
      </w:r>
      <w:r w:rsidRPr="00361139">
        <w:rPr>
          <w:szCs w:val="18"/>
        </w:rPr>
        <w:t>(Source: GEF Secretariat).</w:t>
      </w:r>
    </w:p>
  </w:footnote>
  <w:footnote w:id="21">
    <w:p w14:paraId="4E31206B" w14:textId="3A9151D5" w:rsidR="00CC73DD" w:rsidRPr="00361139" w:rsidRDefault="00CC73DD" w:rsidP="00361139">
      <w:pPr>
        <w:pStyle w:val="Footnote-Text"/>
        <w:rPr>
          <w:szCs w:val="18"/>
        </w:rPr>
      </w:pPr>
      <w:r w:rsidRPr="00361139">
        <w:rPr>
          <w:rStyle w:val="FootnoteReference"/>
          <w:sz w:val="18"/>
        </w:rPr>
        <w:footnoteRef/>
      </w:r>
      <w:r w:rsidRPr="00361139">
        <w:rPr>
          <w:szCs w:val="18"/>
        </w:rPr>
        <w:t xml:space="preserve"> MSPs are funded at up to 2M in GEF resources. According to the GEF Secretariat,</w:t>
      </w:r>
      <w:r w:rsidR="00334B82" w:rsidRPr="00361139">
        <w:rPr>
          <w:szCs w:val="18"/>
        </w:rPr>
        <w:t xml:space="preserve"> </w:t>
      </w:r>
      <w:r w:rsidRPr="00361139">
        <w:rPr>
          <w:szCs w:val="18"/>
        </w:rPr>
        <w:t>in GEF 7 these have been rarely used by countries as they are working on implementation which requires larger amounts of resources resulting in the MSP not being used widely (Source: GEF Secretariat).</w:t>
      </w:r>
    </w:p>
  </w:footnote>
  <w:footnote w:id="22">
    <w:p w14:paraId="4DB58003"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GEF Full-sized Projects (FSPs) are projects with financing of more than two million US dollars. Council approval is required (Source GEF Secretariat).</w:t>
      </w:r>
    </w:p>
  </w:footnote>
  <w:footnote w:id="23">
    <w:p w14:paraId="46FCD672"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GEF Programs are longer-term and strategic arrangements of individual yet interlinked projects that aim at achieving large-scale impacts on the global environment (Source: GEF Secretariat).</w:t>
      </w:r>
    </w:p>
  </w:footnote>
  <w:footnote w:id="24">
    <w:p w14:paraId="6CBBA7B5" w14:textId="7D46F82F" w:rsidR="00CC73DD" w:rsidRPr="00361139" w:rsidRDefault="00CC73DD" w:rsidP="00361139">
      <w:pPr>
        <w:pStyle w:val="Footnote-Text"/>
        <w:rPr>
          <w:szCs w:val="18"/>
        </w:rPr>
      </w:pPr>
      <w:r w:rsidRPr="00361139">
        <w:rPr>
          <w:rStyle w:val="FootnoteReference"/>
          <w:sz w:val="18"/>
        </w:rPr>
        <w:footnoteRef/>
      </w:r>
      <w:r w:rsidRPr="00361139">
        <w:rPr>
          <w:szCs w:val="18"/>
        </w:rPr>
        <w:t xml:space="preserve"> At </w:t>
      </w:r>
      <w:hyperlink r:id="rId3" w:history="1">
        <w:r w:rsidR="00F5406C" w:rsidRPr="00361139">
          <w:rPr>
            <w:rStyle w:val="Hyperlink"/>
            <w:sz w:val="18"/>
            <w:szCs w:val="18"/>
          </w:rPr>
          <w:t>https://www.planetgold.org/</w:t>
        </w:r>
      </w:hyperlink>
      <w:r w:rsidR="00F5406C" w:rsidRPr="00361139">
        <w:rPr>
          <w:szCs w:val="18"/>
        </w:rPr>
        <w:t xml:space="preserve"> </w:t>
      </w:r>
    </w:p>
  </w:footnote>
  <w:footnote w:id="25">
    <w:p w14:paraId="761DB1DA"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No voluntary contributions by other stakeholders are reported in the three rounds under review.</w:t>
      </w:r>
    </w:p>
  </w:footnote>
  <w:footnote w:id="26">
    <w:p w14:paraId="6C3CF5FF"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the three SIP rounds of projects under review, one country was the recipient of three projects and one project was proposed by three countries together.</w:t>
      </w:r>
    </w:p>
  </w:footnote>
  <w:footnote w:id="27">
    <w:p w14:paraId="4A2E4143" w14:textId="77777777" w:rsidR="00D31E6D" w:rsidRPr="00361139" w:rsidRDefault="00D31E6D" w:rsidP="00361139">
      <w:pPr>
        <w:pStyle w:val="FootnoteText"/>
        <w:tabs>
          <w:tab w:val="left" w:pos="624"/>
        </w:tabs>
        <w:rPr>
          <w:szCs w:val="18"/>
          <w:lang w:val="en-US"/>
        </w:rPr>
      </w:pPr>
      <w:r w:rsidRPr="00361139">
        <w:rPr>
          <w:rStyle w:val="FootnoteReference"/>
          <w:sz w:val="18"/>
        </w:rPr>
        <w:footnoteRef/>
      </w:r>
      <w:r w:rsidRPr="00361139">
        <w:rPr>
          <w:szCs w:val="18"/>
          <w:lang w:val="en-US"/>
        </w:rPr>
        <w:t xml:space="preserve"> Total and sub-totals in this column indicate the final numbers of recipient countries in each category and therefore do not match the sum of the rows above because some countries were recipient of funding in multiple projects.</w:t>
      </w:r>
    </w:p>
  </w:footnote>
  <w:footnote w:id="28">
    <w:p w14:paraId="5E668667" w14:textId="484D6178" w:rsidR="00CC73DD" w:rsidRPr="00361139" w:rsidRDefault="00CC73DD" w:rsidP="00361139">
      <w:pPr>
        <w:pStyle w:val="Footnote-Text"/>
        <w:rPr>
          <w:szCs w:val="18"/>
        </w:rPr>
      </w:pPr>
      <w:r w:rsidRPr="00361139">
        <w:rPr>
          <w:rStyle w:val="FootnoteReference"/>
          <w:sz w:val="18"/>
        </w:rPr>
        <w:footnoteRef/>
      </w:r>
      <w:r w:rsidRPr="00361139">
        <w:rPr>
          <w:szCs w:val="18"/>
        </w:rPr>
        <w:t xml:space="preserve"> For GEF: </w:t>
      </w:r>
      <w:r w:rsidRPr="00361139">
        <w:rPr>
          <w:rStyle w:val="file"/>
          <w:i/>
          <w:szCs w:val="18"/>
        </w:rPr>
        <w:t>Policy on Co-financing</w:t>
      </w:r>
      <w:r w:rsidRPr="00361139">
        <w:rPr>
          <w:rStyle w:val="file"/>
          <w:szCs w:val="18"/>
        </w:rPr>
        <w:t xml:space="preserve"> and </w:t>
      </w:r>
      <w:r w:rsidRPr="00361139">
        <w:rPr>
          <w:rStyle w:val="file"/>
          <w:i/>
          <w:szCs w:val="18"/>
        </w:rPr>
        <w:t>Guidelines on Co-financing</w:t>
      </w:r>
      <w:r w:rsidRPr="00361139">
        <w:rPr>
          <w:rStyle w:val="file"/>
          <w:szCs w:val="18"/>
        </w:rPr>
        <w:t xml:space="preserve"> at </w:t>
      </w:r>
      <w:hyperlink r:id="rId4" w:history="1">
        <w:r w:rsidRPr="00361139">
          <w:rPr>
            <w:rStyle w:val="Hyperlink"/>
            <w:sz w:val="18"/>
            <w:szCs w:val="18"/>
          </w:rPr>
          <w:t>https://www.thegef.org/documents/co-financing</w:t>
        </w:r>
      </w:hyperlink>
      <w:r w:rsidRPr="00361139">
        <w:rPr>
          <w:rStyle w:val="file"/>
          <w:szCs w:val="18"/>
        </w:rPr>
        <w:t>; for SIP:</w:t>
      </w:r>
      <w:r w:rsidRPr="00361139">
        <w:rPr>
          <w:szCs w:val="18"/>
        </w:rPr>
        <w:t xml:space="preserve"> Application Guidelines</w:t>
      </w:r>
      <w:r w:rsidR="00D31E6D" w:rsidRPr="00361139">
        <w:rPr>
          <w:szCs w:val="18"/>
        </w:rPr>
        <w:t xml:space="preserve"> </w:t>
      </w:r>
      <w:r w:rsidRPr="00361139">
        <w:rPr>
          <w:szCs w:val="18"/>
        </w:rPr>
        <w:t xml:space="preserve">(Third Round of Applications) at </w:t>
      </w:r>
      <w:hyperlink r:id="rId5" w:history="1">
        <w:r w:rsidRPr="00361139">
          <w:rPr>
            <w:rStyle w:val="Hyperlink"/>
            <w:sz w:val="18"/>
            <w:szCs w:val="18"/>
          </w:rPr>
          <w:t>https://www.mercuryconvention.org/en/implementation/specific-international-programme/third-round</w:t>
        </w:r>
      </w:hyperlink>
      <w:r w:rsidRPr="00361139">
        <w:rPr>
          <w:szCs w:val="18"/>
        </w:rPr>
        <w:t>.</w:t>
      </w:r>
    </w:p>
  </w:footnote>
  <w:footnote w:id="29">
    <w:p w14:paraId="1E3F08F1"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Minamata Convention Article 13.7 directs the GEF to provide “resources to meet the agreed incremental costs of global environmental benefits and the agreed full costs of some enabling activities” which is the source of requiring co-financing for MSPs, FSPs and PFD. Consistently with this convention text, enabling activities are not required to provide co-financing (Source: GEF Secretariat).</w:t>
      </w:r>
    </w:p>
  </w:footnote>
  <w:footnote w:id="30">
    <w:p w14:paraId="7346D220" w14:textId="77777777" w:rsidR="00CC73DD" w:rsidRPr="00361139" w:rsidRDefault="00CC73DD" w:rsidP="00361139">
      <w:pPr>
        <w:pStyle w:val="Footnote-Text"/>
        <w:rPr>
          <w:rStyle w:val="FootnoteReference"/>
          <w:sz w:val="18"/>
        </w:rPr>
      </w:pPr>
      <w:r w:rsidRPr="00361139">
        <w:rPr>
          <w:rStyle w:val="FootnoteReference"/>
          <w:sz w:val="18"/>
        </w:rPr>
        <w:footnoteRef/>
      </w:r>
      <w:r w:rsidRPr="00361139">
        <w:rPr>
          <w:szCs w:val="18"/>
        </w:rPr>
        <w:t xml:space="preserve"> Ratio calculated on project grants only, excluding project preparation grants and agency fees</w:t>
      </w:r>
      <w:r w:rsidRPr="00361139">
        <w:rPr>
          <w:rStyle w:val="FootnoteReference"/>
          <w:sz w:val="18"/>
        </w:rPr>
        <w:t>.</w:t>
      </w:r>
    </w:p>
  </w:footnote>
  <w:footnote w:id="31">
    <w:p w14:paraId="7EF807E3" w14:textId="77777777" w:rsidR="00CC73DD" w:rsidRPr="00361139" w:rsidRDefault="00CC73DD" w:rsidP="00361139">
      <w:pPr>
        <w:pStyle w:val="Footnote-Text"/>
        <w:rPr>
          <w:rStyle w:val="FootnoteReference"/>
          <w:sz w:val="18"/>
        </w:rPr>
      </w:pPr>
      <w:r w:rsidRPr="00361139">
        <w:rPr>
          <w:rStyle w:val="FootnoteReference"/>
          <w:sz w:val="18"/>
        </w:rPr>
        <w:footnoteRef/>
      </w:r>
      <w:r w:rsidRPr="00361139">
        <w:rPr>
          <w:szCs w:val="18"/>
        </w:rPr>
        <w:t xml:space="preserve"> </w:t>
      </w:r>
      <w:r w:rsidRPr="00361139">
        <w:rPr>
          <w:rStyle w:val="FootnoteReference"/>
          <w:sz w:val="18"/>
          <w:vertAlign w:val="baseline"/>
        </w:rPr>
        <w:t>According to the "GEF Guidelines on Co-Financing", grants are defined as resources provided without expectation of repayment; loans are resources provided with an expectation of repayment and equity investments are investment into a company or asset with the possibility of financial returns.</w:t>
      </w:r>
    </w:p>
  </w:footnote>
  <w:footnote w:id="32">
    <w:p w14:paraId="0C538FD2"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project: “AFLDC-2 Scaling-up Investment and Technology Transfer to Facilitate Capacity Strengthening and Technical Assistance for the Implementation of Stockholm and Minamata Conventions in African LDCs” (GEF-ID:10218, implemented by AfDB).</w:t>
      </w:r>
    </w:p>
  </w:footnote>
  <w:footnote w:id="33">
    <w:p w14:paraId="7CC1249B"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project: “Improving the national management framework to support the implementation of the Minamata Convention in Cuba focusing on mercury stocks measurements, as well as contaminated sites assessment” (SIP Project ID: 2021/03/LAC/CUB).</w:t>
      </w:r>
    </w:p>
  </w:footnote>
  <w:footnote w:id="34">
    <w:p w14:paraId="18A64CCA"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All funding reported in this section, unless otherwise specified, are inclusive </w:t>
      </w:r>
      <w:proofErr w:type="gramStart"/>
      <w:r w:rsidRPr="00361139">
        <w:rPr>
          <w:szCs w:val="18"/>
        </w:rPr>
        <w:t>of:</w:t>
      </w:r>
      <w:proofErr w:type="gramEnd"/>
      <w:r w:rsidRPr="00361139">
        <w:rPr>
          <w:szCs w:val="18"/>
        </w:rPr>
        <w:t xml:space="preserve"> a) project grants, project preparation grants and respective fees for the GEF funded projects; and b) total project costs and operation costs for SIP funded projects.</w:t>
      </w:r>
    </w:p>
  </w:footnote>
  <w:footnote w:id="35">
    <w:p w14:paraId="3EDCAC3D"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w:t>
      </w:r>
      <w:proofErr w:type="gramStart"/>
      <w:r w:rsidRPr="00361139">
        <w:rPr>
          <w:szCs w:val="18"/>
        </w:rPr>
        <w:t>For the purpose of</w:t>
      </w:r>
      <w:proofErr w:type="gramEnd"/>
      <w:r w:rsidRPr="00361139">
        <w:rPr>
          <w:szCs w:val="18"/>
        </w:rPr>
        <w:t xml:space="preserve"> this survey, the classification of developing countries, least developing countries, small island developing countries and countries with economies in transition has been taken from the </w:t>
      </w:r>
      <w:r w:rsidRPr="00361139">
        <w:rPr>
          <w:i/>
          <w:szCs w:val="18"/>
        </w:rPr>
        <w:t>World Economic Situation and Prospects (WESP) 2022</w:t>
      </w:r>
      <w:r w:rsidRPr="00361139">
        <w:rPr>
          <w:szCs w:val="18"/>
        </w:rPr>
        <w:t xml:space="preserve">, a report produced by </w:t>
      </w:r>
      <w:r w:rsidRPr="00361139">
        <w:rPr>
          <w:i/>
          <w:szCs w:val="18"/>
        </w:rPr>
        <w:t>the United Nations Department of Economic and Social Affairs</w:t>
      </w:r>
      <w:r w:rsidRPr="00361139">
        <w:rPr>
          <w:szCs w:val="18"/>
        </w:rPr>
        <w:t xml:space="preserve"> (UN DESA), in partnership with the United Nations Conference on Trade and Development (UNCTAD) and the five United Nations regional commissions.</w:t>
      </w:r>
    </w:p>
  </w:footnote>
  <w:footnote w:id="36">
    <w:p w14:paraId="32C8653F" w14:textId="0A85ACBE"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decision MC-1/6 on the Specific International Programme to Support Capacity-Building and Technical Assistance, as finalized by the Conference of the Parties at its second meeting (November </w:t>
      </w:r>
      <w:proofErr w:type="gramStart"/>
      <w:r w:rsidRPr="00361139">
        <w:rPr>
          <w:szCs w:val="18"/>
        </w:rPr>
        <w:t>2018)*</w:t>
      </w:r>
      <w:proofErr w:type="gramEnd"/>
      <w:r w:rsidRPr="00361139">
        <w:rPr>
          <w:szCs w:val="18"/>
        </w:rPr>
        <w:t>, the COP decided that the hosting institution referred to in paragraph 9 of article 13 was to be provided by the United</w:t>
      </w:r>
      <w:r w:rsidR="00C11F95" w:rsidRPr="00361139">
        <w:rPr>
          <w:szCs w:val="18"/>
        </w:rPr>
        <w:t> </w:t>
      </w:r>
      <w:r w:rsidRPr="00361139">
        <w:rPr>
          <w:szCs w:val="18"/>
        </w:rPr>
        <w:t>Nations Environment Programme.</w:t>
      </w:r>
    </w:p>
  </w:footnote>
  <w:footnote w:id="37">
    <w:p w14:paraId="4CE0E77F"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Appreciation rates in this review are based on the rates provided by the participants to the survey (on a scale from zero to five) and expressed as percentages. </w:t>
      </w:r>
    </w:p>
  </w:footnote>
  <w:footnote w:id="38">
    <w:p w14:paraId="6B1DC328"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“Information provided by the Global Environment Facility as an input into the second review of the </w:t>
      </w:r>
      <w:r w:rsidRPr="00361139">
        <w:rPr>
          <w:i/>
          <w:szCs w:val="18"/>
        </w:rPr>
        <w:t>financial mechanism</w:t>
      </w:r>
      <w:r w:rsidRPr="00361139">
        <w:rPr>
          <w:szCs w:val="18"/>
        </w:rPr>
        <w:t xml:space="preserve"> of the Minamata Convention on mercury – MC-4/7: second review of the </w:t>
      </w:r>
      <w:r w:rsidRPr="00361139">
        <w:rPr>
          <w:i/>
          <w:szCs w:val="18"/>
        </w:rPr>
        <w:t>financial mechanism</w:t>
      </w:r>
      <w:r w:rsidRPr="00361139">
        <w:rPr>
          <w:szCs w:val="18"/>
        </w:rPr>
        <w:t>” (GEF, November 2022).</w:t>
      </w:r>
    </w:p>
  </w:footnote>
  <w:footnote w:id="39">
    <w:p w14:paraId="6FD4D56E" w14:textId="51CD336A"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most representative of these larger projects are: "Implementing Sustainable Low and Non-Chemical Development in SIDS (ISLANDS)" (GEF id:10185, Global, 28 recipient countries); "Reducing</w:t>
      </w:r>
      <w:r w:rsidR="00334B82" w:rsidRPr="00361139">
        <w:rPr>
          <w:szCs w:val="18"/>
        </w:rPr>
        <w:t xml:space="preserve"> </w:t>
      </w:r>
      <w:r w:rsidRPr="00361139">
        <w:rPr>
          <w:szCs w:val="18"/>
        </w:rPr>
        <w:t xml:space="preserve">Pollution from Harmful Chemicals and Wastes in Mediterranean Hot Spots and Measuring Progress to Impacts" (GEF id: 9684, Regional, 10 recipient countries); "Mediterranean Sea Basin Environment and Climate Regional Support Project" (GEF id: 9686, Regional, 9 recipient countries); and "The Global </w:t>
      </w:r>
      <w:proofErr w:type="spellStart"/>
      <w:r w:rsidRPr="00361139">
        <w:rPr>
          <w:szCs w:val="18"/>
        </w:rPr>
        <w:t>Greenchem</w:t>
      </w:r>
      <w:proofErr w:type="spellEnd"/>
      <w:r w:rsidRPr="00361139">
        <w:rPr>
          <w:szCs w:val="18"/>
        </w:rPr>
        <w:t xml:space="preserve"> Innovation and Network Programme" (GEF id: 10353, Global, 6 recipient countries).</w:t>
      </w:r>
    </w:p>
  </w:footnote>
  <w:footnote w:id="40">
    <w:p w14:paraId="530CDF8F"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Special Programme, also known as the Chemicals and Waste Management Programme, provides support to developing countries and countries with economies in transition to enhance their sustainable institutional capacity to develop, adopt, </w:t>
      </w:r>
      <w:proofErr w:type="gramStart"/>
      <w:r w:rsidRPr="00361139">
        <w:rPr>
          <w:szCs w:val="18"/>
        </w:rPr>
        <w:t>monitor</w:t>
      </w:r>
      <w:proofErr w:type="gramEnd"/>
      <w:r w:rsidRPr="00361139">
        <w:rPr>
          <w:szCs w:val="18"/>
        </w:rPr>
        <w:t xml:space="preserve"> and enforce policy, legislation and regulation for effective frameworks for the implementation of the Minamata Convention, the Basel, Rotterdam and Stockholm Conventions and the Strategic Approach to International Chemicals Management (SAICM). At </w:t>
      </w:r>
      <w:hyperlink r:id="rId6" w:history="1">
        <w:r w:rsidRPr="00361139">
          <w:rPr>
            <w:rStyle w:val="Hyperlink"/>
            <w:sz w:val="18"/>
            <w:szCs w:val="18"/>
          </w:rPr>
          <w:t>https://www.unep.org/explore-topics/chemicals-waste/what-we-do/special-programme</w:t>
        </w:r>
      </w:hyperlink>
      <w:r w:rsidRPr="00361139">
        <w:rPr>
          <w:szCs w:val="18"/>
        </w:rPr>
        <w:t xml:space="preserve"> .</w:t>
      </w:r>
    </w:p>
  </w:footnote>
  <w:footnote w:id="41">
    <w:p w14:paraId="2FE961DE"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UNEP Global Mercury Partnership (GMP) consists of stakeholders from governments, intergovernmental organizations, NGOs, private sector, </w:t>
      </w:r>
      <w:proofErr w:type="gramStart"/>
      <w:r w:rsidRPr="00361139">
        <w:rPr>
          <w:szCs w:val="18"/>
        </w:rPr>
        <w:t>academia</w:t>
      </w:r>
      <w:proofErr w:type="gramEnd"/>
      <w:r w:rsidRPr="00361139">
        <w:rPr>
          <w:szCs w:val="18"/>
        </w:rPr>
        <w:t xml:space="preserve"> and scientific community who are dedicated to reducing mercury pollution and protecting human health and the environment from the impacts of mercury. At </w:t>
      </w:r>
      <w:hyperlink r:id="rId7" w:history="1">
        <w:r w:rsidRPr="00361139">
          <w:rPr>
            <w:rStyle w:val="Hyperlink"/>
            <w:sz w:val="18"/>
            <w:szCs w:val="18"/>
          </w:rPr>
          <w:t>https://www.unep.org/globalmercurypartnership/</w:t>
        </w:r>
      </w:hyperlink>
      <w:r w:rsidRPr="00361139">
        <w:rPr>
          <w:szCs w:val="18"/>
        </w:rPr>
        <w:t>.</w:t>
      </w:r>
    </w:p>
  </w:footnote>
  <w:footnote w:id="42">
    <w:p w14:paraId="275C5139"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document UNEP/MC/COP.3/10, Section C, Para. 13.</w:t>
      </w:r>
    </w:p>
  </w:footnote>
  <w:footnote w:id="43">
    <w:p w14:paraId="1BA4CDCD"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In following the first meeting of the Conference of Parties, the Specific Trust Fund was established by the UNEP Executive Director with an initial expiry date of 31 December 2028 (UNEP/MC/COP.2/9).</w:t>
      </w:r>
    </w:p>
  </w:footnote>
  <w:footnote w:id="44">
    <w:p w14:paraId="1C780000"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Annex II to Decision MC-1/6, Para. 8.</w:t>
      </w:r>
    </w:p>
  </w:footnote>
  <w:footnote w:id="45">
    <w:p w14:paraId="42A4C143" w14:textId="77777777" w:rsidR="00CC73DD" w:rsidRPr="00361139" w:rsidRDefault="00CC73DD" w:rsidP="00361139">
      <w:pPr>
        <w:pStyle w:val="Footnote-Text"/>
        <w:rPr>
          <w:szCs w:val="18"/>
        </w:rPr>
      </w:pPr>
      <w:r w:rsidRPr="00361139">
        <w:rPr>
          <w:rStyle w:val="FootnoteReference"/>
          <w:sz w:val="18"/>
        </w:rPr>
        <w:footnoteRef/>
      </w:r>
      <w:r w:rsidRPr="00361139">
        <w:rPr>
          <w:rStyle w:val="FootnoteReference"/>
          <w:sz w:val="18"/>
          <w:vertAlign w:val="baseline"/>
        </w:rPr>
        <w:t xml:space="preserve"> The GEF Secretariat noted, in its comments to the draft of this review, that these problems have already been addressed, independently of this review, in document “Country Engagement Strategy Implementation Arrangements for GEF-8” (GEF/C.63/05, October 31, 2022).</w:t>
      </w:r>
    </w:p>
  </w:footnote>
  <w:footnote w:id="46">
    <w:p w14:paraId="45970932"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w:t>
      </w:r>
      <w:r w:rsidRPr="00361139">
        <w:rPr>
          <w:rFonts w:eastAsia="Cambria"/>
          <w:color w:val="000000"/>
          <w:szCs w:val="18"/>
        </w:rPr>
        <w:t>The usual implementation period of GEF projects is 5 years and the length of implementation in the period under review was skewed by the Covid-19 pandemic which stopped or significantly slowed project activities (Source: GEF Secretariat).</w:t>
      </w:r>
    </w:p>
  </w:footnote>
  <w:footnote w:id="47">
    <w:p w14:paraId="4E48A58B"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 description of the UNEP's </w:t>
      </w:r>
      <w:r w:rsidRPr="00361139">
        <w:rPr>
          <w:rStyle w:val="HTMLCite"/>
          <w:szCs w:val="18"/>
        </w:rPr>
        <w:t>Toolkit for identification and quantification of mercury releases</w:t>
      </w:r>
      <w:r w:rsidRPr="00361139">
        <w:rPr>
          <w:szCs w:val="18"/>
        </w:rPr>
        <w:t xml:space="preserve"> is available at </w:t>
      </w:r>
      <w:hyperlink r:id="rId8" w:history="1">
        <w:r w:rsidRPr="00361139">
          <w:rPr>
            <w:rStyle w:val="Hyperlink"/>
            <w:sz w:val="18"/>
            <w:szCs w:val="18"/>
          </w:rPr>
          <w:t>https://www.unep.org/explore-topics/chemicals-waste/what-we-do/mercury/mercury-inventory-toolkit</w:t>
        </w:r>
      </w:hyperlink>
      <w:r w:rsidRPr="00361139">
        <w:rPr>
          <w:szCs w:val="18"/>
        </w:rPr>
        <w:t xml:space="preserve"> .</w:t>
      </w:r>
    </w:p>
  </w:footnote>
  <w:footnote w:id="48">
    <w:p w14:paraId="5403B24B" w14:textId="53F286ED"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Results from the </w:t>
      </w:r>
      <w:r w:rsidRPr="00361139">
        <w:rPr>
          <w:rFonts w:eastAsia="Cambria"/>
          <w:color w:val="000000"/>
          <w:szCs w:val="18"/>
        </w:rPr>
        <w:t>inventories</w:t>
      </w:r>
      <w:r w:rsidRPr="00361139">
        <w:rPr>
          <w:szCs w:val="18"/>
          <w:lang w:val="en-GB"/>
        </w:rPr>
        <w:t xml:space="preserve"> are being compiled by the UNEP Global Mercury Partnership and can be found at </w:t>
      </w:r>
      <w:hyperlink r:id="rId9" w:history="1">
        <w:r w:rsidRPr="00361139">
          <w:rPr>
            <w:szCs w:val="18"/>
            <w:lang w:val="en-GB"/>
          </w:rPr>
          <w:t>https://public.tableau.com/app/profile/mark.burton.bri/viz/MIAMercuryInventoryDashboard/Main_Dashboard?publish=yes</w:t>
        </w:r>
      </w:hyperlink>
      <w:r w:rsidR="0077111E" w:rsidRPr="00361139">
        <w:rPr>
          <w:szCs w:val="18"/>
          <w:lang w:val="en-GB"/>
        </w:rPr>
        <w:t xml:space="preserve"> </w:t>
      </w:r>
    </w:p>
  </w:footnote>
  <w:footnote w:id="49">
    <w:p w14:paraId="2CDBB732"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An expansion of the </w:t>
      </w:r>
      <w:proofErr w:type="spellStart"/>
      <w:r w:rsidRPr="00361139">
        <w:rPr>
          <w:szCs w:val="18"/>
        </w:rPr>
        <w:t>PlanetGOLD</w:t>
      </w:r>
      <w:proofErr w:type="spellEnd"/>
      <w:r w:rsidRPr="00361139">
        <w:rPr>
          <w:szCs w:val="18"/>
        </w:rPr>
        <w:t xml:space="preserve"> program, was approved, after the period covered by this review, to reach 23 countries in GEF-7 and the program is being further expanded in GEF-8 (the updated list of projects under the </w:t>
      </w:r>
      <w:proofErr w:type="spellStart"/>
      <w:r w:rsidRPr="00361139">
        <w:rPr>
          <w:szCs w:val="18"/>
        </w:rPr>
        <w:t>PlanetGOLD</w:t>
      </w:r>
      <w:proofErr w:type="spellEnd"/>
      <w:r w:rsidRPr="00361139">
        <w:rPr>
          <w:szCs w:val="18"/>
        </w:rPr>
        <w:t xml:space="preserve"> program is available at </w:t>
      </w:r>
      <w:hyperlink r:id="rId10" w:history="1">
        <w:r w:rsidRPr="00361139">
          <w:rPr>
            <w:rStyle w:val="Hyperlink"/>
            <w:sz w:val="18"/>
            <w:szCs w:val="18"/>
          </w:rPr>
          <w:t>https://www.planetgold.org</w:t>
        </w:r>
      </w:hyperlink>
      <w:r w:rsidRPr="00361139">
        <w:rPr>
          <w:szCs w:val="18"/>
        </w:rPr>
        <w:t>).</w:t>
      </w:r>
    </w:p>
  </w:footnote>
  <w:footnote w:id="50">
    <w:p w14:paraId="040FCBBD" w14:textId="77777777" w:rsidR="00CC73DD" w:rsidRPr="00361139" w:rsidRDefault="00CC73DD" w:rsidP="00361139">
      <w:pPr>
        <w:pStyle w:val="Footnote-Text"/>
        <w:rPr>
          <w:szCs w:val="18"/>
        </w:rPr>
      </w:pPr>
      <w:r w:rsidRPr="00361139">
        <w:rPr>
          <w:rStyle w:val="FootnoteReference"/>
          <w:sz w:val="18"/>
        </w:rPr>
        <w:footnoteRef/>
      </w:r>
      <w:r w:rsidRPr="00361139">
        <w:rPr>
          <w:i/>
          <w:iCs/>
          <w:szCs w:val="18"/>
        </w:rPr>
        <w:t xml:space="preserve"> </w:t>
      </w:r>
      <w:r w:rsidRPr="00361139">
        <w:rPr>
          <w:rStyle w:val="FootnoteReference"/>
          <w:i/>
          <w:iCs/>
          <w:sz w:val="18"/>
          <w:vertAlign w:val="baseline"/>
        </w:rPr>
        <w:t xml:space="preserve">GEF Interventions in the Artisanal and Small-Scale Gold Mining Sector, </w:t>
      </w:r>
      <w:r w:rsidRPr="00361139">
        <w:rPr>
          <w:rStyle w:val="FootnoteReference"/>
          <w:sz w:val="18"/>
          <w:vertAlign w:val="baseline"/>
        </w:rPr>
        <w:t xml:space="preserve">GEF Independent Evaluation Office, </w:t>
      </w:r>
      <w:r w:rsidRPr="00361139">
        <w:rPr>
          <w:szCs w:val="18"/>
        </w:rPr>
        <w:t xml:space="preserve">Evaluation Report No. 146, </w:t>
      </w:r>
      <w:r w:rsidRPr="00361139">
        <w:rPr>
          <w:rStyle w:val="FootnoteReference"/>
          <w:sz w:val="18"/>
          <w:vertAlign w:val="baseline"/>
        </w:rPr>
        <w:t>January 2022</w:t>
      </w:r>
    </w:p>
  </w:footnote>
  <w:footnote w:id="51">
    <w:p w14:paraId="6D07CB94" w14:textId="7ECBF847" w:rsidR="00CC73DD" w:rsidRPr="00361139" w:rsidRDefault="00CC73DD" w:rsidP="00361139">
      <w:pPr>
        <w:pStyle w:val="Footnote-Text"/>
        <w:rPr>
          <w:szCs w:val="18"/>
        </w:rPr>
      </w:pPr>
      <w:r w:rsidRPr="00361139">
        <w:rPr>
          <w:rStyle w:val="FootnoteReference"/>
          <w:sz w:val="18"/>
        </w:rPr>
        <w:footnoteRef/>
      </w:r>
      <w:r w:rsidRPr="00361139">
        <w:rPr>
          <w:szCs w:val="18"/>
        </w:rPr>
        <w:t xml:space="preserve"> GEF organize its work around five focal areas -</w:t>
      </w:r>
      <w:r w:rsidR="00334B82" w:rsidRPr="00361139">
        <w:rPr>
          <w:szCs w:val="18"/>
        </w:rPr>
        <w:t xml:space="preserve"> </w:t>
      </w:r>
      <w:r w:rsidRPr="00361139">
        <w:rPr>
          <w:szCs w:val="18"/>
        </w:rPr>
        <w:t xml:space="preserve">biodiversity loss, chemicals and waste, climate change, international waters, and land degradation – and take an integrated approach to support more sustainable food systems, forest management, and cities (at: </w:t>
      </w:r>
      <w:hyperlink r:id="rId11" w:history="1">
        <w:r w:rsidRPr="00361139">
          <w:rPr>
            <w:rStyle w:val="Hyperlink"/>
            <w:sz w:val="18"/>
            <w:szCs w:val="18"/>
          </w:rPr>
          <w:t>https://www.thegef.org/what-we-do</w:t>
        </w:r>
      </w:hyperlink>
      <w:r w:rsidRPr="00361139">
        <w:rPr>
          <w:szCs w:val="18"/>
        </w:rPr>
        <w:t xml:space="preserve"> ).</w:t>
      </w:r>
    </w:p>
  </w:footnote>
  <w:footnote w:id="52">
    <w:p w14:paraId="5F19D643"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Extracted from: </w:t>
      </w:r>
      <w:r w:rsidRPr="00361139">
        <w:rPr>
          <w:rStyle w:val="FootnoteReference"/>
          <w:i/>
          <w:sz w:val="18"/>
          <w:vertAlign w:val="baseline"/>
        </w:rPr>
        <w:t>Guidelines on the Implementation of the GEF-8 Results Measurement Framework</w:t>
      </w:r>
      <w:r w:rsidRPr="00361139">
        <w:rPr>
          <w:i/>
          <w:szCs w:val="18"/>
        </w:rPr>
        <w:t>, GEF/C.62/Inf.12/Rev.01, June 30, 2022</w:t>
      </w:r>
    </w:p>
  </w:footnote>
  <w:footnote w:id="53">
    <w:p w14:paraId="7D3DBEF3"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Project financing only; exclude agency fees and PPGs; source GEF Secretariat.</w:t>
      </w:r>
    </w:p>
  </w:footnote>
  <w:footnote w:id="54">
    <w:p w14:paraId="44D35EB9"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GEF Secretariat noted, in its comments to the draft of this review, that “while this is the maximum costs based on the current portfolio that costs are likely to be lower due to application of lessons learned and knowledge gained from the ongoing portfolio.</w:t>
      </w:r>
    </w:p>
  </w:footnote>
  <w:footnote w:id="55">
    <w:p w14:paraId="7BE5AF27" w14:textId="77777777" w:rsidR="00CC73DD" w:rsidRPr="00361139" w:rsidRDefault="00CC73DD" w:rsidP="00361139">
      <w:pPr>
        <w:pStyle w:val="Footnote-Text"/>
        <w:rPr>
          <w:rStyle w:val="FootnoteReference"/>
          <w:sz w:val="18"/>
        </w:rPr>
      </w:pPr>
      <w:r w:rsidRPr="00361139">
        <w:rPr>
          <w:rStyle w:val="FootnoteReference"/>
          <w:sz w:val="18"/>
        </w:rPr>
        <w:footnoteRef/>
      </w:r>
      <w:r w:rsidRPr="00361139">
        <w:rPr>
          <w:szCs w:val="18"/>
        </w:rPr>
        <w:t xml:space="preserve"> A </w:t>
      </w:r>
      <w:r w:rsidRPr="00361139">
        <w:rPr>
          <w:i/>
          <w:szCs w:val="18"/>
        </w:rPr>
        <w:t>Compilation of deadlines under the Minamata Convention on Mercury as per the Convention text and applicable annexes to the text</w:t>
      </w:r>
      <w:r w:rsidRPr="00361139">
        <w:rPr>
          <w:szCs w:val="18"/>
        </w:rPr>
        <w:t xml:space="preserve"> is contained in Appendix 1 of the Report of the Executive Director of UNEP on </w:t>
      </w:r>
      <w:r w:rsidRPr="00361139">
        <w:rPr>
          <w:i/>
          <w:szCs w:val="18"/>
        </w:rPr>
        <w:t>Strengthening the Specific International Programme to Support Capacity-Building and Technical Assistance of the Minamata Convention on Mercury: enhancing the effective functioning of the Programme</w:t>
      </w:r>
      <w:r w:rsidRPr="00361139">
        <w:rPr>
          <w:szCs w:val="18"/>
        </w:rPr>
        <w:t xml:space="preserve"> (UNEP/MC/COP.4/13).</w:t>
      </w:r>
    </w:p>
  </w:footnote>
  <w:footnote w:id="56">
    <w:p w14:paraId="357D641A" w14:textId="5B9D8C60" w:rsidR="00CC73DD" w:rsidRPr="00361139" w:rsidRDefault="00CC73DD" w:rsidP="00361139">
      <w:pPr>
        <w:pStyle w:val="Footnote-Text"/>
        <w:rPr>
          <w:szCs w:val="18"/>
        </w:rPr>
      </w:pPr>
      <w:r w:rsidRPr="00361139">
        <w:rPr>
          <w:rStyle w:val="FootnoteReference"/>
          <w:sz w:val="18"/>
        </w:rPr>
        <w:footnoteRef/>
      </w:r>
      <w:r w:rsidR="007E1C2F" w:rsidRPr="00361139">
        <w:rPr>
          <w:szCs w:val="18"/>
        </w:rPr>
        <w:t xml:space="preserve"> </w:t>
      </w:r>
      <w:r w:rsidRPr="00361139">
        <w:rPr>
          <w:szCs w:val="18"/>
        </w:rPr>
        <w:t>12 valid applications were reported to be received in the first SIP round, 20 in the second round and 24 in the third round.</w:t>
      </w:r>
    </w:p>
  </w:footnote>
  <w:footnote w:id="57">
    <w:p w14:paraId="267619E1" w14:textId="77777777" w:rsidR="00CC73DD" w:rsidRPr="00361139" w:rsidRDefault="00CC73DD" w:rsidP="00361139">
      <w:pPr>
        <w:pStyle w:val="Footnote-Text"/>
        <w:rPr>
          <w:szCs w:val="18"/>
          <w:lang w:val="it-IT"/>
        </w:rPr>
      </w:pPr>
      <w:r w:rsidRPr="00361139">
        <w:rPr>
          <w:rStyle w:val="FootnoteReference"/>
          <w:sz w:val="18"/>
        </w:rPr>
        <w:footnoteRef/>
      </w:r>
      <w:r w:rsidRPr="00361139">
        <w:rPr>
          <w:szCs w:val="18"/>
          <w:lang w:val="it-IT"/>
        </w:rPr>
        <w:t xml:space="preserve"> </w:t>
      </w:r>
      <w:r w:rsidRPr="00361139">
        <w:rPr>
          <w:szCs w:val="18"/>
          <w:lang w:val="it-IT"/>
        </w:rPr>
        <w:t>Decision MC-1/6, annex I, Para 12.</w:t>
      </w:r>
    </w:p>
  </w:footnote>
  <w:footnote w:id="58">
    <w:p w14:paraId="1BCB9DD0"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The calculation is based on the hypothetical scenario of proportionally extending, within the next five years, the same amount of funds provided for the 24 projects assigned (approx. 6 million USD), to the 76 eligible Parties having not yet received any funding from SIP.</w:t>
      </w:r>
    </w:p>
  </w:footnote>
  <w:footnote w:id="59">
    <w:p w14:paraId="6D71FC91"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On this issue the GEF Secretariat noted that </w:t>
      </w:r>
      <w:r w:rsidRPr="00361139">
        <w:rPr>
          <w:i/>
          <w:szCs w:val="18"/>
        </w:rPr>
        <w:t>the GEF-8 replenishment policy recommendations mandated cross-cutting efforts to streamline and implement further efficient measures throughout GEF operations</w:t>
      </w:r>
      <w:r w:rsidRPr="00361139">
        <w:rPr>
          <w:szCs w:val="18"/>
        </w:rPr>
        <w:t>.</w:t>
      </w:r>
    </w:p>
  </w:footnote>
  <w:footnote w:id="60">
    <w:p w14:paraId="48F335DF" w14:textId="77777777" w:rsidR="00CC73DD" w:rsidRPr="00361139" w:rsidRDefault="00CC73DD" w:rsidP="00361139">
      <w:pPr>
        <w:pStyle w:val="Footnote-Text"/>
        <w:rPr>
          <w:szCs w:val="18"/>
        </w:rPr>
      </w:pPr>
      <w:r w:rsidRPr="00361139">
        <w:rPr>
          <w:rStyle w:val="FootnoteReference"/>
          <w:sz w:val="18"/>
        </w:rPr>
        <w:footnoteRef/>
      </w:r>
      <w:r w:rsidRPr="00361139">
        <w:rPr>
          <w:szCs w:val="18"/>
        </w:rPr>
        <w:t xml:space="preserve"> </w:t>
      </w:r>
      <w:proofErr w:type="gramStart"/>
      <w:r w:rsidRPr="00361139">
        <w:rPr>
          <w:szCs w:val="18"/>
        </w:rPr>
        <w:t>E.g.</w:t>
      </w:r>
      <w:proofErr w:type="gramEnd"/>
      <w:r w:rsidRPr="00361139">
        <w:rPr>
          <w:szCs w:val="18"/>
        </w:rPr>
        <w:t xml:space="preserve"> “Removal of Barriers to the Introduction of Cleaner Artisanal Gold Mining and Extraction Technologies” (GEF-2, ID 1223, UNDP), later known as the “Global Mercury Project” (GMP); and “Sin </w:t>
      </w:r>
      <w:proofErr w:type="spellStart"/>
      <w:r w:rsidRPr="00361139">
        <w:rPr>
          <w:szCs w:val="18"/>
        </w:rPr>
        <w:t>Mercurio</w:t>
      </w:r>
      <w:proofErr w:type="spellEnd"/>
      <w:r w:rsidRPr="00361139">
        <w:rPr>
          <w:szCs w:val="18"/>
        </w:rPr>
        <w:t xml:space="preserve"> (Without Mercury) project in Peru and Ecuador” (GEF-5, ID 4799, UNIDO).</w:t>
      </w:r>
    </w:p>
  </w:footnote>
  <w:footnote w:id="61">
    <w:p w14:paraId="38DCAF5D" w14:textId="494C4091" w:rsidR="00985A93" w:rsidRPr="00361139" w:rsidRDefault="00985A93" w:rsidP="00361139">
      <w:pPr>
        <w:pStyle w:val="FootnoteText"/>
        <w:tabs>
          <w:tab w:val="left" w:pos="624"/>
        </w:tabs>
        <w:rPr>
          <w:szCs w:val="18"/>
        </w:rPr>
      </w:pPr>
      <w:r w:rsidRPr="00361139">
        <w:rPr>
          <w:rStyle w:val="FootnoteReference"/>
          <w:sz w:val="18"/>
        </w:rPr>
        <w:t>*</w:t>
      </w:r>
      <w:r w:rsidRPr="00361139">
        <w:rPr>
          <w:szCs w:val="18"/>
        </w:rPr>
        <w:t xml:space="preserve"> The </w:t>
      </w:r>
      <w:r w:rsidR="00F644BF" w:rsidRPr="00361139">
        <w:rPr>
          <w:szCs w:val="18"/>
        </w:rPr>
        <w:t xml:space="preserve">present </w:t>
      </w:r>
      <w:r w:rsidRPr="00361139">
        <w:rPr>
          <w:szCs w:val="18"/>
        </w:rPr>
        <w:t>annex has not been formally edited.</w:t>
      </w:r>
    </w:p>
  </w:footnote>
  <w:footnote w:id="62">
    <w:p w14:paraId="4ED3D1FB" w14:textId="06B74889" w:rsidR="00985A93" w:rsidRPr="00361139" w:rsidRDefault="00985A93" w:rsidP="00361139">
      <w:pPr>
        <w:pStyle w:val="FootnoteText"/>
        <w:tabs>
          <w:tab w:val="left" w:pos="624"/>
        </w:tabs>
        <w:rPr>
          <w:szCs w:val="18"/>
        </w:rPr>
      </w:pPr>
      <w:r w:rsidRPr="00361139">
        <w:rPr>
          <w:rStyle w:val="FootnoteReference"/>
          <w:sz w:val="18"/>
        </w:rPr>
        <w:t>*</w:t>
      </w:r>
      <w:r w:rsidRPr="00361139">
        <w:rPr>
          <w:szCs w:val="18"/>
        </w:rPr>
        <w:t xml:space="preserve"> The </w:t>
      </w:r>
      <w:r w:rsidR="00F644BF" w:rsidRPr="00361139">
        <w:rPr>
          <w:szCs w:val="18"/>
        </w:rPr>
        <w:t xml:space="preserve">present </w:t>
      </w:r>
      <w:r w:rsidRPr="00361139">
        <w:rPr>
          <w:szCs w:val="18"/>
        </w:rPr>
        <w:t>annex has not been formally edited.</w:t>
      </w:r>
    </w:p>
  </w:footnote>
  <w:footnote w:id="63">
    <w:p w14:paraId="356674C5"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Project financing; exclude agency fees and PPGs.</w:t>
      </w:r>
    </w:p>
  </w:footnote>
  <w:footnote w:id="64">
    <w:p w14:paraId="369A6B5B"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In GEF-5, projects addressing mercury were not required to have a reduction estimate.</w:t>
      </w:r>
    </w:p>
  </w:footnote>
  <w:footnote w:id="65">
    <w:p w14:paraId="5D1547F7"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GEF, 2022, Summary of Negotiations of the 8th Replenishment of the GEF Trust Fund, Council Document, GEF/C.62/03.</w:t>
      </w:r>
    </w:p>
  </w:footnote>
  <w:footnote w:id="66">
    <w:p w14:paraId="1476BAA1"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Project types are described in Section (d) ‘Simplicity, flexibility and expeditiousness of the procedures for accessing funds and for implementing and reporting on </w:t>
      </w:r>
      <w:proofErr w:type="gramStart"/>
      <w:r w:rsidRPr="00361139">
        <w:rPr>
          <w:szCs w:val="18"/>
          <w:lang w:val="en-GB"/>
        </w:rPr>
        <w:t>projects’</w:t>
      </w:r>
      <w:proofErr w:type="gramEnd"/>
      <w:r w:rsidRPr="00361139">
        <w:rPr>
          <w:szCs w:val="18"/>
          <w:lang w:val="en-GB"/>
        </w:rPr>
        <w:t>.</w:t>
      </w:r>
    </w:p>
  </w:footnote>
  <w:footnote w:id="67">
    <w:p w14:paraId="29E27B8C"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In the annex to Decision MC-1/5.</w:t>
      </w:r>
    </w:p>
  </w:footnote>
  <w:footnote w:id="68">
    <w:p w14:paraId="70AA6127"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GEF, 2014, Initial Guidelines for Enabling Activities for the Minamata Convention on Mercury, Council Document GEF/C.45/Inf.05/Rev.01.</w:t>
      </w:r>
    </w:p>
  </w:footnote>
  <w:footnote w:id="69">
    <w:p w14:paraId="535E1751"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GEF, 2018, Report on the Seventh Replenishment of the GEF Trust Fund, Assembly Document GEF/A.6/05/Rev.01.</w:t>
      </w:r>
    </w:p>
  </w:footnote>
  <w:footnote w:id="70">
    <w:p w14:paraId="5BB16BE5"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r w:rsidRPr="00361139">
        <w:rPr>
          <w:spacing w:val="-2"/>
          <w:szCs w:val="18"/>
          <w:lang w:val="en-GB"/>
        </w:rPr>
        <w:t>Ibid.</w:t>
      </w:r>
    </w:p>
  </w:footnote>
  <w:footnote w:id="71">
    <w:p w14:paraId="4085187E"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GEF, 2020, GEF's Private Sector Engagement Strategy, Council Document GEF/C.59/07/Rev.01.</w:t>
      </w:r>
    </w:p>
  </w:footnote>
  <w:footnote w:id="72">
    <w:p w14:paraId="4D096D9E"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One country opted to combine MIA and NAP under one EA.</w:t>
      </w:r>
    </w:p>
  </w:footnote>
  <w:footnote w:id="73">
    <w:p w14:paraId="7DBF2A0D"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GEF,</w:t>
      </w:r>
      <w:r w:rsidRPr="00361139">
        <w:rPr>
          <w:spacing w:val="-4"/>
          <w:szCs w:val="18"/>
          <w:lang w:val="en-GB"/>
        </w:rPr>
        <w:t xml:space="preserve"> </w:t>
      </w:r>
      <w:r w:rsidRPr="00361139">
        <w:rPr>
          <w:szCs w:val="18"/>
          <w:lang w:val="en-GB"/>
        </w:rPr>
        <w:t>2018,</w:t>
      </w:r>
      <w:r w:rsidRPr="00361139">
        <w:rPr>
          <w:spacing w:val="-2"/>
          <w:szCs w:val="18"/>
          <w:lang w:val="en-GB"/>
        </w:rPr>
        <w:t xml:space="preserve"> </w:t>
      </w:r>
      <w:r w:rsidRPr="00361139">
        <w:rPr>
          <w:i/>
          <w:color w:val="0000FF"/>
          <w:szCs w:val="18"/>
          <w:lang w:val="en-GB"/>
        </w:rPr>
        <w:t>GEF-7</w:t>
      </w:r>
      <w:r w:rsidRPr="00361139">
        <w:rPr>
          <w:i/>
          <w:color w:val="0000FF"/>
          <w:spacing w:val="-6"/>
          <w:szCs w:val="18"/>
          <w:lang w:val="en-GB"/>
        </w:rPr>
        <w:t xml:space="preserve"> </w:t>
      </w:r>
      <w:r w:rsidRPr="00361139">
        <w:rPr>
          <w:i/>
          <w:color w:val="0000FF"/>
          <w:szCs w:val="18"/>
          <w:lang w:val="en-GB"/>
        </w:rPr>
        <w:t>Programming</w:t>
      </w:r>
      <w:r w:rsidRPr="00361139">
        <w:rPr>
          <w:i/>
          <w:color w:val="0000FF"/>
          <w:spacing w:val="-3"/>
          <w:szCs w:val="18"/>
          <w:lang w:val="en-GB"/>
        </w:rPr>
        <w:t xml:space="preserve"> </w:t>
      </w:r>
      <w:r w:rsidRPr="00361139">
        <w:rPr>
          <w:i/>
          <w:color w:val="0000FF"/>
          <w:szCs w:val="18"/>
          <w:lang w:val="en-GB"/>
        </w:rPr>
        <w:t>Directions</w:t>
      </w:r>
      <w:r w:rsidRPr="00361139">
        <w:rPr>
          <w:szCs w:val="18"/>
          <w:lang w:val="en-GB"/>
        </w:rPr>
        <w:t>,</w:t>
      </w:r>
      <w:r w:rsidRPr="00361139">
        <w:rPr>
          <w:spacing w:val="-6"/>
          <w:szCs w:val="18"/>
          <w:lang w:val="en-GB"/>
        </w:rPr>
        <w:t xml:space="preserve"> </w:t>
      </w:r>
      <w:r w:rsidRPr="00361139">
        <w:rPr>
          <w:szCs w:val="18"/>
          <w:lang w:val="en-GB"/>
        </w:rPr>
        <w:t>Council</w:t>
      </w:r>
      <w:r w:rsidRPr="00361139">
        <w:rPr>
          <w:spacing w:val="-5"/>
          <w:szCs w:val="18"/>
          <w:lang w:val="en-GB"/>
        </w:rPr>
        <w:t xml:space="preserve"> </w:t>
      </w:r>
      <w:r w:rsidRPr="00361139">
        <w:rPr>
          <w:szCs w:val="18"/>
          <w:lang w:val="en-GB"/>
        </w:rPr>
        <w:t>Document</w:t>
      </w:r>
      <w:r w:rsidRPr="00361139">
        <w:rPr>
          <w:spacing w:val="-7"/>
          <w:szCs w:val="18"/>
          <w:lang w:val="en-GB"/>
        </w:rPr>
        <w:t xml:space="preserve"> </w:t>
      </w:r>
      <w:r w:rsidRPr="00361139">
        <w:rPr>
          <w:spacing w:val="-2"/>
          <w:szCs w:val="18"/>
          <w:lang w:val="en-GB"/>
        </w:rPr>
        <w:t>GEF/R.7/19.</w:t>
      </w:r>
    </w:p>
  </w:footnote>
  <w:footnote w:id="74">
    <w:p w14:paraId="29BD24E4"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The COVID-19 pandemic slowed the preparation of projects as international travel was halted in several countries.</w:t>
      </w:r>
      <w:r w:rsidRPr="00361139">
        <w:rPr>
          <w:spacing w:val="-2"/>
          <w:szCs w:val="18"/>
          <w:lang w:val="en-GB"/>
        </w:rPr>
        <w:t xml:space="preserve"> </w:t>
      </w:r>
      <w:r w:rsidRPr="00361139">
        <w:rPr>
          <w:szCs w:val="18"/>
          <w:lang w:val="en-GB"/>
        </w:rPr>
        <w:t>The</w:t>
      </w:r>
      <w:r w:rsidRPr="00361139">
        <w:rPr>
          <w:spacing w:val="-4"/>
          <w:szCs w:val="18"/>
          <w:lang w:val="en-GB"/>
        </w:rPr>
        <w:t xml:space="preserve"> </w:t>
      </w:r>
      <w:r w:rsidRPr="00361139">
        <w:rPr>
          <w:szCs w:val="18"/>
          <w:lang w:val="en-GB"/>
        </w:rPr>
        <w:t>GEF</w:t>
      </w:r>
      <w:r w:rsidRPr="00361139">
        <w:rPr>
          <w:spacing w:val="-5"/>
          <w:szCs w:val="18"/>
          <w:lang w:val="en-GB"/>
        </w:rPr>
        <w:t xml:space="preserve"> </w:t>
      </w:r>
      <w:r w:rsidRPr="00361139">
        <w:rPr>
          <w:szCs w:val="18"/>
          <w:lang w:val="en-GB"/>
        </w:rPr>
        <w:t>IEO</w:t>
      </w:r>
      <w:r w:rsidRPr="00361139">
        <w:rPr>
          <w:spacing w:val="-2"/>
          <w:szCs w:val="18"/>
          <w:lang w:val="en-GB"/>
        </w:rPr>
        <w:t xml:space="preserve"> </w:t>
      </w:r>
      <w:r w:rsidRPr="00361139">
        <w:rPr>
          <w:szCs w:val="18"/>
          <w:lang w:val="en-GB"/>
        </w:rPr>
        <w:t>has</w:t>
      </w:r>
      <w:r w:rsidRPr="00361139">
        <w:rPr>
          <w:spacing w:val="-2"/>
          <w:szCs w:val="18"/>
          <w:lang w:val="en-GB"/>
        </w:rPr>
        <w:t xml:space="preserve"> </w:t>
      </w:r>
      <w:r w:rsidRPr="00361139">
        <w:rPr>
          <w:szCs w:val="18"/>
          <w:lang w:val="en-GB"/>
        </w:rPr>
        <w:t>provided</w:t>
      </w:r>
      <w:r w:rsidRPr="00361139">
        <w:rPr>
          <w:spacing w:val="-1"/>
          <w:szCs w:val="18"/>
          <w:lang w:val="en-GB"/>
        </w:rPr>
        <w:t xml:space="preserve"> </w:t>
      </w:r>
      <w:r w:rsidRPr="00361139">
        <w:rPr>
          <w:szCs w:val="18"/>
          <w:lang w:val="en-GB"/>
        </w:rPr>
        <w:t>an</w:t>
      </w:r>
      <w:r w:rsidRPr="00361139">
        <w:rPr>
          <w:spacing w:val="-4"/>
          <w:szCs w:val="18"/>
          <w:lang w:val="en-GB"/>
        </w:rPr>
        <w:t xml:space="preserve"> </w:t>
      </w:r>
      <w:r w:rsidRPr="00361139">
        <w:rPr>
          <w:szCs w:val="18"/>
          <w:lang w:val="en-GB"/>
        </w:rPr>
        <w:t>evaluation</w:t>
      </w:r>
      <w:r w:rsidRPr="00361139">
        <w:rPr>
          <w:spacing w:val="-1"/>
          <w:szCs w:val="18"/>
          <w:lang w:val="en-GB"/>
        </w:rPr>
        <w:t xml:space="preserve"> </w:t>
      </w:r>
      <w:r w:rsidRPr="00361139">
        <w:rPr>
          <w:szCs w:val="18"/>
          <w:lang w:val="en-GB"/>
        </w:rPr>
        <w:t>of</w:t>
      </w:r>
      <w:r w:rsidRPr="00361139">
        <w:rPr>
          <w:spacing w:val="-5"/>
          <w:szCs w:val="18"/>
          <w:lang w:val="en-GB"/>
        </w:rPr>
        <w:t xml:space="preserve"> </w:t>
      </w:r>
      <w:r w:rsidRPr="00361139">
        <w:rPr>
          <w:szCs w:val="18"/>
          <w:lang w:val="en-GB"/>
        </w:rPr>
        <w:t>the</w:t>
      </w:r>
      <w:r w:rsidRPr="00361139">
        <w:rPr>
          <w:spacing w:val="-5"/>
          <w:szCs w:val="18"/>
          <w:lang w:val="en-GB"/>
        </w:rPr>
        <w:t xml:space="preserve"> </w:t>
      </w:r>
      <w:r w:rsidRPr="00361139">
        <w:rPr>
          <w:szCs w:val="18"/>
          <w:lang w:val="en-GB"/>
        </w:rPr>
        <w:t>effects</w:t>
      </w:r>
      <w:r w:rsidRPr="00361139">
        <w:rPr>
          <w:spacing w:val="-2"/>
          <w:szCs w:val="18"/>
          <w:lang w:val="en-GB"/>
        </w:rPr>
        <w:t xml:space="preserve"> </w:t>
      </w:r>
      <w:r w:rsidRPr="00361139">
        <w:rPr>
          <w:szCs w:val="18"/>
          <w:lang w:val="en-GB"/>
        </w:rPr>
        <w:t>of</w:t>
      </w:r>
      <w:r w:rsidRPr="00361139">
        <w:rPr>
          <w:spacing w:val="-5"/>
          <w:szCs w:val="18"/>
          <w:lang w:val="en-GB"/>
        </w:rPr>
        <w:t xml:space="preserve"> </w:t>
      </w:r>
      <w:r w:rsidRPr="00361139">
        <w:rPr>
          <w:szCs w:val="18"/>
          <w:lang w:val="en-GB"/>
        </w:rPr>
        <w:t>the</w:t>
      </w:r>
      <w:r w:rsidRPr="00361139">
        <w:rPr>
          <w:spacing w:val="-4"/>
          <w:szCs w:val="18"/>
          <w:lang w:val="en-GB"/>
        </w:rPr>
        <w:t xml:space="preserve"> </w:t>
      </w:r>
      <w:r w:rsidRPr="00361139">
        <w:rPr>
          <w:szCs w:val="18"/>
          <w:lang w:val="en-GB"/>
        </w:rPr>
        <w:t>COVID-19</w:t>
      </w:r>
      <w:r w:rsidRPr="00361139">
        <w:rPr>
          <w:spacing w:val="-4"/>
          <w:szCs w:val="18"/>
          <w:lang w:val="en-GB"/>
        </w:rPr>
        <w:t xml:space="preserve"> </w:t>
      </w:r>
      <w:r w:rsidRPr="00361139">
        <w:rPr>
          <w:szCs w:val="18"/>
          <w:lang w:val="en-GB"/>
        </w:rPr>
        <w:t>Pandemic</w:t>
      </w:r>
      <w:r w:rsidRPr="00361139">
        <w:rPr>
          <w:spacing w:val="-4"/>
          <w:szCs w:val="18"/>
          <w:lang w:val="en-GB"/>
        </w:rPr>
        <w:t xml:space="preserve"> </w:t>
      </w:r>
      <w:r w:rsidRPr="00361139">
        <w:rPr>
          <w:szCs w:val="18"/>
          <w:lang w:val="en-GB"/>
        </w:rPr>
        <w:t>on</w:t>
      </w:r>
      <w:r w:rsidRPr="00361139">
        <w:rPr>
          <w:spacing w:val="-1"/>
          <w:szCs w:val="18"/>
          <w:lang w:val="en-GB"/>
        </w:rPr>
        <w:t xml:space="preserve"> </w:t>
      </w:r>
      <w:r w:rsidRPr="00361139">
        <w:rPr>
          <w:szCs w:val="18"/>
          <w:lang w:val="en-GB"/>
        </w:rPr>
        <w:t>GEF</w:t>
      </w:r>
      <w:r w:rsidRPr="00361139">
        <w:rPr>
          <w:spacing w:val="-4"/>
          <w:szCs w:val="18"/>
          <w:lang w:val="en-GB"/>
        </w:rPr>
        <w:t xml:space="preserve"> </w:t>
      </w:r>
      <w:r w:rsidRPr="00361139">
        <w:rPr>
          <w:szCs w:val="18"/>
          <w:lang w:val="en-GB"/>
        </w:rPr>
        <w:t>Activities</w:t>
      </w:r>
      <w:r w:rsidRPr="00361139">
        <w:rPr>
          <w:spacing w:val="-2"/>
          <w:szCs w:val="18"/>
          <w:lang w:val="en-GB"/>
        </w:rPr>
        <w:t xml:space="preserve"> </w:t>
      </w:r>
      <w:r w:rsidRPr="00361139">
        <w:rPr>
          <w:szCs w:val="18"/>
          <w:lang w:val="en-GB"/>
        </w:rPr>
        <w:t xml:space="preserve">– </w:t>
      </w:r>
      <w:r w:rsidRPr="00361139">
        <w:rPr>
          <w:color w:val="0000FF"/>
          <w:spacing w:val="-2"/>
          <w:szCs w:val="18"/>
          <w:lang w:val="en-GB"/>
        </w:rPr>
        <w:t>GEF/E/C.63/02</w:t>
      </w:r>
      <w:r w:rsidRPr="00361139">
        <w:rPr>
          <w:spacing w:val="-2"/>
          <w:szCs w:val="18"/>
          <w:lang w:val="en-GB"/>
        </w:rPr>
        <w:t>.</w:t>
      </w:r>
    </w:p>
  </w:footnote>
  <w:footnote w:id="75">
    <w:p w14:paraId="583D1585"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Two Liberia EAs resubmitted after several years by the Agency are excluded to provide more realistic average.</w:t>
      </w:r>
    </w:p>
  </w:footnote>
  <w:footnote w:id="76">
    <w:p w14:paraId="3A6F6F3A"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Excludes Project Preparation Grants (PPGs) and Agency fees.</w:t>
      </w:r>
    </w:p>
  </w:footnote>
  <w:footnote w:id="77">
    <w:p w14:paraId="600ACABA"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According to the 2018 Co-financing Policy, co-financing is calculated based on GEF project financing for programs, FSPs and MSPs. EAs, PPGs and Agency fees are excluded.</w:t>
      </w:r>
    </w:p>
  </w:footnote>
  <w:footnote w:id="78">
    <w:p w14:paraId="1910266D"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One country opted to combine MIA and NAP under one EA.</w:t>
      </w:r>
    </w:p>
  </w:footnote>
  <w:footnote w:id="79">
    <w:p w14:paraId="5ED18B6F" w14:textId="688778DA" w:rsidR="00985A93" w:rsidRPr="00361139" w:rsidRDefault="00985A93" w:rsidP="00361139">
      <w:pPr>
        <w:pStyle w:val="FootnoteText"/>
        <w:tabs>
          <w:tab w:val="left" w:pos="624"/>
        </w:tabs>
        <w:rPr>
          <w:szCs w:val="18"/>
        </w:rPr>
      </w:pPr>
      <w:r w:rsidRPr="00361139">
        <w:rPr>
          <w:rStyle w:val="FootnoteReference"/>
          <w:sz w:val="18"/>
        </w:rPr>
        <w:t>*</w:t>
      </w:r>
      <w:r w:rsidRPr="00361139">
        <w:rPr>
          <w:szCs w:val="18"/>
        </w:rPr>
        <w:t xml:space="preserve"> The </w:t>
      </w:r>
      <w:r w:rsidR="00F644BF" w:rsidRPr="00361139">
        <w:rPr>
          <w:szCs w:val="18"/>
        </w:rPr>
        <w:t xml:space="preserve">present </w:t>
      </w:r>
      <w:r w:rsidRPr="00361139">
        <w:rPr>
          <w:szCs w:val="18"/>
        </w:rPr>
        <w:t>annex has not been formally edited.</w:t>
      </w:r>
    </w:p>
  </w:footnote>
  <w:footnote w:id="80">
    <w:p w14:paraId="4B71AB06" w14:textId="0D866512" w:rsidR="00985A93" w:rsidRPr="00361139" w:rsidRDefault="00985A93" w:rsidP="00361139">
      <w:pPr>
        <w:pStyle w:val="FootnoteText"/>
        <w:tabs>
          <w:tab w:val="left" w:pos="624"/>
        </w:tabs>
        <w:rPr>
          <w:szCs w:val="18"/>
        </w:rPr>
      </w:pPr>
      <w:r w:rsidRPr="00361139">
        <w:rPr>
          <w:rStyle w:val="FootnoteReference"/>
          <w:sz w:val="18"/>
          <w:vertAlign w:val="baseline"/>
        </w:rPr>
        <w:t>*</w:t>
      </w:r>
      <w:r w:rsidRPr="00361139">
        <w:rPr>
          <w:szCs w:val="18"/>
        </w:rPr>
        <w:t xml:space="preserve"> The </w:t>
      </w:r>
      <w:r w:rsidR="00F644BF" w:rsidRPr="00361139">
        <w:rPr>
          <w:szCs w:val="18"/>
        </w:rPr>
        <w:t xml:space="preserve">present </w:t>
      </w:r>
      <w:r w:rsidRPr="00361139">
        <w:rPr>
          <w:szCs w:val="18"/>
        </w:rPr>
        <w:t>annex has not been formally edited.</w:t>
      </w:r>
    </w:p>
  </w:footnote>
  <w:footnote w:id="81">
    <w:p w14:paraId="1B9EE9CF" w14:textId="4E66B152"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Report on activities undertaken within the Global Mercury Partnership of the United Nations Environment Programme to the fourth meeting of the Conference of the Parties to the Minamata Convention (document UNEP/MC/COP.4/INF/16/Rev.1) available at: www.</w:t>
      </w:r>
      <w:r w:rsidR="00551D55">
        <w:rPr>
          <w:szCs w:val="18"/>
          <w:lang w:val="en-GB"/>
        </w:rPr>
        <w:t>minamataconvention</w:t>
      </w:r>
      <w:r w:rsidRPr="00361139">
        <w:rPr>
          <w:szCs w:val="18"/>
          <w:lang w:val="en-GB"/>
        </w:rPr>
        <w:t>.org/en/documents/report- activities-undertaken-within-global-mercury-partnership-united-nations-</w:t>
      </w:r>
      <w:proofErr w:type="gramStart"/>
      <w:r w:rsidRPr="00361139">
        <w:rPr>
          <w:szCs w:val="18"/>
          <w:lang w:val="en-GB"/>
        </w:rPr>
        <w:t>0</w:t>
      </w:r>
      <w:proofErr w:type="gramEnd"/>
    </w:p>
  </w:footnote>
  <w:footnote w:id="82">
    <w:p w14:paraId="3A7C653E" w14:textId="56406984"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hyperlink r:id="rId12" w:history="1">
        <w:r w:rsidR="005C5160" w:rsidRPr="00361139">
          <w:rPr>
            <w:rStyle w:val="Hyperlink"/>
            <w:sz w:val="18"/>
            <w:szCs w:val="18"/>
            <w:lang w:val="en-GB"/>
          </w:rPr>
          <w:t>www.unep.org/globalmercurypartnership/insights-asgm-national-action-plans</w:t>
        </w:r>
      </w:hyperlink>
      <w:r w:rsidR="005C5160" w:rsidRPr="00361139">
        <w:rPr>
          <w:szCs w:val="18"/>
          <w:lang w:val="en-GB"/>
        </w:rPr>
        <w:t xml:space="preserve"> </w:t>
      </w:r>
    </w:p>
  </w:footnote>
  <w:footnote w:id="83">
    <w:p w14:paraId="5144DA75" w14:textId="4C50D5C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hyperlink r:id="rId13" w:history="1">
        <w:r w:rsidR="005C5160" w:rsidRPr="00361139">
          <w:rPr>
            <w:rStyle w:val="Hyperlink"/>
            <w:sz w:val="18"/>
            <w:szCs w:val="18"/>
            <w:lang w:val="en-GB"/>
          </w:rPr>
          <w:t>www.unep.org/explore-topics/chemicals-waste/what-we-do/mercury/mercury-inventory-toolkit</w:t>
        </w:r>
      </w:hyperlink>
      <w:r w:rsidR="005C5160" w:rsidRPr="00361139">
        <w:rPr>
          <w:szCs w:val="18"/>
          <w:lang w:val="en-GB"/>
        </w:rPr>
        <w:t xml:space="preserve"> </w:t>
      </w:r>
    </w:p>
  </w:footnote>
  <w:footnote w:id="84">
    <w:p w14:paraId="597D99A9" w14:textId="0D7C9B8C"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bookmarkStart w:id="494" w:name="_Hlk139983464"/>
      <w:r w:rsidRPr="00361139">
        <w:rPr>
          <w:szCs w:val="18"/>
          <w:lang w:val="en-GB"/>
        </w:rPr>
        <w:t>www.unep.org/globalmercurypartnership/events/webinar/webinar-minamata-initial-assessments-latest- trends-key-findings-and-data-analysis</w:t>
      </w:r>
      <w:r w:rsidR="005C5160" w:rsidRPr="00361139">
        <w:rPr>
          <w:szCs w:val="18"/>
          <w:lang w:val="en-GB"/>
        </w:rPr>
        <w:t xml:space="preserve"> </w:t>
      </w:r>
      <w:bookmarkEnd w:id="494"/>
    </w:p>
  </w:footnote>
  <w:footnote w:id="85">
    <w:p w14:paraId="427CDC75" w14:textId="77777777"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hyperlink r:id="rId14" w:history="1">
        <w:r w:rsidRPr="00361139">
          <w:rPr>
            <w:rStyle w:val="Hyperlink"/>
            <w:sz w:val="18"/>
            <w:szCs w:val="18"/>
            <w:lang w:val="en-GB"/>
          </w:rPr>
          <w:t>https://wedocs.unep.org/bitstream/handle/20.500.11822/22321/NAP_GC_En.pdf?sequence=3&amp;isAllowed=y</w:t>
        </w:r>
      </w:hyperlink>
    </w:p>
  </w:footnote>
  <w:footnote w:id="86">
    <w:p w14:paraId="4B225C34" w14:textId="1F6D03A4" w:rsidR="00CC73DD" w:rsidRPr="006442BA" w:rsidRDefault="00CC73DD" w:rsidP="00361139">
      <w:pPr>
        <w:pStyle w:val="Footnote-Text"/>
        <w:rPr>
          <w:szCs w:val="18"/>
          <w:lang w:val="en-GB"/>
        </w:rPr>
      </w:pPr>
      <w:r w:rsidRPr="00361139">
        <w:rPr>
          <w:rStyle w:val="FootnoteReference"/>
          <w:sz w:val="18"/>
        </w:rPr>
        <w:footnoteRef/>
      </w:r>
      <w:r w:rsidRPr="006442BA">
        <w:rPr>
          <w:szCs w:val="18"/>
          <w:lang w:val="en-GB"/>
        </w:rPr>
        <w:t xml:space="preserve"> </w:t>
      </w:r>
      <w:hyperlink r:id="rId15" w:history="1">
        <w:r w:rsidR="006442BA" w:rsidRPr="006442BA">
          <w:rPr>
            <w:rStyle w:val="Hyperlink"/>
            <w:sz w:val="18"/>
            <w:szCs w:val="18"/>
            <w:lang w:val="en-GB"/>
          </w:rPr>
          <w:t>www.mercuryconvention.org/en/documents/article-7-artisanal-and-small-scale-gold-mining-update-%20guidance-document-preparation</w:t>
        </w:r>
      </w:hyperlink>
    </w:p>
  </w:footnote>
  <w:footnote w:id="87">
    <w:p w14:paraId="00381FB8" w14:textId="689B2698" w:rsidR="00CC73DD" w:rsidRPr="00361139" w:rsidRDefault="00CC73DD" w:rsidP="00361139">
      <w:pPr>
        <w:pStyle w:val="Footnote-Text"/>
        <w:rPr>
          <w:szCs w:val="18"/>
          <w:lang w:val="en-GB"/>
        </w:rPr>
      </w:pPr>
      <w:r w:rsidRPr="00361139">
        <w:rPr>
          <w:rStyle w:val="FootnoteReference"/>
          <w:sz w:val="18"/>
        </w:rPr>
        <w:footnoteRef/>
      </w:r>
      <w:r w:rsidRPr="00361139">
        <w:rPr>
          <w:szCs w:val="18"/>
          <w:lang w:val="en-GB"/>
        </w:rPr>
        <w:t xml:space="preserve"> </w:t>
      </w:r>
      <w:hyperlink r:id="rId16" w:history="1">
        <w:r w:rsidR="006442BA" w:rsidRPr="006442BA">
          <w:rPr>
            <w:rStyle w:val="Hyperlink"/>
            <w:sz w:val="18"/>
            <w:szCs w:val="18"/>
            <w:lang w:val="en-GB"/>
          </w:rPr>
          <w:t>www.mercuryconvention.org/en/documents/guidance-document-management-artisanal-and-small-scale-%20gold-mining-tailings%20</w:t>
        </w:r>
      </w:hyperlink>
    </w:p>
  </w:footnote>
  <w:footnote w:id="88">
    <w:p w14:paraId="04258DBF" w14:textId="6D80394A" w:rsidR="00CC73DD" w:rsidRPr="00551D55" w:rsidRDefault="00CC73DD" w:rsidP="00361139">
      <w:pPr>
        <w:pStyle w:val="Footnote-Text"/>
        <w:rPr>
          <w:rStyle w:val="Hyperlink"/>
          <w:sz w:val="18"/>
          <w:szCs w:val="18"/>
          <w:lang w:val="en-GB"/>
        </w:rPr>
      </w:pPr>
      <w:r w:rsidRPr="00361139">
        <w:rPr>
          <w:rStyle w:val="FootnoteReference"/>
          <w:sz w:val="18"/>
        </w:rPr>
        <w:footnoteRef/>
      </w:r>
      <w:r w:rsidRPr="00361139">
        <w:rPr>
          <w:szCs w:val="18"/>
          <w:lang w:val="en-GB"/>
        </w:rPr>
        <w:t xml:space="preserve"> </w:t>
      </w:r>
      <w:r w:rsidR="00551D55">
        <w:rPr>
          <w:szCs w:val="18"/>
          <w:lang w:val="en-GB"/>
        </w:rPr>
        <w:fldChar w:fldCharType="begin"/>
      </w:r>
      <w:r w:rsidR="00551D55">
        <w:rPr>
          <w:szCs w:val="18"/>
          <w:lang w:val="en-GB"/>
        </w:rPr>
        <w:instrText xml:space="preserve"> HYPERLINK "https://www.unep.org/globalmercurypartnership/our-work/mercury-products/eliminating-mercury-skin-lightening-products" </w:instrText>
      </w:r>
      <w:r w:rsidR="00551D55">
        <w:rPr>
          <w:szCs w:val="18"/>
          <w:lang w:val="en-GB"/>
        </w:rPr>
      </w:r>
      <w:r w:rsidR="00551D55">
        <w:rPr>
          <w:szCs w:val="18"/>
          <w:lang w:val="en-GB"/>
        </w:rPr>
        <w:fldChar w:fldCharType="separate"/>
      </w:r>
      <w:r w:rsidRPr="00551D55">
        <w:rPr>
          <w:rStyle w:val="Hyperlink"/>
          <w:sz w:val="18"/>
          <w:szCs w:val="18"/>
          <w:lang w:val="en-GB"/>
        </w:rPr>
        <w:t>www.unep.org/globalmercurypartnership/our-work/mercury-products/eliminating-mercury-skin-</w:t>
      </w:r>
    </w:p>
    <w:p w14:paraId="2FBB78D5" w14:textId="7E1C432B" w:rsidR="00CC73DD" w:rsidRPr="00361139" w:rsidRDefault="00CC73DD" w:rsidP="00361139">
      <w:pPr>
        <w:pStyle w:val="Footnote-Text"/>
        <w:rPr>
          <w:szCs w:val="18"/>
          <w:lang w:val="fr-CH"/>
        </w:rPr>
      </w:pPr>
      <w:r w:rsidRPr="00551D55">
        <w:rPr>
          <w:rStyle w:val="Hyperlink"/>
          <w:sz w:val="18"/>
          <w:szCs w:val="18"/>
        </w:rPr>
        <w:t>lightening-products</w:t>
      </w:r>
      <w:r w:rsidR="00551D55">
        <w:rPr>
          <w:szCs w:val="18"/>
          <w:lang w:val="en-GB"/>
        </w:rPr>
        <w:fldChar w:fldCharType="end"/>
      </w:r>
      <w:r w:rsidR="00742710" w:rsidRPr="00361139">
        <w:rPr>
          <w:szCs w:val="18"/>
        </w:rPr>
        <w:t xml:space="preserve"> </w:t>
      </w:r>
      <w:r w:rsidR="00843984" w:rsidRPr="00361139">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66882" w14:textId="559A306E" w:rsidR="00446EAC" w:rsidRPr="00446EAC" w:rsidRDefault="00446EAC" w:rsidP="00446EAC">
    <w:pPr>
      <w:pStyle w:val="Header-pool"/>
    </w:pPr>
    <w:r>
      <w:fldChar w:fldCharType="begin"/>
    </w:r>
    <w:r>
      <w:instrText xml:space="preserve"> StyleRef A_Symbol </w:instrText>
    </w:r>
    <w:r>
      <w:fldChar w:fldCharType="separate"/>
    </w:r>
    <w:r w:rsidR="00551D55">
      <w:rPr>
        <w:noProof/>
      </w:rPr>
      <w:t>UNEP/MC/COP.5/INF/17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B228" w14:textId="64644624" w:rsidR="00446EAC" w:rsidRPr="00446EAC" w:rsidRDefault="00446EAC" w:rsidP="00446EAC">
    <w:pPr>
      <w:pStyle w:val="Header-pool"/>
      <w:jc w:val="right"/>
    </w:pPr>
    <w:r>
      <w:fldChar w:fldCharType="begin"/>
    </w:r>
    <w:r>
      <w:instrText xml:space="preserve"> StyleRef A_Symbol </w:instrText>
    </w:r>
    <w:r>
      <w:fldChar w:fldCharType="separate"/>
    </w:r>
    <w:r w:rsidR="00551D55">
      <w:rPr>
        <w:noProof/>
      </w:rPr>
      <w:t>UNEP/MC/COP.5/INF/17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A13B" w14:textId="77777777" w:rsidR="00CC73DD" w:rsidRPr="001706ED" w:rsidRDefault="00CC73DD" w:rsidP="008144F7">
    <w:pPr>
      <w:pStyle w:val="Header"/>
      <w:jc w:val="right"/>
      <w:rPr>
        <w:lang w:val="fr-CH"/>
      </w:rPr>
    </w:pPr>
    <w:r>
      <w:rPr>
        <w:lang w:val="fr-CH"/>
      </w:rPr>
      <w:t>UNEP/MC/COP.5/INF/17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E65D" w14:textId="77777777" w:rsidR="00CC73DD" w:rsidRPr="001706ED" w:rsidRDefault="00CC73DD" w:rsidP="008144F7">
    <w:pPr>
      <w:pStyle w:val="Header"/>
      <w:rPr>
        <w:lang w:val="fr-CH"/>
      </w:rPr>
    </w:pPr>
    <w:r>
      <w:rPr>
        <w:lang w:val="fr-CH"/>
      </w:rPr>
      <w:t>UNEP/MC/COP.5/INF/17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1" w15:restartNumberingAfterBreak="0">
    <w:nsid w:val="01DF0875"/>
    <w:multiLevelType w:val="hybridMultilevel"/>
    <w:tmpl w:val="53D0EBF0"/>
    <w:lvl w:ilvl="0" w:tplc="D04ECAEC">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3C18CA"/>
    <w:multiLevelType w:val="hybridMultilevel"/>
    <w:tmpl w:val="B39E5948"/>
    <w:lvl w:ilvl="0" w:tplc="73C49114">
      <w:start w:val="1"/>
      <w:numFmt w:val="decimal"/>
      <w:lvlText w:val="Q%1."/>
      <w:lvlJc w:val="left"/>
      <w:pPr>
        <w:ind w:left="720" w:hanging="360"/>
      </w:pPr>
      <w:rPr>
        <w:rFonts w:hint="default"/>
        <w:b/>
      </w:rPr>
    </w:lvl>
    <w:lvl w:ilvl="1" w:tplc="04090019">
      <w:start w:val="1"/>
      <w:numFmt w:val="lowerLetter"/>
      <w:lvlText w:val="%2."/>
      <w:lvlJc w:val="left"/>
      <w:pPr>
        <w:ind w:left="1440" w:hanging="360"/>
      </w:pPr>
    </w:lvl>
    <w:lvl w:ilvl="2" w:tplc="DB3C07A0">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A0E8B"/>
    <w:multiLevelType w:val="hybridMultilevel"/>
    <w:tmpl w:val="3B489896"/>
    <w:lvl w:ilvl="0" w:tplc="D04ECAEC">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ED2A89"/>
    <w:multiLevelType w:val="hybridMultilevel"/>
    <w:tmpl w:val="333251CC"/>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1565DC"/>
    <w:multiLevelType w:val="hybridMultilevel"/>
    <w:tmpl w:val="FD8433CA"/>
    <w:lvl w:ilvl="0" w:tplc="D04ECAEC">
      <w:numFmt w:val="bullet"/>
      <w:lvlText w:val="•"/>
      <w:lvlJc w:val="left"/>
      <w:pPr>
        <w:ind w:left="1967"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6" w15:restartNumberingAfterBreak="0">
    <w:nsid w:val="1211375C"/>
    <w:multiLevelType w:val="hybridMultilevel"/>
    <w:tmpl w:val="708A0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C41A36"/>
    <w:multiLevelType w:val="hybridMultilevel"/>
    <w:tmpl w:val="F8627094"/>
    <w:lvl w:ilvl="0" w:tplc="91D2BDDC">
      <w:start w:val="1"/>
      <w:numFmt w:val="decimal"/>
      <w:pStyle w:val="EONumberedparagraph"/>
      <w:lvlText w:val="A1.%1."/>
      <w:lvlJc w:val="left"/>
      <w:pPr>
        <w:ind w:left="810" w:hanging="360"/>
      </w:pPr>
      <w:rPr>
        <w:rFonts w:hint="default"/>
      </w:rPr>
    </w:lvl>
    <w:lvl w:ilvl="1" w:tplc="04090019">
      <w:start w:val="1"/>
      <w:numFmt w:val="bullet"/>
      <w:lvlText w:val=""/>
      <w:lvlJc w:val="left"/>
      <w:pPr>
        <w:ind w:left="-5725" w:hanging="360"/>
      </w:pPr>
      <w:rPr>
        <w:rFonts w:ascii="Symbol" w:hAnsi="Symbol" w:hint="default"/>
      </w:rPr>
    </w:lvl>
    <w:lvl w:ilvl="2" w:tplc="0409001B">
      <w:start w:val="1"/>
      <w:numFmt w:val="lowerRoman"/>
      <w:lvlText w:val="%3."/>
      <w:lvlJc w:val="right"/>
      <w:pPr>
        <w:ind w:left="-5005" w:hanging="180"/>
      </w:pPr>
    </w:lvl>
    <w:lvl w:ilvl="3" w:tplc="0409000F">
      <w:start w:val="1"/>
      <w:numFmt w:val="decimal"/>
      <w:lvlText w:val="%4."/>
      <w:lvlJc w:val="left"/>
      <w:pPr>
        <w:ind w:left="-4285" w:hanging="360"/>
      </w:pPr>
    </w:lvl>
    <w:lvl w:ilvl="4" w:tplc="04090019">
      <w:start w:val="1"/>
      <w:numFmt w:val="lowerLetter"/>
      <w:lvlText w:val="%5."/>
      <w:lvlJc w:val="left"/>
      <w:pPr>
        <w:ind w:left="-3565" w:hanging="360"/>
      </w:pPr>
    </w:lvl>
    <w:lvl w:ilvl="5" w:tplc="0409001B">
      <w:start w:val="1"/>
      <w:numFmt w:val="lowerRoman"/>
      <w:lvlText w:val="%6."/>
      <w:lvlJc w:val="right"/>
      <w:pPr>
        <w:ind w:left="-2845" w:hanging="180"/>
      </w:pPr>
    </w:lvl>
    <w:lvl w:ilvl="6" w:tplc="0409000F">
      <w:start w:val="1"/>
      <w:numFmt w:val="decimal"/>
      <w:lvlText w:val="%7."/>
      <w:lvlJc w:val="left"/>
      <w:pPr>
        <w:ind w:left="-2125" w:hanging="360"/>
      </w:pPr>
    </w:lvl>
    <w:lvl w:ilvl="7" w:tplc="04090019">
      <w:start w:val="1"/>
      <w:numFmt w:val="lowerLetter"/>
      <w:lvlText w:val="%8."/>
      <w:lvlJc w:val="left"/>
      <w:pPr>
        <w:ind w:left="-1405" w:hanging="360"/>
      </w:pPr>
    </w:lvl>
    <w:lvl w:ilvl="8" w:tplc="0409001B">
      <w:start w:val="1"/>
      <w:numFmt w:val="lowerRoman"/>
      <w:lvlText w:val="%9."/>
      <w:lvlJc w:val="right"/>
      <w:pPr>
        <w:ind w:left="-685" w:hanging="180"/>
      </w:pPr>
    </w:lvl>
  </w:abstractNum>
  <w:abstractNum w:abstractNumId="8" w15:restartNumberingAfterBreak="0">
    <w:nsid w:val="1B7B6ABB"/>
    <w:multiLevelType w:val="hybridMultilevel"/>
    <w:tmpl w:val="1B501DBC"/>
    <w:lvl w:ilvl="0" w:tplc="0C9AF146">
      <w:start w:val="1"/>
      <w:numFmt w:val="decimal"/>
      <w:lvlText w:val="%1."/>
      <w:lvlJc w:val="left"/>
      <w:pPr>
        <w:ind w:left="1997" w:hanging="720"/>
      </w:pPr>
      <w:rPr>
        <w:rFonts w:asciiTheme="majorBidi" w:eastAsia="Calibri" w:hAnsiTheme="majorBidi" w:cstheme="majorBidi" w:hint="default"/>
        <w:b w:val="0"/>
        <w:bCs w:val="0"/>
        <w:i w:val="0"/>
        <w:iCs w:val="0"/>
        <w:w w:val="99"/>
        <w:sz w:val="20"/>
        <w:szCs w:val="20"/>
        <w:lang w:val="en-US" w:eastAsia="en-US" w:bidi="ar-SA"/>
      </w:rPr>
    </w:lvl>
    <w:lvl w:ilvl="1" w:tplc="43767D70">
      <w:start w:val="1"/>
      <w:numFmt w:val="lowerLetter"/>
      <w:lvlText w:val="%2)"/>
      <w:lvlJc w:val="left"/>
      <w:pPr>
        <w:ind w:left="2044" w:hanging="360"/>
      </w:pPr>
      <w:rPr>
        <w:rFonts w:hAnsi="Arial Unicode MS" w:cs="Times New Roman"/>
        <w:caps w:val="0"/>
        <w:smallCaps w:val="0"/>
        <w:strike w:val="0"/>
        <w:dstrike w:val="0"/>
        <w:color w:val="000000"/>
        <w:spacing w:val="0"/>
        <w:w w:val="100"/>
        <w:kern w:val="0"/>
        <w:position w:val="0"/>
        <w:vertAlign w:val="baseline"/>
      </w:rPr>
    </w:lvl>
    <w:lvl w:ilvl="2" w:tplc="93A83F0C">
      <w:numFmt w:val="bullet"/>
      <w:lvlText w:val="•"/>
      <w:lvlJc w:val="left"/>
      <w:pPr>
        <w:ind w:left="3909" w:hanging="313"/>
      </w:pPr>
      <w:rPr>
        <w:rFonts w:hint="default"/>
        <w:lang w:val="en-US" w:eastAsia="en-US" w:bidi="ar-SA"/>
      </w:rPr>
    </w:lvl>
    <w:lvl w:ilvl="3" w:tplc="2BCEC7EA">
      <w:numFmt w:val="bullet"/>
      <w:lvlText w:val="•"/>
      <w:lvlJc w:val="left"/>
      <w:pPr>
        <w:ind w:left="4865" w:hanging="313"/>
      </w:pPr>
      <w:rPr>
        <w:rFonts w:hint="default"/>
        <w:lang w:val="en-US" w:eastAsia="en-US" w:bidi="ar-SA"/>
      </w:rPr>
    </w:lvl>
    <w:lvl w:ilvl="4" w:tplc="12BAE0D6">
      <w:numFmt w:val="bullet"/>
      <w:lvlText w:val="•"/>
      <w:lvlJc w:val="left"/>
      <w:pPr>
        <w:ind w:left="5821" w:hanging="313"/>
      </w:pPr>
      <w:rPr>
        <w:rFonts w:hint="default"/>
        <w:lang w:val="en-US" w:eastAsia="en-US" w:bidi="ar-SA"/>
      </w:rPr>
    </w:lvl>
    <w:lvl w:ilvl="5" w:tplc="04C082B8">
      <w:numFmt w:val="bullet"/>
      <w:lvlText w:val="•"/>
      <w:lvlJc w:val="left"/>
      <w:pPr>
        <w:ind w:left="6777" w:hanging="313"/>
      </w:pPr>
      <w:rPr>
        <w:rFonts w:hint="default"/>
        <w:lang w:val="en-US" w:eastAsia="en-US" w:bidi="ar-SA"/>
      </w:rPr>
    </w:lvl>
    <w:lvl w:ilvl="6" w:tplc="2B62A544">
      <w:numFmt w:val="bullet"/>
      <w:lvlText w:val="•"/>
      <w:lvlJc w:val="left"/>
      <w:pPr>
        <w:ind w:left="7733" w:hanging="313"/>
      </w:pPr>
      <w:rPr>
        <w:rFonts w:hint="default"/>
        <w:lang w:val="en-US" w:eastAsia="en-US" w:bidi="ar-SA"/>
      </w:rPr>
    </w:lvl>
    <w:lvl w:ilvl="7" w:tplc="9880161E">
      <w:numFmt w:val="bullet"/>
      <w:lvlText w:val="•"/>
      <w:lvlJc w:val="left"/>
      <w:pPr>
        <w:ind w:left="8689" w:hanging="313"/>
      </w:pPr>
      <w:rPr>
        <w:rFonts w:hint="default"/>
        <w:lang w:val="en-US" w:eastAsia="en-US" w:bidi="ar-SA"/>
      </w:rPr>
    </w:lvl>
    <w:lvl w:ilvl="8" w:tplc="D29C257A">
      <w:numFmt w:val="bullet"/>
      <w:lvlText w:val="•"/>
      <w:lvlJc w:val="left"/>
      <w:pPr>
        <w:ind w:left="9645" w:hanging="313"/>
      </w:pPr>
      <w:rPr>
        <w:rFonts w:hint="default"/>
        <w:lang w:val="en-US" w:eastAsia="en-US" w:bidi="ar-SA"/>
      </w:rPr>
    </w:lvl>
  </w:abstractNum>
  <w:abstractNum w:abstractNumId="9" w15:restartNumberingAfterBreak="0">
    <w:nsid w:val="242E42B0"/>
    <w:multiLevelType w:val="hybridMultilevel"/>
    <w:tmpl w:val="43767D70"/>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47E2824"/>
    <w:multiLevelType w:val="hybridMultilevel"/>
    <w:tmpl w:val="33FCC152"/>
    <w:lvl w:ilvl="0" w:tplc="D04ECAEC">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3B40B9"/>
    <w:multiLevelType w:val="hybridMultilevel"/>
    <w:tmpl w:val="708A0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0354F8"/>
    <w:multiLevelType w:val="hybridMultilevel"/>
    <w:tmpl w:val="FA482198"/>
    <w:lvl w:ilvl="0" w:tplc="D04ECAEC">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3046E11"/>
    <w:multiLevelType w:val="hybridMultilevel"/>
    <w:tmpl w:val="075EDA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4A10D8"/>
    <w:multiLevelType w:val="hybridMultilevel"/>
    <w:tmpl w:val="164CD88A"/>
    <w:lvl w:ilvl="0" w:tplc="523A15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AE183B"/>
    <w:multiLevelType w:val="hybridMultilevel"/>
    <w:tmpl w:val="86F4BB82"/>
    <w:lvl w:ilvl="0" w:tplc="D04ECAEC">
      <w:numFmt w:val="bullet"/>
      <w:lvlText w:val="•"/>
      <w:lvlJc w:val="left"/>
      <w:pPr>
        <w:ind w:left="1967"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6" w15:restartNumberingAfterBreak="0">
    <w:nsid w:val="4E8E649D"/>
    <w:multiLevelType w:val="hybridMultilevel"/>
    <w:tmpl w:val="39C20FC8"/>
    <w:lvl w:ilvl="0" w:tplc="08090003">
      <w:start w:val="1"/>
      <w:numFmt w:val="bullet"/>
      <w:lvlText w:val="o"/>
      <w:lvlJc w:val="left"/>
      <w:pPr>
        <w:ind w:left="1967" w:hanging="360"/>
      </w:pPr>
      <w:rPr>
        <w:rFonts w:ascii="Courier New" w:hAnsi="Courier New" w:cs="Courier New"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7" w15:restartNumberingAfterBreak="0">
    <w:nsid w:val="52A66A9D"/>
    <w:multiLevelType w:val="multilevel"/>
    <w:tmpl w:val="14987126"/>
    <w:styleLink w:val="Normallist"/>
    <w:lvl w:ilvl="0">
      <w:start w:val="1"/>
      <w:numFmt w:val="decimal"/>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8" w15:restartNumberingAfterBreak="0">
    <w:nsid w:val="564F6E41"/>
    <w:multiLevelType w:val="hybridMultilevel"/>
    <w:tmpl w:val="0082C306"/>
    <w:lvl w:ilvl="0" w:tplc="ACC6B0B8">
      <w:start w:val="1"/>
      <w:numFmt w:val="lowerLetter"/>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19" w15:restartNumberingAfterBreak="0">
    <w:nsid w:val="599D1704"/>
    <w:multiLevelType w:val="hybridMultilevel"/>
    <w:tmpl w:val="5950A61E"/>
    <w:lvl w:ilvl="0" w:tplc="D04ECAEC">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571045862">
    <w:abstractNumId w:val="17"/>
    <w:lvlOverride w:ilvl="0">
      <w:lvl w:ilvl="0">
        <w:start w:val="1"/>
        <w:numFmt w:val="decimal"/>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b w:val="0"/>
          <w:bCs w:val="0"/>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 w16cid:durableId="7027797">
    <w:abstractNumId w:val="17"/>
  </w:num>
  <w:num w:numId="3" w16cid:durableId="236326559">
    <w:abstractNumId w:val="20"/>
  </w:num>
  <w:num w:numId="4" w16cid:durableId="413623761">
    <w:abstractNumId w:val="0"/>
  </w:num>
  <w:num w:numId="5" w16cid:durableId="969897518">
    <w:abstractNumId w:val="9"/>
  </w:num>
  <w:num w:numId="6" w16cid:durableId="1691445405">
    <w:abstractNumId w:val="2"/>
  </w:num>
  <w:num w:numId="7" w16cid:durableId="1120689375">
    <w:abstractNumId w:val="7"/>
  </w:num>
  <w:num w:numId="8" w16cid:durableId="426073130">
    <w:abstractNumId w:val="8"/>
  </w:num>
  <w:num w:numId="9" w16cid:durableId="155654254">
    <w:abstractNumId w:val="17"/>
    <w:lvlOverride w:ilvl="0">
      <w:lvl w:ilvl="0">
        <w:start w:val="1"/>
        <w:numFmt w:val="decimal"/>
        <w:lvlText w:val="%1."/>
        <w:lvlJc w:val="left"/>
        <w:pPr>
          <w:tabs>
            <w:tab w:val="num" w:pos="624"/>
          </w:tabs>
          <w:ind w:left="1248" w:firstLine="0"/>
        </w:pPr>
        <w:rPr>
          <w:rFonts w:hint="default"/>
          <w:i w:val="0"/>
          <w:iCs/>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10" w16cid:durableId="1052773345">
    <w:abstractNumId w:val="1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1" w16cid:durableId="238833550">
    <w:abstractNumId w:val="1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2" w16cid:durableId="857622636">
    <w:abstractNumId w:val="1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3" w16cid:durableId="2076003382">
    <w:abstractNumId w:val="1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4" w16cid:durableId="1066883124">
    <w:abstractNumId w:val="11"/>
  </w:num>
  <w:num w:numId="15" w16cid:durableId="1739395997">
    <w:abstractNumId w:val="6"/>
  </w:num>
  <w:num w:numId="16" w16cid:durableId="571280884">
    <w:abstractNumId w:val="12"/>
  </w:num>
  <w:num w:numId="17" w16cid:durableId="1327175431">
    <w:abstractNumId w:val="18"/>
  </w:num>
  <w:num w:numId="18" w16cid:durableId="1826043846">
    <w:abstractNumId w:val="5"/>
  </w:num>
  <w:num w:numId="19" w16cid:durableId="1456408546">
    <w:abstractNumId w:val="15"/>
  </w:num>
  <w:num w:numId="20" w16cid:durableId="1622490217">
    <w:abstractNumId w:val="16"/>
  </w:num>
  <w:num w:numId="21" w16cid:durableId="1474298861">
    <w:abstractNumId w:val="14"/>
  </w:num>
  <w:num w:numId="22" w16cid:durableId="1244878295">
    <w:abstractNumId w:val="13"/>
  </w:num>
  <w:num w:numId="23" w16cid:durableId="1974752014">
    <w:abstractNumId w:val="4"/>
  </w:num>
  <w:num w:numId="24" w16cid:durableId="976035101">
    <w:abstractNumId w:val="10"/>
  </w:num>
  <w:num w:numId="25" w16cid:durableId="424421137">
    <w:abstractNumId w:val="19"/>
  </w:num>
  <w:num w:numId="26" w16cid:durableId="750539127">
    <w:abstractNumId w:val="3"/>
  </w:num>
  <w:num w:numId="27" w16cid:durableId="491138913">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CH"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1E"/>
    <w:rsid w:val="000149E6"/>
    <w:rsid w:val="00017CC3"/>
    <w:rsid w:val="000208C8"/>
    <w:rsid w:val="000247B0"/>
    <w:rsid w:val="00026997"/>
    <w:rsid w:val="00033450"/>
    <w:rsid w:val="00033E0B"/>
    <w:rsid w:val="000349C3"/>
    <w:rsid w:val="00034B0C"/>
    <w:rsid w:val="00035EDE"/>
    <w:rsid w:val="00036BD5"/>
    <w:rsid w:val="000400E8"/>
    <w:rsid w:val="000509B4"/>
    <w:rsid w:val="00056B2C"/>
    <w:rsid w:val="0006035B"/>
    <w:rsid w:val="00064FF8"/>
    <w:rsid w:val="0007166E"/>
    <w:rsid w:val="00071886"/>
    <w:rsid w:val="000742BC"/>
    <w:rsid w:val="0008041D"/>
    <w:rsid w:val="0008181F"/>
    <w:rsid w:val="00082A0C"/>
    <w:rsid w:val="00082DCD"/>
    <w:rsid w:val="00083504"/>
    <w:rsid w:val="00086F6B"/>
    <w:rsid w:val="0008710B"/>
    <w:rsid w:val="000873DF"/>
    <w:rsid w:val="0009629E"/>
    <w:rsid w:val="0009640C"/>
    <w:rsid w:val="000A07A7"/>
    <w:rsid w:val="000A1138"/>
    <w:rsid w:val="000A1C76"/>
    <w:rsid w:val="000A4264"/>
    <w:rsid w:val="000B217D"/>
    <w:rsid w:val="000B21D5"/>
    <w:rsid w:val="000B22A2"/>
    <w:rsid w:val="000C12D0"/>
    <w:rsid w:val="000C15F8"/>
    <w:rsid w:val="000C2A52"/>
    <w:rsid w:val="000C2CB3"/>
    <w:rsid w:val="000C46A9"/>
    <w:rsid w:val="000C76AC"/>
    <w:rsid w:val="000D33C0"/>
    <w:rsid w:val="000D3F26"/>
    <w:rsid w:val="000D4E42"/>
    <w:rsid w:val="000D5884"/>
    <w:rsid w:val="000D6941"/>
    <w:rsid w:val="000E0405"/>
    <w:rsid w:val="000E0B21"/>
    <w:rsid w:val="000E2ABF"/>
    <w:rsid w:val="000E36BC"/>
    <w:rsid w:val="000E73CE"/>
    <w:rsid w:val="000F6CFF"/>
    <w:rsid w:val="000F74A7"/>
    <w:rsid w:val="00104159"/>
    <w:rsid w:val="001139DA"/>
    <w:rsid w:val="0011551E"/>
    <w:rsid w:val="0011569D"/>
    <w:rsid w:val="00115F73"/>
    <w:rsid w:val="001202E3"/>
    <w:rsid w:val="00123699"/>
    <w:rsid w:val="0012391B"/>
    <w:rsid w:val="00123B16"/>
    <w:rsid w:val="00124A45"/>
    <w:rsid w:val="0013059D"/>
    <w:rsid w:val="0014083A"/>
    <w:rsid w:val="00141A55"/>
    <w:rsid w:val="001438BD"/>
    <w:rsid w:val="001446A3"/>
    <w:rsid w:val="001460FD"/>
    <w:rsid w:val="00154E0B"/>
    <w:rsid w:val="00155395"/>
    <w:rsid w:val="001570F5"/>
    <w:rsid w:val="0017030D"/>
    <w:rsid w:val="00170708"/>
    <w:rsid w:val="00172C69"/>
    <w:rsid w:val="00172E6C"/>
    <w:rsid w:val="00173D27"/>
    <w:rsid w:val="00174739"/>
    <w:rsid w:val="0018127C"/>
    <w:rsid w:val="00181EC8"/>
    <w:rsid w:val="001822EE"/>
    <w:rsid w:val="0018310F"/>
    <w:rsid w:val="001838B4"/>
    <w:rsid w:val="00183A48"/>
    <w:rsid w:val="00184349"/>
    <w:rsid w:val="001922F9"/>
    <w:rsid w:val="00194565"/>
    <w:rsid w:val="00195F33"/>
    <w:rsid w:val="001A5EE1"/>
    <w:rsid w:val="001A7FF9"/>
    <w:rsid w:val="001B0651"/>
    <w:rsid w:val="001B1617"/>
    <w:rsid w:val="001B2104"/>
    <w:rsid w:val="001B2D1A"/>
    <w:rsid w:val="001B504B"/>
    <w:rsid w:val="001B5566"/>
    <w:rsid w:val="001B5F67"/>
    <w:rsid w:val="001C14EA"/>
    <w:rsid w:val="001C29FC"/>
    <w:rsid w:val="001D3874"/>
    <w:rsid w:val="001D5344"/>
    <w:rsid w:val="001D5A8D"/>
    <w:rsid w:val="001D7E75"/>
    <w:rsid w:val="001E22D1"/>
    <w:rsid w:val="001E4D2E"/>
    <w:rsid w:val="001E56D2"/>
    <w:rsid w:val="001E7D56"/>
    <w:rsid w:val="001F1AD2"/>
    <w:rsid w:val="001F75DE"/>
    <w:rsid w:val="00200D58"/>
    <w:rsid w:val="002013BE"/>
    <w:rsid w:val="002063A4"/>
    <w:rsid w:val="00206F97"/>
    <w:rsid w:val="0021145B"/>
    <w:rsid w:val="00214277"/>
    <w:rsid w:val="0021449A"/>
    <w:rsid w:val="0021697D"/>
    <w:rsid w:val="00220D2F"/>
    <w:rsid w:val="00220F0B"/>
    <w:rsid w:val="002232EE"/>
    <w:rsid w:val="0022762D"/>
    <w:rsid w:val="00230763"/>
    <w:rsid w:val="00230F77"/>
    <w:rsid w:val="002313DA"/>
    <w:rsid w:val="00234806"/>
    <w:rsid w:val="002378D6"/>
    <w:rsid w:val="00243550"/>
    <w:rsid w:val="00243D36"/>
    <w:rsid w:val="00245ACD"/>
    <w:rsid w:val="00247707"/>
    <w:rsid w:val="00247C2B"/>
    <w:rsid w:val="00253FA0"/>
    <w:rsid w:val="00254A24"/>
    <w:rsid w:val="002627D9"/>
    <w:rsid w:val="0027496A"/>
    <w:rsid w:val="00277919"/>
    <w:rsid w:val="00282DA2"/>
    <w:rsid w:val="00286740"/>
    <w:rsid w:val="00287B42"/>
    <w:rsid w:val="00291E84"/>
    <w:rsid w:val="002929D8"/>
    <w:rsid w:val="002935C2"/>
    <w:rsid w:val="002A237D"/>
    <w:rsid w:val="002A4C53"/>
    <w:rsid w:val="002B0672"/>
    <w:rsid w:val="002B1B4C"/>
    <w:rsid w:val="002B247F"/>
    <w:rsid w:val="002C0A3F"/>
    <w:rsid w:val="002C145D"/>
    <w:rsid w:val="002C2C3E"/>
    <w:rsid w:val="002C3EED"/>
    <w:rsid w:val="002C533E"/>
    <w:rsid w:val="002D027F"/>
    <w:rsid w:val="002D08C9"/>
    <w:rsid w:val="002D5274"/>
    <w:rsid w:val="002D7A85"/>
    <w:rsid w:val="002D7B60"/>
    <w:rsid w:val="002E19D4"/>
    <w:rsid w:val="002E2934"/>
    <w:rsid w:val="002E372A"/>
    <w:rsid w:val="002F2F31"/>
    <w:rsid w:val="002F4761"/>
    <w:rsid w:val="002F5C79"/>
    <w:rsid w:val="002F7B3C"/>
    <w:rsid w:val="003019E2"/>
    <w:rsid w:val="00302B98"/>
    <w:rsid w:val="0031413F"/>
    <w:rsid w:val="003148BB"/>
    <w:rsid w:val="00315336"/>
    <w:rsid w:val="00317976"/>
    <w:rsid w:val="00320400"/>
    <w:rsid w:val="00323885"/>
    <w:rsid w:val="00327174"/>
    <w:rsid w:val="00331475"/>
    <w:rsid w:val="00334B82"/>
    <w:rsid w:val="0034535D"/>
    <w:rsid w:val="0035568C"/>
    <w:rsid w:val="00355EA9"/>
    <w:rsid w:val="00356822"/>
    <w:rsid w:val="003578DE"/>
    <w:rsid w:val="00361139"/>
    <w:rsid w:val="003649A3"/>
    <w:rsid w:val="00365F6B"/>
    <w:rsid w:val="00371340"/>
    <w:rsid w:val="00374B0F"/>
    <w:rsid w:val="0037512A"/>
    <w:rsid w:val="003759E2"/>
    <w:rsid w:val="003777D4"/>
    <w:rsid w:val="00384CDC"/>
    <w:rsid w:val="00384D21"/>
    <w:rsid w:val="003855F6"/>
    <w:rsid w:val="00386999"/>
    <w:rsid w:val="00396257"/>
    <w:rsid w:val="00397EB8"/>
    <w:rsid w:val="003A07AB"/>
    <w:rsid w:val="003A086E"/>
    <w:rsid w:val="003A37B8"/>
    <w:rsid w:val="003A4FD0"/>
    <w:rsid w:val="003A592F"/>
    <w:rsid w:val="003A69D1"/>
    <w:rsid w:val="003A7705"/>
    <w:rsid w:val="003B12B1"/>
    <w:rsid w:val="003B1545"/>
    <w:rsid w:val="003C035E"/>
    <w:rsid w:val="003C3267"/>
    <w:rsid w:val="003C3FF7"/>
    <w:rsid w:val="003C409D"/>
    <w:rsid w:val="003C5BA6"/>
    <w:rsid w:val="003D2D79"/>
    <w:rsid w:val="003E517B"/>
    <w:rsid w:val="003E5725"/>
    <w:rsid w:val="003F0E85"/>
    <w:rsid w:val="003F1855"/>
    <w:rsid w:val="003F6F07"/>
    <w:rsid w:val="00401A72"/>
    <w:rsid w:val="00404CB5"/>
    <w:rsid w:val="00405251"/>
    <w:rsid w:val="004059E0"/>
    <w:rsid w:val="00405E69"/>
    <w:rsid w:val="00410C55"/>
    <w:rsid w:val="00413E25"/>
    <w:rsid w:val="00414EAE"/>
    <w:rsid w:val="0041604D"/>
    <w:rsid w:val="00416854"/>
    <w:rsid w:val="00417725"/>
    <w:rsid w:val="0041779A"/>
    <w:rsid w:val="004221D7"/>
    <w:rsid w:val="004243EA"/>
    <w:rsid w:val="00430426"/>
    <w:rsid w:val="00431BE1"/>
    <w:rsid w:val="00433014"/>
    <w:rsid w:val="00434ED6"/>
    <w:rsid w:val="00436D63"/>
    <w:rsid w:val="00437F26"/>
    <w:rsid w:val="00441A64"/>
    <w:rsid w:val="00441DB4"/>
    <w:rsid w:val="00444097"/>
    <w:rsid w:val="00444D1D"/>
    <w:rsid w:val="00445487"/>
    <w:rsid w:val="00446EAC"/>
    <w:rsid w:val="00454769"/>
    <w:rsid w:val="00456D58"/>
    <w:rsid w:val="00460F91"/>
    <w:rsid w:val="0046195B"/>
    <w:rsid w:val="0046464D"/>
    <w:rsid w:val="004660D4"/>
    <w:rsid w:val="00466991"/>
    <w:rsid w:val="0047064C"/>
    <w:rsid w:val="00474D90"/>
    <w:rsid w:val="004959EF"/>
    <w:rsid w:val="00495BFE"/>
    <w:rsid w:val="004A42E1"/>
    <w:rsid w:val="004A6C76"/>
    <w:rsid w:val="004B162C"/>
    <w:rsid w:val="004B2ABB"/>
    <w:rsid w:val="004C0ECC"/>
    <w:rsid w:val="004C3DBE"/>
    <w:rsid w:val="004C5C96"/>
    <w:rsid w:val="004C60F8"/>
    <w:rsid w:val="004D06A4"/>
    <w:rsid w:val="004D3E28"/>
    <w:rsid w:val="004E405E"/>
    <w:rsid w:val="004E59D4"/>
    <w:rsid w:val="004E79AC"/>
    <w:rsid w:val="004F1A81"/>
    <w:rsid w:val="0050096A"/>
    <w:rsid w:val="00504057"/>
    <w:rsid w:val="0050742D"/>
    <w:rsid w:val="00507F3F"/>
    <w:rsid w:val="0051354C"/>
    <w:rsid w:val="005218D9"/>
    <w:rsid w:val="00522D2B"/>
    <w:rsid w:val="0052568F"/>
    <w:rsid w:val="00527344"/>
    <w:rsid w:val="00531764"/>
    <w:rsid w:val="00532E47"/>
    <w:rsid w:val="00533D19"/>
    <w:rsid w:val="005353C7"/>
    <w:rsid w:val="00536186"/>
    <w:rsid w:val="00540814"/>
    <w:rsid w:val="0054317E"/>
    <w:rsid w:val="00544CBB"/>
    <w:rsid w:val="00550518"/>
    <w:rsid w:val="00551D55"/>
    <w:rsid w:val="00551E3B"/>
    <w:rsid w:val="00552CD6"/>
    <w:rsid w:val="00564EE4"/>
    <w:rsid w:val="0056536F"/>
    <w:rsid w:val="0057315F"/>
    <w:rsid w:val="00576104"/>
    <w:rsid w:val="005806AC"/>
    <w:rsid w:val="00594BA0"/>
    <w:rsid w:val="00597BD9"/>
    <w:rsid w:val="005A0240"/>
    <w:rsid w:val="005A1A25"/>
    <w:rsid w:val="005A4EBB"/>
    <w:rsid w:val="005B22D9"/>
    <w:rsid w:val="005B537D"/>
    <w:rsid w:val="005B630F"/>
    <w:rsid w:val="005B64BF"/>
    <w:rsid w:val="005B7459"/>
    <w:rsid w:val="005B77D9"/>
    <w:rsid w:val="005C1197"/>
    <w:rsid w:val="005C5160"/>
    <w:rsid w:val="005C67C8"/>
    <w:rsid w:val="005D0249"/>
    <w:rsid w:val="005D6E8C"/>
    <w:rsid w:val="005E10DB"/>
    <w:rsid w:val="005E5C4D"/>
    <w:rsid w:val="005F100C"/>
    <w:rsid w:val="005F469E"/>
    <w:rsid w:val="005F6355"/>
    <w:rsid w:val="005F68DA"/>
    <w:rsid w:val="005F6E71"/>
    <w:rsid w:val="005F75E6"/>
    <w:rsid w:val="006008AF"/>
    <w:rsid w:val="006014DD"/>
    <w:rsid w:val="00606BBC"/>
    <w:rsid w:val="0060773B"/>
    <w:rsid w:val="00612406"/>
    <w:rsid w:val="00612772"/>
    <w:rsid w:val="006157B5"/>
    <w:rsid w:val="00621EB2"/>
    <w:rsid w:val="00626882"/>
    <w:rsid w:val="00626FC6"/>
    <w:rsid w:val="00627CEE"/>
    <w:rsid w:val="006303B4"/>
    <w:rsid w:val="0063248A"/>
    <w:rsid w:val="0063334D"/>
    <w:rsid w:val="00633CEB"/>
    <w:rsid w:val="00633D3D"/>
    <w:rsid w:val="00641703"/>
    <w:rsid w:val="00641AAB"/>
    <w:rsid w:val="006431A6"/>
    <w:rsid w:val="006442BA"/>
    <w:rsid w:val="006459F6"/>
    <w:rsid w:val="006501AD"/>
    <w:rsid w:val="00651BFA"/>
    <w:rsid w:val="006534F8"/>
    <w:rsid w:val="00663A80"/>
    <w:rsid w:val="0066554A"/>
    <w:rsid w:val="00665A4B"/>
    <w:rsid w:val="00674438"/>
    <w:rsid w:val="00676602"/>
    <w:rsid w:val="00687912"/>
    <w:rsid w:val="00691F0D"/>
    <w:rsid w:val="00692E2A"/>
    <w:rsid w:val="00695646"/>
    <w:rsid w:val="00696DF8"/>
    <w:rsid w:val="006A76F2"/>
    <w:rsid w:val="006A78C4"/>
    <w:rsid w:val="006C33E4"/>
    <w:rsid w:val="006C3DDA"/>
    <w:rsid w:val="006D3277"/>
    <w:rsid w:val="006D6BAD"/>
    <w:rsid w:val="006D7EFB"/>
    <w:rsid w:val="006E6672"/>
    <w:rsid w:val="006E6722"/>
    <w:rsid w:val="006F10F1"/>
    <w:rsid w:val="007027B9"/>
    <w:rsid w:val="00705C91"/>
    <w:rsid w:val="00707D0F"/>
    <w:rsid w:val="00710D13"/>
    <w:rsid w:val="00710EDA"/>
    <w:rsid w:val="00713D8F"/>
    <w:rsid w:val="00715E88"/>
    <w:rsid w:val="00717AE6"/>
    <w:rsid w:val="0072497C"/>
    <w:rsid w:val="00726A55"/>
    <w:rsid w:val="00732DCC"/>
    <w:rsid w:val="00734CAA"/>
    <w:rsid w:val="00737731"/>
    <w:rsid w:val="00742710"/>
    <w:rsid w:val="00742A9A"/>
    <w:rsid w:val="007441C0"/>
    <w:rsid w:val="00752788"/>
    <w:rsid w:val="00755106"/>
    <w:rsid w:val="0075533C"/>
    <w:rsid w:val="00757581"/>
    <w:rsid w:val="0076053C"/>
    <w:rsid w:val="007611A0"/>
    <w:rsid w:val="007658A0"/>
    <w:rsid w:val="00765A9D"/>
    <w:rsid w:val="0077111E"/>
    <w:rsid w:val="00773BFB"/>
    <w:rsid w:val="007829D6"/>
    <w:rsid w:val="00784AEE"/>
    <w:rsid w:val="00796D3F"/>
    <w:rsid w:val="007A1683"/>
    <w:rsid w:val="007A1D24"/>
    <w:rsid w:val="007A36F8"/>
    <w:rsid w:val="007A393A"/>
    <w:rsid w:val="007A5C12"/>
    <w:rsid w:val="007A7CB0"/>
    <w:rsid w:val="007A7CB2"/>
    <w:rsid w:val="007B2F37"/>
    <w:rsid w:val="007B68A3"/>
    <w:rsid w:val="007B693B"/>
    <w:rsid w:val="007B7CB3"/>
    <w:rsid w:val="007C2541"/>
    <w:rsid w:val="007C390B"/>
    <w:rsid w:val="007C40D6"/>
    <w:rsid w:val="007D51D4"/>
    <w:rsid w:val="007D66A8"/>
    <w:rsid w:val="007D72B5"/>
    <w:rsid w:val="007E003F"/>
    <w:rsid w:val="007E1C2F"/>
    <w:rsid w:val="007E5EED"/>
    <w:rsid w:val="00802E72"/>
    <w:rsid w:val="00803971"/>
    <w:rsid w:val="0080622C"/>
    <w:rsid w:val="008124DC"/>
    <w:rsid w:val="008144F7"/>
    <w:rsid w:val="00814893"/>
    <w:rsid w:val="008164F2"/>
    <w:rsid w:val="0082037F"/>
    <w:rsid w:val="00821395"/>
    <w:rsid w:val="00821E9C"/>
    <w:rsid w:val="0082444F"/>
    <w:rsid w:val="00827134"/>
    <w:rsid w:val="00830E26"/>
    <w:rsid w:val="00832F93"/>
    <w:rsid w:val="008338FE"/>
    <w:rsid w:val="00843576"/>
    <w:rsid w:val="00843984"/>
    <w:rsid w:val="00843B64"/>
    <w:rsid w:val="00847587"/>
    <w:rsid w:val="008478FC"/>
    <w:rsid w:val="008504D2"/>
    <w:rsid w:val="00854E87"/>
    <w:rsid w:val="00855A14"/>
    <w:rsid w:val="0086008D"/>
    <w:rsid w:val="0086011E"/>
    <w:rsid w:val="00863C40"/>
    <w:rsid w:val="00865269"/>
    <w:rsid w:val="00867BFF"/>
    <w:rsid w:val="0088480A"/>
    <w:rsid w:val="008849E8"/>
    <w:rsid w:val="008861F7"/>
    <w:rsid w:val="0088757A"/>
    <w:rsid w:val="008957DD"/>
    <w:rsid w:val="00897D98"/>
    <w:rsid w:val="008A26B4"/>
    <w:rsid w:val="008A6DF2"/>
    <w:rsid w:val="008A7807"/>
    <w:rsid w:val="008B1FC0"/>
    <w:rsid w:val="008B4C37"/>
    <w:rsid w:val="008B4CC9"/>
    <w:rsid w:val="008B4E90"/>
    <w:rsid w:val="008C02EE"/>
    <w:rsid w:val="008C1B8B"/>
    <w:rsid w:val="008C2A70"/>
    <w:rsid w:val="008C3861"/>
    <w:rsid w:val="008D3AE0"/>
    <w:rsid w:val="008D5E10"/>
    <w:rsid w:val="008D7C99"/>
    <w:rsid w:val="008E0FCB"/>
    <w:rsid w:val="008E28E2"/>
    <w:rsid w:val="008F2A0A"/>
    <w:rsid w:val="008F3D8D"/>
    <w:rsid w:val="00907D78"/>
    <w:rsid w:val="0091649E"/>
    <w:rsid w:val="00920231"/>
    <w:rsid w:val="009207DF"/>
    <w:rsid w:val="0092178C"/>
    <w:rsid w:val="00922D00"/>
    <w:rsid w:val="00924FF6"/>
    <w:rsid w:val="009276A0"/>
    <w:rsid w:val="00930B88"/>
    <w:rsid w:val="009316A9"/>
    <w:rsid w:val="0093433F"/>
    <w:rsid w:val="009378DC"/>
    <w:rsid w:val="00940664"/>
    <w:rsid w:val="00940B48"/>
    <w:rsid w:val="00940DCC"/>
    <w:rsid w:val="0094179A"/>
    <w:rsid w:val="0094459E"/>
    <w:rsid w:val="00944DBC"/>
    <w:rsid w:val="0094501E"/>
    <w:rsid w:val="009452FD"/>
    <w:rsid w:val="00950977"/>
    <w:rsid w:val="00951A7B"/>
    <w:rsid w:val="009564A6"/>
    <w:rsid w:val="00961A33"/>
    <w:rsid w:val="00967621"/>
    <w:rsid w:val="00967E6A"/>
    <w:rsid w:val="009723C2"/>
    <w:rsid w:val="00977514"/>
    <w:rsid w:val="009803C3"/>
    <w:rsid w:val="00980797"/>
    <w:rsid w:val="009818FA"/>
    <w:rsid w:val="009843B1"/>
    <w:rsid w:val="00985765"/>
    <w:rsid w:val="00985A93"/>
    <w:rsid w:val="00987C14"/>
    <w:rsid w:val="00991195"/>
    <w:rsid w:val="009927AF"/>
    <w:rsid w:val="00993451"/>
    <w:rsid w:val="009935AC"/>
    <w:rsid w:val="009974E7"/>
    <w:rsid w:val="009A14BE"/>
    <w:rsid w:val="009A4AD5"/>
    <w:rsid w:val="009A6054"/>
    <w:rsid w:val="009B0F83"/>
    <w:rsid w:val="009B192E"/>
    <w:rsid w:val="009B25EB"/>
    <w:rsid w:val="009B4A0F"/>
    <w:rsid w:val="009C11D2"/>
    <w:rsid w:val="009C6C70"/>
    <w:rsid w:val="009D0922"/>
    <w:rsid w:val="009D0B63"/>
    <w:rsid w:val="009D5362"/>
    <w:rsid w:val="009E307E"/>
    <w:rsid w:val="009E5CCB"/>
    <w:rsid w:val="009E7642"/>
    <w:rsid w:val="009F1545"/>
    <w:rsid w:val="009F16F7"/>
    <w:rsid w:val="009F29B1"/>
    <w:rsid w:val="00A01111"/>
    <w:rsid w:val="00A03A4A"/>
    <w:rsid w:val="00A07870"/>
    <w:rsid w:val="00A07F19"/>
    <w:rsid w:val="00A1348D"/>
    <w:rsid w:val="00A139CC"/>
    <w:rsid w:val="00A13C5B"/>
    <w:rsid w:val="00A1489E"/>
    <w:rsid w:val="00A173DA"/>
    <w:rsid w:val="00A2232D"/>
    <w:rsid w:val="00A232EE"/>
    <w:rsid w:val="00A23C49"/>
    <w:rsid w:val="00A4175F"/>
    <w:rsid w:val="00A418C8"/>
    <w:rsid w:val="00A44411"/>
    <w:rsid w:val="00A44564"/>
    <w:rsid w:val="00A469FA"/>
    <w:rsid w:val="00A50E94"/>
    <w:rsid w:val="00A51FF3"/>
    <w:rsid w:val="00A55B01"/>
    <w:rsid w:val="00A56B5B"/>
    <w:rsid w:val="00A603FF"/>
    <w:rsid w:val="00A65342"/>
    <w:rsid w:val="00A657DD"/>
    <w:rsid w:val="00A666A6"/>
    <w:rsid w:val="00A675FD"/>
    <w:rsid w:val="00A7018C"/>
    <w:rsid w:val="00A70775"/>
    <w:rsid w:val="00A71501"/>
    <w:rsid w:val="00A72437"/>
    <w:rsid w:val="00A72520"/>
    <w:rsid w:val="00A753A5"/>
    <w:rsid w:val="00A80611"/>
    <w:rsid w:val="00A80826"/>
    <w:rsid w:val="00A80AD7"/>
    <w:rsid w:val="00A818C0"/>
    <w:rsid w:val="00A81B47"/>
    <w:rsid w:val="00A838A6"/>
    <w:rsid w:val="00A838E1"/>
    <w:rsid w:val="00A84577"/>
    <w:rsid w:val="00A84B15"/>
    <w:rsid w:val="00A85B20"/>
    <w:rsid w:val="00A87016"/>
    <w:rsid w:val="00AA2C19"/>
    <w:rsid w:val="00AA454E"/>
    <w:rsid w:val="00AA7C84"/>
    <w:rsid w:val="00AB0413"/>
    <w:rsid w:val="00AB0B05"/>
    <w:rsid w:val="00AB274F"/>
    <w:rsid w:val="00AB5340"/>
    <w:rsid w:val="00AC010E"/>
    <w:rsid w:val="00AC01CC"/>
    <w:rsid w:val="00AC16B8"/>
    <w:rsid w:val="00AC7C96"/>
    <w:rsid w:val="00AD10BC"/>
    <w:rsid w:val="00AD27E1"/>
    <w:rsid w:val="00AE237D"/>
    <w:rsid w:val="00AE2A3D"/>
    <w:rsid w:val="00AE2CE9"/>
    <w:rsid w:val="00AE3F62"/>
    <w:rsid w:val="00AE4AC0"/>
    <w:rsid w:val="00AE502A"/>
    <w:rsid w:val="00AF2954"/>
    <w:rsid w:val="00AF7C07"/>
    <w:rsid w:val="00B00C99"/>
    <w:rsid w:val="00B05AC5"/>
    <w:rsid w:val="00B066EE"/>
    <w:rsid w:val="00B07A72"/>
    <w:rsid w:val="00B12E84"/>
    <w:rsid w:val="00B22C93"/>
    <w:rsid w:val="00B24D22"/>
    <w:rsid w:val="00B27589"/>
    <w:rsid w:val="00B3136F"/>
    <w:rsid w:val="00B37EF9"/>
    <w:rsid w:val="00B405B7"/>
    <w:rsid w:val="00B45399"/>
    <w:rsid w:val="00B45E6D"/>
    <w:rsid w:val="00B506E4"/>
    <w:rsid w:val="00B50E10"/>
    <w:rsid w:val="00B52222"/>
    <w:rsid w:val="00B54FE7"/>
    <w:rsid w:val="00B57C47"/>
    <w:rsid w:val="00B57EC0"/>
    <w:rsid w:val="00B66901"/>
    <w:rsid w:val="00B70ED8"/>
    <w:rsid w:val="00B71E6D"/>
    <w:rsid w:val="00B72070"/>
    <w:rsid w:val="00B768B2"/>
    <w:rsid w:val="00B779E1"/>
    <w:rsid w:val="00B83F19"/>
    <w:rsid w:val="00B8419B"/>
    <w:rsid w:val="00B8535F"/>
    <w:rsid w:val="00B859A3"/>
    <w:rsid w:val="00B91EE1"/>
    <w:rsid w:val="00B97798"/>
    <w:rsid w:val="00BA0090"/>
    <w:rsid w:val="00BA1A67"/>
    <w:rsid w:val="00BA3781"/>
    <w:rsid w:val="00BA7B81"/>
    <w:rsid w:val="00BB32AA"/>
    <w:rsid w:val="00BB3A7A"/>
    <w:rsid w:val="00BB49DE"/>
    <w:rsid w:val="00BB5E2E"/>
    <w:rsid w:val="00BC07FE"/>
    <w:rsid w:val="00BD0163"/>
    <w:rsid w:val="00BD159E"/>
    <w:rsid w:val="00BE1190"/>
    <w:rsid w:val="00BE1869"/>
    <w:rsid w:val="00BE28B2"/>
    <w:rsid w:val="00BE5B5F"/>
    <w:rsid w:val="00BF2F41"/>
    <w:rsid w:val="00BF4082"/>
    <w:rsid w:val="00BF4B92"/>
    <w:rsid w:val="00BF549F"/>
    <w:rsid w:val="00BF6EB1"/>
    <w:rsid w:val="00BF7AC1"/>
    <w:rsid w:val="00C04EB5"/>
    <w:rsid w:val="00C107E0"/>
    <w:rsid w:val="00C11F95"/>
    <w:rsid w:val="00C17281"/>
    <w:rsid w:val="00C2090E"/>
    <w:rsid w:val="00C228D2"/>
    <w:rsid w:val="00C26EFC"/>
    <w:rsid w:val="00C26F55"/>
    <w:rsid w:val="00C30C63"/>
    <w:rsid w:val="00C31C1D"/>
    <w:rsid w:val="00C32B37"/>
    <w:rsid w:val="00C36B8B"/>
    <w:rsid w:val="00C4401A"/>
    <w:rsid w:val="00C47DBF"/>
    <w:rsid w:val="00C53666"/>
    <w:rsid w:val="00C552FF"/>
    <w:rsid w:val="00C558DA"/>
    <w:rsid w:val="00C55AF3"/>
    <w:rsid w:val="00C71DB6"/>
    <w:rsid w:val="00C75C7C"/>
    <w:rsid w:val="00C80B46"/>
    <w:rsid w:val="00C84759"/>
    <w:rsid w:val="00C93C84"/>
    <w:rsid w:val="00CA139C"/>
    <w:rsid w:val="00CA39E9"/>
    <w:rsid w:val="00CA3C48"/>
    <w:rsid w:val="00CA6C7F"/>
    <w:rsid w:val="00CB138A"/>
    <w:rsid w:val="00CB5756"/>
    <w:rsid w:val="00CB6F8C"/>
    <w:rsid w:val="00CC0260"/>
    <w:rsid w:val="00CC10A6"/>
    <w:rsid w:val="00CC5507"/>
    <w:rsid w:val="00CC73DD"/>
    <w:rsid w:val="00CD1A83"/>
    <w:rsid w:val="00CD20F8"/>
    <w:rsid w:val="00CD2112"/>
    <w:rsid w:val="00CD3765"/>
    <w:rsid w:val="00CD55DE"/>
    <w:rsid w:val="00CD5EB8"/>
    <w:rsid w:val="00CD7044"/>
    <w:rsid w:val="00CD7408"/>
    <w:rsid w:val="00CE08B9"/>
    <w:rsid w:val="00CE524C"/>
    <w:rsid w:val="00CE621E"/>
    <w:rsid w:val="00CE6347"/>
    <w:rsid w:val="00CE69F6"/>
    <w:rsid w:val="00CF141F"/>
    <w:rsid w:val="00CF4777"/>
    <w:rsid w:val="00CF5520"/>
    <w:rsid w:val="00CF5AF8"/>
    <w:rsid w:val="00CF79F8"/>
    <w:rsid w:val="00D05B8B"/>
    <w:rsid w:val="00D067BB"/>
    <w:rsid w:val="00D103F7"/>
    <w:rsid w:val="00D12A31"/>
    <w:rsid w:val="00D1352A"/>
    <w:rsid w:val="00D13EDE"/>
    <w:rsid w:val="00D169AF"/>
    <w:rsid w:val="00D2509C"/>
    <w:rsid w:val="00D25249"/>
    <w:rsid w:val="00D255A7"/>
    <w:rsid w:val="00D31E6D"/>
    <w:rsid w:val="00D35F5A"/>
    <w:rsid w:val="00D40DB1"/>
    <w:rsid w:val="00D44172"/>
    <w:rsid w:val="00D44601"/>
    <w:rsid w:val="00D469AC"/>
    <w:rsid w:val="00D504FB"/>
    <w:rsid w:val="00D53B61"/>
    <w:rsid w:val="00D5535B"/>
    <w:rsid w:val="00D5735E"/>
    <w:rsid w:val="00D579DE"/>
    <w:rsid w:val="00D63B8C"/>
    <w:rsid w:val="00D66608"/>
    <w:rsid w:val="00D72CB6"/>
    <w:rsid w:val="00D739CC"/>
    <w:rsid w:val="00D772D2"/>
    <w:rsid w:val="00D8093D"/>
    <w:rsid w:val="00D8108C"/>
    <w:rsid w:val="00D83203"/>
    <w:rsid w:val="00D842AE"/>
    <w:rsid w:val="00D871FE"/>
    <w:rsid w:val="00D9211C"/>
    <w:rsid w:val="00D92DE0"/>
    <w:rsid w:val="00D92FEF"/>
    <w:rsid w:val="00D93A0F"/>
    <w:rsid w:val="00D9724D"/>
    <w:rsid w:val="00DA15D7"/>
    <w:rsid w:val="00DA1BCA"/>
    <w:rsid w:val="00DA33EB"/>
    <w:rsid w:val="00DA3FFA"/>
    <w:rsid w:val="00DA5E85"/>
    <w:rsid w:val="00DA7299"/>
    <w:rsid w:val="00DB2573"/>
    <w:rsid w:val="00DB36B7"/>
    <w:rsid w:val="00DB3E23"/>
    <w:rsid w:val="00DB3E9C"/>
    <w:rsid w:val="00DB4B53"/>
    <w:rsid w:val="00DB5362"/>
    <w:rsid w:val="00DC46FF"/>
    <w:rsid w:val="00DC5254"/>
    <w:rsid w:val="00DD0E8C"/>
    <w:rsid w:val="00DD1A4F"/>
    <w:rsid w:val="00DD1ED6"/>
    <w:rsid w:val="00DD3107"/>
    <w:rsid w:val="00DD5EFF"/>
    <w:rsid w:val="00DD7C2C"/>
    <w:rsid w:val="00DE0295"/>
    <w:rsid w:val="00DE5622"/>
    <w:rsid w:val="00DE6E55"/>
    <w:rsid w:val="00DE76A2"/>
    <w:rsid w:val="00DF27E9"/>
    <w:rsid w:val="00DF4ADA"/>
    <w:rsid w:val="00DF5660"/>
    <w:rsid w:val="00DF5D27"/>
    <w:rsid w:val="00E009E5"/>
    <w:rsid w:val="00E05CF3"/>
    <w:rsid w:val="00E06797"/>
    <w:rsid w:val="00E100A5"/>
    <w:rsid w:val="00E11528"/>
    <w:rsid w:val="00E122BC"/>
    <w:rsid w:val="00E1265B"/>
    <w:rsid w:val="00E13B48"/>
    <w:rsid w:val="00E1404F"/>
    <w:rsid w:val="00E1436D"/>
    <w:rsid w:val="00E1680D"/>
    <w:rsid w:val="00E212EF"/>
    <w:rsid w:val="00E21C83"/>
    <w:rsid w:val="00E23B72"/>
    <w:rsid w:val="00E24031"/>
    <w:rsid w:val="00E248AD"/>
    <w:rsid w:val="00E24ADA"/>
    <w:rsid w:val="00E256F6"/>
    <w:rsid w:val="00E30EB8"/>
    <w:rsid w:val="00E32F59"/>
    <w:rsid w:val="00E33E53"/>
    <w:rsid w:val="00E407B0"/>
    <w:rsid w:val="00E40CE1"/>
    <w:rsid w:val="00E46D9A"/>
    <w:rsid w:val="00E509D1"/>
    <w:rsid w:val="00E565FF"/>
    <w:rsid w:val="00E579DE"/>
    <w:rsid w:val="00E600D6"/>
    <w:rsid w:val="00E65388"/>
    <w:rsid w:val="00E67833"/>
    <w:rsid w:val="00E71498"/>
    <w:rsid w:val="00E72DA0"/>
    <w:rsid w:val="00E73001"/>
    <w:rsid w:val="00E76611"/>
    <w:rsid w:val="00E7734F"/>
    <w:rsid w:val="00E80E10"/>
    <w:rsid w:val="00E85B7D"/>
    <w:rsid w:val="00E85B8B"/>
    <w:rsid w:val="00E9121B"/>
    <w:rsid w:val="00E93DB8"/>
    <w:rsid w:val="00E942E9"/>
    <w:rsid w:val="00E94B48"/>
    <w:rsid w:val="00EA0AE2"/>
    <w:rsid w:val="00EA0F60"/>
    <w:rsid w:val="00EA292F"/>
    <w:rsid w:val="00EA39E5"/>
    <w:rsid w:val="00EA4409"/>
    <w:rsid w:val="00EB0ED1"/>
    <w:rsid w:val="00EB14EE"/>
    <w:rsid w:val="00EB3106"/>
    <w:rsid w:val="00EB40A4"/>
    <w:rsid w:val="00EC5A46"/>
    <w:rsid w:val="00EC63E2"/>
    <w:rsid w:val="00EC7D5B"/>
    <w:rsid w:val="00ED0087"/>
    <w:rsid w:val="00ED1F3E"/>
    <w:rsid w:val="00ED627D"/>
    <w:rsid w:val="00EE1BA8"/>
    <w:rsid w:val="00EE1E98"/>
    <w:rsid w:val="00EE397B"/>
    <w:rsid w:val="00EE486F"/>
    <w:rsid w:val="00EE5261"/>
    <w:rsid w:val="00EE7A40"/>
    <w:rsid w:val="00EF22B3"/>
    <w:rsid w:val="00EF3C6F"/>
    <w:rsid w:val="00EF469A"/>
    <w:rsid w:val="00F01E59"/>
    <w:rsid w:val="00F03B69"/>
    <w:rsid w:val="00F07A50"/>
    <w:rsid w:val="00F113DA"/>
    <w:rsid w:val="00F17771"/>
    <w:rsid w:val="00F20EA8"/>
    <w:rsid w:val="00F23184"/>
    <w:rsid w:val="00F249E7"/>
    <w:rsid w:val="00F31E1E"/>
    <w:rsid w:val="00F31EC6"/>
    <w:rsid w:val="00F370F9"/>
    <w:rsid w:val="00F37DC8"/>
    <w:rsid w:val="00F402A2"/>
    <w:rsid w:val="00F40B45"/>
    <w:rsid w:val="00F439B3"/>
    <w:rsid w:val="00F502DD"/>
    <w:rsid w:val="00F50C15"/>
    <w:rsid w:val="00F511D5"/>
    <w:rsid w:val="00F5406C"/>
    <w:rsid w:val="00F55399"/>
    <w:rsid w:val="00F638FC"/>
    <w:rsid w:val="00F644BF"/>
    <w:rsid w:val="00F64EC3"/>
    <w:rsid w:val="00F650C3"/>
    <w:rsid w:val="00F65D85"/>
    <w:rsid w:val="00F67EE5"/>
    <w:rsid w:val="00F70E80"/>
    <w:rsid w:val="00F7203C"/>
    <w:rsid w:val="00F75453"/>
    <w:rsid w:val="00F8091E"/>
    <w:rsid w:val="00F8615C"/>
    <w:rsid w:val="00F93494"/>
    <w:rsid w:val="00F9672F"/>
    <w:rsid w:val="00F969E5"/>
    <w:rsid w:val="00F97AEE"/>
    <w:rsid w:val="00FA0BAC"/>
    <w:rsid w:val="00FA1C95"/>
    <w:rsid w:val="00FA2DF3"/>
    <w:rsid w:val="00FA4710"/>
    <w:rsid w:val="00FA47A8"/>
    <w:rsid w:val="00FA6BB0"/>
    <w:rsid w:val="00FB7254"/>
    <w:rsid w:val="00FC18F7"/>
    <w:rsid w:val="00FD2D77"/>
    <w:rsid w:val="00FD5860"/>
    <w:rsid w:val="00FE27C9"/>
    <w:rsid w:val="00FE352D"/>
    <w:rsid w:val="00FE40EB"/>
    <w:rsid w:val="00FE4D02"/>
    <w:rsid w:val="00FE51C9"/>
    <w:rsid w:val="00FE7B2F"/>
    <w:rsid w:val="00FE7D62"/>
    <w:rsid w:val="00FE7E56"/>
    <w:rsid w:val="00FF11D2"/>
    <w:rsid w:val="00FF3819"/>
    <w:rsid w:val="00FF56EA"/>
    <w:rsid w:val="175A55F4"/>
    <w:rsid w:val="6C3F194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A215B"/>
  <w15:chartTrackingRefBased/>
  <w15:docId w15:val="{F8D3CC05-28E2-4818-8AE1-E669CD2ED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semiHidden/>
    <w:qFormat/>
    <w:rsid w:val="00446EAC"/>
    <w:pPr>
      <w:tabs>
        <w:tab w:val="left" w:pos="1247"/>
        <w:tab w:val="left" w:pos="1814"/>
        <w:tab w:val="left" w:pos="2381"/>
        <w:tab w:val="left" w:pos="2948"/>
        <w:tab w:val="left" w:pos="3515"/>
      </w:tabs>
    </w:pPr>
    <w:rPr>
      <w:rFonts w:eastAsia="Times New Roman"/>
      <w:lang w:val="en-GB" w:eastAsia="en-US"/>
    </w:rPr>
  </w:style>
  <w:style w:type="paragraph" w:styleId="Heading1">
    <w:name w:val="heading 1"/>
    <w:aliases w:val="EO Heading 1"/>
    <w:basedOn w:val="Normal"/>
    <w:next w:val="Normalnumber"/>
    <w:link w:val="Heading1Char"/>
    <w:qFormat/>
    <w:rsid w:val="0022762D"/>
    <w:pPr>
      <w:keepNext/>
      <w:numPr>
        <w:numId w:val="3"/>
      </w:numPr>
      <w:spacing w:before="240" w:after="120"/>
      <w:outlineLvl w:val="0"/>
    </w:pPr>
    <w:rPr>
      <w:b/>
      <w:sz w:val="28"/>
    </w:rPr>
  </w:style>
  <w:style w:type="paragraph" w:styleId="Heading2">
    <w:name w:val="heading 2"/>
    <w:aliases w:val="EO Heading 2"/>
    <w:basedOn w:val="Normal"/>
    <w:next w:val="Normalnumber"/>
    <w:link w:val="Heading2Char"/>
    <w:qFormat/>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qFormat/>
    <w:rsid w:val="0022762D"/>
    <w:pPr>
      <w:numPr>
        <w:ilvl w:val="2"/>
        <w:numId w:val="3"/>
      </w:numPr>
      <w:spacing w:after="120"/>
      <w:outlineLvl w:val="2"/>
    </w:pPr>
    <w:rPr>
      <w:b/>
    </w:rPr>
  </w:style>
  <w:style w:type="paragraph" w:styleId="Heading4">
    <w:name w:val="heading 4"/>
    <w:basedOn w:val="Heading3"/>
    <w:next w:val="Normalnumber"/>
    <w:link w:val="Heading4Char"/>
    <w:qFormat/>
    <w:rsid w:val="0022762D"/>
    <w:pPr>
      <w:keepNext/>
      <w:numPr>
        <w:ilvl w:val="3"/>
      </w:numPr>
      <w:outlineLvl w:val="3"/>
    </w:pPr>
  </w:style>
  <w:style w:type="paragraph" w:styleId="Heading5">
    <w:name w:val="heading 5"/>
    <w:basedOn w:val="Normal"/>
    <w:next w:val="Normal"/>
    <w:link w:val="Heading5Char"/>
    <w:qFormat/>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qFormat/>
    <w:rsid w:val="0022762D"/>
    <w:pPr>
      <w:keepNext/>
      <w:numPr>
        <w:ilvl w:val="5"/>
        <w:numId w:val="3"/>
      </w:numPr>
      <w:outlineLvl w:val="5"/>
    </w:pPr>
    <w:rPr>
      <w:b/>
      <w:bCs/>
      <w:sz w:val="24"/>
    </w:rPr>
  </w:style>
  <w:style w:type="paragraph" w:styleId="Heading7">
    <w:name w:val="heading 7"/>
    <w:basedOn w:val="Normal"/>
    <w:next w:val="Normal"/>
    <w:link w:val="Heading7Char"/>
    <w:qFormat/>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qFormat/>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22762D"/>
    <w:pPr>
      <w:ind w:left="1000"/>
    </w:pPr>
    <w:rPr>
      <w:sz w:val="18"/>
      <w:szCs w:val="18"/>
    </w:rPr>
  </w:style>
  <w:style w:type="paragraph" w:styleId="TOC7">
    <w:name w:val="toc 7"/>
    <w:basedOn w:val="Normal"/>
    <w:next w:val="Normal"/>
    <w:autoRedefine/>
    <w:rsid w:val="0022762D"/>
    <w:pPr>
      <w:ind w:left="1200"/>
    </w:pPr>
    <w:rPr>
      <w:sz w:val="18"/>
      <w:szCs w:val="18"/>
    </w:rPr>
  </w:style>
  <w:style w:type="paragraph" w:styleId="TOC8">
    <w:name w:val="toc 8"/>
    <w:basedOn w:val="Normal"/>
    <w:next w:val="Normal"/>
    <w:autoRedefine/>
    <w:rsid w:val="0022762D"/>
    <w:pPr>
      <w:ind w:left="1400"/>
    </w:pPr>
    <w:rPr>
      <w:sz w:val="18"/>
      <w:szCs w:val="18"/>
    </w:rPr>
  </w:style>
  <w:style w:type="paragraph" w:styleId="TOC9">
    <w:name w:val="toc 9"/>
    <w:basedOn w:val="Normal"/>
    <w:next w:val="Normal"/>
    <w:autoRedefine/>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922D00"/>
    <w:pPr>
      <w:keepNext/>
      <w:keepLines/>
      <w:tabs>
        <w:tab w:val="clear" w:pos="624"/>
        <w:tab w:val="clear" w:pos="1871"/>
        <w:tab w:val="clear" w:pos="2495"/>
        <w:tab w:val="clear" w:pos="3119"/>
        <w:tab w:val="clear" w:pos="3742"/>
        <w:tab w:val="clear" w:pos="4366"/>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922D00"/>
    <w:pPr>
      <w:keepNext/>
      <w:keepLines/>
      <w:tabs>
        <w:tab w:val="clear" w:pos="624"/>
        <w:tab w:val="clear" w:pos="1871"/>
        <w:tab w:val="clear" w:pos="2495"/>
        <w:tab w:val="clear" w:pos="3119"/>
        <w:tab w:val="clear" w:pos="3742"/>
        <w:tab w:val="clear" w:pos="4366"/>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F1AD2"/>
    <w:pPr>
      <w:keepNext/>
      <w:keepLines/>
      <w:tabs>
        <w:tab w:val="clear" w:pos="624"/>
        <w:tab w:val="clear" w:pos="1871"/>
        <w:tab w:val="clear" w:pos="2495"/>
        <w:tab w:val="clear" w:pos="3119"/>
        <w:tab w:val="clear" w:pos="3742"/>
        <w:tab w:val="clear" w:pos="4366"/>
        <w:tab w:val="right" w:pos="851"/>
      </w:tabs>
      <w:suppressAutoHyphens/>
      <w:spacing w:before="240" w:after="120"/>
      <w:ind w:left="1247" w:right="284" w:hanging="1247"/>
    </w:pPr>
    <w:rPr>
      <w:b/>
    </w:rPr>
  </w:style>
  <w:style w:type="paragraph" w:customStyle="1" w:styleId="CH4">
    <w:name w:val="CH4"/>
    <w:basedOn w:val="Normal-pool"/>
    <w:next w:val="Normalnumber"/>
    <w:rsid w:val="001F1AD2"/>
    <w:pPr>
      <w:keepNext/>
      <w:keepLines/>
      <w:tabs>
        <w:tab w:val="clear" w:pos="624"/>
        <w:tab w:val="clear" w:pos="1871"/>
        <w:tab w:val="clear" w:pos="2495"/>
        <w:tab w:val="clear" w:pos="3119"/>
        <w:tab w:val="clear" w:pos="3742"/>
        <w:tab w:val="clear" w:pos="4366"/>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F1AD2"/>
    <w:pPr>
      <w:keepNext/>
      <w:keepLines/>
      <w:tabs>
        <w:tab w:val="clear" w:pos="1814"/>
        <w:tab w:val="clear" w:pos="2381"/>
        <w:tab w:val="clear" w:pos="2948"/>
        <w:tab w:val="clear" w:pos="3515"/>
        <w:tab w:val="right" w:pos="851"/>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446EAC"/>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46EAC"/>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446EAC"/>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rsid w:val="0022762D"/>
    <w:pPr>
      <w:tabs>
        <w:tab w:val="center" w:pos="4320"/>
        <w:tab w:val="right" w:pos="8640"/>
      </w:tabs>
      <w:spacing w:before="60" w:after="120"/>
    </w:pPr>
    <w:rPr>
      <w:sz w:val="18"/>
    </w:rPr>
  </w:style>
  <w:style w:type="paragraph" w:styleId="Header">
    <w:name w:val="header"/>
    <w:basedOn w:val="Normal"/>
    <w:link w:val="HeaderChar"/>
    <w:rsid w:val="000208C8"/>
    <w:pPr>
      <w:tabs>
        <w:tab w:val="center" w:pos="4536"/>
        <w:tab w:val="right" w:pos="9072"/>
      </w:tabs>
    </w:pPr>
    <w:rPr>
      <w:b/>
      <w:sz w:val="18"/>
    </w:rPr>
  </w:style>
  <w:style w:type="character" w:styleId="Hyperlink">
    <w:name w:val="Hyperlink"/>
    <w:uiPriority w:val="99"/>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link w:val="NormalNonumberChar"/>
    <w:qFormat/>
    <w:rsid w:val="0011551E"/>
    <w:pPr>
      <w:spacing w:after="120"/>
      <w:ind w:left="1247"/>
    </w:pPr>
  </w:style>
  <w:style w:type="paragraph" w:customStyle="1" w:styleId="Normalnumber">
    <w:name w:val="Normal_number"/>
    <w:basedOn w:val="Normal"/>
    <w:link w:val="NormalnumberChar"/>
    <w:qFormat/>
    <w:rsid w:val="006534F8"/>
    <w:p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qFormat/>
    <w:rsid w:val="0022762D"/>
    <w:pPr>
      <w:tabs>
        <w:tab w:val="right" w:leader="dot" w:pos="9486"/>
      </w:tabs>
      <w:spacing w:before="240"/>
      <w:ind w:left="1814" w:hanging="567"/>
    </w:pPr>
    <w:rPr>
      <w:bCs/>
    </w:rPr>
  </w:style>
  <w:style w:type="paragraph" w:styleId="TOC2">
    <w:name w:val="toc 2"/>
    <w:basedOn w:val="Normal-pool"/>
    <w:next w:val="Normal-pool"/>
    <w:uiPriority w:val="39"/>
    <w:qFormat/>
    <w:rsid w:val="0022762D"/>
    <w:pPr>
      <w:tabs>
        <w:tab w:val="right" w:leader="dot" w:pos="9486"/>
      </w:tabs>
      <w:ind w:left="2381" w:hanging="567"/>
    </w:pPr>
  </w:style>
  <w:style w:type="paragraph" w:styleId="TOC3">
    <w:name w:val="toc 3"/>
    <w:basedOn w:val="Normal-pool"/>
    <w:next w:val="Normal-pool"/>
    <w:uiPriority w:val="39"/>
    <w:qFormat/>
    <w:rsid w:val="0022762D"/>
    <w:pPr>
      <w:tabs>
        <w:tab w:val="right" w:leader="dot" w:pos="9486"/>
      </w:tabs>
      <w:ind w:left="2948" w:hanging="567"/>
    </w:pPr>
    <w:rPr>
      <w:iCs/>
    </w:rPr>
  </w:style>
  <w:style w:type="paragraph" w:styleId="TOC4">
    <w:name w:val="toc 4"/>
    <w:basedOn w:val="Normal-pool"/>
    <w:next w:val="Normal-pool"/>
    <w:rsid w:val="0022762D"/>
    <w:pPr>
      <w:tabs>
        <w:tab w:val="left" w:pos="1000"/>
        <w:tab w:val="right" w:leader="dot" w:pos="9486"/>
      </w:tabs>
      <w:ind w:left="3515" w:hanging="567"/>
    </w:pPr>
    <w:rPr>
      <w:szCs w:val="18"/>
    </w:rPr>
  </w:style>
  <w:style w:type="paragraph" w:styleId="TOC5">
    <w:name w:val="toc 5"/>
    <w:basedOn w:val="Normal-pool"/>
    <w:next w:val="Normal-pool"/>
    <w:rsid w:val="0022762D"/>
    <w:pPr>
      <w:ind w:left="800"/>
    </w:pPr>
    <w:rPr>
      <w:sz w:val="18"/>
      <w:szCs w:val="18"/>
    </w:rPr>
  </w:style>
  <w:style w:type="paragraph" w:customStyle="1" w:styleId="ZZAnxheader">
    <w:name w:val="ZZ_Anx_header"/>
    <w:basedOn w:val="Normal-pool"/>
    <w:link w:val="ZZAnxheaderChar"/>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446EAC"/>
    <w:rPr>
      <w:rFonts w:eastAsia="Times New Roman"/>
      <w:lang w:val="en-US" w:eastAsia="en-US"/>
    </w:rPr>
  </w:style>
  <w:style w:type="paragraph" w:customStyle="1" w:styleId="AConvName">
    <w:name w:val="A_ConvName"/>
    <w:basedOn w:val="Normal-pool"/>
    <w:next w:val="Normal-pool"/>
    <w:semiHidden/>
    <w:rsid w:val="00234806"/>
    <w:pPr>
      <w:spacing w:before="120" w:after="240"/>
    </w:pPr>
    <w:rPr>
      <w:rFonts w:ascii="Arial" w:hAnsi="Arial"/>
      <w:b/>
      <w:sz w:val="28"/>
    </w:rPr>
  </w:style>
  <w:style w:type="paragraph" w:customStyle="1" w:styleId="ASymbol">
    <w:name w:val="A_Symbol"/>
    <w:basedOn w:val="Normal-pool"/>
    <w:rsid w:val="00446EAC"/>
    <w:pPr>
      <w:tabs>
        <w:tab w:val="clear" w:pos="624"/>
        <w:tab w:val="clear" w:pos="1247"/>
        <w:tab w:val="right" w:pos="2920"/>
      </w:tabs>
    </w:pPr>
    <w:rPr>
      <w:rFonts w:eastAsia="SimSun"/>
      <w:lang w:val="en-GB"/>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rsid w:val="0022762D"/>
    <w:rPr>
      <w:rFonts w:ascii="Tahoma" w:hAnsi="Tahoma" w:cs="Tahoma"/>
      <w:sz w:val="16"/>
      <w:szCs w:val="16"/>
    </w:rPr>
  </w:style>
  <w:style w:type="character" w:customStyle="1" w:styleId="BalloonTextChar">
    <w:name w:val="Balloon Text Char"/>
    <w:basedOn w:val="DefaultParagraphFont"/>
    <w:link w:val="BalloonText"/>
    <w:rsid w:val="001F1AD2"/>
    <w:rPr>
      <w:rFonts w:ascii="Tahoma" w:eastAsia="Times New Roman" w:hAnsi="Tahoma" w:cs="Tahoma"/>
      <w:sz w:val="16"/>
      <w:szCs w:val="16"/>
      <w:lang w:val="en-GB" w:eastAsia="en-US"/>
    </w:rPr>
  </w:style>
  <w:style w:type="character" w:styleId="CommentReference">
    <w:name w:val="annotation reference"/>
    <w:basedOn w:val="DefaultParagraphFont"/>
    <w:rsid w:val="0022762D"/>
    <w:rPr>
      <w:sz w:val="16"/>
      <w:szCs w:val="16"/>
    </w:rPr>
  </w:style>
  <w:style w:type="paragraph" w:styleId="CommentText">
    <w:name w:val="annotation text"/>
    <w:basedOn w:val="Normal"/>
    <w:link w:val="CommentTextChar"/>
    <w:rsid w:val="0022762D"/>
  </w:style>
  <w:style w:type="character" w:customStyle="1" w:styleId="CommentTextChar">
    <w:name w:val="Comment Text Char"/>
    <w:basedOn w:val="DefaultParagraphFont"/>
    <w:link w:val="CommentText"/>
    <w:rsid w:val="001F1AD2"/>
    <w:rPr>
      <w:rFonts w:eastAsia="Times New Roman"/>
      <w:lang w:val="en-GB" w:eastAsia="en-US"/>
    </w:rPr>
  </w:style>
  <w:style w:type="paragraph" w:styleId="CommentSubject">
    <w:name w:val="annotation subject"/>
    <w:basedOn w:val="CommentText"/>
    <w:next w:val="CommentText"/>
    <w:link w:val="CommentSubjectChar"/>
    <w:rsid w:val="0022762D"/>
    <w:rPr>
      <w:b/>
      <w:bCs/>
    </w:rPr>
  </w:style>
  <w:style w:type="character" w:customStyle="1" w:styleId="CommentSubjectChar">
    <w:name w:val="Comment Subject Char"/>
    <w:basedOn w:val="CommentTextChar"/>
    <w:link w:val="CommentSubject"/>
    <w:rsid w:val="001F1AD2"/>
    <w:rPr>
      <w:rFonts w:eastAsia="Times New Roman"/>
      <w:b/>
      <w:bCs/>
      <w:lang w:val="en-GB" w:eastAsia="en-US"/>
    </w:rPr>
  </w:style>
  <w:style w:type="character" w:styleId="FollowedHyperlink">
    <w:name w:val="FollowedHyperlink"/>
    <w:rsid w:val="00BD159E"/>
    <w:rPr>
      <w:color w:val="0000FF"/>
      <w:u w:val="none"/>
    </w:rPr>
  </w:style>
  <w:style w:type="character" w:customStyle="1" w:styleId="FooterChar">
    <w:name w:val="Footer Char"/>
    <w:basedOn w:val="DefaultParagraphFont"/>
    <w:link w:val="Footer"/>
    <w:uiPriority w:val="99"/>
    <w:rsid w:val="001F1AD2"/>
    <w:rPr>
      <w:rFonts w:eastAsia="Times New Roman"/>
      <w:sz w:val="18"/>
      <w:lang w:val="en-GB"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1F1AD2"/>
    <w:rPr>
      <w:rFonts w:eastAsia="Times New Roman"/>
      <w:sz w:val="18"/>
      <w:lang w:val="en-GB" w:eastAsia="en-US"/>
    </w:rPr>
  </w:style>
  <w:style w:type="character" w:customStyle="1" w:styleId="HeaderChar">
    <w:name w:val="Header Char"/>
    <w:basedOn w:val="DefaultParagraphFont"/>
    <w:link w:val="Header"/>
    <w:rsid w:val="001F1AD2"/>
    <w:rPr>
      <w:rFonts w:eastAsia="Times New Roman"/>
      <w:b/>
      <w:sz w:val="18"/>
      <w:lang w:val="en-GB" w:eastAsia="en-US"/>
    </w:rPr>
  </w:style>
  <w:style w:type="character" w:customStyle="1" w:styleId="Heading1Char">
    <w:name w:val="Heading 1 Char"/>
    <w:aliases w:val="EO Heading 1 Char"/>
    <w:basedOn w:val="DefaultParagraphFont"/>
    <w:link w:val="Heading1"/>
    <w:rsid w:val="001F1AD2"/>
    <w:rPr>
      <w:rFonts w:eastAsia="Times New Roman"/>
      <w:b/>
      <w:sz w:val="28"/>
      <w:lang w:val="en-GB" w:eastAsia="en-US"/>
    </w:rPr>
  </w:style>
  <w:style w:type="character" w:customStyle="1" w:styleId="Heading2Char">
    <w:name w:val="Heading 2 Char"/>
    <w:aliases w:val="EO Heading 2 Char"/>
    <w:basedOn w:val="DefaultParagraphFont"/>
    <w:link w:val="Heading2"/>
    <w:rsid w:val="001F1AD2"/>
    <w:rPr>
      <w:rFonts w:eastAsia="Times New Roman"/>
      <w:b/>
      <w:sz w:val="24"/>
      <w:szCs w:val="24"/>
      <w:lang w:val="en-GB" w:eastAsia="en-US"/>
    </w:rPr>
  </w:style>
  <w:style w:type="character" w:customStyle="1" w:styleId="Heading3Char">
    <w:name w:val="Heading 3 Char"/>
    <w:basedOn w:val="DefaultParagraphFont"/>
    <w:link w:val="Heading3"/>
    <w:rsid w:val="001F1AD2"/>
    <w:rPr>
      <w:rFonts w:eastAsia="Times New Roman"/>
      <w:b/>
      <w:lang w:val="en-GB" w:eastAsia="en-US"/>
    </w:rPr>
  </w:style>
  <w:style w:type="character" w:customStyle="1" w:styleId="Heading4Char">
    <w:name w:val="Heading 4 Char"/>
    <w:basedOn w:val="DefaultParagraphFont"/>
    <w:link w:val="Heading4"/>
    <w:rsid w:val="001F1AD2"/>
    <w:rPr>
      <w:rFonts w:eastAsia="Times New Roman"/>
      <w:b/>
      <w:lang w:val="en-GB" w:eastAsia="en-US"/>
    </w:rPr>
  </w:style>
  <w:style w:type="character" w:customStyle="1" w:styleId="Heading5Char">
    <w:name w:val="Heading 5 Char"/>
    <w:basedOn w:val="DefaultParagraphFont"/>
    <w:link w:val="Heading5"/>
    <w:rsid w:val="001F1AD2"/>
    <w:rPr>
      <w:rFonts w:ascii="Univers" w:eastAsia="Times New Roman" w:hAnsi="Univers"/>
      <w:b/>
      <w:sz w:val="24"/>
      <w:lang w:val="en-GB" w:eastAsia="en-US"/>
    </w:rPr>
  </w:style>
  <w:style w:type="character" w:customStyle="1" w:styleId="Heading6Char">
    <w:name w:val="Heading 6 Char"/>
    <w:basedOn w:val="DefaultParagraphFont"/>
    <w:link w:val="Heading6"/>
    <w:rsid w:val="001F1AD2"/>
    <w:rPr>
      <w:rFonts w:eastAsia="Times New Roman"/>
      <w:b/>
      <w:bCs/>
      <w:sz w:val="24"/>
      <w:lang w:val="en-GB" w:eastAsia="en-US"/>
    </w:rPr>
  </w:style>
  <w:style w:type="character" w:customStyle="1" w:styleId="Heading7Char">
    <w:name w:val="Heading 7 Char"/>
    <w:basedOn w:val="DefaultParagraphFont"/>
    <w:link w:val="Heading7"/>
    <w:rsid w:val="001F1AD2"/>
    <w:rPr>
      <w:rFonts w:eastAsia="Times New Roman"/>
      <w:snapToGrid w:val="0"/>
      <w:u w:val="single"/>
      <w:lang w:val="en-GB" w:eastAsia="en-US"/>
    </w:rPr>
  </w:style>
  <w:style w:type="character" w:customStyle="1" w:styleId="Heading8Char">
    <w:name w:val="Heading 8 Char"/>
    <w:basedOn w:val="DefaultParagraphFont"/>
    <w:link w:val="Heading8"/>
    <w:rsid w:val="001F1AD2"/>
    <w:rPr>
      <w:rFonts w:eastAsia="Times New Roman"/>
      <w:snapToGrid w:val="0"/>
      <w:u w:val="single"/>
      <w:lang w:val="en-GB" w:eastAsia="en-US"/>
    </w:rPr>
  </w:style>
  <w:style w:type="character" w:customStyle="1" w:styleId="Heading9Char">
    <w:name w:val="Heading 9 Char"/>
    <w:basedOn w:val="DefaultParagraphFont"/>
    <w:link w:val="Heading9"/>
    <w:rsid w:val="001F1AD2"/>
    <w:rPr>
      <w:rFonts w:eastAsia="Times New Roman"/>
      <w:snapToGrid w:val="0"/>
      <w:u w:val="single"/>
      <w:lang w:val="en-GB" w:eastAsia="en-US"/>
    </w:rPr>
  </w:style>
  <w:style w:type="paragraph" w:styleId="ListParagraph">
    <w:name w:val="List Paragraph"/>
    <w:aliases w:val="list abc 1st,List (a)(b)(c) 1st,Bullets,List Paragraph1,Table/Figure Heading,Listeafsnit,Medium Grid 1 - Accent 21,OIOS List Paragraph"/>
    <w:basedOn w:val="Normal"/>
    <w:link w:val="ListParagraphChar"/>
    <w:uiPriority w:val="34"/>
    <w:qFormat/>
    <w:rsid w:val="0022762D"/>
    <w:pPr>
      <w:ind w:left="720"/>
      <w:contextualSpacing/>
    </w:pPr>
  </w:style>
  <w:style w:type="paragraph" w:styleId="NoSpacing">
    <w:name w:val="No Spacing"/>
    <w:link w:val="NoSpacingChar"/>
    <w:uiPriority w:val="1"/>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rsid w:val="006534F8"/>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EB0ED1"/>
    <w:pPr>
      <w:tabs>
        <w:tab w:val="left" w:pos="624"/>
        <w:tab w:val="left" w:pos="4082"/>
      </w:tabs>
      <w:spacing w:before="120"/>
    </w:pPr>
    <w:rPr>
      <w:lang w:val="en-US"/>
    </w:rPr>
  </w:style>
  <w:style w:type="character" w:customStyle="1" w:styleId="ALogoChar">
    <w:name w:val="A_Logo Char"/>
    <w:basedOn w:val="DefaultParagraphFont"/>
    <w:link w:val="ALogo"/>
    <w:rsid w:val="00EB0ED1"/>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rsid w:val="00A03A4A"/>
    <w:rPr>
      <w:color w:val="605E5C"/>
      <w:shd w:val="clear" w:color="auto" w:fill="E1DFDD"/>
    </w:rPr>
  </w:style>
  <w:style w:type="paragraph" w:customStyle="1" w:styleId="ANormal">
    <w:name w:val="A_Normal"/>
    <w:basedOn w:val="Normal-pool"/>
    <w:qFormat/>
    <w:rsid w:val="000873DF"/>
  </w:style>
  <w:style w:type="paragraph" w:customStyle="1" w:styleId="AText0">
    <w:name w:val="A_Text0"/>
    <w:basedOn w:val="AText"/>
    <w:next w:val="AText"/>
    <w:qFormat/>
    <w:rsid w:val="00AC16B8"/>
    <w:pPr>
      <w:spacing w:before="0" w:after="120"/>
    </w:pPr>
  </w:style>
  <w:style w:type="paragraph" w:styleId="Revision">
    <w:name w:val="Revision"/>
    <w:hidden/>
    <w:uiPriority w:val="99"/>
    <w:semiHidden/>
    <w:rsid w:val="009B0F83"/>
    <w:rPr>
      <w:rFonts w:eastAsia="Times New Roman"/>
      <w:lang w:val="en-GB"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F55399"/>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 w:type="paragraph" w:styleId="Bibliography">
    <w:name w:val="Bibliography"/>
    <w:basedOn w:val="Normal"/>
    <w:next w:val="Normal"/>
    <w:uiPriority w:val="37"/>
    <w:semiHidden/>
    <w:rsid w:val="00F9672F"/>
    <w:rPr>
      <w:lang w:val="en-US"/>
    </w:rPr>
  </w:style>
  <w:style w:type="paragraph" w:customStyle="1" w:styleId="Normalpool">
    <w:name w:val="Normal_pool"/>
    <w:link w:val="NormalpoolChar"/>
    <w:autoRedefine/>
    <w:rsid w:val="00F9672F"/>
    <w:pPr>
      <w:tabs>
        <w:tab w:val="left" w:pos="624"/>
      </w:tabs>
      <w:spacing w:after="120"/>
      <w:ind w:left="1247" w:firstLine="624"/>
    </w:pPr>
    <w:rPr>
      <w:rFonts w:asciiTheme="majorBidi" w:hAnsiTheme="majorBidi" w:cstheme="majorBidi"/>
      <w:lang w:val="en-GB" w:eastAsia="en-US"/>
    </w:rPr>
  </w:style>
  <w:style w:type="character" w:customStyle="1" w:styleId="NormalpoolChar">
    <w:name w:val="Normal_pool Char"/>
    <w:link w:val="Normalpool"/>
    <w:locked/>
    <w:rsid w:val="0080622C"/>
    <w:rPr>
      <w:rFonts w:asciiTheme="majorBidi" w:hAnsiTheme="majorBidi" w:cstheme="majorBidi"/>
      <w:lang w:val="en-GB" w:eastAsia="en-US"/>
    </w:rPr>
  </w:style>
  <w:style w:type="paragraph" w:styleId="BlockText">
    <w:name w:val="Block Text"/>
    <w:basedOn w:val="Normal"/>
    <w:semiHidden/>
    <w:rsid w:val="00F967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uiPriority w:val="1"/>
    <w:qFormat/>
    <w:rsid w:val="00F9672F"/>
    <w:pPr>
      <w:spacing w:after="120"/>
    </w:pPr>
    <w:rPr>
      <w:lang w:val="en-US"/>
    </w:rPr>
  </w:style>
  <w:style w:type="character" w:customStyle="1" w:styleId="BodyTextChar">
    <w:name w:val="Body Text Char"/>
    <w:basedOn w:val="DefaultParagraphFont"/>
    <w:link w:val="BodyText"/>
    <w:uiPriority w:val="1"/>
    <w:rsid w:val="001F1AD2"/>
    <w:rPr>
      <w:rFonts w:eastAsia="Times New Roman"/>
      <w:lang w:val="en-US" w:eastAsia="en-US"/>
    </w:rPr>
  </w:style>
  <w:style w:type="paragraph" w:styleId="BodyText3">
    <w:name w:val="Body Text 3"/>
    <w:basedOn w:val="Normal"/>
    <w:link w:val="BodyText3Char"/>
    <w:semiHidden/>
    <w:rsid w:val="00F9672F"/>
    <w:pPr>
      <w:spacing w:after="120"/>
    </w:pPr>
    <w:rPr>
      <w:sz w:val="16"/>
      <w:szCs w:val="16"/>
      <w:lang w:val="en-US"/>
    </w:rPr>
  </w:style>
  <w:style w:type="character" w:customStyle="1" w:styleId="BodyText3Char">
    <w:name w:val="Body Text 3 Char"/>
    <w:basedOn w:val="DefaultParagraphFont"/>
    <w:link w:val="BodyText3"/>
    <w:semiHidden/>
    <w:rsid w:val="00F9672F"/>
    <w:rPr>
      <w:rFonts w:eastAsia="Times New Roman"/>
      <w:sz w:val="16"/>
      <w:szCs w:val="16"/>
      <w:lang w:val="en-US" w:eastAsia="en-US"/>
    </w:rPr>
  </w:style>
  <w:style w:type="paragraph" w:styleId="BodyTextFirstIndent">
    <w:name w:val="Body Text First Indent"/>
    <w:basedOn w:val="Normal"/>
    <w:link w:val="BodyTextFirstIndentChar"/>
    <w:semiHidden/>
    <w:rsid w:val="00F9672F"/>
    <w:pPr>
      <w:ind w:firstLine="360"/>
    </w:pPr>
    <w:rPr>
      <w:lang w:val="en-US"/>
    </w:rPr>
  </w:style>
  <w:style w:type="character" w:customStyle="1" w:styleId="BodyTextFirstIndentChar">
    <w:name w:val="Body Text First Indent Char"/>
    <w:basedOn w:val="BodyTextChar"/>
    <w:link w:val="BodyTextFirstIndent"/>
    <w:semiHidden/>
    <w:rsid w:val="00F9672F"/>
    <w:rPr>
      <w:rFonts w:eastAsia="Times New Roman"/>
      <w:lang w:val="en-US" w:eastAsia="en-US"/>
    </w:rPr>
  </w:style>
  <w:style w:type="paragraph" w:styleId="BodyTextIndent">
    <w:name w:val="Body Text Indent"/>
    <w:basedOn w:val="Normal"/>
    <w:link w:val="BodyTextIndentChar"/>
    <w:semiHidden/>
    <w:rsid w:val="00F9672F"/>
    <w:pPr>
      <w:spacing w:after="120"/>
      <w:ind w:left="283"/>
    </w:pPr>
    <w:rPr>
      <w:lang w:val="en-US"/>
    </w:rPr>
  </w:style>
  <w:style w:type="character" w:customStyle="1" w:styleId="BodyTextIndentChar">
    <w:name w:val="Body Text Indent Char"/>
    <w:basedOn w:val="DefaultParagraphFont"/>
    <w:link w:val="BodyTextIndent"/>
    <w:semiHidden/>
    <w:rsid w:val="00F9672F"/>
    <w:rPr>
      <w:rFonts w:eastAsia="Times New Roman"/>
      <w:lang w:val="en-US" w:eastAsia="en-US"/>
    </w:rPr>
  </w:style>
  <w:style w:type="paragraph" w:styleId="BodyTextFirstIndent2">
    <w:name w:val="Body Text First Indent 2"/>
    <w:basedOn w:val="BodyTextIndent"/>
    <w:link w:val="BodyTextFirstIndent2Char"/>
    <w:semiHidden/>
    <w:rsid w:val="00F9672F"/>
    <w:pPr>
      <w:spacing w:after="0"/>
      <w:ind w:left="360" w:firstLine="360"/>
    </w:pPr>
  </w:style>
  <w:style w:type="character" w:customStyle="1" w:styleId="BodyTextFirstIndent2Char">
    <w:name w:val="Body Text First Indent 2 Char"/>
    <w:basedOn w:val="BodyTextIndentChar"/>
    <w:link w:val="BodyTextFirstIndent2"/>
    <w:semiHidden/>
    <w:rsid w:val="00F9672F"/>
    <w:rPr>
      <w:rFonts w:eastAsia="Times New Roman"/>
      <w:lang w:val="en-US" w:eastAsia="en-US"/>
    </w:rPr>
  </w:style>
  <w:style w:type="paragraph" w:styleId="BodyTextIndent2">
    <w:name w:val="Body Text Indent 2"/>
    <w:basedOn w:val="Normal"/>
    <w:link w:val="BodyTextIndent2Char"/>
    <w:semiHidden/>
    <w:rsid w:val="00F9672F"/>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9672F"/>
    <w:rPr>
      <w:rFonts w:eastAsia="Times New Roman"/>
      <w:lang w:val="en-US" w:eastAsia="en-US"/>
    </w:rPr>
  </w:style>
  <w:style w:type="paragraph" w:styleId="BodyTextIndent3">
    <w:name w:val="Body Text Indent 3"/>
    <w:basedOn w:val="Normal"/>
    <w:link w:val="BodyTextIndent3Char"/>
    <w:semiHidden/>
    <w:rsid w:val="00F9672F"/>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9672F"/>
    <w:rPr>
      <w:rFonts w:eastAsia="Times New Roman"/>
      <w:sz w:val="16"/>
      <w:szCs w:val="16"/>
      <w:lang w:val="en-US" w:eastAsia="en-US"/>
    </w:rPr>
  </w:style>
  <w:style w:type="character" w:styleId="BookTitle">
    <w:name w:val="Book Title"/>
    <w:basedOn w:val="DefaultParagraphFont"/>
    <w:uiPriority w:val="33"/>
    <w:qFormat/>
    <w:rsid w:val="00F9672F"/>
    <w:rPr>
      <w:b/>
      <w:bCs/>
      <w:i/>
      <w:iCs/>
      <w:spacing w:val="5"/>
      <w:lang w:val="en-US"/>
    </w:rPr>
  </w:style>
  <w:style w:type="paragraph" w:styleId="Caption">
    <w:name w:val="caption"/>
    <w:aliases w:val="EO Caption"/>
    <w:basedOn w:val="Normal"/>
    <w:next w:val="Normal"/>
    <w:link w:val="CaptionChar"/>
    <w:qFormat/>
    <w:rsid w:val="00F9672F"/>
    <w:pPr>
      <w:spacing w:after="200"/>
    </w:pPr>
    <w:rPr>
      <w:i/>
      <w:iCs/>
      <w:color w:val="1F497D" w:themeColor="text2"/>
      <w:sz w:val="18"/>
      <w:szCs w:val="18"/>
      <w:lang w:val="en-US"/>
    </w:rPr>
  </w:style>
  <w:style w:type="paragraph" w:styleId="Closing">
    <w:name w:val="Closing"/>
    <w:basedOn w:val="Normal"/>
    <w:link w:val="ClosingChar"/>
    <w:semiHidden/>
    <w:rsid w:val="00F9672F"/>
    <w:pPr>
      <w:ind w:left="4252"/>
    </w:pPr>
    <w:rPr>
      <w:lang w:val="en-US"/>
    </w:rPr>
  </w:style>
  <w:style w:type="character" w:customStyle="1" w:styleId="ClosingChar">
    <w:name w:val="Closing Char"/>
    <w:basedOn w:val="DefaultParagraphFont"/>
    <w:link w:val="Closing"/>
    <w:semiHidden/>
    <w:rsid w:val="00F9672F"/>
    <w:rPr>
      <w:rFonts w:eastAsia="Times New Roman"/>
      <w:lang w:val="en-US" w:eastAsia="en-US"/>
    </w:rPr>
  </w:style>
  <w:style w:type="table" w:styleId="ColorfulGrid">
    <w:name w:val="Colorful Grid"/>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F9672F"/>
    <w:rPr>
      <w:lang w:val="en-US"/>
    </w:rPr>
  </w:style>
  <w:style w:type="character" w:customStyle="1" w:styleId="DateChar">
    <w:name w:val="Date Char"/>
    <w:basedOn w:val="DefaultParagraphFont"/>
    <w:link w:val="Date"/>
    <w:semiHidden/>
    <w:rsid w:val="00F9672F"/>
    <w:rPr>
      <w:rFonts w:eastAsia="Times New Roman"/>
      <w:lang w:val="en-US" w:eastAsia="en-US"/>
    </w:rPr>
  </w:style>
  <w:style w:type="paragraph" w:styleId="DocumentMap">
    <w:name w:val="Document Map"/>
    <w:basedOn w:val="Normal"/>
    <w:link w:val="DocumentMapChar"/>
    <w:semiHidden/>
    <w:rsid w:val="00F9672F"/>
    <w:rPr>
      <w:rFonts w:ascii="Segoe UI" w:hAnsi="Segoe UI" w:cs="Segoe UI"/>
      <w:sz w:val="16"/>
      <w:szCs w:val="16"/>
      <w:lang w:val="en-US"/>
    </w:rPr>
  </w:style>
  <w:style w:type="character" w:customStyle="1" w:styleId="DocumentMapChar">
    <w:name w:val="Document Map Char"/>
    <w:basedOn w:val="DefaultParagraphFont"/>
    <w:link w:val="DocumentMap"/>
    <w:semiHidden/>
    <w:rsid w:val="00F9672F"/>
    <w:rPr>
      <w:rFonts w:ascii="Segoe UI" w:eastAsia="Times New Roman" w:hAnsi="Segoe UI" w:cs="Segoe UI"/>
      <w:sz w:val="16"/>
      <w:szCs w:val="16"/>
      <w:lang w:val="en-US" w:eastAsia="en-US"/>
    </w:rPr>
  </w:style>
  <w:style w:type="paragraph" w:styleId="E-mailSignature">
    <w:name w:val="E-mail Signature"/>
    <w:basedOn w:val="Normal"/>
    <w:link w:val="E-mailSignatureChar"/>
    <w:semiHidden/>
    <w:rsid w:val="00F9672F"/>
    <w:rPr>
      <w:lang w:val="en-US"/>
    </w:rPr>
  </w:style>
  <w:style w:type="character" w:customStyle="1" w:styleId="E-mailSignatureChar">
    <w:name w:val="E-mail Signature Char"/>
    <w:basedOn w:val="DefaultParagraphFont"/>
    <w:link w:val="E-mailSignature"/>
    <w:semiHidden/>
    <w:rsid w:val="00F9672F"/>
    <w:rPr>
      <w:rFonts w:eastAsia="Times New Roman"/>
      <w:lang w:val="en-US" w:eastAsia="en-US"/>
    </w:rPr>
  </w:style>
  <w:style w:type="character" w:styleId="Emphasis">
    <w:name w:val="Emphasis"/>
    <w:basedOn w:val="DefaultParagraphFont"/>
    <w:uiPriority w:val="20"/>
    <w:qFormat/>
    <w:rsid w:val="00F9672F"/>
    <w:rPr>
      <w:i/>
      <w:iCs/>
    </w:rPr>
  </w:style>
  <w:style w:type="character" w:styleId="EndnoteReference">
    <w:name w:val="endnote reference"/>
    <w:basedOn w:val="DefaultParagraphFont"/>
    <w:semiHidden/>
    <w:rsid w:val="00F9672F"/>
    <w:rPr>
      <w:vertAlign w:val="superscript"/>
    </w:rPr>
  </w:style>
  <w:style w:type="paragraph" w:styleId="EndnoteText">
    <w:name w:val="endnote text"/>
    <w:basedOn w:val="Normal"/>
    <w:link w:val="EndnoteTextChar"/>
    <w:semiHidden/>
    <w:rsid w:val="00F9672F"/>
    <w:rPr>
      <w:lang w:val="en-US"/>
    </w:rPr>
  </w:style>
  <w:style w:type="character" w:customStyle="1" w:styleId="EndnoteTextChar">
    <w:name w:val="Endnote Text Char"/>
    <w:basedOn w:val="DefaultParagraphFont"/>
    <w:link w:val="EndnoteText"/>
    <w:semiHidden/>
    <w:rsid w:val="00F9672F"/>
    <w:rPr>
      <w:rFonts w:eastAsia="Times New Roman"/>
      <w:lang w:val="en-US" w:eastAsia="en-US"/>
    </w:rPr>
  </w:style>
  <w:style w:type="paragraph" w:styleId="EnvelopeAddress">
    <w:name w:val="envelope address"/>
    <w:basedOn w:val="Normal"/>
    <w:semiHidden/>
    <w:rsid w:val="00F9672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rsid w:val="00F9672F"/>
    <w:rPr>
      <w:rFonts w:asciiTheme="majorHAnsi" w:eastAsiaTheme="majorEastAsia" w:hAnsiTheme="majorHAnsi" w:cstheme="majorBidi"/>
      <w:lang w:val="en-US"/>
    </w:rPr>
  </w:style>
  <w:style w:type="table" w:styleId="GridTable1Light">
    <w:name w:val="Grid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F9672F"/>
    <w:rPr>
      <w:color w:val="2B579A"/>
      <w:shd w:val="clear" w:color="auto" w:fill="E1DFDD"/>
    </w:rPr>
  </w:style>
  <w:style w:type="character" w:styleId="HTMLAcronym">
    <w:name w:val="HTML Acronym"/>
    <w:basedOn w:val="DefaultParagraphFont"/>
    <w:semiHidden/>
    <w:rsid w:val="00F9672F"/>
  </w:style>
  <w:style w:type="paragraph" w:styleId="HTMLAddress">
    <w:name w:val="HTML Address"/>
    <w:basedOn w:val="Normal"/>
    <w:link w:val="HTMLAddressChar"/>
    <w:semiHidden/>
    <w:rsid w:val="00F9672F"/>
    <w:rPr>
      <w:i/>
      <w:iCs/>
      <w:lang w:val="en-US"/>
    </w:rPr>
  </w:style>
  <w:style w:type="character" w:customStyle="1" w:styleId="HTMLAddressChar">
    <w:name w:val="HTML Address Char"/>
    <w:basedOn w:val="DefaultParagraphFont"/>
    <w:link w:val="HTMLAddress"/>
    <w:semiHidden/>
    <w:rsid w:val="00F9672F"/>
    <w:rPr>
      <w:rFonts w:eastAsia="Times New Roman"/>
      <w:i/>
      <w:iCs/>
      <w:lang w:val="en-US" w:eastAsia="en-US"/>
    </w:rPr>
  </w:style>
  <w:style w:type="paragraph" w:styleId="BodyText2">
    <w:name w:val="Body Text 2"/>
    <w:basedOn w:val="Normal"/>
    <w:link w:val="BodyText2Char"/>
    <w:semiHidden/>
    <w:rsid w:val="00F9672F"/>
    <w:pPr>
      <w:spacing w:after="120" w:line="480" w:lineRule="auto"/>
    </w:pPr>
    <w:rPr>
      <w:lang w:val="en-US"/>
    </w:rPr>
  </w:style>
  <w:style w:type="character" w:customStyle="1" w:styleId="BodyText2Char">
    <w:name w:val="Body Text 2 Char"/>
    <w:basedOn w:val="DefaultParagraphFont"/>
    <w:link w:val="BodyText2"/>
    <w:semiHidden/>
    <w:rsid w:val="00F9672F"/>
    <w:rPr>
      <w:rFonts w:eastAsia="Times New Roman"/>
      <w:lang w:val="en-US" w:eastAsia="en-US"/>
    </w:rPr>
  </w:style>
  <w:style w:type="character" w:styleId="HTMLCode">
    <w:name w:val="HTML Code"/>
    <w:basedOn w:val="DefaultParagraphFont"/>
    <w:semiHidden/>
    <w:rsid w:val="00F9672F"/>
    <w:rPr>
      <w:rFonts w:ascii="Consolas" w:hAnsi="Consolas"/>
      <w:sz w:val="20"/>
      <w:szCs w:val="20"/>
    </w:rPr>
  </w:style>
  <w:style w:type="character" w:styleId="HTMLDefinition">
    <w:name w:val="HTML Definition"/>
    <w:basedOn w:val="DefaultParagraphFont"/>
    <w:semiHidden/>
    <w:rsid w:val="00F9672F"/>
    <w:rPr>
      <w:i/>
      <w:iCs/>
    </w:rPr>
  </w:style>
  <w:style w:type="character" w:styleId="HTMLKeyboard">
    <w:name w:val="HTML Keyboard"/>
    <w:basedOn w:val="DefaultParagraphFont"/>
    <w:semiHidden/>
    <w:rsid w:val="00F9672F"/>
    <w:rPr>
      <w:rFonts w:ascii="Consolas" w:hAnsi="Consolas"/>
      <w:sz w:val="20"/>
      <w:szCs w:val="20"/>
    </w:rPr>
  </w:style>
  <w:style w:type="paragraph" w:styleId="HTMLPreformatted">
    <w:name w:val="HTML Preformatted"/>
    <w:basedOn w:val="Normal"/>
    <w:link w:val="HTMLPreformattedChar"/>
    <w:semiHidden/>
    <w:rsid w:val="00F9672F"/>
    <w:rPr>
      <w:rFonts w:ascii="Consolas" w:hAnsi="Consolas"/>
      <w:lang w:val="en-US"/>
    </w:rPr>
  </w:style>
  <w:style w:type="character" w:customStyle="1" w:styleId="HTMLPreformattedChar">
    <w:name w:val="HTML Preformatted Char"/>
    <w:basedOn w:val="DefaultParagraphFont"/>
    <w:link w:val="HTMLPreformatted"/>
    <w:semiHidden/>
    <w:rsid w:val="00F9672F"/>
    <w:rPr>
      <w:rFonts w:ascii="Consolas" w:eastAsia="Times New Roman" w:hAnsi="Consolas"/>
      <w:lang w:val="en-US" w:eastAsia="en-US"/>
    </w:rPr>
  </w:style>
  <w:style w:type="character" w:styleId="HTMLSample">
    <w:name w:val="HTML Sample"/>
    <w:basedOn w:val="DefaultParagraphFont"/>
    <w:semiHidden/>
    <w:unhideWhenUsed/>
    <w:rsid w:val="00F9672F"/>
    <w:rPr>
      <w:rFonts w:ascii="Consolas" w:hAnsi="Consolas"/>
      <w:sz w:val="24"/>
      <w:szCs w:val="24"/>
    </w:rPr>
  </w:style>
  <w:style w:type="character" w:styleId="HTMLTypewriter">
    <w:name w:val="HTML Typewriter"/>
    <w:basedOn w:val="DefaultParagraphFont"/>
    <w:semiHidden/>
    <w:unhideWhenUsed/>
    <w:rsid w:val="00F9672F"/>
    <w:rPr>
      <w:rFonts w:ascii="Consolas" w:hAnsi="Consolas"/>
      <w:sz w:val="20"/>
      <w:szCs w:val="20"/>
    </w:rPr>
  </w:style>
  <w:style w:type="character" w:styleId="HTMLVariable">
    <w:name w:val="HTML Variable"/>
    <w:basedOn w:val="DefaultParagraphFont"/>
    <w:semiHidden/>
    <w:unhideWhenUsed/>
    <w:rsid w:val="00F9672F"/>
    <w:rPr>
      <w:i/>
      <w:iCs/>
    </w:rPr>
  </w:style>
  <w:style w:type="character" w:styleId="HTMLCite">
    <w:name w:val="HTML Cite"/>
    <w:basedOn w:val="DefaultParagraphFont"/>
    <w:uiPriority w:val="99"/>
    <w:rsid w:val="00F9672F"/>
    <w:rPr>
      <w:i/>
      <w:iCs/>
    </w:rPr>
  </w:style>
  <w:style w:type="paragraph" w:styleId="Index1">
    <w:name w:val="index 1"/>
    <w:basedOn w:val="Normal"/>
    <w:next w:val="Normal"/>
    <w:autoRedefine/>
    <w:semiHidden/>
    <w:rsid w:val="00F9672F"/>
    <w:pPr>
      <w:tabs>
        <w:tab w:val="clear" w:pos="1247"/>
      </w:tabs>
      <w:ind w:left="200" w:hanging="200"/>
    </w:pPr>
    <w:rPr>
      <w:lang w:val="en-US"/>
    </w:rPr>
  </w:style>
  <w:style w:type="paragraph" w:styleId="Index2">
    <w:name w:val="index 2"/>
    <w:basedOn w:val="Normal"/>
    <w:next w:val="Normal"/>
    <w:autoRedefine/>
    <w:semiHidden/>
    <w:rsid w:val="00F9672F"/>
    <w:pPr>
      <w:tabs>
        <w:tab w:val="clear" w:pos="1247"/>
      </w:tabs>
      <w:ind w:left="400" w:hanging="200"/>
    </w:pPr>
    <w:rPr>
      <w:lang w:val="en-US"/>
    </w:rPr>
  </w:style>
  <w:style w:type="paragraph" w:styleId="Index3">
    <w:name w:val="index 3"/>
    <w:basedOn w:val="Normal"/>
    <w:next w:val="Normal"/>
    <w:autoRedefine/>
    <w:semiHidden/>
    <w:rsid w:val="00F9672F"/>
    <w:pPr>
      <w:tabs>
        <w:tab w:val="clear" w:pos="1247"/>
      </w:tabs>
      <w:ind w:left="600" w:hanging="200"/>
    </w:pPr>
    <w:rPr>
      <w:lang w:val="en-US"/>
    </w:rPr>
  </w:style>
  <w:style w:type="paragraph" w:styleId="Index4">
    <w:name w:val="index 4"/>
    <w:basedOn w:val="Normal"/>
    <w:next w:val="Normal"/>
    <w:autoRedefine/>
    <w:semiHidden/>
    <w:rsid w:val="00F9672F"/>
    <w:pPr>
      <w:tabs>
        <w:tab w:val="clear" w:pos="1247"/>
      </w:tabs>
      <w:ind w:left="800" w:hanging="200"/>
    </w:pPr>
    <w:rPr>
      <w:lang w:val="en-US"/>
    </w:rPr>
  </w:style>
  <w:style w:type="paragraph" w:styleId="Index5">
    <w:name w:val="index 5"/>
    <w:basedOn w:val="Normal"/>
    <w:next w:val="Normal"/>
    <w:autoRedefine/>
    <w:semiHidden/>
    <w:rsid w:val="00F9672F"/>
    <w:pPr>
      <w:tabs>
        <w:tab w:val="clear" w:pos="1247"/>
      </w:tabs>
      <w:ind w:left="1000" w:hanging="200"/>
    </w:pPr>
    <w:rPr>
      <w:lang w:val="en-US"/>
    </w:rPr>
  </w:style>
  <w:style w:type="paragraph" w:styleId="Index6">
    <w:name w:val="index 6"/>
    <w:basedOn w:val="Normal"/>
    <w:next w:val="Normal"/>
    <w:autoRedefine/>
    <w:semiHidden/>
    <w:rsid w:val="00F9672F"/>
    <w:pPr>
      <w:tabs>
        <w:tab w:val="clear" w:pos="1247"/>
      </w:tabs>
      <w:ind w:left="1200" w:hanging="200"/>
    </w:pPr>
    <w:rPr>
      <w:lang w:val="en-US"/>
    </w:rPr>
  </w:style>
  <w:style w:type="paragraph" w:styleId="Index7">
    <w:name w:val="index 7"/>
    <w:basedOn w:val="Normal"/>
    <w:next w:val="Normal"/>
    <w:autoRedefine/>
    <w:semiHidden/>
    <w:rsid w:val="00F9672F"/>
    <w:pPr>
      <w:tabs>
        <w:tab w:val="clear" w:pos="1247"/>
      </w:tabs>
      <w:ind w:left="1400" w:hanging="200"/>
    </w:pPr>
    <w:rPr>
      <w:lang w:val="en-US"/>
    </w:rPr>
  </w:style>
  <w:style w:type="paragraph" w:styleId="IndexHeading">
    <w:name w:val="index heading"/>
    <w:basedOn w:val="Normal"/>
    <w:next w:val="Normal"/>
    <w:semiHidden/>
    <w:rsid w:val="00F9672F"/>
    <w:rPr>
      <w:rFonts w:asciiTheme="majorHAnsi" w:eastAsiaTheme="majorEastAsia" w:hAnsiTheme="majorHAnsi" w:cstheme="majorBidi"/>
      <w:b/>
      <w:bCs/>
      <w:lang w:val="en-US"/>
    </w:rPr>
  </w:style>
  <w:style w:type="character" w:styleId="IntenseEmphasis">
    <w:name w:val="Intense Emphasis"/>
    <w:basedOn w:val="DefaultParagraphFont"/>
    <w:uiPriority w:val="21"/>
    <w:qFormat/>
    <w:rsid w:val="00F9672F"/>
    <w:rPr>
      <w:i/>
      <w:iCs/>
      <w:color w:val="4F81BD" w:themeColor="accent1"/>
    </w:rPr>
  </w:style>
  <w:style w:type="paragraph" w:styleId="IntenseQuote">
    <w:name w:val="Intense Quote"/>
    <w:basedOn w:val="Normal"/>
    <w:next w:val="Normal"/>
    <w:link w:val="IntenseQuoteChar"/>
    <w:uiPriority w:val="30"/>
    <w:qFormat/>
    <w:rsid w:val="00F9672F"/>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rsid w:val="001F1AD2"/>
    <w:rPr>
      <w:rFonts w:eastAsia="Times New Roman"/>
      <w:i/>
      <w:iCs/>
      <w:color w:val="4F81BD" w:themeColor="accent1"/>
      <w:lang w:val="en-US" w:eastAsia="en-US"/>
    </w:rPr>
  </w:style>
  <w:style w:type="character" w:styleId="IntenseReference">
    <w:name w:val="Intense Reference"/>
    <w:basedOn w:val="DefaultParagraphFont"/>
    <w:uiPriority w:val="32"/>
    <w:qFormat/>
    <w:rsid w:val="00F9672F"/>
    <w:rPr>
      <w:b/>
      <w:bCs/>
      <w:smallCaps/>
      <w:color w:val="4F81BD" w:themeColor="accent1"/>
      <w:spacing w:val="5"/>
    </w:rPr>
  </w:style>
  <w:style w:type="table" w:styleId="LightGrid">
    <w:name w:val="Light Grid"/>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9672F"/>
    <w:rPr>
      <w:rFonts w:asciiTheme="minorHAnsi" w:eastAsiaTheme="minorEastAsia" w:hAnsiTheme="minorHAnsi" w:cstheme="minorBidi"/>
      <w:color w:val="000000" w:themeColor="text1" w:themeShade="BF"/>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Index8">
    <w:name w:val="index 8"/>
    <w:basedOn w:val="Normal"/>
    <w:next w:val="Normal"/>
    <w:autoRedefine/>
    <w:semiHidden/>
    <w:rsid w:val="00F9672F"/>
    <w:pPr>
      <w:tabs>
        <w:tab w:val="clear" w:pos="1247"/>
      </w:tabs>
      <w:ind w:left="1600" w:hanging="200"/>
    </w:pPr>
    <w:rPr>
      <w:lang w:val="en-US"/>
    </w:rPr>
  </w:style>
  <w:style w:type="paragraph" w:styleId="Index9">
    <w:name w:val="index 9"/>
    <w:basedOn w:val="Normal"/>
    <w:next w:val="Normal"/>
    <w:autoRedefine/>
    <w:semiHidden/>
    <w:rsid w:val="00F9672F"/>
    <w:pPr>
      <w:tabs>
        <w:tab w:val="clear" w:pos="1247"/>
      </w:tabs>
      <w:ind w:left="1800" w:hanging="200"/>
    </w:pPr>
    <w:rPr>
      <w:lang w:val="en-US"/>
    </w:rPr>
  </w:style>
  <w:style w:type="character" w:styleId="LineNumber">
    <w:name w:val="line number"/>
    <w:basedOn w:val="DefaultParagraphFont"/>
    <w:semiHidden/>
    <w:rsid w:val="00F9672F"/>
  </w:style>
  <w:style w:type="paragraph" w:styleId="List3">
    <w:name w:val="List 3"/>
    <w:basedOn w:val="Normal"/>
    <w:semiHidden/>
    <w:rsid w:val="00F9672F"/>
    <w:pPr>
      <w:ind w:left="849" w:hanging="283"/>
      <w:contextualSpacing/>
    </w:pPr>
    <w:rPr>
      <w:lang w:val="en-US"/>
    </w:rPr>
  </w:style>
  <w:style w:type="paragraph" w:styleId="List4">
    <w:name w:val="List 4"/>
    <w:basedOn w:val="Normal"/>
    <w:semiHidden/>
    <w:rsid w:val="00F9672F"/>
    <w:pPr>
      <w:ind w:left="1132" w:hanging="283"/>
      <w:contextualSpacing/>
    </w:pPr>
    <w:rPr>
      <w:lang w:val="en-US"/>
    </w:rPr>
  </w:style>
  <w:style w:type="paragraph" w:styleId="List5">
    <w:name w:val="List 5"/>
    <w:basedOn w:val="Normal"/>
    <w:semiHidden/>
    <w:rsid w:val="00F9672F"/>
    <w:pPr>
      <w:ind w:left="1415" w:hanging="283"/>
      <w:contextualSpacing/>
    </w:pPr>
    <w:rPr>
      <w:lang w:val="en-US"/>
    </w:rPr>
  </w:style>
  <w:style w:type="paragraph" w:styleId="List">
    <w:name w:val="List"/>
    <w:basedOn w:val="Normal"/>
    <w:semiHidden/>
    <w:rsid w:val="00F9672F"/>
    <w:pPr>
      <w:ind w:left="283" w:hanging="283"/>
      <w:contextualSpacing/>
    </w:pPr>
    <w:rPr>
      <w:lang w:val="en-US"/>
    </w:rPr>
  </w:style>
  <w:style w:type="paragraph" w:styleId="List2">
    <w:name w:val="List 2"/>
    <w:basedOn w:val="Normal"/>
    <w:semiHidden/>
    <w:rsid w:val="00F9672F"/>
    <w:pPr>
      <w:ind w:left="566" w:hanging="283"/>
      <w:contextualSpacing/>
    </w:pPr>
    <w:rPr>
      <w:lang w:val="en-US"/>
    </w:rPr>
  </w:style>
  <w:style w:type="paragraph" w:styleId="ListBullet">
    <w:name w:val="List Bullet"/>
    <w:basedOn w:val="Normal"/>
    <w:semiHidden/>
    <w:rsid w:val="00F9672F"/>
    <w:pPr>
      <w:tabs>
        <w:tab w:val="num" w:pos="360"/>
      </w:tabs>
      <w:ind w:left="360" w:hanging="360"/>
      <w:contextualSpacing/>
    </w:pPr>
    <w:rPr>
      <w:lang w:val="en-US"/>
    </w:rPr>
  </w:style>
  <w:style w:type="paragraph" w:styleId="ListBullet2">
    <w:name w:val="List Bullet 2"/>
    <w:basedOn w:val="Normal"/>
    <w:semiHidden/>
    <w:rsid w:val="00F9672F"/>
    <w:pPr>
      <w:tabs>
        <w:tab w:val="num" w:pos="643"/>
      </w:tabs>
      <w:ind w:left="643" w:hanging="360"/>
      <w:contextualSpacing/>
    </w:pPr>
    <w:rPr>
      <w:lang w:val="en-US"/>
    </w:rPr>
  </w:style>
  <w:style w:type="paragraph" w:styleId="ListBullet3">
    <w:name w:val="List Bullet 3"/>
    <w:basedOn w:val="Normal"/>
    <w:semiHidden/>
    <w:rsid w:val="00F9672F"/>
    <w:pPr>
      <w:tabs>
        <w:tab w:val="num" w:pos="926"/>
      </w:tabs>
      <w:ind w:left="926" w:hanging="360"/>
      <w:contextualSpacing/>
    </w:pPr>
    <w:rPr>
      <w:lang w:val="en-US"/>
    </w:rPr>
  </w:style>
  <w:style w:type="paragraph" w:styleId="ListBullet4">
    <w:name w:val="List Bullet 4"/>
    <w:basedOn w:val="Normal"/>
    <w:semiHidden/>
    <w:rsid w:val="00F9672F"/>
    <w:pPr>
      <w:tabs>
        <w:tab w:val="num" w:pos="1209"/>
      </w:tabs>
      <w:ind w:left="1209" w:hanging="360"/>
      <w:contextualSpacing/>
    </w:pPr>
    <w:rPr>
      <w:lang w:val="en-US"/>
    </w:rPr>
  </w:style>
  <w:style w:type="paragraph" w:styleId="ListBullet5">
    <w:name w:val="List Bullet 5"/>
    <w:basedOn w:val="Normal"/>
    <w:semiHidden/>
    <w:rsid w:val="00F9672F"/>
    <w:pPr>
      <w:tabs>
        <w:tab w:val="num" w:pos="1492"/>
      </w:tabs>
      <w:ind w:left="1492" w:hanging="360"/>
      <w:contextualSpacing/>
    </w:pPr>
    <w:rPr>
      <w:lang w:val="en-US"/>
    </w:rPr>
  </w:style>
  <w:style w:type="paragraph" w:styleId="ListContinue">
    <w:name w:val="List Continue"/>
    <w:basedOn w:val="Normal"/>
    <w:semiHidden/>
    <w:rsid w:val="00F9672F"/>
    <w:pPr>
      <w:spacing w:after="120"/>
      <w:ind w:left="283"/>
      <w:contextualSpacing/>
    </w:pPr>
    <w:rPr>
      <w:lang w:val="en-US"/>
    </w:rPr>
  </w:style>
  <w:style w:type="paragraph" w:styleId="ListContinue2">
    <w:name w:val="List Continue 2"/>
    <w:basedOn w:val="Normal"/>
    <w:semiHidden/>
    <w:rsid w:val="00F9672F"/>
    <w:pPr>
      <w:spacing w:after="120"/>
      <w:ind w:left="566"/>
      <w:contextualSpacing/>
    </w:pPr>
    <w:rPr>
      <w:lang w:val="en-US"/>
    </w:rPr>
  </w:style>
  <w:style w:type="paragraph" w:styleId="ListContinue3">
    <w:name w:val="List Continue 3"/>
    <w:basedOn w:val="Normal"/>
    <w:semiHidden/>
    <w:rsid w:val="00F9672F"/>
    <w:pPr>
      <w:spacing w:after="120"/>
      <w:ind w:left="849"/>
      <w:contextualSpacing/>
    </w:pPr>
    <w:rPr>
      <w:lang w:val="en-US"/>
    </w:rPr>
  </w:style>
  <w:style w:type="paragraph" w:styleId="ListContinue4">
    <w:name w:val="List Continue 4"/>
    <w:basedOn w:val="Normal"/>
    <w:semiHidden/>
    <w:rsid w:val="00F9672F"/>
    <w:pPr>
      <w:spacing w:after="120"/>
      <w:ind w:left="1132"/>
      <w:contextualSpacing/>
    </w:pPr>
    <w:rPr>
      <w:lang w:val="en-US"/>
    </w:rPr>
  </w:style>
  <w:style w:type="paragraph" w:styleId="ListContinue5">
    <w:name w:val="List Continue 5"/>
    <w:basedOn w:val="Normal"/>
    <w:semiHidden/>
    <w:rsid w:val="00F9672F"/>
    <w:pPr>
      <w:spacing w:after="120"/>
      <w:ind w:left="1415"/>
      <w:contextualSpacing/>
    </w:pPr>
    <w:rPr>
      <w:lang w:val="en-US"/>
    </w:rPr>
  </w:style>
  <w:style w:type="paragraph" w:styleId="ListNumber">
    <w:name w:val="List Number"/>
    <w:basedOn w:val="Normal"/>
    <w:semiHidden/>
    <w:rsid w:val="00F9672F"/>
    <w:pPr>
      <w:tabs>
        <w:tab w:val="num" w:pos="360"/>
      </w:tabs>
      <w:ind w:left="360" w:hanging="360"/>
      <w:contextualSpacing/>
    </w:pPr>
    <w:rPr>
      <w:lang w:val="en-US"/>
    </w:rPr>
  </w:style>
  <w:style w:type="paragraph" w:styleId="ListNumber4">
    <w:name w:val="List Number 4"/>
    <w:basedOn w:val="Normal"/>
    <w:semiHidden/>
    <w:rsid w:val="00F9672F"/>
    <w:pPr>
      <w:numPr>
        <w:numId w:val="4"/>
      </w:numPr>
      <w:contextualSpacing/>
    </w:pPr>
    <w:rPr>
      <w:lang w:val="en-US"/>
    </w:rPr>
  </w:style>
  <w:style w:type="paragraph" w:styleId="ListNumber2">
    <w:name w:val="List Number 2"/>
    <w:basedOn w:val="Normal"/>
    <w:semiHidden/>
    <w:rsid w:val="00F9672F"/>
    <w:pPr>
      <w:tabs>
        <w:tab w:val="num" w:pos="643"/>
      </w:tabs>
      <w:ind w:left="643" w:hanging="360"/>
      <w:contextualSpacing/>
    </w:pPr>
    <w:rPr>
      <w:lang w:val="en-US"/>
    </w:rPr>
  </w:style>
  <w:style w:type="table" w:styleId="ListTable1Light">
    <w:name w:val="List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F9672F"/>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F9672F"/>
    <w:rPr>
      <w:rFonts w:ascii="Consolas" w:eastAsia="Times New Roman" w:hAnsi="Consolas"/>
      <w:lang w:val="en-US" w:eastAsia="en-US"/>
    </w:rPr>
  </w:style>
  <w:style w:type="table" w:styleId="MediumGrid1">
    <w:name w:val="Medium Grid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rsid w:val="00F9672F"/>
    <w:rPr>
      <w:color w:val="2B579A"/>
      <w:shd w:val="clear" w:color="auto" w:fill="E1DFDD"/>
    </w:rPr>
  </w:style>
  <w:style w:type="paragraph" w:styleId="MessageHeader">
    <w:name w:val="Message Header"/>
    <w:basedOn w:val="Normal"/>
    <w:link w:val="MessageHeaderChar"/>
    <w:semiHidden/>
    <w:rsid w:val="00F967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F9672F"/>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F9672F"/>
    <w:pPr>
      <w:ind w:left="708"/>
    </w:pPr>
  </w:style>
  <w:style w:type="paragraph" w:styleId="NoteHeading">
    <w:name w:val="Note Heading"/>
    <w:basedOn w:val="Normal"/>
    <w:next w:val="Normal"/>
    <w:link w:val="NoteHeadingChar"/>
    <w:semiHidden/>
    <w:rsid w:val="00F9672F"/>
  </w:style>
  <w:style w:type="character" w:customStyle="1" w:styleId="NoteHeadingChar">
    <w:name w:val="Note Heading Char"/>
    <w:basedOn w:val="DefaultParagraphFont"/>
    <w:link w:val="NoteHeading"/>
    <w:semiHidden/>
    <w:rsid w:val="00F9672F"/>
    <w:rPr>
      <w:rFonts w:eastAsia="Times New Roman"/>
      <w:lang w:val="en-GB" w:eastAsia="en-US"/>
    </w:rPr>
  </w:style>
  <w:style w:type="table" w:styleId="PlainTable1">
    <w:name w:val="Plain Table 1"/>
    <w:basedOn w:val="TableNormal"/>
    <w:uiPriority w:val="41"/>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F9672F"/>
    <w:rPr>
      <w:rFonts w:ascii="Consolas" w:hAnsi="Consolas"/>
      <w:sz w:val="21"/>
      <w:szCs w:val="21"/>
    </w:rPr>
  </w:style>
  <w:style w:type="character" w:customStyle="1" w:styleId="PlainTextChar">
    <w:name w:val="Plain Text Char"/>
    <w:basedOn w:val="DefaultParagraphFont"/>
    <w:link w:val="PlainText"/>
    <w:semiHidden/>
    <w:rsid w:val="00F9672F"/>
    <w:rPr>
      <w:rFonts w:ascii="Consolas" w:eastAsia="Times New Roman" w:hAnsi="Consolas"/>
      <w:sz w:val="21"/>
      <w:szCs w:val="21"/>
      <w:lang w:val="en-GB" w:eastAsia="en-US"/>
    </w:rPr>
  </w:style>
  <w:style w:type="paragraph" w:styleId="Quote">
    <w:name w:val="Quote"/>
    <w:basedOn w:val="Normal"/>
    <w:next w:val="Normal"/>
    <w:link w:val="QuoteChar"/>
    <w:uiPriority w:val="29"/>
    <w:qFormat/>
    <w:rsid w:val="00F967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F1AD2"/>
    <w:rPr>
      <w:rFonts w:eastAsia="Times New Roman"/>
      <w:i/>
      <w:iCs/>
      <w:color w:val="404040" w:themeColor="text1" w:themeTint="BF"/>
      <w:lang w:val="en-GB" w:eastAsia="en-US"/>
    </w:rPr>
  </w:style>
  <w:style w:type="paragraph" w:styleId="Salutation">
    <w:name w:val="Salutation"/>
    <w:basedOn w:val="Normal"/>
    <w:next w:val="Normal"/>
    <w:link w:val="SalutationChar"/>
    <w:semiHidden/>
    <w:rsid w:val="00F9672F"/>
  </w:style>
  <w:style w:type="character" w:customStyle="1" w:styleId="SalutationChar">
    <w:name w:val="Salutation Char"/>
    <w:basedOn w:val="DefaultParagraphFont"/>
    <w:link w:val="Salutation"/>
    <w:semiHidden/>
    <w:rsid w:val="00F9672F"/>
    <w:rPr>
      <w:rFonts w:eastAsia="Times New Roman"/>
      <w:lang w:val="en-GB" w:eastAsia="en-US"/>
    </w:rPr>
  </w:style>
  <w:style w:type="paragraph" w:styleId="Signature">
    <w:name w:val="Signature"/>
    <w:basedOn w:val="Normal"/>
    <w:link w:val="SignatureChar"/>
    <w:semiHidden/>
    <w:rsid w:val="00F9672F"/>
    <w:pPr>
      <w:ind w:left="4252"/>
    </w:pPr>
  </w:style>
  <w:style w:type="character" w:customStyle="1" w:styleId="SignatureChar">
    <w:name w:val="Signature Char"/>
    <w:basedOn w:val="DefaultParagraphFont"/>
    <w:link w:val="Signature"/>
    <w:semiHidden/>
    <w:rsid w:val="00F9672F"/>
    <w:rPr>
      <w:rFonts w:eastAsia="Times New Roman"/>
      <w:lang w:val="en-GB" w:eastAsia="en-US"/>
    </w:rPr>
  </w:style>
  <w:style w:type="character" w:styleId="SmartHyperlink">
    <w:name w:val="Smart Hyperlink"/>
    <w:basedOn w:val="DefaultParagraphFont"/>
    <w:uiPriority w:val="99"/>
    <w:semiHidden/>
    <w:rsid w:val="00F9672F"/>
    <w:rPr>
      <w:u w:val="dotted"/>
    </w:rPr>
  </w:style>
  <w:style w:type="character" w:customStyle="1" w:styleId="SmartLink1">
    <w:name w:val="SmartLink1"/>
    <w:basedOn w:val="DefaultParagraphFont"/>
    <w:uiPriority w:val="99"/>
    <w:semiHidden/>
    <w:rsid w:val="00F9672F"/>
    <w:rPr>
      <w:color w:val="0000FF"/>
      <w:u w:val="single"/>
      <w:shd w:val="clear" w:color="auto" w:fill="F3F2F1"/>
    </w:rPr>
  </w:style>
  <w:style w:type="character" w:styleId="Strong">
    <w:name w:val="Strong"/>
    <w:basedOn w:val="DefaultParagraphFont"/>
    <w:uiPriority w:val="22"/>
    <w:qFormat/>
    <w:rsid w:val="00F9672F"/>
    <w:rPr>
      <w:b/>
      <w:bCs/>
    </w:rPr>
  </w:style>
  <w:style w:type="paragraph" w:styleId="Subtitle">
    <w:name w:val="Subtitle"/>
    <w:basedOn w:val="Normal"/>
    <w:next w:val="Normal"/>
    <w:link w:val="SubtitleChar"/>
    <w:uiPriority w:val="99"/>
    <w:qFormat/>
    <w:rsid w:val="00F967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99"/>
    <w:rsid w:val="001F1AD2"/>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qFormat/>
    <w:rsid w:val="00F9672F"/>
    <w:rPr>
      <w:i/>
      <w:iCs/>
      <w:color w:val="404040" w:themeColor="text1" w:themeTint="BF"/>
    </w:rPr>
  </w:style>
  <w:style w:type="character" w:styleId="SubtleReference">
    <w:name w:val="Subtle Reference"/>
    <w:basedOn w:val="DefaultParagraphFont"/>
    <w:uiPriority w:val="31"/>
    <w:qFormat/>
    <w:rsid w:val="00F9672F"/>
    <w:rPr>
      <w:smallCaps/>
      <w:color w:val="5A5A5A" w:themeColor="text1" w:themeTint="A5"/>
    </w:rPr>
  </w:style>
  <w:style w:type="table" w:styleId="Table3Deffects1">
    <w:name w:val="Table 3D effect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000080"/>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FFFFFF"/>
      <w:kern w:val="2"/>
      <w:sz w:val="22"/>
      <w:szCs w:val="22"/>
      <w14:ligatures w14:val="standardContextua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9672F"/>
    <w:rPr>
      <w:rFonts w:asciiTheme="minorHAnsi" w:eastAsiaTheme="minorEastAsia"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F9672F"/>
    <w:pPr>
      <w:tabs>
        <w:tab w:val="clear" w:pos="1247"/>
      </w:tabs>
      <w:ind w:left="200" w:hanging="200"/>
    </w:pPr>
  </w:style>
  <w:style w:type="table" w:styleId="TableProfessional">
    <w:name w:val="Table Professional"/>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F967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
    <w:rsid w:val="001F1AD2"/>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rsid w:val="00F9672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qFormat/>
    <w:rsid w:val="00F9672F"/>
    <w:pPr>
      <w:keepLines/>
      <w:numPr>
        <w:numId w:val="0"/>
      </w:num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Headerpool">
    <w:name w:val="Header_pool"/>
    <w:basedOn w:val="Normal"/>
    <w:next w:val="Normal"/>
    <w:semiHidden/>
    <w:rsid w:val="00F9672F"/>
    <w:pPr>
      <w:pBdr>
        <w:bottom w:val="single" w:sz="4" w:space="1" w:color="auto"/>
      </w:pBdr>
      <w:tabs>
        <w:tab w:val="center" w:pos="4536"/>
        <w:tab w:val="right" w:pos="9072"/>
      </w:tabs>
      <w:spacing w:after="120"/>
    </w:pPr>
    <w:rPr>
      <w:b/>
      <w:sz w:val="18"/>
      <w:lang w:val="en-US"/>
    </w:rPr>
  </w:style>
  <w:style w:type="paragraph" w:styleId="ListNumber3">
    <w:name w:val="List Number 3"/>
    <w:basedOn w:val="Normal"/>
    <w:semiHidden/>
    <w:rsid w:val="00F9672F"/>
    <w:pPr>
      <w:tabs>
        <w:tab w:val="num" w:pos="926"/>
      </w:tabs>
      <w:ind w:left="926" w:hanging="360"/>
      <w:contextualSpacing/>
    </w:pPr>
    <w:rPr>
      <w:lang w:val="en-US"/>
    </w:rPr>
  </w:style>
  <w:style w:type="paragraph" w:customStyle="1" w:styleId="Default">
    <w:name w:val="Default"/>
    <w:rsid w:val="00F9672F"/>
    <w:pPr>
      <w:autoSpaceDE w:val="0"/>
      <w:autoSpaceDN w:val="0"/>
      <w:adjustRightInd w:val="0"/>
    </w:pPr>
    <w:rPr>
      <w:rFonts w:eastAsiaTheme="minorEastAsia"/>
      <w:color w:val="000000"/>
      <w:sz w:val="24"/>
      <w:szCs w:val="24"/>
      <w:lang w:val="en-US"/>
    </w:rPr>
  </w:style>
  <w:style w:type="table" w:customStyle="1" w:styleId="Tabledocright1">
    <w:name w:val="Table_doc_right1"/>
    <w:basedOn w:val="TableNormal"/>
    <w:rsid w:val="00F9672F"/>
    <w:pPr>
      <w:spacing w:before="40" w:after="40"/>
    </w:pPr>
    <w:rPr>
      <w:sz w:val="18"/>
      <w:szCs w:val="18"/>
      <w:lang w:val="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F9672F"/>
    <w:rPr>
      <w:rFonts w:ascii="Arial" w:hAnsi="Arial"/>
      <w:sz w:val="16"/>
      <w:lang w:val="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0">
    <w:name w:val="Table Grid1"/>
    <w:basedOn w:val="TableNormal"/>
    <w:next w:val="TableGrid"/>
    <w:uiPriority w:val="59"/>
    <w:rsid w:val="00F9672F"/>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F9672F"/>
    <w:rPr>
      <w:lang w:val="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F9672F"/>
    <w:rPr>
      <w:rFonts w:eastAsia="Times New Roman"/>
      <w:b/>
      <w:sz w:val="28"/>
      <w:szCs w:val="28"/>
      <w:lang w:val="en-US" w:eastAsia="en-US"/>
    </w:rPr>
  </w:style>
  <w:style w:type="character" w:customStyle="1" w:styleId="ZZAnxtitleChar">
    <w:name w:val="ZZ_Anx_title Char"/>
    <w:link w:val="ZZAnxtitle"/>
    <w:rsid w:val="00F9672F"/>
    <w:rPr>
      <w:rFonts w:eastAsia="Times New Roman"/>
      <w:b/>
      <w:bCs/>
      <w:sz w:val="28"/>
      <w:szCs w:val="26"/>
      <w:lang w:val="en-US" w:eastAsia="en-US"/>
    </w:rPr>
  </w:style>
  <w:style w:type="character" w:customStyle="1" w:styleId="CH2Char">
    <w:name w:val="CH2 Char"/>
    <w:link w:val="CH2"/>
    <w:rsid w:val="00922D00"/>
    <w:rPr>
      <w:rFonts w:eastAsia="Times New Roman"/>
      <w:b/>
      <w:sz w:val="24"/>
      <w:szCs w:val="24"/>
      <w:lang w:val="en-US" w:eastAsia="en-US"/>
    </w:rPr>
  </w:style>
  <w:style w:type="character" w:customStyle="1" w:styleId="HeaderChar1">
    <w:name w:val="Header Char1"/>
    <w:basedOn w:val="DefaultParagraphFont"/>
    <w:uiPriority w:val="99"/>
    <w:semiHidden/>
    <w:rsid w:val="00F9672F"/>
    <w:rPr>
      <w:rFonts w:eastAsia="SimSun"/>
      <w:lang w:eastAsia="zh-CN"/>
    </w:rPr>
  </w:style>
  <w:style w:type="paragraph" w:customStyle="1" w:styleId="xl65">
    <w:name w:val="xl65"/>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67">
    <w:name w:val="xl67"/>
    <w:basedOn w:val="Normal"/>
    <w:semiHidden/>
    <w:rsid w:val="00F9672F"/>
    <w:pPr>
      <w:spacing w:before="100" w:beforeAutospacing="1" w:after="100" w:afterAutospacing="1"/>
    </w:pPr>
    <w:rPr>
      <w:b/>
      <w:bCs/>
      <w:sz w:val="24"/>
      <w:szCs w:val="24"/>
    </w:rPr>
  </w:style>
  <w:style w:type="paragraph" w:customStyle="1" w:styleId="xl68">
    <w:name w:val="xl68"/>
    <w:basedOn w:val="Normal"/>
    <w:semiHidden/>
    <w:rsid w:val="00F9672F"/>
    <w:pPr>
      <w:pBdr>
        <w:top w:val="single" w:sz="8" w:space="0" w:color="auto"/>
        <w:bottom w:val="single" w:sz="4" w:space="0" w:color="auto"/>
      </w:pBdr>
      <w:shd w:val="clear" w:color="000000" w:fill="B4C6E7"/>
      <w:spacing w:before="100" w:beforeAutospacing="1" w:after="100" w:afterAutospacing="1"/>
    </w:pPr>
    <w:rPr>
      <w:b/>
      <w:bCs/>
      <w:sz w:val="24"/>
      <w:szCs w:val="24"/>
    </w:rPr>
  </w:style>
  <w:style w:type="paragraph" w:customStyle="1" w:styleId="xl69">
    <w:name w:val="xl69"/>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0">
    <w:name w:val="xl70"/>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1">
    <w:name w:val="xl71"/>
    <w:basedOn w:val="Normal"/>
    <w:semiHidden/>
    <w:rsid w:val="00F9672F"/>
    <w:pPr>
      <w:pBdr>
        <w:top w:val="single" w:sz="4" w:space="0" w:color="auto"/>
        <w:bottom w:val="single" w:sz="4" w:space="0" w:color="auto"/>
      </w:pBdr>
      <w:shd w:val="clear" w:color="000000" w:fill="F8CBAD"/>
      <w:spacing w:before="100" w:beforeAutospacing="1" w:after="100" w:afterAutospacing="1"/>
    </w:pPr>
    <w:rPr>
      <w:sz w:val="24"/>
      <w:szCs w:val="24"/>
    </w:rPr>
  </w:style>
  <w:style w:type="paragraph" w:customStyle="1" w:styleId="xl72">
    <w:name w:val="xl72"/>
    <w:basedOn w:val="Normal"/>
    <w:semiHidden/>
    <w:rsid w:val="00F9672F"/>
    <w:pPr>
      <w:pBdr>
        <w:top w:val="single" w:sz="4" w:space="0" w:color="auto"/>
        <w:bottom w:val="single" w:sz="8" w:space="0" w:color="auto"/>
      </w:pBdr>
      <w:shd w:val="clear" w:color="000000" w:fill="FFFF00"/>
      <w:spacing w:before="100" w:beforeAutospacing="1" w:after="100" w:afterAutospacing="1"/>
    </w:pPr>
    <w:rPr>
      <w:b/>
      <w:bCs/>
      <w:sz w:val="24"/>
      <w:szCs w:val="24"/>
    </w:rPr>
  </w:style>
  <w:style w:type="paragraph" w:customStyle="1" w:styleId="xl73">
    <w:name w:val="xl73"/>
    <w:basedOn w:val="Normal"/>
    <w:semiHidden/>
    <w:rsid w:val="00F9672F"/>
    <w:pPr>
      <w:pBdr>
        <w:top w:val="single" w:sz="4" w:space="0" w:color="auto"/>
        <w:bottom w:val="single" w:sz="8" w:space="0" w:color="auto"/>
      </w:pBdr>
      <w:shd w:val="clear" w:color="000000" w:fill="FFFF00"/>
      <w:spacing w:before="100" w:beforeAutospacing="1" w:after="100" w:afterAutospacing="1"/>
      <w:jc w:val="center"/>
    </w:pPr>
    <w:rPr>
      <w:b/>
      <w:bCs/>
      <w:sz w:val="24"/>
      <w:szCs w:val="24"/>
    </w:rPr>
  </w:style>
  <w:style w:type="paragraph" w:customStyle="1" w:styleId="xl74">
    <w:name w:val="xl74"/>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5">
    <w:name w:val="xl75"/>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6">
    <w:name w:val="xl76"/>
    <w:basedOn w:val="Normal"/>
    <w:semiHidden/>
    <w:rsid w:val="00F9672F"/>
    <w:pPr>
      <w:pBdr>
        <w:top w:val="single" w:sz="4" w:space="0" w:color="auto"/>
        <w:bottom w:val="single" w:sz="4" w:space="0" w:color="auto"/>
      </w:pBdr>
      <w:shd w:val="clear" w:color="000000" w:fill="F8CBAD"/>
      <w:spacing w:before="100" w:beforeAutospacing="1" w:after="100" w:afterAutospacing="1"/>
    </w:pPr>
    <w:rPr>
      <w:b/>
      <w:bCs/>
      <w:sz w:val="24"/>
      <w:szCs w:val="24"/>
    </w:rPr>
  </w:style>
  <w:style w:type="paragraph" w:customStyle="1" w:styleId="xl77">
    <w:name w:val="xl77"/>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8">
    <w:name w:val="xl78"/>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9">
    <w:name w:val="xl79"/>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6">
    <w:name w:val="xl8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87">
    <w:name w:val="xl87"/>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8">
    <w:name w:val="xl88"/>
    <w:basedOn w:val="Normal"/>
    <w:semiHidden/>
    <w:rsid w:val="00F9672F"/>
    <w:pPr>
      <w:pBdr>
        <w:top w:val="single" w:sz="4" w:space="0" w:color="auto"/>
        <w:bottom w:val="single" w:sz="8" w:space="0" w:color="auto"/>
      </w:pBdr>
      <w:shd w:val="clear" w:color="000000" w:fill="FFFF00"/>
      <w:spacing w:before="100" w:beforeAutospacing="1" w:after="100" w:afterAutospacing="1"/>
      <w:jc w:val="center"/>
      <w:textAlignment w:val="center"/>
    </w:pPr>
    <w:rPr>
      <w:b/>
      <w:bCs/>
      <w:sz w:val="24"/>
      <w:szCs w:val="24"/>
    </w:rPr>
  </w:style>
  <w:style w:type="paragraph" w:customStyle="1" w:styleId="xl89">
    <w:name w:val="xl89"/>
    <w:basedOn w:val="Normal"/>
    <w:semiHidden/>
    <w:rsid w:val="00F9672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Normal"/>
    <w:semiHidden/>
    <w:rsid w:val="00F9672F"/>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7">
    <w:name w:val="xl97"/>
    <w:basedOn w:val="Normal"/>
    <w:semiHidden/>
    <w:rsid w:val="00F9672F"/>
    <w:pPr>
      <w:pBdr>
        <w:top w:val="single" w:sz="8"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100">
    <w:name w:val="xl100"/>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2">
    <w:name w:val="xl102"/>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3">
    <w:name w:val="xl103"/>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4">
    <w:name w:val="xl104"/>
    <w:basedOn w:val="Normal"/>
    <w:semiHidden/>
    <w:rsid w:val="00F9672F"/>
    <w:pPr>
      <w:spacing w:before="100" w:beforeAutospacing="1" w:after="100" w:afterAutospacing="1"/>
    </w:pPr>
    <w:rPr>
      <w:sz w:val="16"/>
      <w:szCs w:val="16"/>
    </w:rPr>
  </w:style>
  <w:style w:type="paragraph" w:styleId="ListNumber5">
    <w:name w:val="List Number 5"/>
    <w:basedOn w:val="Normal"/>
    <w:semiHidden/>
    <w:rsid w:val="00F9672F"/>
    <w:pPr>
      <w:tabs>
        <w:tab w:val="num" w:pos="1492"/>
      </w:tabs>
      <w:ind w:left="1492" w:hanging="360"/>
      <w:contextualSpacing/>
    </w:pPr>
    <w:rPr>
      <w:lang w:val="en-US"/>
    </w:rPr>
  </w:style>
  <w:style w:type="paragraph" w:customStyle="1" w:styleId="msonormal0">
    <w:name w:val="msonormal"/>
    <w:basedOn w:val="Normal"/>
    <w:semiHidden/>
    <w:rsid w:val="00F9672F"/>
    <w:pPr>
      <w:spacing w:before="100" w:beforeAutospacing="1" w:after="100" w:afterAutospacing="1"/>
    </w:pPr>
    <w:rPr>
      <w:sz w:val="24"/>
      <w:szCs w:val="24"/>
      <w:lang w:val="en-US"/>
    </w:rPr>
  </w:style>
  <w:style w:type="character" w:customStyle="1" w:styleId="cf01">
    <w:name w:val="cf01"/>
    <w:basedOn w:val="DefaultParagraphFont"/>
    <w:semiHidden/>
    <w:rsid w:val="00F9672F"/>
    <w:rPr>
      <w:rFonts w:ascii="Segoe UI" w:hAnsi="Segoe UI" w:cs="Segoe UI" w:hint="default"/>
      <w:i/>
      <w:iCs/>
      <w:sz w:val="18"/>
      <w:szCs w:val="18"/>
    </w:rPr>
  </w:style>
  <w:style w:type="character" w:customStyle="1" w:styleId="cf11">
    <w:name w:val="cf11"/>
    <w:basedOn w:val="DefaultParagraphFont"/>
    <w:semiHidden/>
    <w:rsid w:val="00F9672F"/>
    <w:rPr>
      <w:rFonts w:ascii="Segoe UI" w:hAnsi="Segoe UI" w:cs="Segoe UI" w:hint="default"/>
      <w:sz w:val="18"/>
      <w:szCs w:val="18"/>
    </w:rPr>
  </w:style>
  <w:style w:type="character" w:customStyle="1" w:styleId="markedcontent">
    <w:name w:val="markedcontent"/>
    <w:basedOn w:val="DefaultParagraphFont"/>
    <w:semiHidden/>
    <w:rsid w:val="00CD7408"/>
  </w:style>
  <w:style w:type="character" w:customStyle="1" w:styleId="NormalNonumberChar">
    <w:name w:val="Normal_No_number Char"/>
    <w:link w:val="NormalNonumber"/>
    <w:locked/>
    <w:rsid w:val="00CC73DD"/>
    <w:rPr>
      <w:rFonts w:eastAsia="Times New Roman"/>
      <w:lang w:val="en-US" w:eastAsia="en-US"/>
    </w:rPr>
  </w:style>
  <w:style w:type="numbering" w:customStyle="1" w:styleId="Importeradestilen15">
    <w:name w:val="Importerade stilen 15"/>
    <w:rsid w:val="00CC73DD"/>
    <w:pPr>
      <w:numPr>
        <w:numId w:val="5"/>
      </w:numPr>
    </w:pPr>
  </w:style>
  <w:style w:type="character" w:customStyle="1" w:styleId="ZZAnxheaderChar">
    <w:name w:val="ZZ_Anx_header Char"/>
    <w:link w:val="ZZAnxheader"/>
    <w:locked/>
    <w:rsid w:val="00CC73DD"/>
    <w:rPr>
      <w:rFonts w:eastAsia="Times New Roman"/>
      <w:b/>
      <w:bCs/>
      <w:sz w:val="28"/>
      <w:szCs w:val="22"/>
      <w:lang w:val="en-US" w:eastAsia="en-US"/>
    </w:rPr>
  </w:style>
  <w:style w:type="character" w:customStyle="1" w:styleId="normaltextrun">
    <w:name w:val="normaltextrun"/>
    <w:basedOn w:val="DefaultParagraphFont"/>
    <w:rsid w:val="00CC73DD"/>
  </w:style>
  <w:style w:type="character" w:customStyle="1" w:styleId="eop">
    <w:name w:val="eop"/>
    <w:basedOn w:val="DefaultParagraphFont"/>
    <w:rsid w:val="00CC73DD"/>
  </w:style>
  <w:style w:type="paragraph" w:customStyle="1" w:styleId="EOParagraphswithoutnumbering">
    <w:name w:val="EO Paragraphs without numbering"/>
    <w:basedOn w:val="Normal"/>
    <w:qFormat/>
    <w:rsid w:val="00CC73DD"/>
    <w:pPr>
      <w:tabs>
        <w:tab w:val="clear" w:pos="1247"/>
        <w:tab w:val="clear" w:pos="1814"/>
        <w:tab w:val="clear" w:pos="2381"/>
        <w:tab w:val="clear" w:pos="2948"/>
        <w:tab w:val="clear" w:pos="3515"/>
      </w:tabs>
      <w:spacing w:before="120" w:after="120"/>
      <w:ind w:firstLine="284"/>
      <w:jc w:val="both"/>
    </w:pPr>
    <w:rPr>
      <w:rFonts w:ascii="Cambria" w:hAnsi="Cambria" w:cs="Arial"/>
      <w:sz w:val="24"/>
      <w:szCs w:val="24"/>
      <w:lang w:val="en-US" w:bidi="en-US"/>
    </w:rPr>
  </w:style>
  <w:style w:type="character" w:customStyle="1" w:styleId="ListParagraphChar">
    <w:name w:val="List Paragraph Char"/>
    <w:aliases w:val="list abc 1st Char,List (a)(b)(c) 1st Char,Bullets Char,List Paragraph1 Char,Table/Figure Heading Char,Listeafsnit Char,Medium Grid 1 - Accent 21 Char,OIOS List Paragraph Char"/>
    <w:link w:val="ListParagraph"/>
    <w:uiPriority w:val="34"/>
    <w:rsid w:val="001F1AD2"/>
    <w:rPr>
      <w:rFonts w:eastAsia="Times New Roman"/>
      <w:lang w:val="en-GB" w:eastAsia="en-US"/>
    </w:rPr>
  </w:style>
  <w:style w:type="paragraph" w:customStyle="1" w:styleId="Para1">
    <w:name w:val="Para 1"/>
    <w:basedOn w:val="Normal"/>
    <w:uiPriority w:val="59"/>
    <w:qFormat/>
    <w:rsid w:val="00CC73DD"/>
    <w:pPr>
      <w:tabs>
        <w:tab w:val="clear" w:pos="1247"/>
        <w:tab w:val="clear" w:pos="1814"/>
        <w:tab w:val="clear" w:pos="2381"/>
        <w:tab w:val="clear" w:pos="2948"/>
        <w:tab w:val="clear" w:pos="3515"/>
      </w:tabs>
      <w:spacing w:beforeLines="100" w:afterLines="100" w:line="288" w:lineRule="atLeast"/>
      <w:ind w:firstLine="360"/>
    </w:pPr>
    <w:rPr>
      <w:rFonts w:ascii="Calibri" w:hAnsi="Calibri"/>
      <w:b/>
      <w:bCs/>
      <w:sz w:val="22"/>
      <w:szCs w:val="22"/>
      <w:lang w:val="en-US" w:bidi="en-US"/>
    </w:rPr>
  </w:style>
  <w:style w:type="paragraph" w:customStyle="1" w:styleId="Para2">
    <w:name w:val="Para 2"/>
    <w:basedOn w:val="Normal"/>
    <w:uiPriority w:val="59"/>
    <w:qFormat/>
    <w:rsid w:val="00CC73DD"/>
    <w:pPr>
      <w:tabs>
        <w:tab w:val="clear" w:pos="1247"/>
        <w:tab w:val="clear" w:pos="1814"/>
        <w:tab w:val="clear" w:pos="2381"/>
        <w:tab w:val="clear" w:pos="2948"/>
        <w:tab w:val="clear" w:pos="3515"/>
      </w:tabs>
      <w:spacing w:beforeLines="100" w:afterLines="100" w:line="288" w:lineRule="atLeast"/>
      <w:ind w:firstLine="360"/>
    </w:pPr>
    <w:rPr>
      <w:rFonts w:ascii="Calibri" w:hAnsi="Calibri"/>
      <w:b/>
      <w:bCs/>
      <w:i/>
      <w:iCs/>
      <w:sz w:val="22"/>
      <w:szCs w:val="22"/>
      <w:lang w:val="en-US" w:bidi="en-US"/>
    </w:rPr>
  </w:style>
  <w:style w:type="paragraph" w:customStyle="1" w:styleId="Para3">
    <w:name w:val="Para 3"/>
    <w:basedOn w:val="Normal"/>
    <w:uiPriority w:val="59"/>
    <w:qFormat/>
    <w:rsid w:val="00CC73DD"/>
    <w:pPr>
      <w:tabs>
        <w:tab w:val="clear" w:pos="1247"/>
        <w:tab w:val="clear" w:pos="1814"/>
        <w:tab w:val="clear" w:pos="2381"/>
        <w:tab w:val="clear" w:pos="2948"/>
        <w:tab w:val="clear" w:pos="3515"/>
      </w:tabs>
      <w:ind w:firstLine="360"/>
      <w:jc w:val="both"/>
    </w:pPr>
    <w:rPr>
      <w:rFonts w:ascii="Calibri" w:hAnsi="Calibri"/>
      <w:color w:val="0000FF"/>
      <w:sz w:val="22"/>
      <w:szCs w:val="22"/>
      <w:u w:val="single"/>
      <w:lang w:val="en-US" w:bidi="en-US"/>
    </w:rPr>
  </w:style>
  <w:style w:type="character" w:customStyle="1" w:styleId="0Text">
    <w:name w:val="0 Text"/>
    <w:uiPriority w:val="39"/>
    <w:rsid w:val="00CC73DD"/>
    <w:rPr>
      <w:i/>
      <w:iCs/>
    </w:rPr>
  </w:style>
  <w:style w:type="character" w:customStyle="1" w:styleId="1Text">
    <w:name w:val="1 Text"/>
    <w:uiPriority w:val="39"/>
    <w:rsid w:val="00CC73DD"/>
    <w:rPr>
      <w:b/>
      <w:bCs/>
    </w:rPr>
  </w:style>
  <w:style w:type="character" w:customStyle="1" w:styleId="2Text">
    <w:name w:val="2 Text"/>
    <w:uiPriority w:val="39"/>
    <w:rsid w:val="00CC73DD"/>
    <w:rPr>
      <w:b/>
      <w:bCs/>
      <w:i/>
      <w:iCs/>
    </w:rPr>
  </w:style>
  <w:style w:type="paragraph" w:customStyle="1" w:styleId="0Block">
    <w:name w:val="0 Block"/>
    <w:uiPriority w:val="49"/>
    <w:rsid w:val="00CC73DD"/>
    <w:pPr>
      <w:spacing w:beforeLines="100" w:afterLines="100" w:line="288" w:lineRule="atLeast"/>
      <w:ind w:firstLine="360"/>
      <w:jc w:val="both"/>
    </w:pPr>
    <w:rPr>
      <w:rFonts w:ascii="Calibri" w:eastAsia="Times New Roman" w:hAnsi="Calibri"/>
      <w:sz w:val="22"/>
      <w:szCs w:val="22"/>
      <w:lang w:val="en-US" w:eastAsia="en-US" w:bidi="en-US"/>
    </w:rPr>
  </w:style>
  <w:style w:type="paragraph" w:customStyle="1" w:styleId="listiiiiii2nd">
    <w:name w:val="list i ii iii 2nd"/>
    <w:basedOn w:val="ListParagraph"/>
    <w:uiPriority w:val="59"/>
    <w:qFormat/>
    <w:rsid w:val="00CC73DD"/>
    <w:pPr>
      <w:tabs>
        <w:tab w:val="clear" w:pos="1247"/>
        <w:tab w:val="clear" w:pos="1814"/>
        <w:tab w:val="clear" w:pos="2381"/>
        <w:tab w:val="clear" w:pos="2948"/>
        <w:tab w:val="clear" w:pos="3515"/>
      </w:tabs>
      <w:ind w:left="1287" w:hanging="360"/>
      <w:jc w:val="both"/>
    </w:pPr>
    <w:rPr>
      <w:rFonts w:ascii="Calibri" w:hAnsi="Calibri"/>
      <w:sz w:val="22"/>
      <w:szCs w:val="22"/>
      <w:lang w:val="en-US" w:bidi="en-US"/>
    </w:rPr>
  </w:style>
  <w:style w:type="paragraph" w:customStyle="1" w:styleId="NumPara">
    <w:name w:val="Num Para"/>
    <w:basedOn w:val="ListParagraph"/>
    <w:link w:val="NumParaChar"/>
    <w:uiPriority w:val="59"/>
    <w:qFormat/>
    <w:rsid w:val="00CC73DD"/>
    <w:pPr>
      <w:tabs>
        <w:tab w:val="clear" w:pos="1247"/>
        <w:tab w:val="clear" w:pos="1814"/>
        <w:tab w:val="clear" w:pos="2381"/>
        <w:tab w:val="clear" w:pos="2948"/>
        <w:tab w:val="clear" w:pos="3515"/>
        <w:tab w:val="left" w:pos="567"/>
      </w:tabs>
      <w:ind w:hanging="360"/>
      <w:jc w:val="both"/>
    </w:pPr>
    <w:rPr>
      <w:rFonts w:ascii="Calibri" w:hAnsi="Calibri"/>
      <w:sz w:val="22"/>
      <w:szCs w:val="22"/>
      <w:lang w:val="en-US" w:bidi="en-US"/>
    </w:rPr>
  </w:style>
  <w:style w:type="character" w:customStyle="1" w:styleId="NumParaChar">
    <w:name w:val="Num Para Char"/>
    <w:link w:val="NumPara"/>
    <w:uiPriority w:val="59"/>
    <w:rsid w:val="001F1AD2"/>
    <w:rPr>
      <w:rFonts w:ascii="Calibri" w:eastAsia="Times New Roman" w:hAnsi="Calibri"/>
      <w:sz w:val="22"/>
      <w:szCs w:val="22"/>
      <w:lang w:val="en-US" w:eastAsia="en-US" w:bidi="en-US"/>
    </w:rPr>
  </w:style>
  <w:style w:type="character" w:customStyle="1" w:styleId="CaptionChar">
    <w:name w:val="Caption Char"/>
    <w:aliases w:val="EO Caption Char"/>
    <w:link w:val="Caption"/>
    <w:locked/>
    <w:rsid w:val="001F1AD2"/>
    <w:rPr>
      <w:rFonts w:eastAsia="Times New Roman"/>
      <w:i/>
      <w:iCs/>
      <w:color w:val="1F497D" w:themeColor="text2"/>
      <w:sz w:val="18"/>
      <w:szCs w:val="18"/>
      <w:lang w:val="en-US" w:eastAsia="en-US"/>
    </w:rPr>
  </w:style>
  <w:style w:type="character" w:customStyle="1" w:styleId="NoSpacingChar">
    <w:name w:val="No Spacing Char"/>
    <w:link w:val="NoSpacing"/>
    <w:uiPriority w:val="1"/>
    <w:rsid w:val="001F1AD2"/>
    <w:rPr>
      <w:rFonts w:asciiTheme="minorHAnsi" w:eastAsiaTheme="minorHAnsi" w:hAnsiTheme="minorHAnsi" w:cstheme="minorBidi"/>
      <w:sz w:val="22"/>
      <w:szCs w:val="22"/>
      <w:lang w:val="en-GB" w:eastAsia="en-US"/>
    </w:rPr>
  </w:style>
  <w:style w:type="paragraph" w:customStyle="1" w:styleId="EOTableText">
    <w:name w:val="EO Table Text"/>
    <w:basedOn w:val="Normal"/>
    <w:next w:val="Normal"/>
    <w:qFormat/>
    <w:rsid w:val="00CC73DD"/>
    <w:pPr>
      <w:tabs>
        <w:tab w:val="clear" w:pos="1247"/>
        <w:tab w:val="clear" w:pos="1814"/>
        <w:tab w:val="clear" w:pos="2381"/>
        <w:tab w:val="clear" w:pos="2948"/>
        <w:tab w:val="clear" w:pos="3515"/>
      </w:tabs>
      <w:overflowPunct w:val="0"/>
      <w:autoSpaceDE w:val="0"/>
      <w:autoSpaceDN w:val="0"/>
      <w:adjustRightInd w:val="0"/>
      <w:spacing w:before="40" w:after="40"/>
      <w:jc w:val="both"/>
      <w:textAlignment w:val="baseline"/>
    </w:pPr>
    <w:rPr>
      <w:rFonts w:ascii="Roboto" w:eastAsia="Batang" w:hAnsi="Roboto"/>
      <w:bCs/>
      <w:sz w:val="18"/>
      <w:lang w:eastAsia="en-GB"/>
    </w:rPr>
  </w:style>
  <w:style w:type="paragraph" w:customStyle="1" w:styleId="EOTableTextBold">
    <w:name w:val="EO Table Text Bold"/>
    <w:basedOn w:val="EOTableText"/>
    <w:qFormat/>
    <w:rsid w:val="00CC73DD"/>
    <w:rPr>
      <w:b/>
      <w:lang w:val="en-US"/>
    </w:rPr>
  </w:style>
  <w:style w:type="paragraph" w:customStyle="1" w:styleId="EOPreliminaries">
    <w:name w:val="EO Preliminaries"/>
    <w:basedOn w:val="Normal"/>
    <w:autoRedefine/>
    <w:qFormat/>
    <w:rsid w:val="00CC73DD"/>
    <w:pPr>
      <w:tabs>
        <w:tab w:val="clear" w:pos="1247"/>
        <w:tab w:val="clear" w:pos="1814"/>
        <w:tab w:val="clear" w:pos="2381"/>
        <w:tab w:val="clear" w:pos="2948"/>
        <w:tab w:val="clear" w:pos="3515"/>
      </w:tabs>
      <w:spacing w:before="120" w:after="120"/>
      <w:jc w:val="both"/>
    </w:pPr>
    <w:rPr>
      <w:rFonts w:ascii="Roboto" w:eastAsia="Calibri" w:hAnsi="Roboto" w:cs="Calibri"/>
      <w:b/>
      <w:bCs/>
      <w:i/>
      <w:sz w:val="22"/>
      <w:szCs w:val="22"/>
      <w:lang w:val="en-US"/>
    </w:rPr>
  </w:style>
  <w:style w:type="paragraph" w:customStyle="1" w:styleId="NewEOTitle">
    <w:name w:val="New EO Title"/>
    <w:basedOn w:val="Title"/>
    <w:link w:val="NewEOTitleChar"/>
    <w:rsid w:val="00CC73DD"/>
    <w:pPr>
      <w:pBdr>
        <w:bottom w:val="single" w:sz="8" w:space="4" w:color="4F81BD"/>
      </w:pBdr>
      <w:tabs>
        <w:tab w:val="clear" w:pos="1247"/>
        <w:tab w:val="clear" w:pos="1814"/>
        <w:tab w:val="clear" w:pos="2381"/>
        <w:tab w:val="clear" w:pos="2948"/>
        <w:tab w:val="clear" w:pos="3515"/>
      </w:tabs>
      <w:spacing w:after="300"/>
      <w:jc w:val="center"/>
    </w:pPr>
    <w:rPr>
      <w:rFonts w:ascii="Cambria" w:eastAsia="Times New Roman" w:hAnsi="Cambria" w:cs="Times New Roman"/>
      <w:b/>
      <w:color w:val="17365D"/>
      <w:spacing w:val="5"/>
      <w:sz w:val="44"/>
      <w:szCs w:val="52"/>
      <w:lang w:val="en-US"/>
    </w:rPr>
  </w:style>
  <w:style w:type="character" w:customStyle="1" w:styleId="NewEOTitleChar">
    <w:name w:val="New EO Title Char"/>
    <w:link w:val="NewEOTitle"/>
    <w:rsid w:val="001F1AD2"/>
    <w:rPr>
      <w:rFonts w:ascii="Cambria" w:eastAsia="Times New Roman" w:hAnsi="Cambria"/>
      <w:b/>
      <w:color w:val="17365D"/>
      <w:spacing w:val="5"/>
      <w:kern w:val="28"/>
      <w:sz w:val="44"/>
      <w:szCs w:val="52"/>
      <w:lang w:val="en-US" w:eastAsia="en-US"/>
    </w:rPr>
  </w:style>
  <w:style w:type="character" w:customStyle="1" w:styleId="field">
    <w:name w:val="field"/>
    <w:basedOn w:val="DefaultParagraphFont"/>
    <w:rsid w:val="00CC73DD"/>
  </w:style>
  <w:style w:type="character" w:customStyle="1" w:styleId="wkr6u">
    <w:name w:val="wkr6u"/>
    <w:basedOn w:val="DefaultParagraphFont"/>
    <w:rsid w:val="00CC73DD"/>
  </w:style>
  <w:style w:type="character" w:customStyle="1" w:styleId="file">
    <w:name w:val="file"/>
    <w:basedOn w:val="DefaultParagraphFont"/>
    <w:rsid w:val="00CC73DD"/>
  </w:style>
  <w:style w:type="character" w:customStyle="1" w:styleId="rynqvb">
    <w:name w:val="rynqvb"/>
    <w:basedOn w:val="DefaultParagraphFont"/>
    <w:rsid w:val="00CC73DD"/>
  </w:style>
  <w:style w:type="character" w:customStyle="1" w:styleId="date-display-range">
    <w:name w:val="date-display-range"/>
    <w:basedOn w:val="DefaultParagraphFont"/>
    <w:rsid w:val="00CC73DD"/>
  </w:style>
  <w:style w:type="character" w:customStyle="1" w:styleId="hgkelc">
    <w:name w:val="hgkelc"/>
    <w:basedOn w:val="DefaultParagraphFont"/>
    <w:rsid w:val="0037512A"/>
  </w:style>
  <w:style w:type="character" w:customStyle="1" w:styleId="CommentSubjectChar1">
    <w:name w:val="Comment Subject Char1"/>
    <w:basedOn w:val="CommentTextChar"/>
    <w:uiPriority w:val="99"/>
    <w:semiHidden/>
    <w:rsid w:val="00CC73DD"/>
    <w:rPr>
      <w:rFonts w:ascii="Cambria" w:eastAsia="Cambria" w:hAnsi="Cambria"/>
      <w:b/>
      <w:bCs/>
      <w:color w:val="000000"/>
      <w:sz w:val="24"/>
      <w:szCs w:val="24"/>
      <w:lang w:val="en-GB" w:eastAsia="en-US"/>
    </w:rPr>
  </w:style>
  <w:style w:type="paragraph" w:customStyle="1" w:styleId="EONumberedparagraph">
    <w:name w:val="EO Numbered paragraph"/>
    <w:basedOn w:val="Normal"/>
    <w:link w:val="EONumberedparagraphChar"/>
    <w:qFormat/>
    <w:rsid w:val="00CC73DD"/>
    <w:pPr>
      <w:numPr>
        <w:numId w:val="7"/>
      </w:numPr>
      <w:tabs>
        <w:tab w:val="clear" w:pos="1247"/>
        <w:tab w:val="clear" w:pos="1814"/>
        <w:tab w:val="clear" w:pos="2381"/>
        <w:tab w:val="clear" w:pos="2948"/>
        <w:tab w:val="clear" w:pos="3515"/>
      </w:tabs>
      <w:spacing w:after="120"/>
      <w:jc w:val="both"/>
    </w:pPr>
    <w:rPr>
      <w:rFonts w:ascii="Roboto" w:hAnsi="Roboto"/>
      <w:sz w:val="22"/>
      <w:szCs w:val="22"/>
    </w:rPr>
  </w:style>
  <w:style w:type="character" w:customStyle="1" w:styleId="EONumberedparagraphChar">
    <w:name w:val="EO Numbered paragraph Char"/>
    <w:link w:val="EONumberedparagraph"/>
    <w:rsid w:val="001F1AD2"/>
    <w:rPr>
      <w:rFonts w:ascii="Roboto" w:eastAsia="Times New Roman" w:hAnsi="Roboto"/>
      <w:sz w:val="22"/>
      <w:szCs w:val="22"/>
      <w:lang w:val="en-GB" w:eastAsia="en-US"/>
    </w:rPr>
  </w:style>
  <w:style w:type="character" w:customStyle="1" w:styleId="cd">
    <w:name w:val="cd"/>
    <w:basedOn w:val="DefaultParagraphFont"/>
    <w:rsid w:val="00CC73DD"/>
  </w:style>
  <w:style w:type="character" w:customStyle="1" w:styleId="gi">
    <w:name w:val="gi"/>
    <w:basedOn w:val="DefaultParagraphFont"/>
    <w:rsid w:val="00CC73DD"/>
  </w:style>
  <w:style w:type="paragraph" w:customStyle="1" w:styleId="TableParagraph">
    <w:name w:val="Table Paragraph"/>
    <w:basedOn w:val="Normal"/>
    <w:uiPriority w:val="1"/>
    <w:qFormat/>
    <w:rsid w:val="00CC73DD"/>
    <w:pPr>
      <w:widowControl w:val="0"/>
      <w:tabs>
        <w:tab w:val="clear" w:pos="1247"/>
        <w:tab w:val="clear" w:pos="1814"/>
        <w:tab w:val="clear" w:pos="2381"/>
        <w:tab w:val="clear" w:pos="2948"/>
        <w:tab w:val="clear" w:pos="3515"/>
      </w:tabs>
      <w:autoSpaceDE w:val="0"/>
      <w:autoSpaceDN w:val="0"/>
      <w:ind w:left="114"/>
    </w:pPr>
    <w:rPr>
      <w:rFonts w:ascii="Calibri" w:eastAsia="Calibri" w:hAnsi="Calibri" w:cs="Calibri"/>
      <w:sz w:val="22"/>
      <w:szCs w:val="22"/>
      <w:lang w:val="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uiPriority w:val="99"/>
    <w:rsid w:val="00985A93"/>
    <w:pPr>
      <w:tabs>
        <w:tab w:val="clear" w:pos="1247"/>
        <w:tab w:val="clear" w:pos="1814"/>
        <w:tab w:val="clear" w:pos="2381"/>
        <w:tab w:val="clear" w:pos="2948"/>
        <w:tab w:val="clear" w:pos="3515"/>
      </w:tabs>
      <w:spacing w:after="160" w:line="240" w:lineRule="exact"/>
    </w:pPr>
    <w:rPr>
      <w:szCs w:val="18"/>
      <w:vertAlign w:val="superscript"/>
      <w:lang w:val="en-US" w:eastAsia="en-GB"/>
    </w:rPr>
  </w:style>
  <w:style w:type="character" w:customStyle="1" w:styleId="en">
    <w:name w:val="en"/>
    <w:basedOn w:val="DefaultParagraphFont"/>
    <w:rsid w:val="005E5C4D"/>
  </w:style>
  <w:style w:type="character" w:customStyle="1" w:styleId="preferred">
    <w:name w:val="preferred"/>
    <w:basedOn w:val="DefaultParagraphFont"/>
    <w:rsid w:val="00CE6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giovanni.ferraiolo@gmail.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rcuryconvention.org"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thegef.org/sites/default/files/documents/2022-11/EN_GEF.C.63.05_Country%20Engagement%20Strategy%20Implementation%20Arrangements-CG_0.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chart" Target="charts/chart3.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MEA-MinamataSecretariat@un.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hart" Target="charts/chart2.xml"/><Relationship Id="rId27" Type="http://schemas.openxmlformats.org/officeDocument/2006/relationships/footer" Target="footer4.xml"/><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www.unep.org/explore-topics/chemicals-waste/what-we-do/mercury/mercury-inventory-toolkit" TargetMode="External"/><Relationship Id="rId13" Type="http://schemas.openxmlformats.org/officeDocument/2006/relationships/hyperlink" Target="http://www.unep.org/explore-topics/chemicals-waste/what-we-do/mercury/mercury-inventory-toolkit" TargetMode="External"/><Relationship Id="rId3" Type="http://schemas.openxmlformats.org/officeDocument/2006/relationships/hyperlink" Target="https://www.planetgold.org/" TargetMode="External"/><Relationship Id="rId7" Type="http://schemas.openxmlformats.org/officeDocument/2006/relationships/hyperlink" Target="https://www.unep.org/globalmercurypartnership/" TargetMode="External"/><Relationship Id="rId12" Type="http://schemas.openxmlformats.org/officeDocument/2006/relationships/hyperlink" Target="http://www.unep.org/globalmercurypartnership/insights-asgm-national-action-plans" TargetMode="External"/><Relationship Id="rId2" Type="http://schemas.openxmlformats.org/officeDocument/2006/relationships/hyperlink" Target="https://www.thegef.org/projects-operations/database" TargetMode="External"/><Relationship Id="rId16" Type="http://schemas.openxmlformats.org/officeDocument/2006/relationships/hyperlink" Target="https://www.minamataconvention.org/en/documents/guidance-document-management-artisanal-and-small-scale-%20gold-mining-tailings%20" TargetMode="External"/><Relationship Id="rId1" Type="http://schemas.openxmlformats.org/officeDocument/2006/relationships/hyperlink" Target="https://www.unep.org/explore-topics/chemicals-waste/what-we-do/special-programme" TargetMode="External"/><Relationship Id="rId6" Type="http://schemas.openxmlformats.org/officeDocument/2006/relationships/hyperlink" Target="https://www.unep.org/explore-topics/chemicals-waste/what-we-do/special-programme" TargetMode="External"/><Relationship Id="rId11" Type="http://schemas.openxmlformats.org/officeDocument/2006/relationships/hyperlink" Target="https://www.thegef.org/what-we-do" TargetMode="External"/><Relationship Id="rId5" Type="http://schemas.openxmlformats.org/officeDocument/2006/relationships/hyperlink" Target="https://www.minamataconvention.org/en/implementation/specific-international-programme/third-round" TargetMode="External"/><Relationship Id="rId15" Type="http://schemas.openxmlformats.org/officeDocument/2006/relationships/hyperlink" Target="https://www.minamataconvention.org/en/documents/article-7-artisanal-and-small-scale-gold-mining-update-%20guidance-document-preparation" TargetMode="External"/><Relationship Id="rId10" Type="http://schemas.openxmlformats.org/officeDocument/2006/relationships/hyperlink" Target="https://www.planetgold.org" TargetMode="External"/><Relationship Id="rId4" Type="http://schemas.openxmlformats.org/officeDocument/2006/relationships/hyperlink" Target="https://www.thegef.org/documents/co-financing" TargetMode="External"/><Relationship Id="rId9" Type="http://schemas.openxmlformats.org/officeDocument/2006/relationships/hyperlink" Target="https://public.tableau.com/app/profile/mark.burton.bri/viz/MIAMercuryInventoryDashboard/Main_Dashboard?publish=yes" TargetMode="External"/><Relationship Id="rId14" Type="http://schemas.openxmlformats.org/officeDocument/2006/relationships/hyperlink" Target="https://wedocs.unep.org/bitstream/handle/20.500.11822/22321/NAP_GC_En.pdf?sequence=3&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file:///C:\Users\giova\Google%20Drive\Minamata%20Convention\My%20Notes\DATA%20-%20CW_Minamata%20GEF7%20SANDBOX.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giova\Google%20Drive\Minamata%20Convention\My%20Notes\DATA%20-%20CW_Minamata%20GEF7%20SANDBO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00" b="1" i="0" u="none" strike="noStrike" baseline="0">
                <a:effectLst/>
              </a:rPr>
              <a:t>Number of SIP projects targeting specific Articles of the Minamata Convention </a:t>
            </a:r>
            <a:endParaRPr lang="en-GB"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5.0424179779673325E-2"/>
          <c:y val="0.15313881520778072"/>
          <c:w val="0.92643497663139218"/>
          <c:h val="0.70474515619234601"/>
        </c:manualLayout>
      </c:layout>
      <c:barChart>
        <c:barDir val="col"/>
        <c:grouping val="clustered"/>
        <c:varyColors val="0"/>
        <c:ser>
          <c:idx val="0"/>
          <c:order val="0"/>
          <c:spPr>
            <a:solidFill>
              <a:schemeClr val="accent1"/>
            </a:solidFill>
            <a:ln>
              <a:noFill/>
            </a:ln>
            <a:effectLst/>
          </c:spPr>
          <c:invertIfNegative val="0"/>
          <c:cat>
            <c:strRef>
              <c:f>'[showing articles addressed.xlsx]Sheet1'!$A$2:$A$16</c:f>
              <c:strCache>
                <c:ptCount val="15"/>
                <c:pt idx="0">
                  <c:v>Article 3</c:v>
                </c:pt>
                <c:pt idx="1">
                  <c:v>Article 4</c:v>
                </c:pt>
                <c:pt idx="2">
                  <c:v>Article 5</c:v>
                </c:pt>
                <c:pt idx="3">
                  <c:v>Article 7</c:v>
                </c:pt>
                <c:pt idx="4">
                  <c:v>Article 8</c:v>
                </c:pt>
                <c:pt idx="5">
                  <c:v>Article 9</c:v>
                </c:pt>
                <c:pt idx="6">
                  <c:v>Article 10</c:v>
                </c:pt>
                <c:pt idx="7">
                  <c:v>Article 11</c:v>
                </c:pt>
                <c:pt idx="8">
                  <c:v>Article 12</c:v>
                </c:pt>
                <c:pt idx="9">
                  <c:v>Article 14</c:v>
                </c:pt>
                <c:pt idx="10">
                  <c:v>Article 16</c:v>
                </c:pt>
                <c:pt idx="11">
                  <c:v>Article 17</c:v>
                </c:pt>
                <c:pt idx="12">
                  <c:v>Article 18</c:v>
                </c:pt>
                <c:pt idx="13">
                  <c:v>Article 19</c:v>
                </c:pt>
                <c:pt idx="14">
                  <c:v>Article 20</c:v>
                </c:pt>
              </c:strCache>
            </c:strRef>
          </c:cat>
          <c:val>
            <c:numRef>
              <c:f>'[showing articles addressed.xlsx]Sheet1'!$B$2:$B$16</c:f>
              <c:numCache>
                <c:formatCode>General</c:formatCode>
                <c:ptCount val="15"/>
                <c:pt idx="0">
                  <c:v>3</c:v>
                </c:pt>
                <c:pt idx="1">
                  <c:v>12</c:v>
                </c:pt>
                <c:pt idx="2">
                  <c:v>4</c:v>
                </c:pt>
                <c:pt idx="3">
                  <c:v>4</c:v>
                </c:pt>
                <c:pt idx="4">
                  <c:v>8</c:v>
                </c:pt>
                <c:pt idx="5">
                  <c:v>7</c:v>
                </c:pt>
                <c:pt idx="6">
                  <c:v>4</c:v>
                </c:pt>
                <c:pt idx="7">
                  <c:v>9</c:v>
                </c:pt>
                <c:pt idx="8">
                  <c:v>4</c:v>
                </c:pt>
                <c:pt idx="9">
                  <c:v>9</c:v>
                </c:pt>
                <c:pt idx="10">
                  <c:v>9</c:v>
                </c:pt>
                <c:pt idx="11">
                  <c:v>7</c:v>
                </c:pt>
                <c:pt idx="12">
                  <c:v>16</c:v>
                </c:pt>
                <c:pt idx="13">
                  <c:v>9</c:v>
                </c:pt>
                <c:pt idx="14">
                  <c:v>3</c:v>
                </c:pt>
              </c:numCache>
            </c:numRef>
          </c:val>
          <c:extLst>
            <c:ext xmlns:c16="http://schemas.microsoft.com/office/drawing/2014/chart" uri="{C3380CC4-5D6E-409C-BE32-E72D297353CC}">
              <c16:uniqueId val="{00000000-43D8-42A0-96AC-16D1163CD73C}"/>
            </c:ext>
          </c:extLst>
        </c:ser>
        <c:dLbls>
          <c:showLegendKey val="0"/>
          <c:showVal val="0"/>
          <c:showCatName val="0"/>
          <c:showSerName val="0"/>
          <c:showPercent val="0"/>
          <c:showBubbleSize val="0"/>
        </c:dLbls>
        <c:gapWidth val="100"/>
        <c:overlap val="50"/>
        <c:axId val="515691248"/>
        <c:axId val="515691888"/>
      </c:barChart>
      <c:catAx>
        <c:axId val="515691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5691888"/>
        <c:crosses val="autoZero"/>
        <c:auto val="1"/>
        <c:lblAlgn val="ctr"/>
        <c:lblOffset val="100"/>
        <c:noMultiLvlLbl val="0"/>
      </c:catAx>
      <c:valAx>
        <c:axId val="515691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5691248"/>
        <c:crosses val="autoZero"/>
        <c:crossBetween val="between"/>
      </c:valAx>
      <c:spPr>
        <a:noFill/>
        <a:ln>
          <a:noFill/>
        </a:ln>
        <a:effectLst/>
      </c:spPr>
    </c:plotArea>
    <c:plotVisOnly val="1"/>
    <c:dispBlanksAs val="gap"/>
    <c:showDLblsOverMax val="0"/>
  </c:chart>
  <c:spPr>
    <a:noFill/>
    <a:ln w="0" cap="flat" cmpd="sng" algn="ctr">
      <a:solidFill>
        <a:srgbClr val="FFFFFF"/>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8335186915194921"/>
          <c:y val="6.3972084908403601E-2"/>
          <c:w val="0.40772189119430857"/>
          <c:h val="0.80917910123113068"/>
        </c:manualLayout>
      </c:layout>
      <c:barChart>
        <c:barDir val="bar"/>
        <c:grouping val="clustered"/>
        <c:varyColors val="0"/>
        <c:ser>
          <c:idx val="0"/>
          <c:order val="0"/>
          <c:tx>
            <c:strRef>
              <c:f>Sustainability!$B$2</c:f>
              <c:strCache>
                <c:ptCount val="1"/>
                <c:pt idx="0">
                  <c:v>Mercury projects financing (USD)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Sustainability!$A$3:$A$6</c:f>
              <c:strCache>
                <c:ptCount val="4"/>
                <c:pt idx="0">
                  <c:v>GEF-5 (July 2010 – June 2014)</c:v>
                </c:pt>
                <c:pt idx="1">
                  <c:v>GEF-6 (July 2014 – June 2018)</c:v>
                </c:pt>
                <c:pt idx="2">
                  <c:v>GEF-7 (July 2018 – June 2022)</c:v>
                </c:pt>
                <c:pt idx="3">
                  <c:v>GEF-8 (July 2022 – June 2026)</c:v>
                </c:pt>
              </c:strCache>
            </c:strRef>
          </c:cat>
          <c:val>
            <c:numRef>
              <c:f>Sustainability!$B$3:$B$6</c:f>
              <c:numCache>
                <c:formatCode>#,##0</c:formatCode>
                <c:ptCount val="4"/>
                <c:pt idx="0">
                  <c:v>21132671</c:v>
                </c:pt>
                <c:pt idx="1">
                  <c:v>134295471</c:v>
                </c:pt>
                <c:pt idx="2">
                  <c:v>184105706</c:v>
                </c:pt>
              </c:numCache>
            </c:numRef>
          </c:val>
          <c:extLst>
            <c:ext xmlns:c16="http://schemas.microsoft.com/office/drawing/2014/chart" uri="{C3380CC4-5D6E-409C-BE32-E72D297353CC}">
              <c16:uniqueId val="{00000000-B00C-4241-B6EF-2F6D5BC03640}"/>
            </c:ext>
          </c:extLst>
        </c:ser>
        <c:ser>
          <c:idx val="1"/>
          <c:order val="1"/>
          <c:tx>
            <c:strRef>
              <c:f>Sustainability!$C$2</c:f>
              <c:strCache>
                <c:ptCount val="1"/>
                <c:pt idx="0">
                  <c:v>Funds allocated to the implementation of the Minamata Convention (USD)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Sustainability!$A$3:$A$6</c:f>
              <c:strCache>
                <c:ptCount val="4"/>
                <c:pt idx="0">
                  <c:v>GEF-5 (July 2010 – June 2014)</c:v>
                </c:pt>
                <c:pt idx="1">
                  <c:v>GEF-6 (July 2014 – June 2018)</c:v>
                </c:pt>
                <c:pt idx="2">
                  <c:v>GEF-7 (July 2018 – June 2022)</c:v>
                </c:pt>
                <c:pt idx="3">
                  <c:v>GEF-8 (July 2022 – June 2026)</c:v>
                </c:pt>
              </c:strCache>
            </c:strRef>
          </c:cat>
          <c:val>
            <c:numRef>
              <c:f>Sustainability!$C$3:$C$6</c:f>
              <c:numCache>
                <c:formatCode>#,##0</c:formatCode>
                <c:ptCount val="4"/>
                <c:pt idx="1">
                  <c:v>141000000</c:v>
                </c:pt>
                <c:pt idx="2">
                  <c:v>206000000</c:v>
                </c:pt>
                <c:pt idx="3">
                  <c:v>269000000</c:v>
                </c:pt>
              </c:numCache>
            </c:numRef>
          </c:val>
          <c:extLst>
            <c:ext xmlns:c16="http://schemas.microsoft.com/office/drawing/2014/chart" uri="{C3380CC4-5D6E-409C-BE32-E72D297353CC}">
              <c16:uniqueId val="{00000001-B00C-4241-B6EF-2F6D5BC03640}"/>
            </c:ext>
          </c:extLst>
        </c:ser>
        <c:dLbls>
          <c:showLegendKey val="0"/>
          <c:showVal val="0"/>
          <c:showCatName val="0"/>
          <c:showSerName val="0"/>
          <c:showPercent val="0"/>
          <c:showBubbleSize val="0"/>
        </c:dLbls>
        <c:gapWidth val="150"/>
        <c:axId val="165407360"/>
        <c:axId val="198857088"/>
      </c:barChart>
      <c:catAx>
        <c:axId val="165407360"/>
        <c:scaling>
          <c:orientation val="minMax"/>
        </c:scaling>
        <c:delete val="0"/>
        <c:axPos val="l"/>
        <c:numFmt formatCode="General" sourceLinked="0"/>
        <c:majorTickMark val="out"/>
        <c:minorTickMark val="none"/>
        <c:tickLblPos val="nextTo"/>
        <c:crossAx val="198857088"/>
        <c:crosses val="autoZero"/>
        <c:auto val="1"/>
        <c:lblAlgn val="ctr"/>
        <c:lblOffset val="100"/>
        <c:noMultiLvlLbl val="0"/>
      </c:catAx>
      <c:valAx>
        <c:axId val="198857088"/>
        <c:scaling>
          <c:orientation val="minMax"/>
        </c:scaling>
        <c:delete val="0"/>
        <c:axPos val="b"/>
        <c:numFmt formatCode="#,##0" sourceLinked="1"/>
        <c:majorTickMark val="out"/>
        <c:minorTickMark val="none"/>
        <c:tickLblPos val="nextTo"/>
        <c:crossAx val="165407360"/>
        <c:crosses val="autoZero"/>
        <c:crossBetween val="between"/>
      </c:valAx>
    </c:plotArea>
    <c:legend>
      <c:legendPos val="r"/>
      <c:layout>
        <c:manualLayout>
          <c:xMode val="edge"/>
          <c:yMode val="edge"/>
          <c:x val="0.7231996050344156"/>
          <c:y val="0.30383397480956054"/>
          <c:w val="0.26350694199117436"/>
          <c:h val="0.46211932144713375"/>
        </c:manualLayout>
      </c:layout>
      <c:overlay val="0"/>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456107617654472"/>
          <c:y val="6.378660481298927E-2"/>
          <c:w val="0.48302860447528806"/>
          <c:h val="0.80973236565203199"/>
        </c:manualLayout>
      </c:layout>
      <c:barChart>
        <c:barDir val="bar"/>
        <c:grouping val="clustered"/>
        <c:varyColors val="0"/>
        <c:ser>
          <c:idx val="0"/>
          <c:order val="0"/>
          <c:tx>
            <c:strRef>
              <c:f>Sustainability!$B$24</c:f>
              <c:strCache>
                <c:ptCount val="1"/>
                <c:pt idx="0">
                  <c:v>Projects financing (USD)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Sustainability!$A$25:$A$28</c:f>
              <c:strCache>
                <c:ptCount val="4"/>
                <c:pt idx="0">
                  <c:v>SIP 1st Round (2018)</c:v>
                </c:pt>
                <c:pt idx="1">
                  <c:v>SIP 2nd Round (2019)</c:v>
                </c:pt>
                <c:pt idx="2">
                  <c:v>SIP 3rd Round (2020-2021)</c:v>
                </c:pt>
                <c:pt idx="3">
                  <c:v>SIP 4th Round (2023-2024)</c:v>
                </c:pt>
              </c:strCache>
            </c:strRef>
          </c:cat>
          <c:val>
            <c:numRef>
              <c:f>Sustainability!$B$25:$B$28</c:f>
              <c:numCache>
                <c:formatCode>#,##0</c:formatCode>
                <c:ptCount val="4"/>
                <c:pt idx="0">
                  <c:v>961663</c:v>
                </c:pt>
                <c:pt idx="1">
                  <c:v>1977564</c:v>
                </c:pt>
                <c:pt idx="2">
                  <c:v>2193842</c:v>
                </c:pt>
              </c:numCache>
            </c:numRef>
          </c:val>
          <c:extLst>
            <c:ext xmlns:c16="http://schemas.microsoft.com/office/drawing/2014/chart" uri="{C3380CC4-5D6E-409C-BE32-E72D297353CC}">
              <c16:uniqueId val="{00000000-E2CA-4E3B-99BA-2D3CB5396773}"/>
            </c:ext>
          </c:extLst>
        </c:ser>
        <c:ser>
          <c:idx val="1"/>
          <c:order val="1"/>
          <c:tx>
            <c:strRef>
              <c:f>Sustainability!$C$24</c:f>
              <c:strCache>
                <c:ptCount val="1"/>
                <c:pt idx="0">
                  <c:v>Funds received (USD)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Sustainability!$A$25:$A$28</c:f>
              <c:strCache>
                <c:ptCount val="4"/>
                <c:pt idx="0">
                  <c:v>SIP 1st Round (2018)</c:v>
                </c:pt>
                <c:pt idx="1">
                  <c:v>SIP 2nd Round (2019)</c:v>
                </c:pt>
                <c:pt idx="2">
                  <c:v>SIP 3rd Round (2020-2021)</c:v>
                </c:pt>
                <c:pt idx="3">
                  <c:v>SIP 4th Round (2023-2024)</c:v>
                </c:pt>
              </c:strCache>
            </c:strRef>
          </c:cat>
          <c:val>
            <c:numRef>
              <c:f>Sustainability!$C$25:$C$28</c:f>
              <c:numCache>
                <c:formatCode>#,##0</c:formatCode>
                <c:ptCount val="4"/>
                <c:pt idx="0">
                  <c:v>1283539</c:v>
                </c:pt>
                <c:pt idx="1">
                  <c:v>2418372</c:v>
                </c:pt>
                <c:pt idx="2">
                  <c:v>2473911</c:v>
                </c:pt>
                <c:pt idx="3">
                  <c:v>882633</c:v>
                </c:pt>
              </c:numCache>
            </c:numRef>
          </c:val>
          <c:extLst>
            <c:ext xmlns:c16="http://schemas.microsoft.com/office/drawing/2014/chart" uri="{C3380CC4-5D6E-409C-BE32-E72D297353CC}">
              <c16:uniqueId val="{00000001-E2CA-4E3B-99BA-2D3CB5396773}"/>
            </c:ext>
          </c:extLst>
        </c:ser>
        <c:dLbls>
          <c:showLegendKey val="0"/>
          <c:showVal val="0"/>
          <c:showCatName val="0"/>
          <c:showSerName val="0"/>
          <c:showPercent val="0"/>
          <c:showBubbleSize val="0"/>
        </c:dLbls>
        <c:gapWidth val="150"/>
        <c:axId val="199013504"/>
        <c:axId val="199015040"/>
      </c:barChart>
      <c:catAx>
        <c:axId val="199013504"/>
        <c:scaling>
          <c:orientation val="minMax"/>
        </c:scaling>
        <c:delete val="0"/>
        <c:axPos val="l"/>
        <c:numFmt formatCode="General" sourceLinked="0"/>
        <c:majorTickMark val="out"/>
        <c:minorTickMark val="none"/>
        <c:tickLblPos val="nextTo"/>
        <c:crossAx val="199015040"/>
        <c:crosses val="autoZero"/>
        <c:auto val="1"/>
        <c:lblAlgn val="ctr"/>
        <c:lblOffset val="100"/>
        <c:noMultiLvlLbl val="0"/>
      </c:catAx>
      <c:valAx>
        <c:axId val="199015040"/>
        <c:scaling>
          <c:orientation val="minMax"/>
        </c:scaling>
        <c:delete val="0"/>
        <c:axPos val="b"/>
        <c:numFmt formatCode="#,##0" sourceLinked="1"/>
        <c:majorTickMark val="out"/>
        <c:minorTickMark val="none"/>
        <c:tickLblPos val="nextTo"/>
        <c:crossAx val="199013504"/>
        <c:crosses val="autoZero"/>
        <c:crossBetween val="between"/>
      </c:valAx>
      <c:spPr>
        <a:noFill/>
        <a:ln w="25400">
          <a:noFill/>
        </a:ln>
      </c:spPr>
    </c:plotArea>
    <c:legend>
      <c:legendPos val="r"/>
      <c:overlay val="0"/>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2.xml><?xml version="1.0" encoding="utf-8"?>
<ds:datastoreItem xmlns:ds="http://schemas.openxmlformats.org/officeDocument/2006/customXml" ds:itemID="{65B50AA5-C6C4-494A-A927-3EAFD2E65009}">
  <ds:schemaRefs>
    <ds:schemaRef ds:uri="http://schemas.openxmlformats.org/officeDocument/2006/bibliography"/>
  </ds:schemaRefs>
</ds:datastoreItem>
</file>

<file path=customXml/itemProps3.xml><?xml version="1.0" encoding="utf-8"?>
<ds:datastoreItem xmlns:ds="http://schemas.openxmlformats.org/officeDocument/2006/customXml" ds:itemID="{C5F1B55E-A82C-4FA2-9A2C-9B0D83450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40362A-3EB0-4F16-A636-13A68E2CB3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PlainPage_EN.dotm</Template>
  <TotalTime>18</TotalTime>
  <Pages>90</Pages>
  <Words>38619</Words>
  <Characters>217685</Characters>
  <Application>Microsoft Office Word</Application>
  <DocSecurity>0</DocSecurity>
  <Lines>1814</Lines>
  <Paragraphs>511</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255793</CharactersWithSpaces>
  <SharedDoc>false</SharedDoc>
  <HLinks>
    <vt:vector size="402" baseType="variant">
      <vt:variant>
        <vt:i4>1572914</vt:i4>
      </vt:variant>
      <vt:variant>
        <vt:i4>308</vt:i4>
      </vt:variant>
      <vt:variant>
        <vt:i4>0</vt:i4>
      </vt:variant>
      <vt:variant>
        <vt:i4>5</vt:i4>
      </vt:variant>
      <vt:variant>
        <vt:lpwstr/>
      </vt:variant>
      <vt:variant>
        <vt:lpwstr>_Toc139984217</vt:lpwstr>
      </vt:variant>
      <vt:variant>
        <vt:i4>1572914</vt:i4>
      </vt:variant>
      <vt:variant>
        <vt:i4>302</vt:i4>
      </vt:variant>
      <vt:variant>
        <vt:i4>0</vt:i4>
      </vt:variant>
      <vt:variant>
        <vt:i4>5</vt:i4>
      </vt:variant>
      <vt:variant>
        <vt:lpwstr/>
      </vt:variant>
      <vt:variant>
        <vt:lpwstr>_Toc139984214</vt:lpwstr>
      </vt:variant>
      <vt:variant>
        <vt:i4>1769522</vt:i4>
      </vt:variant>
      <vt:variant>
        <vt:i4>296</vt:i4>
      </vt:variant>
      <vt:variant>
        <vt:i4>0</vt:i4>
      </vt:variant>
      <vt:variant>
        <vt:i4>5</vt:i4>
      </vt:variant>
      <vt:variant>
        <vt:lpwstr/>
      </vt:variant>
      <vt:variant>
        <vt:lpwstr>_Toc139984223</vt:lpwstr>
      </vt:variant>
      <vt:variant>
        <vt:i4>1769522</vt:i4>
      </vt:variant>
      <vt:variant>
        <vt:i4>290</vt:i4>
      </vt:variant>
      <vt:variant>
        <vt:i4>0</vt:i4>
      </vt:variant>
      <vt:variant>
        <vt:i4>5</vt:i4>
      </vt:variant>
      <vt:variant>
        <vt:lpwstr/>
      </vt:variant>
      <vt:variant>
        <vt:lpwstr>_Toc139984222</vt:lpwstr>
      </vt:variant>
      <vt:variant>
        <vt:i4>1769522</vt:i4>
      </vt:variant>
      <vt:variant>
        <vt:i4>284</vt:i4>
      </vt:variant>
      <vt:variant>
        <vt:i4>0</vt:i4>
      </vt:variant>
      <vt:variant>
        <vt:i4>5</vt:i4>
      </vt:variant>
      <vt:variant>
        <vt:lpwstr/>
      </vt:variant>
      <vt:variant>
        <vt:lpwstr>_Toc139984221</vt:lpwstr>
      </vt:variant>
      <vt:variant>
        <vt:i4>1769522</vt:i4>
      </vt:variant>
      <vt:variant>
        <vt:i4>278</vt:i4>
      </vt:variant>
      <vt:variant>
        <vt:i4>0</vt:i4>
      </vt:variant>
      <vt:variant>
        <vt:i4>5</vt:i4>
      </vt:variant>
      <vt:variant>
        <vt:lpwstr/>
      </vt:variant>
      <vt:variant>
        <vt:lpwstr>_Toc139984220</vt:lpwstr>
      </vt:variant>
      <vt:variant>
        <vt:i4>1572914</vt:i4>
      </vt:variant>
      <vt:variant>
        <vt:i4>272</vt:i4>
      </vt:variant>
      <vt:variant>
        <vt:i4>0</vt:i4>
      </vt:variant>
      <vt:variant>
        <vt:i4>5</vt:i4>
      </vt:variant>
      <vt:variant>
        <vt:lpwstr/>
      </vt:variant>
      <vt:variant>
        <vt:lpwstr>_Toc139984219</vt:lpwstr>
      </vt:variant>
      <vt:variant>
        <vt:i4>1572914</vt:i4>
      </vt:variant>
      <vt:variant>
        <vt:i4>266</vt:i4>
      </vt:variant>
      <vt:variant>
        <vt:i4>0</vt:i4>
      </vt:variant>
      <vt:variant>
        <vt:i4>5</vt:i4>
      </vt:variant>
      <vt:variant>
        <vt:lpwstr/>
      </vt:variant>
      <vt:variant>
        <vt:lpwstr>_Toc139984218</vt:lpwstr>
      </vt:variant>
      <vt:variant>
        <vt:i4>1572914</vt:i4>
      </vt:variant>
      <vt:variant>
        <vt:i4>260</vt:i4>
      </vt:variant>
      <vt:variant>
        <vt:i4>0</vt:i4>
      </vt:variant>
      <vt:variant>
        <vt:i4>5</vt:i4>
      </vt:variant>
      <vt:variant>
        <vt:lpwstr/>
      </vt:variant>
      <vt:variant>
        <vt:lpwstr>_Toc139984216</vt:lpwstr>
      </vt:variant>
      <vt:variant>
        <vt:i4>1572914</vt:i4>
      </vt:variant>
      <vt:variant>
        <vt:i4>254</vt:i4>
      </vt:variant>
      <vt:variant>
        <vt:i4>0</vt:i4>
      </vt:variant>
      <vt:variant>
        <vt:i4>5</vt:i4>
      </vt:variant>
      <vt:variant>
        <vt:lpwstr/>
      </vt:variant>
      <vt:variant>
        <vt:lpwstr>_Toc139984215</vt:lpwstr>
      </vt:variant>
      <vt:variant>
        <vt:i4>1572914</vt:i4>
      </vt:variant>
      <vt:variant>
        <vt:i4>248</vt:i4>
      </vt:variant>
      <vt:variant>
        <vt:i4>0</vt:i4>
      </vt:variant>
      <vt:variant>
        <vt:i4>5</vt:i4>
      </vt:variant>
      <vt:variant>
        <vt:lpwstr/>
      </vt:variant>
      <vt:variant>
        <vt:lpwstr>_Toc139984213</vt:lpwstr>
      </vt:variant>
      <vt:variant>
        <vt:i4>1572914</vt:i4>
      </vt:variant>
      <vt:variant>
        <vt:i4>242</vt:i4>
      </vt:variant>
      <vt:variant>
        <vt:i4>0</vt:i4>
      </vt:variant>
      <vt:variant>
        <vt:i4>5</vt:i4>
      </vt:variant>
      <vt:variant>
        <vt:lpwstr/>
      </vt:variant>
      <vt:variant>
        <vt:lpwstr>_Toc139984212</vt:lpwstr>
      </vt:variant>
      <vt:variant>
        <vt:i4>1572914</vt:i4>
      </vt:variant>
      <vt:variant>
        <vt:i4>236</vt:i4>
      </vt:variant>
      <vt:variant>
        <vt:i4>0</vt:i4>
      </vt:variant>
      <vt:variant>
        <vt:i4>5</vt:i4>
      </vt:variant>
      <vt:variant>
        <vt:lpwstr/>
      </vt:variant>
      <vt:variant>
        <vt:lpwstr>_Toc139984211</vt:lpwstr>
      </vt:variant>
      <vt:variant>
        <vt:i4>131114</vt:i4>
      </vt:variant>
      <vt:variant>
        <vt:i4>231</vt:i4>
      </vt:variant>
      <vt:variant>
        <vt:i4>0</vt:i4>
      </vt:variant>
      <vt:variant>
        <vt:i4>5</vt:i4>
      </vt:variant>
      <vt:variant>
        <vt:lpwstr>http://www.thegef.org/sites/default/files/documents/2022-11/EN_GEF.C.63.05_Country Engagement Strategy Implementation Arrangements-CG_0.pdf</vt:lpwstr>
      </vt:variant>
      <vt:variant>
        <vt:lpwstr/>
      </vt:variant>
      <vt:variant>
        <vt:i4>1638450</vt:i4>
      </vt:variant>
      <vt:variant>
        <vt:i4>224</vt:i4>
      </vt:variant>
      <vt:variant>
        <vt:i4>0</vt:i4>
      </vt:variant>
      <vt:variant>
        <vt:i4>5</vt:i4>
      </vt:variant>
      <vt:variant>
        <vt:lpwstr/>
      </vt:variant>
      <vt:variant>
        <vt:lpwstr>_Toc139984209</vt:lpwstr>
      </vt:variant>
      <vt:variant>
        <vt:i4>1638450</vt:i4>
      </vt:variant>
      <vt:variant>
        <vt:i4>218</vt:i4>
      </vt:variant>
      <vt:variant>
        <vt:i4>0</vt:i4>
      </vt:variant>
      <vt:variant>
        <vt:i4>5</vt:i4>
      </vt:variant>
      <vt:variant>
        <vt:lpwstr/>
      </vt:variant>
      <vt:variant>
        <vt:lpwstr>_Toc139984208</vt:lpwstr>
      </vt:variant>
      <vt:variant>
        <vt:i4>1638450</vt:i4>
      </vt:variant>
      <vt:variant>
        <vt:i4>212</vt:i4>
      </vt:variant>
      <vt:variant>
        <vt:i4>0</vt:i4>
      </vt:variant>
      <vt:variant>
        <vt:i4>5</vt:i4>
      </vt:variant>
      <vt:variant>
        <vt:lpwstr/>
      </vt:variant>
      <vt:variant>
        <vt:lpwstr>_Toc139984207</vt:lpwstr>
      </vt:variant>
      <vt:variant>
        <vt:i4>1638450</vt:i4>
      </vt:variant>
      <vt:variant>
        <vt:i4>206</vt:i4>
      </vt:variant>
      <vt:variant>
        <vt:i4>0</vt:i4>
      </vt:variant>
      <vt:variant>
        <vt:i4>5</vt:i4>
      </vt:variant>
      <vt:variant>
        <vt:lpwstr/>
      </vt:variant>
      <vt:variant>
        <vt:lpwstr>_Toc139984206</vt:lpwstr>
      </vt:variant>
      <vt:variant>
        <vt:i4>1638450</vt:i4>
      </vt:variant>
      <vt:variant>
        <vt:i4>200</vt:i4>
      </vt:variant>
      <vt:variant>
        <vt:i4>0</vt:i4>
      </vt:variant>
      <vt:variant>
        <vt:i4>5</vt:i4>
      </vt:variant>
      <vt:variant>
        <vt:lpwstr/>
      </vt:variant>
      <vt:variant>
        <vt:lpwstr>_Toc139984205</vt:lpwstr>
      </vt:variant>
      <vt:variant>
        <vt:i4>1638450</vt:i4>
      </vt:variant>
      <vt:variant>
        <vt:i4>194</vt:i4>
      </vt:variant>
      <vt:variant>
        <vt:i4>0</vt:i4>
      </vt:variant>
      <vt:variant>
        <vt:i4>5</vt:i4>
      </vt:variant>
      <vt:variant>
        <vt:lpwstr/>
      </vt:variant>
      <vt:variant>
        <vt:lpwstr>_Toc139984204</vt:lpwstr>
      </vt:variant>
      <vt:variant>
        <vt:i4>1638450</vt:i4>
      </vt:variant>
      <vt:variant>
        <vt:i4>188</vt:i4>
      </vt:variant>
      <vt:variant>
        <vt:i4>0</vt:i4>
      </vt:variant>
      <vt:variant>
        <vt:i4>5</vt:i4>
      </vt:variant>
      <vt:variant>
        <vt:lpwstr/>
      </vt:variant>
      <vt:variant>
        <vt:lpwstr>_Toc139984203</vt:lpwstr>
      </vt:variant>
      <vt:variant>
        <vt:i4>1638450</vt:i4>
      </vt:variant>
      <vt:variant>
        <vt:i4>182</vt:i4>
      </vt:variant>
      <vt:variant>
        <vt:i4>0</vt:i4>
      </vt:variant>
      <vt:variant>
        <vt:i4>5</vt:i4>
      </vt:variant>
      <vt:variant>
        <vt:lpwstr/>
      </vt:variant>
      <vt:variant>
        <vt:lpwstr>_Toc139984202</vt:lpwstr>
      </vt:variant>
      <vt:variant>
        <vt:i4>1638450</vt:i4>
      </vt:variant>
      <vt:variant>
        <vt:i4>176</vt:i4>
      </vt:variant>
      <vt:variant>
        <vt:i4>0</vt:i4>
      </vt:variant>
      <vt:variant>
        <vt:i4>5</vt:i4>
      </vt:variant>
      <vt:variant>
        <vt:lpwstr/>
      </vt:variant>
      <vt:variant>
        <vt:lpwstr>_Toc139984201</vt:lpwstr>
      </vt:variant>
      <vt:variant>
        <vt:i4>1638450</vt:i4>
      </vt:variant>
      <vt:variant>
        <vt:i4>170</vt:i4>
      </vt:variant>
      <vt:variant>
        <vt:i4>0</vt:i4>
      </vt:variant>
      <vt:variant>
        <vt:i4>5</vt:i4>
      </vt:variant>
      <vt:variant>
        <vt:lpwstr/>
      </vt:variant>
      <vt:variant>
        <vt:lpwstr>_Toc139984200</vt:lpwstr>
      </vt:variant>
      <vt:variant>
        <vt:i4>1048625</vt:i4>
      </vt:variant>
      <vt:variant>
        <vt:i4>164</vt:i4>
      </vt:variant>
      <vt:variant>
        <vt:i4>0</vt:i4>
      </vt:variant>
      <vt:variant>
        <vt:i4>5</vt:i4>
      </vt:variant>
      <vt:variant>
        <vt:lpwstr/>
      </vt:variant>
      <vt:variant>
        <vt:lpwstr>_Toc139984199</vt:lpwstr>
      </vt:variant>
      <vt:variant>
        <vt:i4>1048625</vt:i4>
      </vt:variant>
      <vt:variant>
        <vt:i4>158</vt:i4>
      </vt:variant>
      <vt:variant>
        <vt:i4>0</vt:i4>
      </vt:variant>
      <vt:variant>
        <vt:i4>5</vt:i4>
      </vt:variant>
      <vt:variant>
        <vt:lpwstr/>
      </vt:variant>
      <vt:variant>
        <vt:lpwstr>_Toc139984198</vt:lpwstr>
      </vt:variant>
      <vt:variant>
        <vt:i4>1048625</vt:i4>
      </vt:variant>
      <vt:variant>
        <vt:i4>152</vt:i4>
      </vt:variant>
      <vt:variant>
        <vt:i4>0</vt:i4>
      </vt:variant>
      <vt:variant>
        <vt:i4>5</vt:i4>
      </vt:variant>
      <vt:variant>
        <vt:lpwstr/>
      </vt:variant>
      <vt:variant>
        <vt:lpwstr>_Toc139984197</vt:lpwstr>
      </vt:variant>
      <vt:variant>
        <vt:i4>1048625</vt:i4>
      </vt:variant>
      <vt:variant>
        <vt:i4>146</vt:i4>
      </vt:variant>
      <vt:variant>
        <vt:i4>0</vt:i4>
      </vt:variant>
      <vt:variant>
        <vt:i4>5</vt:i4>
      </vt:variant>
      <vt:variant>
        <vt:lpwstr/>
      </vt:variant>
      <vt:variant>
        <vt:lpwstr>_Toc139984196</vt:lpwstr>
      </vt:variant>
      <vt:variant>
        <vt:i4>1048625</vt:i4>
      </vt:variant>
      <vt:variant>
        <vt:i4>140</vt:i4>
      </vt:variant>
      <vt:variant>
        <vt:i4>0</vt:i4>
      </vt:variant>
      <vt:variant>
        <vt:i4>5</vt:i4>
      </vt:variant>
      <vt:variant>
        <vt:lpwstr/>
      </vt:variant>
      <vt:variant>
        <vt:lpwstr>_Toc139984195</vt:lpwstr>
      </vt:variant>
      <vt:variant>
        <vt:i4>1048625</vt:i4>
      </vt:variant>
      <vt:variant>
        <vt:i4>134</vt:i4>
      </vt:variant>
      <vt:variant>
        <vt:i4>0</vt:i4>
      </vt:variant>
      <vt:variant>
        <vt:i4>5</vt:i4>
      </vt:variant>
      <vt:variant>
        <vt:lpwstr/>
      </vt:variant>
      <vt:variant>
        <vt:lpwstr>_Toc139984194</vt:lpwstr>
      </vt:variant>
      <vt:variant>
        <vt:i4>1048625</vt:i4>
      </vt:variant>
      <vt:variant>
        <vt:i4>128</vt:i4>
      </vt:variant>
      <vt:variant>
        <vt:i4>0</vt:i4>
      </vt:variant>
      <vt:variant>
        <vt:i4>5</vt:i4>
      </vt:variant>
      <vt:variant>
        <vt:lpwstr/>
      </vt:variant>
      <vt:variant>
        <vt:lpwstr>_Toc139984193</vt:lpwstr>
      </vt:variant>
      <vt:variant>
        <vt:i4>1048625</vt:i4>
      </vt:variant>
      <vt:variant>
        <vt:i4>122</vt:i4>
      </vt:variant>
      <vt:variant>
        <vt:i4>0</vt:i4>
      </vt:variant>
      <vt:variant>
        <vt:i4>5</vt:i4>
      </vt:variant>
      <vt:variant>
        <vt:lpwstr/>
      </vt:variant>
      <vt:variant>
        <vt:lpwstr>_Toc139984192</vt:lpwstr>
      </vt:variant>
      <vt:variant>
        <vt:i4>1048625</vt:i4>
      </vt:variant>
      <vt:variant>
        <vt:i4>116</vt:i4>
      </vt:variant>
      <vt:variant>
        <vt:i4>0</vt:i4>
      </vt:variant>
      <vt:variant>
        <vt:i4>5</vt:i4>
      </vt:variant>
      <vt:variant>
        <vt:lpwstr/>
      </vt:variant>
      <vt:variant>
        <vt:lpwstr>_Toc139984191</vt:lpwstr>
      </vt:variant>
      <vt:variant>
        <vt:i4>1048625</vt:i4>
      </vt:variant>
      <vt:variant>
        <vt:i4>110</vt:i4>
      </vt:variant>
      <vt:variant>
        <vt:i4>0</vt:i4>
      </vt:variant>
      <vt:variant>
        <vt:i4>5</vt:i4>
      </vt:variant>
      <vt:variant>
        <vt:lpwstr/>
      </vt:variant>
      <vt:variant>
        <vt:lpwstr>_Toc139984190</vt:lpwstr>
      </vt:variant>
      <vt:variant>
        <vt:i4>1114161</vt:i4>
      </vt:variant>
      <vt:variant>
        <vt:i4>104</vt:i4>
      </vt:variant>
      <vt:variant>
        <vt:i4>0</vt:i4>
      </vt:variant>
      <vt:variant>
        <vt:i4>5</vt:i4>
      </vt:variant>
      <vt:variant>
        <vt:lpwstr/>
      </vt:variant>
      <vt:variant>
        <vt:lpwstr>_Toc139984189</vt:lpwstr>
      </vt:variant>
      <vt:variant>
        <vt:i4>1114161</vt:i4>
      </vt:variant>
      <vt:variant>
        <vt:i4>98</vt:i4>
      </vt:variant>
      <vt:variant>
        <vt:i4>0</vt:i4>
      </vt:variant>
      <vt:variant>
        <vt:i4>5</vt:i4>
      </vt:variant>
      <vt:variant>
        <vt:lpwstr/>
      </vt:variant>
      <vt:variant>
        <vt:lpwstr>_Toc139984188</vt:lpwstr>
      </vt:variant>
      <vt:variant>
        <vt:i4>1114161</vt:i4>
      </vt:variant>
      <vt:variant>
        <vt:i4>92</vt:i4>
      </vt:variant>
      <vt:variant>
        <vt:i4>0</vt:i4>
      </vt:variant>
      <vt:variant>
        <vt:i4>5</vt:i4>
      </vt:variant>
      <vt:variant>
        <vt:lpwstr/>
      </vt:variant>
      <vt:variant>
        <vt:lpwstr>_Toc139984187</vt:lpwstr>
      </vt:variant>
      <vt:variant>
        <vt:i4>1114161</vt:i4>
      </vt:variant>
      <vt:variant>
        <vt:i4>86</vt:i4>
      </vt:variant>
      <vt:variant>
        <vt:i4>0</vt:i4>
      </vt:variant>
      <vt:variant>
        <vt:i4>5</vt:i4>
      </vt:variant>
      <vt:variant>
        <vt:lpwstr/>
      </vt:variant>
      <vt:variant>
        <vt:lpwstr>_Toc139984186</vt:lpwstr>
      </vt:variant>
      <vt:variant>
        <vt:i4>1114161</vt:i4>
      </vt:variant>
      <vt:variant>
        <vt:i4>80</vt:i4>
      </vt:variant>
      <vt:variant>
        <vt:i4>0</vt:i4>
      </vt:variant>
      <vt:variant>
        <vt:i4>5</vt:i4>
      </vt:variant>
      <vt:variant>
        <vt:lpwstr/>
      </vt:variant>
      <vt:variant>
        <vt:lpwstr>_Toc139984185</vt:lpwstr>
      </vt:variant>
      <vt:variant>
        <vt:i4>1114161</vt:i4>
      </vt:variant>
      <vt:variant>
        <vt:i4>74</vt:i4>
      </vt:variant>
      <vt:variant>
        <vt:i4>0</vt:i4>
      </vt:variant>
      <vt:variant>
        <vt:i4>5</vt:i4>
      </vt:variant>
      <vt:variant>
        <vt:lpwstr/>
      </vt:variant>
      <vt:variant>
        <vt:lpwstr>_Toc139984184</vt:lpwstr>
      </vt:variant>
      <vt:variant>
        <vt:i4>1114161</vt:i4>
      </vt:variant>
      <vt:variant>
        <vt:i4>68</vt:i4>
      </vt:variant>
      <vt:variant>
        <vt:i4>0</vt:i4>
      </vt:variant>
      <vt:variant>
        <vt:i4>5</vt:i4>
      </vt:variant>
      <vt:variant>
        <vt:lpwstr/>
      </vt:variant>
      <vt:variant>
        <vt:lpwstr>_Toc139984183</vt:lpwstr>
      </vt:variant>
      <vt:variant>
        <vt:i4>1114161</vt:i4>
      </vt:variant>
      <vt:variant>
        <vt:i4>62</vt:i4>
      </vt:variant>
      <vt:variant>
        <vt:i4>0</vt:i4>
      </vt:variant>
      <vt:variant>
        <vt:i4>5</vt:i4>
      </vt:variant>
      <vt:variant>
        <vt:lpwstr/>
      </vt:variant>
      <vt:variant>
        <vt:lpwstr>_Toc139984182</vt:lpwstr>
      </vt:variant>
      <vt:variant>
        <vt:i4>1114161</vt:i4>
      </vt:variant>
      <vt:variant>
        <vt:i4>56</vt:i4>
      </vt:variant>
      <vt:variant>
        <vt:i4>0</vt:i4>
      </vt:variant>
      <vt:variant>
        <vt:i4>5</vt:i4>
      </vt:variant>
      <vt:variant>
        <vt:lpwstr/>
      </vt:variant>
      <vt:variant>
        <vt:lpwstr>_Toc139984181</vt:lpwstr>
      </vt:variant>
      <vt:variant>
        <vt:i4>1114161</vt:i4>
      </vt:variant>
      <vt:variant>
        <vt:i4>50</vt:i4>
      </vt:variant>
      <vt:variant>
        <vt:i4>0</vt:i4>
      </vt:variant>
      <vt:variant>
        <vt:i4>5</vt:i4>
      </vt:variant>
      <vt:variant>
        <vt:lpwstr/>
      </vt:variant>
      <vt:variant>
        <vt:lpwstr>_Toc139984180</vt:lpwstr>
      </vt:variant>
      <vt:variant>
        <vt:i4>1966129</vt:i4>
      </vt:variant>
      <vt:variant>
        <vt:i4>44</vt:i4>
      </vt:variant>
      <vt:variant>
        <vt:i4>0</vt:i4>
      </vt:variant>
      <vt:variant>
        <vt:i4>5</vt:i4>
      </vt:variant>
      <vt:variant>
        <vt:lpwstr/>
      </vt:variant>
      <vt:variant>
        <vt:lpwstr>_Toc139984179</vt:lpwstr>
      </vt:variant>
      <vt:variant>
        <vt:i4>1966129</vt:i4>
      </vt:variant>
      <vt:variant>
        <vt:i4>38</vt:i4>
      </vt:variant>
      <vt:variant>
        <vt:i4>0</vt:i4>
      </vt:variant>
      <vt:variant>
        <vt:i4>5</vt:i4>
      </vt:variant>
      <vt:variant>
        <vt:lpwstr/>
      </vt:variant>
      <vt:variant>
        <vt:lpwstr>_Toc139984178</vt:lpwstr>
      </vt:variant>
      <vt:variant>
        <vt:i4>1966129</vt:i4>
      </vt:variant>
      <vt:variant>
        <vt:i4>32</vt:i4>
      </vt:variant>
      <vt:variant>
        <vt:i4>0</vt:i4>
      </vt:variant>
      <vt:variant>
        <vt:i4>5</vt:i4>
      </vt:variant>
      <vt:variant>
        <vt:lpwstr/>
      </vt:variant>
      <vt:variant>
        <vt:lpwstr>_Toc139984176</vt:lpwstr>
      </vt:variant>
      <vt:variant>
        <vt:i4>1966129</vt:i4>
      </vt:variant>
      <vt:variant>
        <vt:i4>26</vt:i4>
      </vt:variant>
      <vt:variant>
        <vt:i4>0</vt:i4>
      </vt:variant>
      <vt:variant>
        <vt:i4>5</vt:i4>
      </vt:variant>
      <vt:variant>
        <vt:lpwstr/>
      </vt:variant>
      <vt:variant>
        <vt:lpwstr>_Toc139984175</vt:lpwstr>
      </vt:variant>
      <vt:variant>
        <vt:i4>1966129</vt:i4>
      </vt:variant>
      <vt:variant>
        <vt:i4>20</vt:i4>
      </vt:variant>
      <vt:variant>
        <vt:i4>0</vt:i4>
      </vt:variant>
      <vt:variant>
        <vt:i4>5</vt:i4>
      </vt:variant>
      <vt:variant>
        <vt:lpwstr/>
      </vt:variant>
      <vt:variant>
        <vt:lpwstr>_Toc139984174</vt:lpwstr>
      </vt:variant>
      <vt:variant>
        <vt:i4>1966129</vt:i4>
      </vt:variant>
      <vt:variant>
        <vt:i4>14</vt:i4>
      </vt:variant>
      <vt:variant>
        <vt:i4>0</vt:i4>
      </vt:variant>
      <vt:variant>
        <vt:i4>5</vt:i4>
      </vt:variant>
      <vt:variant>
        <vt:lpwstr/>
      </vt:variant>
      <vt:variant>
        <vt:lpwstr>_Toc139984173</vt:lpwstr>
      </vt:variant>
      <vt:variant>
        <vt:i4>3932203</vt:i4>
      </vt:variant>
      <vt:variant>
        <vt:i4>9</vt:i4>
      </vt:variant>
      <vt:variant>
        <vt:i4>0</vt:i4>
      </vt:variant>
      <vt:variant>
        <vt:i4>5</vt:i4>
      </vt:variant>
      <vt:variant>
        <vt:lpwstr>https://www.mercuryconvention.org/</vt:lpwstr>
      </vt:variant>
      <vt:variant>
        <vt:lpwstr/>
      </vt:variant>
      <vt:variant>
        <vt:i4>5505083</vt:i4>
      </vt:variant>
      <vt:variant>
        <vt:i4>6</vt:i4>
      </vt:variant>
      <vt:variant>
        <vt:i4>0</vt:i4>
      </vt:variant>
      <vt:variant>
        <vt:i4>5</vt:i4>
      </vt:variant>
      <vt:variant>
        <vt:lpwstr>mailto:MEA-MinamataSecretariat@un.org</vt:lpwstr>
      </vt:variant>
      <vt:variant>
        <vt:lpwstr/>
      </vt:variant>
      <vt:variant>
        <vt:i4>6029358</vt:i4>
      </vt:variant>
      <vt:variant>
        <vt:i4>3</vt:i4>
      </vt:variant>
      <vt:variant>
        <vt:i4>0</vt:i4>
      </vt:variant>
      <vt:variant>
        <vt:i4>5</vt:i4>
      </vt:variant>
      <vt:variant>
        <vt:lpwstr>mailto:giovanni.ferraiolo@gmail.com</vt:lpwstr>
      </vt:variant>
      <vt:variant>
        <vt:lpwstr/>
      </vt:variant>
      <vt:variant>
        <vt:i4>2556016</vt:i4>
      </vt:variant>
      <vt:variant>
        <vt:i4>39</vt:i4>
      </vt:variant>
      <vt:variant>
        <vt:i4>0</vt:i4>
      </vt:variant>
      <vt:variant>
        <vt:i4>5</vt:i4>
      </vt:variant>
      <vt:variant>
        <vt:lpwstr>https://wedocs.unep.org/bitstream/handle/20.500.11822/22321/NAP_GC_En.pdf?sequence=3&amp;isAllowed=y</vt:lpwstr>
      </vt:variant>
      <vt:variant>
        <vt:lpwstr/>
      </vt:variant>
      <vt:variant>
        <vt:i4>3604530</vt:i4>
      </vt:variant>
      <vt:variant>
        <vt:i4>36</vt:i4>
      </vt:variant>
      <vt:variant>
        <vt:i4>0</vt:i4>
      </vt:variant>
      <vt:variant>
        <vt:i4>5</vt:i4>
      </vt:variant>
      <vt:variant>
        <vt:lpwstr>http://www.unep.org/explore-topics/chemicals-waste/what-we-do/mercury/mercury-inventory-toolkit</vt:lpwstr>
      </vt:variant>
      <vt:variant>
        <vt:lpwstr/>
      </vt:variant>
      <vt:variant>
        <vt:i4>6094865</vt:i4>
      </vt:variant>
      <vt:variant>
        <vt:i4>33</vt:i4>
      </vt:variant>
      <vt:variant>
        <vt:i4>0</vt:i4>
      </vt:variant>
      <vt:variant>
        <vt:i4>5</vt:i4>
      </vt:variant>
      <vt:variant>
        <vt:lpwstr>http://www.unep.org/globalmercurypartnership/insights-asgm-national-action-plans</vt:lpwstr>
      </vt:variant>
      <vt:variant>
        <vt:lpwstr/>
      </vt:variant>
      <vt:variant>
        <vt:i4>1245185</vt:i4>
      </vt:variant>
      <vt:variant>
        <vt:i4>30</vt:i4>
      </vt:variant>
      <vt:variant>
        <vt:i4>0</vt:i4>
      </vt:variant>
      <vt:variant>
        <vt:i4>5</vt:i4>
      </vt:variant>
      <vt:variant>
        <vt:lpwstr>https://www.thegef.org/what-we-do</vt:lpwstr>
      </vt:variant>
      <vt:variant>
        <vt:lpwstr/>
      </vt:variant>
      <vt:variant>
        <vt:i4>3997795</vt:i4>
      </vt:variant>
      <vt:variant>
        <vt:i4>27</vt:i4>
      </vt:variant>
      <vt:variant>
        <vt:i4>0</vt:i4>
      </vt:variant>
      <vt:variant>
        <vt:i4>5</vt:i4>
      </vt:variant>
      <vt:variant>
        <vt:lpwstr>https://www.planetgold.org/</vt:lpwstr>
      </vt:variant>
      <vt:variant>
        <vt:lpwstr/>
      </vt:variant>
      <vt:variant>
        <vt:i4>7995418</vt:i4>
      </vt:variant>
      <vt:variant>
        <vt:i4>24</vt:i4>
      </vt:variant>
      <vt:variant>
        <vt:i4>0</vt:i4>
      </vt:variant>
      <vt:variant>
        <vt:i4>5</vt:i4>
      </vt:variant>
      <vt:variant>
        <vt:lpwstr>https://public.tableau.com/app/profile/mark.burton.bri/viz/MIAMercuryInventoryDashboard/Main_Dashboard?publish=yes</vt:lpwstr>
      </vt:variant>
      <vt:variant>
        <vt:lpwstr/>
      </vt:variant>
      <vt:variant>
        <vt:i4>6160476</vt:i4>
      </vt:variant>
      <vt:variant>
        <vt:i4>21</vt:i4>
      </vt:variant>
      <vt:variant>
        <vt:i4>0</vt:i4>
      </vt:variant>
      <vt:variant>
        <vt:i4>5</vt:i4>
      </vt:variant>
      <vt:variant>
        <vt:lpwstr>https://www.unep.org/explore-topics/chemicals-waste/what-we-do/mercury/mercury-inventory-toolkit</vt:lpwstr>
      </vt:variant>
      <vt:variant>
        <vt:lpwstr/>
      </vt:variant>
      <vt:variant>
        <vt:i4>6357043</vt:i4>
      </vt:variant>
      <vt:variant>
        <vt:i4>18</vt:i4>
      </vt:variant>
      <vt:variant>
        <vt:i4>0</vt:i4>
      </vt:variant>
      <vt:variant>
        <vt:i4>5</vt:i4>
      </vt:variant>
      <vt:variant>
        <vt:lpwstr>https://www.unep.org/globalmercurypartnership/</vt:lpwstr>
      </vt:variant>
      <vt:variant>
        <vt:lpwstr/>
      </vt:variant>
      <vt:variant>
        <vt:i4>4915282</vt:i4>
      </vt:variant>
      <vt:variant>
        <vt:i4>15</vt:i4>
      </vt:variant>
      <vt:variant>
        <vt:i4>0</vt:i4>
      </vt:variant>
      <vt:variant>
        <vt:i4>5</vt:i4>
      </vt:variant>
      <vt:variant>
        <vt:lpwstr>https://www.unep.org/explore-topics/chemicals-waste/what-we-do/special-programme</vt:lpwstr>
      </vt:variant>
      <vt:variant>
        <vt:lpwstr/>
      </vt:variant>
      <vt:variant>
        <vt:i4>458764</vt:i4>
      </vt:variant>
      <vt:variant>
        <vt:i4>12</vt:i4>
      </vt:variant>
      <vt:variant>
        <vt:i4>0</vt:i4>
      </vt:variant>
      <vt:variant>
        <vt:i4>5</vt:i4>
      </vt:variant>
      <vt:variant>
        <vt:lpwstr>https://www.mercuryconvention.org/en/implementation/specific-international-programme/third-round</vt:lpwstr>
      </vt:variant>
      <vt:variant>
        <vt:lpwstr/>
      </vt:variant>
      <vt:variant>
        <vt:i4>1376259</vt:i4>
      </vt:variant>
      <vt:variant>
        <vt:i4>9</vt:i4>
      </vt:variant>
      <vt:variant>
        <vt:i4>0</vt:i4>
      </vt:variant>
      <vt:variant>
        <vt:i4>5</vt:i4>
      </vt:variant>
      <vt:variant>
        <vt:lpwstr>https://www.thegef.org/documents/co-financing</vt:lpwstr>
      </vt:variant>
      <vt:variant>
        <vt:lpwstr/>
      </vt:variant>
      <vt:variant>
        <vt:i4>3997795</vt:i4>
      </vt:variant>
      <vt:variant>
        <vt:i4>6</vt:i4>
      </vt:variant>
      <vt:variant>
        <vt:i4>0</vt:i4>
      </vt:variant>
      <vt:variant>
        <vt:i4>5</vt:i4>
      </vt:variant>
      <vt:variant>
        <vt:lpwstr>https://www.planetgold.org/</vt:lpwstr>
      </vt:variant>
      <vt:variant>
        <vt:lpwstr/>
      </vt:variant>
      <vt:variant>
        <vt:i4>6357101</vt:i4>
      </vt:variant>
      <vt:variant>
        <vt:i4>3</vt:i4>
      </vt:variant>
      <vt:variant>
        <vt:i4>0</vt:i4>
      </vt:variant>
      <vt:variant>
        <vt:i4>5</vt:i4>
      </vt:variant>
      <vt:variant>
        <vt:lpwstr>https://www.thegef.org/projects-operations/database</vt:lpwstr>
      </vt:variant>
      <vt:variant>
        <vt:lpwstr/>
      </vt:variant>
      <vt:variant>
        <vt:i4>4915282</vt:i4>
      </vt:variant>
      <vt:variant>
        <vt:i4>0</vt:i4>
      </vt:variant>
      <vt:variant>
        <vt:i4>0</vt:i4>
      </vt:variant>
      <vt:variant>
        <vt:i4>5</vt:i4>
      </vt:variant>
      <vt:variant>
        <vt:lpwstr>https://www.unep.org/explore-topics/chemicals-waste/what-we-do/special-programme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My Linh Doan</cp:lastModifiedBy>
  <cp:revision>13</cp:revision>
  <cp:lastPrinted>2023-08-30T05:34:00Z</cp:lastPrinted>
  <dcterms:created xsi:type="dcterms:W3CDTF">2023-08-29T14:27:00Z</dcterms:created>
  <dcterms:modified xsi:type="dcterms:W3CDTF">2023-09-22T12:27:00Z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Language">
    <vt:lpwstr>EN</vt:lpwstr>
  </property>
  <property fmtid="{D5CDD505-2E9C-101B-9397-08002B2CF9AE}" pid="3" name="UNONDCSTES-Category">
    <vt:lpwstr>UNEP-MC-COP</vt:lpwstr>
  </property>
  <property fmtid="{D5CDD505-2E9C-101B-9397-08002B2CF9AE}" pid="4" name="UNONDCSTES-Generator">
    <vt:lpwstr>0</vt:lpwstr>
  </property>
  <property fmtid="{D5CDD505-2E9C-101B-9397-08002B2CF9AE}" pid="5" name="UNONDCSTES-NoSymbol">
    <vt:lpwstr>1</vt:lpwstr>
  </property>
  <property fmtid="{D5CDD505-2E9C-101B-9397-08002B2CF9AE}" pid="6" name="UNONDCSTES-LangDistr">
    <vt:lpwstr>EN_EN</vt:lpwstr>
  </property>
  <property fmtid="{D5CDD505-2E9C-101B-9397-08002B2CF9AE}" pid="7" name="ContentTypeId">
    <vt:lpwstr>0x010100D4A186B34AAF4047A570F9DFA6808567</vt:lpwstr>
  </property>
  <property fmtid="{D5CDD505-2E9C-101B-9397-08002B2CF9AE}" pid="8" name="MediaServiceImageTags">
    <vt:lpwstr/>
  </property>
</Properties>
</file>