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52568F" w:rsidRPr="00D66AFB" w14:paraId="469A7670" w14:textId="77777777" w:rsidTr="00EB14EE">
        <w:trPr>
          <w:trHeight w:val="850"/>
        </w:trPr>
        <w:tc>
          <w:tcPr>
            <w:tcW w:w="1559" w:type="dxa"/>
            <w:shd w:val="clear" w:color="auto" w:fill="auto"/>
          </w:tcPr>
          <w:p w14:paraId="36C4467A" w14:textId="77777777" w:rsidR="0052568F" w:rsidRPr="00D66AFB" w:rsidRDefault="0052568F" w:rsidP="008F0732">
            <w:pPr>
              <w:pStyle w:val="AConvName"/>
            </w:pPr>
            <w:r w:rsidRPr="00D66AFB">
              <w:t xml:space="preserve">UNITED </w:t>
            </w:r>
            <w:r w:rsidRPr="00D66AFB">
              <w:br/>
              <w:t>NATIONS</w:t>
            </w:r>
          </w:p>
        </w:tc>
        <w:tc>
          <w:tcPr>
            <w:tcW w:w="6520" w:type="dxa"/>
            <w:shd w:val="clear" w:color="auto" w:fill="auto"/>
          </w:tcPr>
          <w:p w14:paraId="22D08D2A" w14:textId="77777777" w:rsidR="0052568F" w:rsidRPr="00D66AFB" w:rsidRDefault="0052568F" w:rsidP="00EB14EE">
            <w:pPr>
              <w:pStyle w:val="Normal-pool"/>
            </w:pPr>
            <w:r w:rsidRPr="00D66AFB">
              <w:rPr>
                <w:noProof/>
                <w14:ligatures w14:val="standardContextual"/>
              </w:rPr>
              <w:drawing>
                <wp:anchor distT="0" distB="0" distL="114300" distR="114300" simplePos="0" relativeHeight="251659264" behindDoc="0" locked="0" layoutInCell="1" allowOverlap="1" wp14:anchorId="315E93C4" wp14:editId="1457A331">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35C44BBE" w14:textId="77777777" w:rsidR="0052568F" w:rsidRPr="00D66AFB" w:rsidRDefault="0052568F" w:rsidP="00EB14EE">
            <w:pPr>
              <w:pStyle w:val="Normal-pool"/>
            </w:pPr>
          </w:p>
        </w:tc>
      </w:tr>
    </w:tbl>
    <w:p w14:paraId="2EBE8C4B" w14:textId="77777777" w:rsidR="0052568F" w:rsidRPr="00D66AFB" w:rsidRDefault="0052568F" w:rsidP="009032FF">
      <w:pPr>
        <w:pStyle w:val="ASpacer"/>
      </w:pPr>
    </w:p>
    <w:tbl>
      <w:tblPr>
        <w:tblW w:w="9496" w:type="dxa"/>
        <w:tblLook w:val="0000" w:firstRow="0" w:lastRow="0" w:firstColumn="0" w:lastColumn="0" w:noHBand="0" w:noVBand="0"/>
      </w:tblPr>
      <w:tblGrid>
        <w:gridCol w:w="6378"/>
        <w:gridCol w:w="3118"/>
      </w:tblGrid>
      <w:tr w:rsidR="0052568F" w:rsidRPr="00D66AFB" w14:paraId="5D616612" w14:textId="77777777" w:rsidTr="00EB14EE">
        <w:trPr>
          <w:trHeight w:val="340"/>
        </w:trPr>
        <w:tc>
          <w:tcPr>
            <w:tcW w:w="3358" w:type="pct"/>
            <w:shd w:val="clear" w:color="auto" w:fill="auto"/>
            <w:vAlign w:val="bottom"/>
          </w:tcPr>
          <w:p w14:paraId="5F18D869" w14:textId="77777777" w:rsidR="0052568F" w:rsidRPr="00D66AFB" w:rsidRDefault="0052568F" w:rsidP="00EB14EE">
            <w:pPr>
              <w:pStyle w:val="Normal-pool"/>
            </w:pPr>
          </w:p>
        </w:tc>
        <w:tc>
          <w:tcPr>
            <w:tcW w:w="1642" w:type="pct"/>
            <w:shd w:val="clear" w:color="auto" w:fill="auto"/>
            <w:noWrap/>
            <w:vAlign w:val="bottom"/>
          </w:tcPr>
          <w:p w14:paraId="573312B4" w14:textId="77A9A0BB" w:rsidR="0052568F" w:rsidRPr="00D66AFB" w:rsidRDefault="0052568F" w:rsidP="00EB14EE">
            <w:pPr>
              <w:pStyle w:val="ASymbol"/>
            </w:pPr>
            <w:r w:rsidRPr="00D66AFB">
              <w:rPr>
                <w:b/>
                <w:sz w:val="28"/>
              </w:rPr>
              <w:t>UNEP</w:t>
            </w:r>
            <w:r w:rsidRPr="00D66AFB">
              <w:t>/MC/COP.</w:t>
            </w:r>
            <w:bookmarkStart w:id="0" w:name="Symbol1A"/>
            <w:r w:rsidRPr="00D66AFB">
              <w:t>5</w:t>
            </w:r>
            <w:bookmarkStart w:id="1" w:name="Symbol1B"/>
            <w:bookmarkEnd w:id="0"/>
            <w:r w:rsidR="00B34FF9" w:rsidRPr="00D66AFB">
              <w:t>/INF/13</w:t>
            </w:r>
            <w:bookmarkEnd w:id="1"/>
          </w:p>
        </w:tc>
      </w:tr>
    </w:tbl>
    <w:p w14:paraId="7C95A2D7" w14:textId="77777777" w:rsidR="0052568F" w:rsidRPr="00D66AFB" w:rsidRDefault="0052568F" w:rsidP="009032FF">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52568F" w:rsidRPr="00D66AFB" w14:paraId="60AB5D94" w14:textId="77777777" w:rsidTr="00EB14EE">
        <w:trPr>
          <w:trHeight w:val="2098"/>
        </w:trPr>
        <w:tc>
          <w:tcPr>
            <w:tcW w:w="3685" w:type="dxa"/>
            <w:shd w:val="clear" w:color="auto" w:fill="auto"/>
          </w:tcPr>
          <w:p w14:paraId="13951E4D" w14:textId="77777777" w:rsidR="0052568F" w:rsidRPr="00D66AFB" w:rsidRDefault="0052568F" w:rsidP="00EB14EE">
            <w:pPr>
              <w:pStyle w:val="ALogo"/>
              <w:rPr>
                <w:lang w:val="en-GB"/>
              </w:rPr>
            </w:pPr>
            <w:r w:rsidRPr="00D66AFB">
              <w:rPr>
                <w:noProof/>
                <w:lang w:val="en-GB"/>
                <w14:ligatures w14:val="standardContextual"/>
              </w:rPr>
              <w:drawing>
                <wp:inline distT="0" distB="0" distL="0" distR="0" wp14:anchorId="011C523E" wp14:editId="368BB3EB">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D66AFB">
              <w:rPr>
                <w:lang w:val="en-GB"/>
              </w:rPr>
              <w:t xml:space="preserve"> </w:t>
            </w:r>
          </w:p>
          <w:p w14:paraId="5AB81DC1" w14:textId="77777777" w:rsidR="0052568F" w:rsidRPr="00D66AFB" w:rsidRDefault="0052568F" w:rsidP="00EB14EE">
            <w:pPr>
              <w:pStyle w:val="ALogo"/>
              <w:rPr>
                <w:lang w:val="en-GB"/>
              </w:rPr>
            </w:pPr>
          </w:p>
        </w:tc>
        <w:tc>
          <w:tcPr>
            <w:tcW w:w="2693" w:type="dxa"/>
            <w:shd w:val="clear" w:color="auto" w:fill="auto"/>
          </w:tcPr>
          <w:p w14:paraId="645A4E47" w14:textId="77777777" w:rsidR="0052568F" w:rsidRPr="00D66AFB" w:rsidRDefault="0052568F" w:rsidP="00EB14EE">
            <w:pPr>
              <w:pStyle w:val="Normal-pool"/>
            </w:pPr>
          </w:p>
        </w:tc>
        <w:tc>
          <w:tcPr>
            <w:tcW w:w="3118" w:type="dxa"/>
            <w:shd w:val="clear" w:color="auto" w:fill="auto"/>
          </w:tcPr>
          <w:p w14:paraId="7779D979" w14:textId="24957C3E" w:rsidR="0052568F" w:rsidRPr="00D66AFB" w:rsidRDefault="0052568F" w:rsidP="00EB14EE">
            <w:pPr>
              <w:pStyle w:val="AText"/>
            </w:pPr>
            <w:r w:rsidRPr="00D66AFB">
              <w:t xml:space="preserve">Distr.: </w:t>
            </w:r>
            <w:bookmarkStart w:id="2" w:name="Distribution"/>
            <w:r w:rsidR="0018310F" w:rsidRPr="00D66AFB">
              <w:t>General</w:t>
            </w:r>
            <w:bookmarkEnd w:id="2"/>
            <w:r w:rsidRPr="00D66AFB">
              <w:t xml:space="preserve"> </w:t>
            </w:r>
          </w:p>
          <w:p w14:paraId="1898F570" w14:textId="44CA4A59" w:rsidR="0052568F" w:rsidRPr="00D66AFB" w:rsidRDefault="00D63CC0" w:rsidP="00EB14EE">
            <w:pPr>
              <w:pStyle w:val="AText0"/>
            </w:pPr>
            <w:bookmarkStart w:id="3" w:name="DistributionDate"/>
            <w:r w:rsidRPr="00D66AFB">
              <w:t>1</w:t>
            </w:r>
            <w:r w:rsidR="00B34FF9" w:rsidRPr="00D66AFB">
              <w:t xml:space="preserve"> </w:t>
            </w:r>
            <w:r w:rsidRPr="00D66AFB">
              <w:t xml:space="preserve">July </w:t>
            </w:r>
            <w:r w:rsidR="00B34FF9" w:rsidRPr="00D66AFB">
              <w:t>2023</w:t>
            </w:r>
            <w:bookmarkEnd w:id="3"/>
            <w:r w:rsidR="0052568F" w:rsidRPr="00D66AFB">
              <w:t xml:space="preserve"> </w:t>
            </w:r>
          </w:p>
          <w:p w14:paraId="3F0C948B" w14:textId="6C726B2F" w:rsidR="0052568F" w:rsidRPr="00D66AFB" w:rsidRDefault="00F013C5" w:rsidP="00EB14EE">
            <w:pPr>
              <w:pStyle w:val="AText"/>
            </w:pPr>
            <w:bookmarkStart w:id="4" w:name="DistributionLang"/>
            <w:r w:rsidRPr="00D66AFB">
              <w:t>English only</w:t>
            </w:r>
            <w:bookmarkEnd w:id="4"/>
          </w:p>
        </w:tc>
      </w:tr>
    </w:tbl>
    <w:p w14:paraId="2931E2BD" w14:textId="77777777" w:rsidR="0052568F" w:rsidRPr="00D66AFB" w:rsidRDefault="0052568F" w:rsidP="009032FF">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52568F" w:rsidRPr="00D66AFB" w14:paraId="365B4DC1" w14:textId="77777777" w:rsidTr="00EB14EE">
        <w:trPr>
          <w:trHeight w:val="57"/>
        </w:trPr>
        <w:tc>
          <w:tcPr>
            <w:tcW w:w="4734" w:type="dxa"/>
            <w:shd w:val="clear" w:color="auto" w:fill="auto"/>
          </w:tcPr>
          <w:p w14:paraId="79D43CAE" w14:textId="77777777" w:rsidR="0052568F" w:rsidRPr="00D66AFB" w:rsidRDefault="0052568F" w:rsidP="00EB14EE">
            <w:pPr>
              <w:pStyle w:val="AATitle"/>
            </w:pPr>
            <w:bookmarkStart w:id="5" w:name="CorNot1Text"/>
            <w:r w:rsidRPr="00D66AFB">
              <w:t xml:space="preserve">Conference of the Parties to the </w:t>
            </w:r>
            <w:r w:rsidRPr="00D66AFB">
              <w:br/>
              <w:t xml:space="preserve">Minamata Convention on Mercury </w:t>
            </w:r>
          </w:p>
          <w:p w14:paraId="5E28DF1D" w14:textId="77777777" w:rsidR="0052568F" w:rsidRPr="00D66AFB" w:rsidRDefault="0052568F" w:rsidP="00EB14EE">
            <w:pPr>
              <w:pStyle w:val="AATitle"/>
            </w:pPr>
            <w:r w:rsidRPr="00D66AFB">
              <w:t>Fifth meeting</w:t>
            </w:r>
            <w:bookmarkEnd w:id="5"/>
            <w:r w:rsidRPr="00D66AFB">
              <w:t xml:space="preserve"> </w:t>
            </w:r>
          </w:p>
          <w:p w14:paraId="610437C5" w14:textId="77777777" w:rsidR="0052568F" w:rsidRPr="00D66AFB" w:rsidRDefault="0052568F" w:rsidP="00EB14EE">
            <w:pPr>
              <w:pStyle w:val="AATitle1"/>
            </w:pPr>
            <w:bookmarkStart w:id="6" w:name="CorNot1VenueDate"/>
            <w:r w:rsidRPr="00D66AFB">
              <w:t>Geneva, 30 October–3 November 2023</w:t>
            </w:r>
            <w:bookmarkEnd w:id="6"/>
            <w:r w:rsidRPr="00D66AFB">
              <w:t xml:space="preserve"> </w:t>
            </w:r>
          </w:p>
          <w:p w14:paraId="45A54CB7" w14:textId="149DF373" w:rsidR="009927AF" w:rsidRPr="00D66AFB" w:rsidRDefault="00B34FF9" w:rsidP="00EB14EE">
            <w:pPr>
              <w:pStyle w:val="AATitle1"/>
            </w:pPr>
            <w:bookmarkStart w:id="7" w:name="CorNot1AgItem"/>
            <w:r w:rsidRPr="00D66AFB">
              <w:t>Item 4 (f) of the provisional agenda</w:t>
            </w:r>
            <w:bookmarkStart w:id="8" w:name="_Hlk76459712"/>
            <w:bookmarkEnd w:id="7"/>
            <w:r w:rsidR="00F55399" w:rsidRPr="00D66AFB">
              <w:footnoteReference w:customMarkFollows="1" w:id="2"/>
              <w:t>*</w:t>
            </w:r>
            <w:bookmarkEnd w:id="8"/>
            <w:r w:rsidR="009927AF" w:rsidRPr="00D66AFB">
              <w:t xml:space="preserve"> </w:t>
            </w:r>
          </w:p>
          <w:p w14:paraId="18F791C1" w14:textId="7EEF77E3" w:rsidR="0052568F" w:rsidRPr="00D66AFB" w:rsidRDefault="00B34FF9" w:rsidP="00EB14EE">
            <w:pPr>
              <w:pStyle w:val="AATitle2"/>
            </w:pPr>
            <w:bookmarkStart w:id="9" w:name="CorNot1AgTitle"/>
            <w:r w:rsidRPr="00D66AFB">
              <w:t xml:space="preserve">Matters for consideration or action by the Conference of the Parties: mercury waste: consideration of the relevant thresholds </w:t>
            </w:r>
            <w:bookmarkEnd w:id="9"/>
          </w:p>
        </w:tc>
        <w:tc>
          <w:tcPr>
            <w:tcW w:w="4762" w:type="dxa"/>
            <w:shd w:val="clear" w:color="auto" w:fill="auto"/>
          </w:tcPr>
          <w:p w14:paraId="6C9F4D09" w14:textId="77777777" w:rsidR="0052568F" w:rsidRPr="00D66AFB" w:rsidRDefault="0052568F" w:rsidP="00EB14EE">
            <w:pPr>
              <w:pStyle w:val="Normal-pool"/>
            </w:pPr>
          </w:p>
        </w:tc>
      </w:tr>
    </w:tbl>
    <w:p w14:paraId="5FF1CF09" w14:textId="7E9D7372" w:rsidR="00E23039" w:rsidRPr="00D66AFB" w:rsidRDefault="00E23039" w:rsidP="00E23039">
      <w:pPr>
        <w:pStyle w:val="BBTitle"/>
      </w:pPr>
      <w:r w:rsidRPr="00D66AFB">
        <w:t xml:space="preserve">Guidance document on test methods to be used for the tier-2 threshold for tailings from mining other than primary mercury </w:t>
      </w:r>
      <w:proofErr w:type="gramStart"/>
      <w:r w:rsidRPr="00D66AFB">
        <w:t>mining</w:t>
      </w:r>
      <w:proofErr w:type="gramEnd"/>
    </w:p>
    <w:p w14:paraId="5AA081D5" w14:textId="446E66C2" w:rsidR="00E23039" w:rsidRPr="00D66AFB" w:rsidRDefault="00E23039" w:rsidP="000E69C9">
      <w:pPr>
        <w:pStyle w:val="CH2"/>
      </w:pPr>
      <w:r w:rsidRPr="00D66AFB">
        <w:tab/>
      </w:r>
      <w:r w:rsidRPr="00D66AFB">
        <w:tab/>
        <w:t xml:space="preserve">Note by the </w:t>
      </w:r>
      <w:proofErr w:type="gramStart"/>
      <w:r w:rsidR="002F5006" w:rsidRPr="00D66AFB">
        <w:t>s</w:t>
      </w:r>
      <w:r w:rsidRPr="00D66AFB">
        <w:t>ecretariat</w:t>
      </w:r>
      <w:proofErr w:type="gramEnd"/>
    </w:p>
    <w:p w14:paraId="5AA1A1FE" w14:textId="01C6920D" w:rsidR="00E23039" w:rsidRPr="00D66AFB" w:rsidRDefault="00E23039" w:rsidP="000E69C9">
      <w:pPr>
        <w:pStyle w:val="Normalnumber"/>
      </w:pPr>
      <w:r w:rsidRPr="00D66AFB">
        <w:t>As</w:t>
      </w:r>
      <w:r w:rsidR="00AC79E4" w:rsidRPr="00D66AFB">
        <w:t xml:space="preserve"> is</w:t>
      </w:r>
      <w:r w:rsidRPr="00D66AFB">
        <w:t xml:space="preserve"> explained in paragraph 15 of document UNEP/MC/COP.5/9, the group of technical experts on mercury waste thresholds worked online to develop a guidance document on test methods to be used for the tier-2 threshold for tailings from mining other than primary mercury mining, as requested by the Conference of the Parties </w:t>
      </w:r>
      <w:r w:rsidR="00BD6CA8" w:rsidRPr="00D66AFB">
        <w:t xml:space="preserve">to the Minamata Convention on Mercury </w:t>
      </w:r>
      <w:r w:rsidRPr="00D66AFB">
        <w:t xml:space="preserve">in decision </w:t>
      </w:r>
      <w:r w:rsidR="0013056E" w:rsidRPr="00D66AFB">
        <w:t>MC</w:t>
      </w:r>
      <w:r w:rsidR="0013056E" w:rsidRPr="00D66AFB">
        <w:noBreakHyphen/>
      </w:r>
      <w:r w:rsidRPr="00D66AFB">
        <w:t xml:space="preserve">4/6. </w:t>
      </w:r>
    </w:p>
    <w:p w14:paraId="05D07068" w14:textId="1AE47546" w:rsidR="00E23039" w:rsidRPr="00D66AFB" w:rsidRDefault="00E23039" w:rsidP="000E69C9">
      <w:pPr>
        <w:pStyle w:val="Normalnumber"/>
      </w:pPr>
      <w:r w:rsidRPr="00D66AFB">
        <w:t>The group of technical experts developed the guidance document through drafting by a small group of experts and agreement by email communication. The guidance document has been posted on the Convention website</w:t>
      </w:r>
      <w:r w:rsidR="008F0732" w:rsidRPr="00D66AFB">
        <w:rPr>
          <w:rStyle w:val="FootnoteReference"/>
        </w:rPr>
        <w:footnoteReference w:id="3"/>
      </w:r>
      <w:r w:rsidRPr="00D66AFB">
        <w:t xml:space="preserve"> and is set out in the annex to the present note</w:t>
      </w:r>
      <w:r w:rsidR="001B77BF" w:rsidRPr="00D66AFB">
        <w:t>,</w:t>
      </w:r>
      <w:r w:rsidR="00AC79E4" w:rsidRPr="00D66AFB">
        <w:t xml:space="preserve"> without formal editing</w:t>
      </w:r>
      <w:r w:rsidRPr="00D66AFB">
        <w:t>.</w:t>
      </w:r>
    </w:p>
    <w:p w14:paraId="2875052C" w14:textId="77777777" w:rsidR="00E23039" w:rsidRPr="00D66AFB" w:rsidRDefault="00E23039" w:rsidP="00E23039">
      <w:pPr>
        <w:pStyle w:val="Normal-pool"/>
      </w:pPr>
    </w:p>
    <w:p w14:paraId="37757E1D" w14:textId="299600F6" w:rsidR="00E23039" w:rsidRPr="00D66AFB" w:rsidRDefault="00E23039" w:rsidP="00F7043D">
      <w:pPr>
        <w:pStyle w:val="Normal-pool"/>
        <w:sectPr w:rsidR="00E23039" w:rsidRPr="00D66AFB" w:rsidSect="00F7043D">
          <w:headerReference w:type="even" r:id="rId13"/>
          <w:headerReference w:type="default" r:id="rId14"/>
          <w:footerReference w:type="even" r:id="rId15"/>
          <w:footerReference w:type="default" r:id="rId16"/>
          <w:footerReference w:type="first" r:id="rId17"/>
          <w:pgSz w:w="11906" w:h="16838" w:code="9"/>
          <w:pgMar w:top="907" w:right="992" w:bottom="1418" w:left="1418" w:header="539" w:footer="975" w:gutter="0"/>
          <w:cols w:space="539"/>
          <w:titlePg/>
          <w:docGrid w:linePitch="360"/>
        </w:sectPr>
      </w:pPr>
    </w:p>
    <w:p w14:paraId="3173F202" w14:textId="4973C0F7" w:rsidR="00E23039" w:rsidRPr="00D66AFB" w:rsidRDefault="00E23039" w:rsidP="00E23039">
      <w:pPr>
        <w:pStyle w:val="ZZAnxheader"/>
      </w:pPr>
      <w:r w:rsidRPr="00D66AFB">
        <w:lastRenderedPageBreak/>
        <w:t>Annex</w:t>
      </w:r>
      <w:r w:rsidR="009674B3" w:rsidRPr="00D66AFB">
        <w:rPr>
          <w:b w:val="0"/>
          <w:bCs w:val="0"/>
          <w:szCs w:val="18"/>
        </w:rPr>
        <w:footnoteReference w:customMarkFollows="1" w:id="4"/>
        <w:t>*</w:t>
      </w:r>
    </w:p>
    <w:p w14:paraId="4817F78A" w14:textId="2876EEE8" w:rsidR="00E23039" w:rsidRPr="00D66AFB" w:rsidRDefault="00E23039" w:rsidP="00E23039">
      <w:pPr>
        <w:pStyle w:val="ZZAnxtitle"/>
        <w:spacing w:after="360"/>
      </w:pPr>
      <w:r w:rsidRPr="00D66AFB">
        <w:t xml:space="preserve">Guidance document on test methods to be used for the tier-2 threshold for tailings from mining other than primary </w:t>
      </w:r>
      <w:proofErr w:type="gramStart"/>
      <w:r w:rsidRPr="00D66AFB">
        <w:t>mercury</w:t>
      </w:r>
      <w:proofErr w:type="gramEnd"/>
    </w:p>
    <w:p w14:paraId="5A80478B" w14:textId="78BEA8F5" w:rsidR="00E23039" w:rsidRPr="00D66AFB" w:rsidRDefault="00CB54D3" w:rsidP="00CB54D3">
      <w:pPr>
        <w:pStyle w:val="CH1"/>
      </w:pPr>
      <w:r w:rsidRPr="00D66AFB">
        <w:tab/>
      </w:r>
      <w:r w:rsidR="0061277D" w:rsidRPr="00D66AFB">
        <w:t>I</w:t>
      </w:r>
      <w:r w:rsidRPr="00D66AFB">
        <w:t>.</w:t>
      </w:r>
      <w:r w:rsidRPr="00D66AFB">
        <w:tab/>
      </w:r>
      <w:r w:rsidR="00E23039" w:rsidRPr="00D66AFB">
        <w:t xml:space="preserve">Background: context from Minamata Convention Article 11 </w:t>
      </w:r>
    </w:p>
    <w:p w14:paraId="0645743E" w14:textId="77777777" w:rsidR="00E23039" w:rsidRPr="00D66AFB" w:rsidRDefault="00E23039" w:rsidP="008F0732">
      <w:pPr>
        <w:pStyle w:val="Normalnumber"/>
        <w:numPr>
          <w:ilvl w:val="0"/>
          <w:numId w:val="19"/>
        </w:numPr>
        <w:ind w:left="1247"/>
      </w:pPr>
      <w:r w:rsidRPr="00D66AFB">
        <w:t>Paragraph 2 of Article 11 of the Minamata Convention provides that the definition of mercury waste excludes overburden, waste rock and tailings from mining, except from primary mercury mining, unless they contain mercury or mercury compounds above thresholds defined by the Conference of the Parties. The Conference of the Parties, in its decision MC-3/5, decided that, at the time, there was no need to develop thresholds for overburden and waste rock from mining other than primary mercury mining. The Conference of the Parties, in its decision MC-4/6, defined the following two-tier thresholds above which tailings from mining other than primary mercury mining are not excluded from the definition of mercury waste:</w:t>
      </w:r>
    </w:p>
    <w:p w14:paraId="318932B6" w14:textId="77777777" w:rsidR="00E23039" w:rsidRPr="00D66AFB" w:rsidRDefault="00E23039" w:rsidP="008F0732">
      <w:pPr>
        <w:pStyle w:val="Normalnumber"/>
        <w:numPr>
          <w:ilvl w:val="1"/>
          <w:numId w:val="1"/>
        </w:numPr>
        <w:tabs>
          <w:tab w:val="clear" w:pos="2495"/>
          <w:tab w:val="left" w:pos="624"/>
        </w:tabs>
        <w:ind w:left="1247" w:firstLine="624"/>
      </w:pPr>
      <w:r w:rsidRPr="00D66AFB">
        <w:t>Tier-1 threshold to be applied first: 25 mg/kg total mercury content;</w:t>
      </w:r>
    </w:p>
    <w:p w14:paraId="776B2ED4" w14:textId="77777777" w:rsidR="00E23039" w:rsidRPr="00D66AFB" w:rsidRDefault="00E23039" w:rsidP="008F0732">
      <w:pPr>
        <w:pStyle w:val="Normalnumber"/>
        <w:numPr>
          <w:ilvl w:val="1"/>
          <w:numId w:val="1"/>
        </w:numPr>
        <w:tabs>
          <w:tab w:val="clear" w:pos="2495"/>
          <w:tab w:val="left" w:pos="624"/>
        </w:tabs>
        <w:ind w:left="1247" w:firstLine="624"/>
      </w:pPr>
      <w:r w:rsidRPr="00D66AFB">
        <w:t>Tier-2 threshold to be applied to tailings above the tier-1 threshold: 0.15 mg/L in the leachate using an appropriate test method simulating the leaching of mercury at the site where the tailings are deposited.</w:t>
      </w:r>
    </w:p>
    <w:p w14:paraId="65F07C7D" w14:textId="77777777" w:rsidR="00E23039" w:rsidRPr="00D66AFB" w:rsidRDefault="00E23039" w:rsidP="008F0732">
      <w:pPr>
        <w:pStyle w:val="Normalnumber"/>
        <w:numPr>
          <w:ilvl w:val="0"/>
          <w:numId w:val="19"/>
        </w:numPr>
        <w:ind w:left="1247"/>
      </w:pPr>
      <w:r w:rsidRPr="00D66AFB">
        <w:t>The Tier 2 threshold of 0.15 mg Hg/L leachate has been derived from the drinking water concentration limit of WHO (0.006 mg Hg/L), applying the dilution/attenuation factor of the ground layer below the mine tailings at the point of control (200 m away downstream).</w:t>
      </w:r>
      <w:r w:rsidRPr="00D66AFB">
        <w:rPr>
          <w:rStyle w:val="FootnoteReference"/>
        </w:rPr>
        <w:footnoteReference w:id="5"/>
      </w:r>
    </w:p>
    <w:p w14:paraId="55E4C2D1" w14:textId="4564A80E" w:rsidR="00E23039" w:rsidRPr="00D66AFB" w:rsidRDefault="00E23039" w:rsidP="008F0732">
      <w:pPr>
        <w:pStyle w:val="Normalnumber"/>
        <w:numPr>
          <w:ilvl w:val="0"/>
          <w:numId w:val="19"/>
        </w:numPr>
        <w:ind w:left="1247"/>
      </w:pPr>
      <w:r w:rsidRPr="00D66AFB">
        <w:t>This document provides guidance on test methods to be used for the tier-2 threshold described above.</w:t>
      </w:r>
    </w:p>
    <w:p w14:paraId="4412ABFC" w14:textId="49ABBE03" w:rsidR="00E23039" w:rsidRPr="00D66AFB" w:rsidRDefault="00CB54D3" w:rsidP="00CB54D3">
      <w:pPr>
        <w:pStyle w:val="CH1"/>
      </w:pPr>
      <w:r w:rsidRPr="00D66AFB">
        <w:tab/>
      </w:r>
      <w:r w:rsidR="0061277D" w:rsidRPr="00D66AFB">
        <w:t>II</w:t>
      </w:r>
      <w:r w:rsidRPr="00D66AFB">
        <w:t>.</w:t>
      </w:r>
      <w:r w:rsidRPr="00D66AFB">
        <w:tab/>
      </w:r>
      <w:r w:rsidR="00E23039" w:rsidRPr="00D66AFB">
        <w:t xml:space="preserve">Definition </w:t>
      </w:r>
      <w:r w:rsidR="008F0732" w:rsidRPr="00D66AFB">
        <w:t>and</w:t>
      </w:r>
      <w:r w:rsidR="00E23039" w:rsidRPr="00D66AFB">
        <w:t xml:space="preserve"> relevant characteristics of mine tailings</w:t>
      </w:r>
    </w:p>
    <w:p w14:paraId="1B5CB725" w14:textId="77777777" w:rsidR="00E23039" w:rsidRPr="00D66AFB" w:rsidRDefault="00E23039" w:rsidP="008F0732">
      <w:pPr>
        <w:pStyle w:val="Normalnumber"/>
        <w:numPr>
          <w:ilvl w:val="0"/>
          <w:numId w:val="19"/>
        </w:numPr>
        <w:ind w:left="1247"/>
      </w:pPr>
      <w:r w:rsidRPr="00D66AFB">
        <w:t xml:space="preserve">The intrinsic mineralogical characteristics of specific mine tailings will dictate the extent to which leaching of mercury is possible, and accordingly, how the mine tailings must be managed to prevent impacts. To understand mine tailings characteristics, leachate release and how to interpret the results of leach tests, it is useful to review what mine tailings are and how they arise. </w:t>
      </w:r>
    </w:p>
    <w:p w14:paraId="4EEABCB0" w14:textId="77777777" w:rsidR="00E23039" w:rsidRPr="00D66AFB" w:rsidRDefault="00E23039" w:rsidP="008F0732">
      <w:pPr>
        <w:pStyle w:val="Normalnumber"/>
        <w:numPr>
          <w:ilvl w:val="0"/>
          <w:numId w:val="19"/>
        </w:numPr>
        <w:ind w:left="1247"/>
      </w:pPr>
      <w:r w:rsidRPr="00D66AFB">
        <w:t>Figure 1 summarises how mine tailings result from a sequence of steps that begins with discovery of an orebody and ends with subsequent concentration processes. Overburden, waste rock and tailings are defined in the report of the United States Environmental Protection Agency to the Congress</w:t>
      </w:r>
      <w:r w:rsidRPr="00D66AFB">
        <w:rPr>
          <w:rStyle w:val="FootnoteReference"/>
        </w:rPr>
        <w:footnoteReference w:id="6"/>
      </w:r>
      <w:r w:rsidRPr="00D66AFB">
        <w:t xml:space="preserve"> as follows: </w:t>
      </w:r>
    </w:p>
    <w:p w14:paraId="1E559943" w14:textId="77777777" w:rsidR="00E23039" w:rsidRPr="00D66AFB" w:rsidRDefault="00E23039" w:rsidP="008F0732">
      <w:pPr>
        <w:pStyle w:val="Normalnumber"/>
        <w:numPr>
          <w:ilvl w:val="1"/>
          <w:numId w:val="19"/>
        </w:numPr>
        <w:tabs>
          <w:tab w:val="clear" w:pos="2495"/>
          <w:tab w:val="left" w:pos="624"/>
        </w:tabs>
        <w:ind w:left="1247" w:firstLine="624"/>
      </w:pPr>
      <w:r w:rsidRPr="00D66AFB">
        <w:t>Overburden: Consolidated or unconsolidated material overlying the mined area</w:t>
      </w:r>
    </w:p>
    <w:p w14:paraId="54E55357" w14:textId="77777777" w:rsidR="00E23039" w:rsidRPr="00D66AFB" w:rsidRDefault="00E23039" w:rsidP="008F0732">
      <w:pPr>
        <w:pStyle w:val="Normalnumber"/>
        <w:numPr>
          <w:ilvl w:val="1"/>
          <w:numId w:val="19"/>
        </w:numPr>
        <w:tabs>
          <w:tab w:val="clear" w:pos="2495"/>
          <w:tab w:val="left" w:pos="624"/>
        </w:tabs>
        <w:ind w:left="1247" w:firstLine="624"/>
      </w:pPr>
      <w:r w:rsidRPr="00D66AFB">
        <w:t xml:space="preserve">Waste rock: Rock that must be broken and disposed of to gain access to and excavate the ore; valueless rock that must be removed or set aside before the milling </w:t>
      </w:r>
      <w:proofErr w:type="gramStart"/>
      <w:r w:rsidRPr="00D66AFB">
        <w:t>process</w:t>
      </w:r>
      <w:proofErr w:type="gramEnd"/>
    </w:p>
    <w:p w14:paraId="7CBB0CB0" w14:textId="77777777" w:rsidR="00E23039" w:rsidRPr="00D66AFB" w:rsidRDefault="00E23039">
      <w:pPr>
        <w:pStyle w:val="Normalnumber"/>
        <w:numPr>
          <w:ilvl w:val="1"/>
          <w:numId w:val="19"/>
        </w:numPr>
        <w:tabs>
          <w:tab w:val="clear" w:pos="2495"/>
          <w:tab w:val="left" w:pos="624"/>
        </w:tabs>
        <w:ind w:left="1247" w:firstLine="624"/>
      </w:pPr>
      <w:r w:rsidRPr="00D66AFB">
        <w:t>Tailings: A large-volume waste consisting of the materials remaining after the valuable constituents of the ore have been removed by physical or chemical beneficiation, including crushing, grinding, sorting, and concentration by a variety of methods</w:t>
      </w:r>
    </w:p>
    <w:p w14:paraId="03D475DB" w14:textId="77777777" w:rsidR="0009027A" w:rsidRPr="00D66AFB" w:rsidRDefault="0009027A" w:rsidP="00A12128">
      <w:pPr>
        <w:pStyle w:val="Titlefigure"/>
      </w:pPr>
      <w:bookmarkStart w:id="11" w:name="_Ref80172134"/>
      <w:r w:rsidRPr="00D66AFB">
        <w:rPr>
          <w:b w:val="0"/>
          <w:bCs/>
        </w:rPr>
        <w:lastRenderedPageBreak/>
        <w:t xml:space="preserve">Figure </w:t>
      </w:r>
      <w:bookmarkEnd w:id="11"/>
      <w:r w:rsidRPr="00D66AFB">
        <w:rPr>
          <w:b w:val="0"/>
          <w:bCs/>
        </w:rPr>
        <w:t xml:space="preserve">1 </w:t>
      </w:r>
      <w:r w:rsidRPr="00D66AFB">
        <w:rPr>
          <w:b w:val="0"/>
          <w:bCs/>
        </w:rPr>
        <w:br/>
      </w:r>
      <w:r w:rsidRPr="00D66AFB">
        <w:t>Generic series of mining phases that can eventually give rise to mine tailings (details vary for individual deposits)</w:t>
      </w:r>
    </w:p>
    <w:p w14:paraId="2EE2C535" w14:textId="77777777" w:rsidR="00E23039" w:rsidRPr="00D66AFB" w:rsidRDefault="00E23039" w:rsidP="0061277D">
      <w:pPr>
        <w:pStyle w:val="Normal-pool"/>
        <w:ind w:left="1247"/>
      </w:pPr>
      <w:r w:rsidRPr="00D66AFB">
        <w:rPr>
          <w:noProof/>
        </w:rPr>
        <w:drawing>
          <wp:inline distT="0" distB="0" distL="0" distR="0" wp14:anchorId="7D51E052" wp14:editId="4917A918">
            <wp:extent cx="5486400" cy="3170134"/>
            <wp:effectExtent l="0" t="0" r="0" b="0"/>
            <wp:docPr id="1016082899" name="Picture 1016082899" descr="A picture containing text, screenshot,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82899" name="Picture 1016082899" descr="A picture containing text, screenshot, font, de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02692" cy="3179548"/>
                    </a:xfrm>
                    <a:prstGeom prst="rect">
                      <a:avLst/>
                    </a:prstGeom>
                    <a:noFill/>
                  </pic:spPr>
                </pic:pic>
              </a:graphicData>
            </a:graphic>
          </wp:inline>
        </w:drawing>
      </w:r>
    </w:p>
    <w:p w14:paraId="3CE4E5E9" w14:textId="77777777" w:rsidR="00E23039" w:rsidRPr="00D66AFB" w:rsidRDefault="00E23039" w:rsidP="008F0732">
      <w:pPr>
        <w:pStyle w:val="Normalnumber"/>
        <w:numPr>
          <w:ilvl w:val="0"/>
          <w:numId w:val="19"/>
        </w:numPr>
        <w:spacing w:before="240"/>
        <w:ind w:left="1247"/>
      </w:pPr>
      <w:r w:rsidRPr="00D66AFB">
        <w:t>Many mining operations do not require a concentration step, so no tailings are generated at those sites. Concentration processes are more typically undertaken at hard rock metal mines</w:t>
      </w:r>
      <w:r w:rsidRPr="00D66AFB">
        <w:rPr>
          <w:rStyle w:val="FootnoteReference"/>
        </w:rPr>
        <w:footnoteReference w:id="7"/>
      </w:r>
      <w:r w:rsidRPr="00D66AFB">
        <w:t>.</w:t>
      </w:r>
    </w:p>
    <w:p w14:paraId="3454F0D7" w14:textId="77777777" w:rsidR="00E23039" w:rsidRPr="00D66AFB" w:rsidRDefault="00E23039" w:rsidP="008F0732">
      <w:pPr>
        <w:pStyle w:val="Normalnumber"/>
        <w:numPr>
          <w:ilvl w:val="0"/>
          <w:numId w:val="19"/>
        </w:numPr>
        <w:ind w:left="1247"/>
      </w:pPr>
      <w:r w:rsidRPr="00D66AFB">
        <w:t>Ore is naturally occurring material made up of minerals, which are inorganic compounds having an orderly internal structure and characteristic crystal form and physical properties. In most cases, the main difference in characteristics between the original deposit and the corresponding mine tailings is that the exposed surface area of tailings is much greater, which increases the possibility for reaction with the environment</w:t>
      </w:r>
      <w:r w:rsidRPr="00D66AFB">
        <w:rPr>
          <w:rStyle w:val="FootnoteReference"/>
        </w:rPr>
        <w:footnoteReference w:id="8"/>
      </w:r>
      <w:r w:rsidRPr="00D66AFB">
        <w:t>. This can be seen in the particle size distribution of the tailings (See 3a below).</w:t>
      </w:r>
    </w:p>
    <w:p w14:paraId="39A82FBD" w14:textId="77777777" w:rsidR="00E23039" w:rsidRPr="00D66AFB" w:rsidRDefault="00E23039" w:rsidP="008F0732">
      <w:pPr>
        <w:pStyle w:val="Normalnumber"/>
        <w:numPr>
          <w:ilvl w:val="0"/>
          <w:numId w:val="19"/>
        </w:numPr>
        <w:ind w:left="1247"/>
      </w:pPr>
      <w:r w:rsidRPr="00D66AFB">
        <w:t>In contrast to production of most non-ferrous metal concentrates, copper or gold can be chemically extracted from the bulk composition of crushed and milled ores, or in the case of gold, from tailings. These additional processing steps eliminate or dramatically reduce the mercury content of tailings compared to the native mercury content of the ores they originate from</w:t>
      </w:r>
      <w:r w:rsidRPr="00D66AFB">
        <w:rPr>
          <w:rStyle w:val="FootnoteReference"/>
        </w:rPr>
        <w:t xml:space="preserve"> </w:t>
      </w:r>
      <w:r w:rsidRPr="00D66AFB">
        <w:rPr>
          <w:rStyle w:val="FootnoteReference"/>
        </w:rPr>
        <w:footnoteReference w:id="9"/>
      </w:r>
      <w:r w:rsidRPr="00D66AFB">
        <w:t>.</w:t>
      </w:r>
    </w:p>
    <w:p w14:paraId="043C3204" w14:textId="77777777" w:rsidR="00E23039" w:rsidRPr="00D66AFB" w:rsidRDefault="00E23039" w:rsidP="008F0732">
      <w:pPr>
        <w:pStyle w:val="Normalnumber"/>
        <w:numPr>
          <w:ilvl w:val="0"/>
          <w:numId w:val="19"/>
        </w:numPr>
        <w:ind w:left="1247"/>
      </w:pPr>
      <w:r w:rsidRPr="00D66AFB">
        <w:t xml:space="preserve">Otherwise, the orderly internal structure, crystal form and physical properties of the contained minerals are preserved through the process of mining, milling and concentration. In other words, except where leaching is a deliberate part of the production process, the natural minerals present in the mined rock remain the same in the tailings without having undergone any chemical modification. The physical properties of contained minerals are the key drivers of any release of constituents from </w:t>
      </w:r>
      <w:proofErr w:type="gramStart"/>
      <w:r w:rsidRPr="00D66AFB">
        <w:t>mine</w:t>
      </w:r>
      <w:proofErr w:type="gramEnd"/>
      <w:r w:rsidRPr="00D66AFB">
        <w:t xml:space="preserve"> tailings. In most cases, these minerals are quite insoluble in water</w:t>
      </w:r>
      <w:r w:rsidRPr="00D66AFB">
        <w:rPr>
          <w:rStyle w:val="FootnoteReference"/>
        </w:rPr>
        <w:footnoteReference w:id="10"/>
      </w:r>
      <w:r w:rsidRPr="00D66AFB">
        <w:t xml:space="preserve"> (See 3a below). </w:t>
      </w:r>
    </w:p>
    <w:p w14:paraId="14577A74" w14:textId="77777777" w:rsidR="00E23039" w:rsidRPr="00D66AFB" w:rsidRDefault="00E23039" w:rsidP="008F0732">
      <w:pPr>
        <w:pStyle w:val="Normalnumber"/>
        <w:numPr>
          <w:ilvl w:val="0"/>
          <w:numId w:val="19"/>
        </w:numPr>
        <w:ind w:left="1247"/>
      </w:pPr>
      <w:r w:rsidRPr="00D66AFB">
        <w:lastRenderedPageBreak/>
        <w:t>Mine tailings are expected to be placed at mine tailings management facilities, such as tailings dams</w:t>
      </w:r>
      <w:r w:rsidRPr="00D66AFB">
        <w:rPr>
          <w:rStyle w:val="FootnoteReference"/>
        </w:rPr>
        <w:footnoteReference w:id="11"/>
      </w:r>
      <w:r w:rsidRPr="00D66AFB">
        <w:t>. Seepage from mine tailings management facilities depends, amongst other things, on the hydraulic conductivity of the mine tailings. Once deposited on a storage facility, mine tailings become compacted which reduces hydraulic conductivity</w:t>
      </w:r>
      <w:r w:rsidRPr="00D66AFB">
        <w:rPr>
          <w:rStyle w:val="FootnoteReference"/>
        </w:rPr>
        <w:footnoteReference w:id="12"/>
      </w:r>
      <w:r w:rsidRPr="00D66AFB">
        <w:t>. The vertical hydraulic conductivity of deposited mine tailings is typically very low given its fine particle size distribution and placement in horizontal lenses (See 3b &amp; 3c below).</w:t>
      </w:r>
    </w:p>
    <w:p w14:paraId="7B01740D" w14:textId="77777777" w:rsidR="00E23039" w:rsidRPr="00D66AFB" w:rsidRDefault="00E23039" w:rsidP="008F0732">
      <w:pPr>
        <w:pStyle w:val="Normalnumber"/>
        <w:numPr>
          <w:ilvl w:val="0"/>
          <w:numId w:val="19"/>
        </w:numPr>
        <w:ind w:left="1247"/>
      </w:pPr>
      <w:r w:rsidRPr="00D66AFB">
        <w:t>Climatic conditions can also play a part. In dry climates, limited rainfall may reduce leaching and transport of any constituents that may be leached. In wetter climates, mine tailings may instead be maintained in saturated conditions to prevent mobilisation of elements through oxidation. Other conditions such as freezing/thawing and concentrated storms also affect leaching (See 3b, 3c &amp; 3d below).</w:t>
      </w:r>
    </w:p>
    <w:p w14:paraId="01CE149B" w14:textId="5CA564C3" w:rsidR="00E23039" w:rsidRPr="00D66AFB" w:rsidRDefault="00CB54D3" w:rsidP="00CB54D3">
      <w:pPr>
        <w:pStyle w:val="CH1"/>
      </w:pPr>
      <w:r w:rsidRPr="00D66AFB">
        <w:tab/>
      </w:r>
      <w:r w:rsidR="0061277D" w:rsidRPr="00D66AFB">
        <w:t>III</w:t>
      </w:r>
      <w:r w:rsidRPr="00D66AFB">
        <w:t>.</w:t>
      </w:r>
      <w:r w:rsidRPr="00D66AFB">
        <w:tab/>
      </w:r>
      <w:r w:rsidR="00E23039" w:rsidRPr="00D66AFB">
        <w:t xml:space="preserve">Factors that influence leach test results </w:t>
      </w:r>
    </w:p>
    <w:p w14:paraId="59F937C7" w14:textId="5017675A" w:rsidR="00E23039" w:rsidRPr="00D66AFB" w:rsidRDefault="00CB54D3" w:rsidP="00CB54D3">
      <w:pPr>
        <w:pStyle w:val="CH2"/>
      </w:pPr>
      <w:r w:rsidRPr="00D66AFB">
        <w:tab/>
      </w:r>
      <w:r w:rsidR="0061277D" w:rsidRPr="00D66AFB">
        <w:t>A</w:t>
      </w:r>
      <w:r w:rsidRPr="00D66AFB">
        <w:t>.</w:t>
      </w:r>
      <w:r w:rsidRPr="00D66AFB">
        <w:tab/>
      </w:r>
      <w:r w:rsidR="00E23039" w:rsidRPr="00D66AFB">
        <w:t>Particle size distribution and mineral texture of the sample</w:t>
      </w:r>
    </w:p>
    <w:p w14:paraId="48DDB359" w14:textId="77777777" w:rsidR="00E23039" w:rsidRPr="00D66AFB" w:rsidRDefault="00E23039" w:rsidP="008F0732">
      <w:pPr>
        <w:pStyle w:val="Normalnumber"/>
        <w:numPr>
          <w:ilvl w:val="0"/>
          <w:numId w:val="19"/>
        </w:numPr>
        <w:ind w:left="1247"/>
      </w:pPr>
      <w:r w:rsidRPr="00D66AFB">
        <w:t xml:space="preserve">Leaching describes the release of substances by dissolution from the </w:t>
      </w:r>
      <w:r w:rsidRPr="00D66AFB">
        <w:rPr>
          <w:i/>
          <w:iCs/>
        </w:rPr>
        <w:t>surface</w:t>
      </w:r>
      <w:r w:rsidRPr="00D66AFB">
        <w:t xml:space="preserve"> of particles and/or into the pores of a solid matrix. If mercury-bearing minerals are fine grained and liberated during processing, the resultant large surface area will increase their availability for potential leaching. If mercury-bearing minerals remain encapsulated within other minerals, they will be less available for potential leaching (and in some cases may remain effectively immobilised). Whether leaching </w:t>
      </w:r>
      <w:proofErr w:type="gramStart"/>
      <w:r w:rsidRPr="00D66AFB">
        <w:t>actually occurs</w:t>
      </w:r>
      <w:proofErr w:type="gramEnd"/>
      <w:r w:rsidRPr="00D66AFB">
        <w:t xml:space="preserve"> depends on the intrinsic chemical solubility of the individual minerals under the conditions at sites where tailings are deposited. Then, the ability of a leachate to migrate through tailings also depends, amongst other things, on the particle size distribution</w:t>
      </w:r>
      <w:r w:rsidRPr="00D66AFB">
        <w:rPr>
          <w:rStyle w:val="FootnoteReference"/>
        </w:rPr>
        <w:footnoteReference w:id="13"/>
      </w:r>
      <w:r w:rsidRPr="00D66AFB">
        <w:t>.</w:t>
      </w:r>
    </w:p>
    <w:p w14:paraId="7C3636F1" w14:textId="77777777" w:rsidR="00E23039" w:rsidRPr="00D66AFB" w:rsidRDefault="00E23039" w:rsidP="008F0732">
      <w:pPr>
        <w:pStyle w:val="Normalnumber"/>
        <w:numPr>
          <w:ilvl w:val="0"/>
          <w:numId w:val="19"/>
        </w:numPr>
        <w:ind w:left="1247"/>
      </w:pPr>
      <w:r w:rsidRPr="00D66AFB">
        <w:t>Mineral texture defines the general character of a rock, determined by its component particles in terms of grain size and shape, degree of crystallinity and arrangement. The texture of tailings reflects the availability of minerals to potential leaching</w:t>
      </w:r>
      <w:r w:rsidRPr="00D66AFB">
        <w:rPr>
          <w:rStyle w:val="FootnoteReference"/>
        </w:rPr>
        <w:footnoteReference w:id="14"/>
      </w:r>
      <w:r w:rsidRPr="00D66AFB">
        <w:t>. Then, the mineral grain structure of the tailings will also affect the transport of any reaction products. Tight grains (displaying low porosity and low permeability) will not easily allow the rapid transport of constituents needed for a reaction to occur, or the flushing out of reaction products</w:t>
      </w:r>
      <w:r w:rsidRPr="00D66AFB">
        <w:rPr>
          <w:vertAlign w:val="superscript"/>
        </w:rPr>
        <w:t>5</w:t>
      </w:r>
      <w:r w:rsidRPr="00D66AFB">
        <w:t>.</w:t>
      </w:r>
    </w:p>
    <w:p w14:paraId="46E6C50B" w14:textId="77777777" w:rsidR="00E23039" w:rsidRPr="00D66AFB" w:rsidRDefault="00E23039" w:rsidP="008F0732">
      <w:pPr>
        <w:pStyle w:val="Normalnumber"/>
        <w:numPr>
          <w:ilvl w:val="0"/>
          <w:numId w:val="19"/>
        </w:numPr>
        <w:ind w:left="1247"/>
      </w:pPr>
      <w:r w:rsidRPr="00D66AFB">
        <w:t>Available content, expressed in mg/kg dry weight, is the fraction of the total concentration of a constituent in the solid phase (mg/kg-dry) that potentially may leach over a reasonably near-term timeframe (e.g., 100 y)</w:t>
      </w:r>
      <w:r w:rsidRPr="00D66AFB">
        <w:rPr>
          <w:rStyle w:val="FootnoteReference"/>
        </w:rPr>
        <w:footnoteReference w:id="15"/>
      </w:r>
      <w:r w:rsidRPr="00D66AFB">
        <w:t>. As explained above, these will be somewhat dependent on the particle size distribution of the sample, mineral texture of the sample, and the intrinsic chemical solubility of the exposed minerals.</w:t>
      </w:r>
    </w:p>
    <w:p w14:paraId="1E221CD3" w14:textId="2CE4D1B8" w:rsidR="00E23039" w:rsidRPr="00D66AFB" w:rsidRDefault="00856316" w:rsidP="00856316">
      <w:pPr>
        <w:pStyle w:val="CH2"/>
      </w:pPr>
      <w:r w:rsidRPr="00D66AFB">
        <w:tab/>
      </w:r>
      <w:r w:rsidR="0061277D" w:rsidRPr="00D66AFB">
        <w:t>B</w:t>
      </w:r>
      <w:r w:rsidRPr="00D66AFB">
        <w:t>.</w:t>
      </w:r>
      <w:r w:rsidRPr="00D66AFB">
        <w:tab/>
      </w:r>
      <w:r w:rsidR="00E23039" w:rsidRPr="00D66AFB">
        <w:t>Testing Liquid/Solid ratio</w:t>
      </w:r>
    </w:p>
    <w:p w14:paraId="1DB89EB9" w14:textId="77777777" w:rsidR="00E23039" w:rsidRPr="00D66AFB" w:rsidRDefault="00E23039" w:rsidP="008F0732">
      <w:pPr>
        <w:pStyle w:val="Normalnumber"/>
        <w:numPr>
          <w:ilvl w:val="0"/>
          <w:numId w:val="19"/>
        </w:numPr>
        <w:ind w:left="1247"/>
      </w:pPr>
      <w:r w:rsidRPr="00D66AFB">
        <w:t>The Liquid/Solid ratio affects liquid-solid equilibrium over the residence time of eluant in a leach test. For example, in a low ratio system, a build-up of reaction products may result in precipitation of secondary minerals, which cement the tailings, and thereby increase their resistance to leaching (i.e., via encapsulation and/or reduced hydraulic conductivity), lowering the reaction rate or stopping it</w:t>
      </w:r>
      <w:r w:rsidRPr="00D66AFB">
        <w:rPr>
          <w:vertAlign w:val="superscript"/>
        </w:rPr>
        <w:t>5</w:t>
      </w:r>
      <w:r w:rsidRPr="00D66AFB">
        <w:t xml:space="preserve">. In a high ratio system, a build-up of reaction products is less likely, as any precipitated secondary minerals are more readily flushed, which in turn allows for less constrained leaching. </w:t>
      </w:r>
    </w:p>
    <w:p w14:paraId="4EADF167" w14:textId="77777777" w:rsidR="00E23039" w:rsidRPr="00D66AFB" w:rsidRDefault="00E23039" w:rsidP="008F0732">
      <w:pPr>
        <w:pStyle w:val="Normalnumber"/>
        <w:numPr>
          <w:ilvl w:val="0"/>
          <w:numId w:val="19"/>
        </w:numPr>
        <w:ind w:left="1247"/>
      </w:pPr>
      <w:r w:rsidRPr="00D66AFB">
        <w:lastRenderedPageBreak/>
        <w:t>This is reflected in studies that have shown that the amount of a given element leached from a given material during leach testing varies with the Liquid/Solid ratio used.</w:t>
      </w:r>
      <w:r w:rsidRPr="00D66AFB">
        <w:rPr>
          <w:rStyle w:val="FootnoteReference"/>
        </w:rPr>
        <w:footnoteReference w:id="16"/>
      </w:r>
      <w:r w:rsidRPr="00D66AFB">
        <w:t xml:space="preserve"> Such results depend on a complex relationship between severable variables including type of material, solubility limits, test duration, pH, etc.</w:t>
      </w:r>
    </w:p>
    <w:p w14:paraId="0212E03A" w14:textId="614E5A81" w:rsidR="00E23039" w:rsidRPr="00D66AFB" w:rsidRDefault="00856316" w:rsidP="00856316">
      <w:pPr>
        <w:pStyle w:val="CH2"/>
      </w:pPr>
      <w:r w:rsidRPr="00D66AFB">
        <w:tab/>
      </w:r>
      <w:r w:rsidR="0061277D" w:rsidRPr="00D66AFB">
        <w:t>C</w:t>
      </w:r>
      <w:r w:rsidRPr="00D66AFB">
        <w:t>.</w:t>
      </w:r>
      <w:r w:rsidRPr="00D66AFB">
        <w:tab/>
      </w:r>
      <w:r w:rsidR="00E23039" w:rsidRPr="00D66AFB">
        <w:t>Test duration</w:t>
      </w:r>
    </w:p>
    <w:p w14:paraId="2930C273" w14:textId="77777777" w:rsidR="00E23039" w:rsidRPr="00D66AFB" w:rsidRDefault="00E23039" w:rsidP="008F0732">
      <w:pPr>
        <w:pStyle w:val="Normalnumber"/>
        <w:numPr>
          <w:ilvl w:val="0"/>
          <w:numId w:val="19"/>
        </w:numPr>
        <w:ind w:left="1247"/>
      </w:pPr>
      <w:r w:rsidRPr="00D66AFB">
        <w:t xml:space="preserve">Leachate concentration can be </w:t>
      </w:r>
      <w:proofErr w:type="gramStart"/>
      <w:r w:rsidRPr="00D66AFB">
        <w:t>near-equilibrium</w:t>
      </w:r>
      <w:proofErr w:type="gramEnd"/>
      <w:r w:rsidRPr="00D66AFB">
        <w:t xml:space="preserve"> based (if the L/S ratio is low), or kinetically controlled by weathering and diffusion. Most of the tests listed in Section 5 are best suited to measuring near-equilibrium based leachate concentrations. They are conservative in the sense that they do not capture the effect of mineralogical weathering or provide information on reaction rates or release rates of constituent elements more typical at sites where tailings are deposited. For this type of information, repeated testing would be needed on the same material exposed to weathering for different (i.e., longer) durations</w:t>
      </w:r>
      <w:r w:rsidRPr="00D66AFB">
        <w:rPr>
          <w:vertAlign w:val="superscript"/>
        </w:rPr>
        <w:t xml:space="preserve"> 5</w:t>
      </w:r>
      <w:r w:rsidRPr="00D66AFB">
        <w:t>.</w:t>
      </w:r>
    </w:p>
    <w:p w14:paraId="4EA08427" w14:textId="15F2FED4" w:rsidR="00E23039" w:rsidRPr="00D66AFB" w:rsidRDefault="00856316" w:rsidP="00856316">
      <w:pPr>
        <w:pStyle w:val="CH2"/>
      </w:pPr>
      <w:r w:rsidRPr="00D66AFB">
        <w:tab/>
      </w:r>
      <w:r w:rsidR="0061277D" w:rsidRPr="00D66AFB">
        <w:t>D</w:t>
      </w:r>
      <w:r w:rsidRPr="00D66AFB">
        <w:t>.</w:t>
      </w:r>
      <w:r w:rsidRPr="00D66AFB">
        <w:tab/>
      </w:r>
      <w:r w:rsidR="00E23039" w:rsidRPr="00D66AFB">
        <w:t>Test pH control</w:t>
      </w:r>
    </w:p>
    <w:p w14:paraId="7EFABCDB" w14:textId="77777777" w:rsidR="00E23039" w:rsidRPr="00D66AFB" w:rsidRDefault="00E23039" w:rsidP="008F0732">
      <w:pPr>
        <w:pStyle w:val="Normalnumber"/>
        <w:numPr>
          <w:ilvl w:val="0"/>
          <w:numId w:val="19"/>
        </w:numPr>
        <w:ind w:left="1247"/>
      </w:pPr>
      <w:r w:rsidRPr="00D66AFB">
        <w:t>The pH of the eluant used in a leach test affects the solubility and mobility of the leached elements. For example, some elements such as lead and copper are more soluble in acidic solutions, while others such as arsenic and selenium are more soluble in alkaline solutions. In extreme cases, the pH of the eluant can also affect the stability of the tailings sample itself, which can negatively affect the accuracy and reliability of the leach test results.</w:t>
      </w:r>
    </w:p>
    <w:p w14:paraId="46D6EAB7" w14:textId="77777777" w:rsidR="0009027A" w:rsidRPr="00D66AFB" w:rsidRDefault="0009027A" w:rsidP="00A12128">
      <w:pPr>
        <w:pStyle w:val="Titlefigure"/>
      </w:pPr>
      <w:r w:rsidRPr="00D66AFB">
        <w:rPr>
          <w:b w:val="0"/>
          <w:bCs/>
        </w:rPr>
        <w:t xml:space="preserve">Figure 2 </w:t>
      </w:r>
      <w:r w:rsidRPr="00D66AFB">
        <w:rPr>
          <w:b w:val="0"/>
          <w:bCs/>
        </w:rPr>
        <w:br/>
      </w:r>
      <w:r w:rsidRPr="00D66AFB">
        <w:t>General leaching behaviour of anions and cations at different pHs</w:t>
      </w:r>
      <w:r w:rsidRPr="00D66AFB">
        <w:rPr>
          <w:rStyle w:val="CH2Char"/>
          <w:vertAlign w:val="superscript"/>
          <w:lang w:val="en-GB"/>
        </w:rPr>
        <w:footnoteReference w:id="17"/>
      </w:r>
    </w:p>
    <w:p w14:paraId="5C92872B" w14:textId="7510DAB5" w:rsidR="00E23039" w:rsidRPr="00D66AFB" w:rsidRDefault="00E23039" w:rsidP="00A12128">
      <w:pPr>
        <w:pStyle w:val="Normal-pool"/>
      </w:pPr>
      <w:r w:rsidRPr="00D66AFB">
        <w:rPr>
          <w:noProof/>
        </w:rPr>
        <w:drawing>
          <wp:anchor distT="0" distB="0" distL="114300" distR="114300" simplePos="0" relativeHeight="251661312" behindDoc="0" locked="0" layoutInCell="1" allowOverlap="1" wp14:anchorId="2BBEC893" wp14:editId="5121747C">
            <wp:simplePos x="0" y="0"/>
            <wp:positionH relativeFrom="column">
              <wp:posOffset>1985479</wp:posOffset>
            </wp:positionH>
            <wp:positionV relativeFrom="paragraph">
              <wp:posOffset>123730</wp:posOffset>
            </wp:positionV>
            <wp:extent cx="1947913" cy="2478922"/>
            <wp:effectExtent l="0" t="0" r="0" b="0"/>
            <wp:wrapNone/>
            <wp:docPr id="431626731" name="Picture 43162673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626731" name="Imagen 1" descr="Diagram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49251" cy="2480625"/>
                    </a:xfrm>
                    <a:prstGeom prst="rect">
                      <a:avLst/>
                    </a:prstGeom>
                  </pic:spPr>
                </pic:pic>
              </a:graphicData>
            </a:graphic>
            <wp14:sizeRelH relativeFrom="margin">
              <wp14:pctWidth>0</wp14:pctWidth>
            </wp14:sizeRelH>
            <wp14:sizeRelV relativeFrom="margin">
              <wp14:pctHeight>0</wp14:pctHeight>
            </wp14:sizeRelV>
          </wp:anchor>
        </w:drawing>
      </w:r>
    </w:p>
    <w:p w14:paraId="7C58776D" w14:textId="77777777" w:rsidR="00E23039" w:rsidRPr="00D66AFB" w:rsidRDefault="00E23039" w:rsidP="006D6402">
      <w:pPr>
        <w:pStyle w:val="Normal-pool"/>
        <w:spacing w:after="120"/>
      </w:pPr>
    </w:p>
    <w:p w14:paraId="68EA85A2" w14:textId="77777777" w:rsidR="00E23039" w:rsidRPr="00D66AFB" w:rsidRDefault="00E23039" w:rsidP="006D6402">
      <w:pPr>
        <w:pStyle w:val="Normal-pool"/>
        <w:spacing w:after="120"/>
      </w:pPr>
    </w:p>
    <w:p w14:paraId="08158D91" w14:textId="77777777" w:rsidR="00E23039" w:rsidRPr="00D66AFB" w:rsidRDefault="00E23039" w:rsidP="006D6402">
      <w:pPr>
        <w:pStyle w:val="Normal-pool"/>
        <w:spacing w:after="120"/>
      </w:pPr>
    </w:p>
    <w:p w14:paraId="3DE4B4DD" w14:textId="77777777" w:rsidR="00E23039" w:rsidRPr="00D66AFB" w:rsidRDefault="00E23039" w:rsidP="006D6402">
      <w:pPr>
        <w:pStyle w:val="Normal-pool"/>
        <w:spacing w:after="120"/>
      </w:pPr>
    </w:p>
    <w:p w14:paraId="09FB5D2D" w14:textId="77777777" w:rsidR="00E23039" w:rsidRPr="00D66AFB" w:rsidRDefault="00E23039" w:rsidP="006D6402">
      <w:pPr>
        <w:pStyle w:val="Normal-pool"/>
        <w:spacing w:after="120"/>
      </w:pPr>
    </w:p>
    <w:p w14:paraId="0B32477D" w14:textId="77777777" w:rsidR="00E23039" w:rsidRPr="00D66AFB" w:rsidRDefault="00E23039" w:rsidP="006D6402">
      <w:pPr>
        <w:pStyle w:val="Normal-pool"/>
        <w:spacing w:after="120"/>
      </w:pPr>
    </w:p>
    <w:p w14:paraId="22ED4C78" w14:textId="77777777" w:rsidR="00E23039" w:rsidRPr="00D66AFB" w:rsidRDefault="00E23039" w:rsidP="006D6402">
      <w:pPr>
        <w:pStyle w:val="Normal-pool"/>
        <w:spacing w:after="120"/>
      </w:pPr>
    </w:p>
    <w:p w14:paraId="049B6B11" w14:textId="77777777" w:rsidR="00E23039" w:rsidRPr="00D66AFB" w:rsidRDefault="00E23039" w:rsidP="006D6402">
      <w:pPr>
        <w:pStyle w:val="Normal-pool"/>
        <w:spacing w:after="120"/>
        <w:rPr>
          <w:i/>
          <w:iCs/>
        </w:rPr>
      </w:pPr>
    </w:p>
    <w:p w14:paraId="59672BFD" w14:textId="77777777" w:rsidR="00E23039" w:rsidRPr="00D66AFB" w:rsidRDefault="00E23039" w:rsidP="006D6402">
      <w:pPr>
        <w:pStyle w:val="Normal-pool"/>
        <w:spacing w:after="120"/>
        <w:rPr>
          <w:i/>
          <w:iCs/>
        </w:rPr>
      </w:pPr>
    </w:p>
    <w:p w14:paraId="660F6751" w14:textId="77777777" w:rsidR="00E23039" w:rsidRPr="00D66AFB" w:rsidRDefault="00E23039" w:rsidP="006D6402">
      <w:pPr>
        <w:pStyle w:val="Normal-pool"/>
        <w:spacing w:after="120"/>
        <w:rPr>
          <w:i/>
          <w:iCs/>
        </w:rPr>
      </w:pPr>
    </w:p>
    <w:p w14:paraId="77FB8988" w14:textId="77777777" w:rsidR="00E23039" w:rsidRPr="00D66AFB" w:rsidRDefault="00E23039" w:rsidP="006D6402">
      <w:pPr>
        <w:pStyle w:val="Normal-pool"/>
        <w:spacing w:after="120"/>
        <w:rPr>
          <w:i/>
          <w:iCs/>
        </w:rPr>
      </w:pPr>
    </w:p>
    <w:p w14:paraId="302EC41B" w14:textId="77777777" w:rsidR="00F779DF" w:rsidRPr="00D66AFB" w:rsidRDefault="00F779DF" w:rsidP="006D6402">
      <w:pPr>
        <w:pStyle w:val="Normal-pool"/>
        <w:spacing w:after="120"/>
        <w:rPr>
          <w:i/>
          <w:iCs/>
        </w:rPr>
      </w:pPr>
    </w:p>
    <w:p w14:paraId="6FF83EB2" w14:textId="2626B713" w:rsidR="00E23039" w:rsidRPr="00D66AFB" w:rsidRDefault="00856316" w:rsidP="00856316">
      <w:pPr>
        <w:pStyle w:val="CH1"/>
      </w:pPr>
      <w:r w:rsidRPr="00D66AFB">
        <w:tab/>
      </w:r>
      <w:r w:rsidR="0061277D" w:rsidRPr="00D66AFB">
        <w:t>IV</w:t>
      </w:r>
      <w:r w:rsidRPr="00D66AFB">
        <w:t>.</w:t>
      </w:r>
      <w:r w:rsidRPr="00D66AFB">
        <w:tab/>
      </w:r>
      <w:r w:rsidR="00E23039" w:rsidRPr="00D66AFB">
        <w:t>Key considerations in selecting or defining Leach test methods for the Tier-2 threshold</w:t>
      </w:r>
    </w:p>
    <w:p w14:paraId="218A25D5" w14:textId="77777777" w:rsidR="00E23039" w:rsidRPr="00D66AFB" w:rsidRDefault="00E23039" w:rsidP="008F0732">
      <w:pPr>
        <w:pStyle w:val="Normalnumber"/>
        <w:numPr>
          <w:ilvl w:val="0"/>
          <w:numId w:val="19"/>
        </w:numPr>
        <w:ind w:left="1247"/>
      </w:pPr>
      <w:r w:rsidRPr="00D66AFB">
        <w:t xml:space="preserve">Most of the tests listed in Section 5 have been developed for the characterization of waste, but not for mine tailings specifically. Therefore, when selecting or defining leach test methods for the Tier-2 threshold, it is important to consider the unique properties and potential environmental impacts associated with </w:t>
      </w:r>
      <w:proofErr w:type="gramStart"/>
      <w:r w:rsidRPr="00D66AFB">
        <w:t>mine</w:t>
      </w:r>
      <w:proofErr w:type="gramEnd"/>
      <w:r w:rsidRPr="00D66AFB">
        <w:t xml:space="preserve"> tailings. The data from the leaching tests is one aspect to consider, and it should be adjusted at least for the L/S ratio and the grain size/surface area used in the modelling</w:t>
      </w:r>
      <w:r w:rsidRPr="00D66AFB">
        <w:rPr>
          <w:vertAlign w:val="superscript"/>
        </w:rPr>
        <w:t>5</w:t>
      </w:r>
      <w:r w:rsidRPr="00D66AFB">
        <w:t>.</w:t>
      </w:r>
    </w:p>
    <w:p w14:paraId="4BDA16E6" w14:textId="364A2640" w:rsidR="00E23039" w:rsidRPr="00D66AFB" w:rsidRDefault="00856316" w:rsidP="00856316">
      <w:pPr>
        <w:pStyle w:val="CH2"/>
      </w:pPr>
      <w:r w:rsidRPr="00D66AFB">
        <w:lastRenderedPageBreak/>
        <w:tab/>
      </w:r>
      <w:r w:rsidR="0061277D" w:rsidRPr="00D66AFB">
        <w:t>A</w:t>
      </w:r>
      <w:r w:rsidRPr="00D66AFB">
        <w:t>.</w:t>
      </w:r>
      <w:r w:rsidRPr="00D66AFB">
        <w:tab/>
      </w:r>
      <w:r w:rsidR="00E23039" w:rsidRPr="00D66AFB">
        <w:t>Liquid/Solid ratio</w:t>
      </w:r>
    </w:p>
    <w:p w14:paraId="08AD4A14" w14:textId="77777777" w:rsidR="00E23039" w:rsidRPr="00D66AFB" w:rsidRDefault="00E23039" w:rsidP="008F0732">
      <w:pPr>
        <w:pStyle w:val="Normalnumber"/>
        <w:numPr>
          <w:ilvl w:val="0"/>
          <w:numId w:val="19"/>
        </w:numPr>
        <w:ind w:left="1247"/>
      </w:pPr>
      <w:r w:rsidRPr="00D66AFB">
        <w:t>The choice of liquid to solid ratio in leaching tests is based on a balance between the need to simulate realistic conditions and the practical constraints of the test. A higher liquid to solid ratio may provide a more realistic simulation of landfill conditions, but it may also require longer test durations, which can make the test more difficult and expensive to perform.</w:t>
      </w:r>
    </w:p>
    <w:p w14:paraId="7AFF908B" w14:textId="52471266" w:rsidR="00E23039" w:rsidRPr="00D66AFB" w:rsidRDefault="00E23039" w:rsidP="008F0732">
      <w:pPr>
        <w:pStyle w:val="Normalnumber"/>
        <w:numPr>
          <w:ilvl w:val="0"/>
          <w:numId w:val="19"/>
        </w:numPr>
        <w:ind w:left="1247"/>
      </w:pPr>
      <w:r w:rsidRPr="00D66AFB">
        <w:t>Typically, an L/S ratio of 10:1 is used to represents a realistic worst-case scenario for landfill conditions. This means that if the waste material can pass the leaching test under these conditions, it is likely to be suitable for disposal in a landfill without posing a significant risk to the environment.</w:t>
      </w:r>
      <w:r w:rsidR="00C05F92" w:rsidRPr="00D66AFB">
        <w:t xml:space="preserve"> </w:t>
      </w:r>
    </w:p>
    <w:p w14:paraId="395915F0" w14:textId="77777777" w:rsidR="00E23039" w:rsidRPr="00D66AFB" w:rsidRDefault="00E23039" w:rsidP="008F0732">
      <w:pPr>
        <w:pStyle w:val="Normalnumber"/>
        <w:numPr>
          <w:ilvl w:val="0"/>
          <w:numId w:val="19"/>
        </w:numPr>
        <w:ind w:left="1247"/>
      </w:pPr>
      <w:r w:rsidRPr="00D66AFB">
        <w:t>As the L/S ratio affects liquid-solid equilibrium over the residence time of eluent in a leach test, the L/S ratio of the chosen test should not differ ±20% from a ratio of 10:1.</w:t>
      </w:r>
    </w:p>
    <w:p w14:paraId="29AB7254" w14:textId="55AA30A0" w:rsidR="00E23039" w:rsidRPr="00D66AFB" w:rsidRDefault="00856316" w:rsidP="00856316">
      <w:pPr>
        <w:pStyle w:val="CH2"/>
      </w:pPr>
      <w:r w:rsidRPr="00D66AFB">
        <w:tab/>
      </w:r>
      <w:r w:rsidR="0061277D" w:rsidRPr="00D66AFB">
        <w:t>B</w:t>
      </w:r>
      <w:r w:rsidRPr="00D66AFB">
        <w:t>.</w:t>
      </w:r>
      <w:r w:rsidRPr="00D66AFB">
        <w:tab/>
      </w:r>
      <w:r w:rsidR="00E23039" w:rsidRPr="00D66AFB">
        <w:t>Test pH</w:t>
      </w:r>
    </w:p>
    <w:p w14:paraId="314DC7B3" w14:textId="77777777" w:rsidR="00E23039" w:rsidRPr="00D66AFB" w:rsidRDefault="00E23039" w:rsidP="008F0732">
      <w:pPr>
        <w:pStyle w:val="Normalnumber"/>
        <w:numPr>
          <w:ilvl w:val="0"/>
          <w:numId w:val="19"/>
        </w:numPr>
        <w:ind w:left="1247"/>
      </w:pPr>
      <w:r w:rsidRPr="00D66AFB">
        <w:t>At sites where tailings are deposited, weathering processes lead to changes in pH and can ultimately control release</w:t>
      </w:r>
      <w:r w:rsidRPr="00D66AFB">
        <w:rPr>
          <w:vertAlign w:val="superscript"/>
        </w:rPr>
        <w:t>6</w:t>
      </w:r>
      <w:r w:rsidRPr="00D66AFB">
        <w:t xml:space="preserve">. To understand these processes, repeated testing would be needed on the same material exposed to weathering for long periods. However, an initial near-equilibrium state may be observed at a neutral pH, which can be due to slow oxidation, dissolution and interaction of fresh minerals at </w:t>
      </w:r>
      <w:proofErr w:type="spellStart"/>
      <w:r w:rsidRPr="00D66AFB">
        <w:rPr>
          <w:i/>
          <w:iCs/>
        </w:rPr>
        <w:t>circum</w:t>
      </w:r>
      <w:proofErr w:type="spellEnd"/>
      <w:r w:rsidRPr="00D66AFB">
        <w:t xml:space="preserve"> neutral conditions</w:t>
      </w:r>
      <w:r w:rsidRPr="00D66AFB">
        <w:rPr>
          <w:vertAlign w:val="superscript"/>
        </w:rPr>
        <w:t>7</w:t>
      </w:r>
      <w:r w:rsidRPr="00D66AFB">
        <w:t>. Most of the tests listed in Section 5 are best suited to measuring such near-equilibrium based leachate concentrations.</w:t>
      </w:r>
    </w:p>
    <w:p w14:paraId="0FF2E6F0" w14:textId="68C6DD4E" w:rsidR="00E23039" w:rsidRPr="00D66AFB" w:rsidRDefault="00E23039" w:rsidP="008F0732">
      <w:pPr>
        <w:pStyle w:val="Normalnumber"/>
        <w:numPr>
          <w:ilvl w:val="0"/>
          <w:numId w:val="19"/>
        </w:numPr>
        <w:ind w:left="1247"/>
      </w:pPr>
      <w:r w:rsidRPr="00D66AFB">
        <w:t xml:space="preserve">As no </w:t>
      </w:r>
      <w:r w:rsidRPr="00D66AFB">
        <w:rPr>
          <w:i/>
          <w:iCs/>
        </w:rPr>
        <w:t>in-situ</w:t>
      </w:r>
      <w:r w:rsidRPr="00D66AFB">
        <w:t xml:space="preserve"> pH control exists at sites where tailings are deposited, to avoid introducing the undesirable effects described in 3c above, and to accurately capture the initial near-equilibrium state,</w:t>
      </w:r>
      <w:r w:rsidR="00C05F92" w:rsidRPr="00D66AFB">
        <w:t xml:space="preserve"> </w:t>
      </w:r>
      <w:r w:rsidRPr="00D66AFB">
        <w:t>it is recommended to use an eluant at neutral pH (such as deionized water) without pH control (buffering).</w:t>
      </w:r>
    </w:p>
    <w:p w14:paraId="74922E8C" w14:textId="7D185FFC" w:rsidR="00E23039" w:rsidRPr="00D66AFB" w:rsidRDefault="00856316" w:rsidP="00856316">
      <w:pPr>
        <w:pStyle w:val="CH2"/>
      </w:pPr>
      <w:r w:rsidRPr="00D66AFB">
        <w:tab/>
      </w:r>
      <w:r w:rsidR="0061277D" w:rsidRPr="00D66AFB">
        <w:t>C</w:t>
      </w:r>
      <w:r w:rsidRPr="00D66AFB">
        <w:t>.</w:t>
      </w:r>
      <w:r w:rsidRPr="00D66AFB">
        <w:tab/>
      </w:r>
      <w:r w:rsidR="00E23039" w:rsidRPr="00D66AFB">
        <w:t>Test duration</w:t>
      </w:r>
    </w:p>
    <w:p w14:paraId="271094E4" w14:textId="77777777" w:rsidR="00E23039" w:rsidRPr="00D66AFB" w:rsidRDefault="00E23039" w:rsidP="008F0732">
      <w:pPr>
        <w:pStyle w:val="Normalnumber"/>
        <w:numPr>
          <w:ilvl w:val="0"/>
          <w:numId w:val="19"/>
        </w:numPr>
        <w:ind w:left="1247"/>
      </w:pPr>
      <w:r w:rsidRPr="00D66AFB">
        <w:t>As oxidation, dissolution and interaction of “fresh” minerals in tailings are known to be slow enough to approximate initial near-equilibrium conditions</w:t>
      </w:r>
      <w:r w:rsidRPr="00D66AFB">
        <w:rPr>
          <w:vertAlign w:val="superscript"/>
        </w:rPr>
        <w:t>7</w:t>
      </w:r>
      <w:r w:rsidRPr="00D66AFB">
        <w:t>, and weathering processes control release from tailings over the longer term</w:t>
      </w:r>
      <w:proofErr w:type="gramStart"/>
      <w:r w:rsidRPr="00D66AFB">
        <w:rPr>
          <w:vertAlign w:val="superscript"/>
        </w:rPr>
        <w:t xml:space="preserve">6 </w:t>
      </w:r>
      <w:r w:rsidRPr="00D66AFB">
        <w:t>,</w:t>
      </w:r>
      <w:proofErr w:type="gramEnd"/>
      <w:r w:rsidRPr="00D66AFB">
        <w:t xml:space="preserve"> the duration of the chosen test shall not exceed 24-hours.</w:t>
      </w:r>
    </w:p>
    <w:p w14:paraId="422CB530" w14:textId="2B273C09" w:rsidR="00E23039" w:rsidRPr="00D66AFB" w:rsidRDefault="00856316" w:rsidP="00856316">
      <w:pPr>
        <w:pStyle w:val="CH1"/>
      </w:pPr>
      <w:r w:rsidRPr="00D66AFB">
        <w:tab/>
      </w:r>
      <w:r w:rsidR="0061277D" w:rsidRPr="00D66AFB">
        <w:t>V</w:t>
      </w:r>
      <w:r w:rsidRPr="00D66AFB">
        <w:t>.</w:t>
      </w:r>
      <w:r w:rsidRPr="00D66AFB">
        <w:tab/>
      </w:r>
      <w:r w:rsidR="00E23039" w:rsidRPr="00D66AFB">
        <w:t xml:space="preserve">Overview of Test conditions to be used by Parties </w:t>
      </w:r>
    </w:p>
    <w:p w14:paraId="482FBB6B" w14:textId="77777777" w:rsidR="00E23039" w:rsidRPr="00D66AFB" w:rsidRDefault="00E23039" w:rsidP="008F0732">
      <w:pPr>
        <w:pStyle w:val="Normalnumber"/>
        <w:numPr>
          <w:ilvl w:val="0"/>
          <w:numId w:val="19"/>
        </w:numPr>
        <w:ind w:left="1247"/>
      </w:pPr>
      <w:r w:rsidRPr="00D66AFB">
        <w:t xml:space="preserve">This section provides an overview of available test methods used by Parties, compiled by the group of technical experts on mercury waste thresholds under the Minamata Convention. </w:t>
      </w:r>
    </w:p>
    <w:p w14:paraId="6A35CE90" w14:textId="77777777" w:rsidR="00E23039" w:rsidRPr="00D66AFB" w:rsidRDefault="00E23039" w:rsidP="008F0732">
      <w:pPr>
        <w:pStyle w:val="Normalnumber"/>
        <w:numPr>
          <w:ilvl w:val="0"/>
          <w:numId w:val="19"/>
        </w:numPr>
        <w:ind w:left="1247"/>
      </w:pPr>
      <w:r w:rsidRPr="00D66AFB">
        <w:t xml:space="preserve">The test methods are intended to provide information about how the waste may be expected to behave in the natural or man-made conditions where waste could be stored or used. The applicability of the test results is therefore naturally different from one country to another, since the natural conditions (rain, evaporation, drainage, frost, etc.) are different from one country to another </w:t>
      </w:r>
      <w:proofErr w:type="gramStart"/>
      <w:r w:rsidRPr="00D66AFB">
        <w:t>and also</w:t>
      </w:r>
      <w:proofErr w:type="gramEnd"/>
      <w:r w:rsidRPr="00D66AFB">
        <w:t xml:space="preserve"> within large countries.</w:t>
      </w:r>
    </w:p>
    <w:p w14:paraId="2D424A39" w14:textId="77777777" w:rsidR="00E23039" w:rsidRPr="00D66AFB" w:rsidRDefault="00E23039" w:rsidP="008F0732">
      <w:pPr>
        <w:pStyle w:val="Normalnumber"/>
        <w:numPr>
          <w:ilvl w:val="0"/>
          <w:numId w:val="19"/>
        </w:numPr>
        <w:ind w:left="1247"/>
      </w:pPr>
      <w:r w:rsidRPr="00D66AFB">
        <w:t>Leaching tests are, from a chemical point of view, partial extractions and the result depends on strict compliance with the test conditions (particle size, leaching, duration, temperature, agitation, solid/liquid separation - decantation, centrifugation, frontal filtration, tangential filtration, filter pore size, tolerance of a filter cake, volume of leaching to be filtered, etc.) to obtain good repeatability and reproducibility</w:t>
      </w:r>
      <w:r w:rsidRPr="00D66AFB">
        <w:rPr>
          <w:rStyle w:val="FootnoteReference"/>
        </w:rPr>
        <w:footnoteReference w:id="18"/>
      </w:r>
      <w:r w:rsidRPr="00D66AFB">
        <w:t>.</w:t>
      </w:r>
    </w:p>
    <w:p w14:paraId="6326335D" w14:textId="1B36F7EB" w:rsidR="00E23039" w:rsidRPr="00D66AFB" w:rsidRDefault="00E23039" w:rsidP="008F0732">
      <w:pPr>
        <w:pStyle w:val="Normalnumber"/>
        <w:numPr>
          <w:ilvl w:val="1"/>
          <w:numId w:val="1"/>
        </w:numPr>
        <w:tabs>
          <w:tab w:val="clear" w:pos="2495"/>
          <w:tab w:val="left" w:pos="624"/>
        </w:tabs>
        <w:ind w:left="1247" w:firstLine="624"/>
      </w:pPr>
      <w:r w:rsidRPr="00D66AFB">
        <w:t>Shake Test: European Standard (EN) 12457-1, EN 12457-2, EN 12457-4</w:t>
      </w:r>
    </w:p>
    <w:p w14:paraId="4B8D5BA3" w14:textId="77777777" w:rsidR="00E23039" w:rsidRPr="00D66AFB" w:rsidRDefault="00E23039" w:rsidP="008F0732">
      <w:pPr>
        <w:pStyle w:val="Normal-pool"/>
        <w:numPr>
          <w:ilvl w:val="0"/>
          <w:numId w:val="64"/>
        </w:numPr>
        <w:tabs>
          <w:tab w:val="clear" w:pos="1247"/>
          <w:tab w:val="clear" w:pos="1871"/>
          <w:tab w:val="clear" w:pos="2495"/>
          <w:tab w:val="clear" w:pos="3119"/>
          <w:tab w:val="clear" w:pos="3742"/>
          <w:tab w:val="clear" w:pos="4366"/>
        </w:tabs>
        <w:spacing w:after="120"/>
        <w:ind w:left="3119" w:hanging="624"/>
      </w:pPr>
      <w:r w:rsidRPr="00D66AFB">
        <w:t>EN 12457-1 and -2: 175-g test portion from a &gt; 2-kg sample of &lt;4 mm in size fraction is mixed by rotation with deionized water at a liquid to solid ratio of 2:1 or 10:1 and shaken once for 24 hours (equivalent to EPA Method 1316).</w:t>
      </w:r>
    </w:p>
    <w:p w14:paraId="090168CA" w14:textId="77777777" w:rsidR="00E23039" w:rsidRPr="00D66AFB" w:rsidRDefault="00E23039" w:rsidP="008F0732">
      <w:pPr>
        <w:pStyle w:val="Normal-pool"/>
        <w:numPr>
          <w:ilvl w:val="0"/>
          <w:numId w:val="64"/>
        </w:numPr>
        <w:tabs>
          <w:tab w:val="clear" w:pos="1247"/>
          <w:tab w:val="clear" w:pos="1871"/>
          <w:tab w:val="clear" w:pos="2495"/>
          <w:tab w:val="clear" w:pos="3119"/>
          <w:tab w:val="clear" w:pos="3742"/>
          <w:tab w:val="clear" w:pos="4366"/>
        </w:tabs>
        <w:spacing w:after="120"/>
        <w:ind w:left="3119" w:hanging="624"/>
      </w:pPr>
      <w:r w:rsidRPr="00D66AFB">
        <w:t>EN 12457-4: 175-g test portion from a &gt; 2-kg sample of &lt; 10-mm size fraction is mixed by rotation once for 24 hours using deionized water with a liquid to solid ratio of 10:1.</w:t>
      </w:r>
    </w:p>
    <w:p w14:paraId="161DC86E" w14:textId="77777777" w:rsidR="00E23039" w:rsidRPr="00D66AFB" w:rsidRDefault="00E23039" w:rsidP="008F0732">
      <w:pPr>
        <w:pStyle w:val="Normal-pool"/>
        <w:numPr>
          <w:ilvl w:val="0"/>
          <w:numId w:val="64"/>
        </w:numPr>
        <w:tabs>
          <w:tab w:val="clear" w:pos="1247"/>
          <w:tab w:val="clear" w:pos="1871"/>
          <w:tab w:val="clear" w:pos="2495"/>
          <w:tab w:val="clear" w:pos="3119"/>
          <w:tab w:val="clear" w:pos="3742"/>
          <w:tab w:val="clear" w:pos="4366"/>
        </w:tabs>
        <w:spacing w:after="120"/>
        <w:ind w:left="3119" w:hanging="624"/>
      </w:pPr>
      <w:r w:rsidRPr="00D66AFB">
        <w:t xml:space="preserve">The suspension is allowed to settle for 15 minutes, and then filtered with a 0.45 µm membrane under vacuum or pressure. If a filter cake builds up (acting as an additional filter and resulting in increased filtration of colloids and </w:t>
      </w:r>
      <w:r w:rsidRPr="00D66AFB">
        <w:lastRenderedPageBreak/>
        <w:t>microparticles, and lower concentration int the filtrate), a preliminary centrifugation is compulsory (see details in the standards).</w:t>
      </w:r>
    </w:p>
    <w:p w14:paraId="0F9EDC89" w14:textId="26D1B343" w:rsidR="00E23039" w:rsidRPr="00D66AFB" w:rsidRDefault="00E23039" w:rsidP="008F0732">
      <w:pPr>
        <w:pStyle w:val="Normalnumber"/>
        <w:keepNext/>
        <w:keepLines/>
        <w:numPr>
          <w:ilvl w:val="1"/>
          <w:numId w:val="1"/>
        </w:numPr>
        <w:tabs>
          <w:tab w:val="clear" w:pos="2495"/>
          <w:tab w:val="left" w:pos="624"/>
        </w:tabs>
        <w:ind w:left="1247" w:firstLine="624"/>
      </w:pPr>
      <w:r w:rsidRPr="00D66AFB">
        <w:t>Japanese Leaching Test No. 13</w:t>
      </w:r>
    </w:p>
    <w:p w14:paraId="5C7F2C90" w14:textId="77777777" w:rsidR="00E23039" w:rsidRPr="00D66AFB" w:rsidRDefault="00E23039" w:rsidP="008F0732">
      <w:pPr>
        <w:pStyle w:val="Normal-pool"/>
        <w:numPr>
          <w:ilvl w:val="0"/>
          <w:numId w:val="65"/>
        </w:numPr>
        <w:tabs>
          <w:tab w:val="clear" w:pos="1247"/>
          <w:tab w:val="clear" w:pos="1871"/>
          <w:tab w:val="clear" w:pos="2495"/>
          <w:tab w:val="clear" w:pos="3119"/>
          <w:tab w:val="clear" w:pos="3742"/>
          <w:tab w:val="clear" w:pos="4366"/>
        </w:tabs>
        <w:spacing w:after="120"/>
        <w:ind w:left="3119" w:hanging="624"/>
      </w:pPr>
      <w:r w:rsidRPr="00D66AFB">
        <w:t>This test was developed to achieve rapid short-term extraction of leachable constituents of mining materials.</w:t>
      </w:r>
    </w:p>
    <w:p w14:paraId="15DD8461" w14:textId="77777777" w:rsidR="00E23039" w:rsidRPr="00D66AFB" w:rsidRDefault="00E23039" w:rsidP="008F0732">
      <w:pPr>
        <w:pStyle w:val="Normal-pool"/>
        <w:numPr>
          <w:ilvl w:val="0"/>
          <w:numId w:val="65"/>
        </w:numPr>
        <w:tabs>
          <w:tab w:val="clear" w:pos="1247"/>
          <w:tab w:val="clear" w:pos="1871"/>
          <w:tab w:val="clear" w:pos="2495"/>
          <w:tab w:val="clear" w:pos="3119"/>
          <w:tab w:val="clear" w:pos="3742"/>
          <w:tab w:val="clear" w:pos="4366"/>
        </w:tabs>
        <w:spacing w:after="120"/>
        <w:ind w:left="3119" w:hanging="624"/>
      </w:pPr>
      <w:r w:rsidRPr="00D66AFB">
        <w:t>50-g test with 0.5-5 mm with 500 mL deionized water placed in a 1000 ml bottle. Liquid-solid ratios is 10. It is shaken horizontally for 6 hours. The shake speed is 200 rpm.</w:t>
      </w:r>
    </w:p>
    <w:p w14:paraId="6E2C3E93" w14:textId="55D6D05B" w:rsidR="00E23039" w:rsidRPr="00D66AFB" w:rsidRDefault="00E23039" w:rsidP="008F0732">
      <w:pPr>
        <w:pStyle w:val="Normalnumber"/>
        <w:numPr>
          <w:ilvl w:val="1"/>
          <w:numId w:val="1"/>
        </w:numPr>
        <w:tabs>
          <w:tab w:val="clear" w:pos="2495"/>
          <w:tab w:val="left" w:pos="624"/>
        </w:tabs>
        <w:ind w:left="1247" w:firstLine="624"/>
      </w:pPr>
      <w:r w:rsidRPr="00D66AFB">
        <w:t>Leaching Environmental Assessment Framework (LEAF): EPA Method 1314 and 1316</w:t>
      </w:r>
    </w:p>
    <w:p w14:paraId="3269763A" w14:textId="77777777" w:rsidR="00E23039" w:rsidRPr="00D66AFB" w:rsidRDefault="00E23039" w:rsidP="008F0732">
      <w:pPr>
        <w:pStyle w:val="Normal-pool"/>
        <w:numPr>
          <w:ilvl w:val="0"/>
          <w:numId w:val="66"/>
        </w:numPr>
        <w:spacing w:after="120"/>
        <w:ind w:left="3119" w:hanging="624"/>
      </w:pPr>
      <w:r w:rsidRPr="00D66AFB">
        <w:t xml:space="preserve">A leaching evaluation framework for estimating constituent release from solid materials consisting of four separate methods (EPA 1313, 1314, 1315, 1316) under key environmental conditions and waste properties known to significantly affect constituent release. </w:t>
      </w:r>
    </w:p>
    <w:p w14:paraId="12E96D68" w14:textId="77777777" w:rsidR="00E23039" w:rsidRPr="00D66AFB" w:rsidRDefault="00E23039" w:rsidP="008F0732">
      <w:pPr>
        <w:pStyle w:val="Normal-pool"/>
        <w:numPr>
          <w:ilvl w:val="0"/>
          <w:numId w:val="66"/>
        </w:numPr>
        <w:spacing w:after="120"/>
        <w:ind w:left="3119" w:hanging="624"/>
      </w:pPr>
      <w:r w:rsidRPr="00D66AFB">
        <w:t xml:space="preserve">For example, Method 1314 is an up-flow percolation column test designed to evaluate constituent releases from solid materials as a function of cumulative L/S and provides estimate of pore water concentrations and illustrates how leaching behaviour changes as the cumulative L/S ratio increases. </w:t>
      </w:r>
    </w:p>
    <w:p w14:paraId="2016FC8F" w14:textId="77777777" w:rsidR="00E23039" w:rsidRPr="00D66AFB" w:rsidRDefault="00E23039" w:rsidP="008F0732">
      <w:pPr>
        <w:pStyle w:val="Normal-pool"/>
        <w:numPr>
          <w:ilvl w:val="0"/>
          <w:numId w:val="66"/>
        </w:numPr>
        <w:spacing w:after="120"/>
        <w:ind w:left="3119" w:hanging="624"/>
      </w:pPr>
      <w:r w:rsidRPr="00D66AFB">
        <w:t>The Tier 2 threshold of 0.15 mg/L was derived from test data using Method 1314 using L/S ratio of 10:1 and deionized water. For applying this threshold, the same test condition is recommended.</w:t>
      </w:r>
    </w:p>
    <w:p w14:paraId="2CE3C242" w14:textId="77777777" w:rsidR="00E23039" w:rsidRPr="00D66AFB" w:rsidRDefault="00E23039" w:rsidP="008F0732">
      <w:pPr>
        <w:pStyle w:val="Normal-pool"/>
        <w:numPr>
          <w:ilvl w:val="0"/>
          <w:numId w:val="66"/>
        </w:numPr>
        <w:spacing w:after="120"/>
        <w:ind w:left="3119" w:hanging="624"/>
      </w:pPr>
      <w:r w:rsidRPr="00D66AFB">
        <w:t>Method 1316 is an equilibrium-based leaching test intended to provide eluate solutions over a range of L/S. Data provides mass release information as a function of L/S, similar to Method 1314 data, however, Method 1316 eluate concentrations are often higher than Method 1314, reflecting the nature of the batch test where constituents are not sequentially removed from the system at each L/S as with a flow-through percolating column.</w:t>
      </w:r>
    </w:p>
    <w:p w14:paraId="38A01C51" w14:textId="77777777" w:rsidR="00E23039" w:rsidRPr="00D66AFB" w:rsidRDefault="00E23039" w:rsidP="008F0732">
      <w:pPr>
        <w:pStyle w:val="Normal-pool"/>
        <w:numPr>
          <w:ilvl w:val="0"/>
          <w:numId w:val="66"/>
        </w:numPr>
        <w:spacing w:after="120"/>
        <w:ind w:left="3119" w:hanging="624"/>
      </w:pPr>
      <w:r w:rsidRPr="00D66AFB">
        <w:t>The batch method may be useful when characterizing materials with physical properties that make flow through tests impractical.</w:t>
      </w:r>
    </w:p>
    <w:p w14:paraId="716B2E0F" w14:textId="0E0E1523" w:rsidR="00E23039" w:rsidRPr="00D66AFB" w:rsidRDefault="00E23039" w:rsidP="008F0732">
      <w:pPr>
        <w:pStyle w:val="Normalnumber"/>
        <w:numPr>
          <w:ilvl w:val="1"/>
          <w:numId w:val="1"/>
        </w:numPr>
        <w:tabs>
          <w:tab w:val="clear" w:pos="2495"/>
          <w:tab w:val="left" w:pos="624"/>
        </w:tabs>
        <w:ind w:left="1247" w:firstLine="624"/>
      </w:pPr>
      <w:r w:rsidRPr="00D66AFB">
        <w:t>Ministry of Environmental Protection, China: HJ 557-2010 Solid waste ‒ Extraction procedure for leaching toxicity ‒ Horizontal vibration method.</w:t>
      </w:r>
    </w:p>
    <w:p w14:paraId="37D2DF19" w14:textId="4D4D9AE8" w:rsidR="00E23039" w:rsidRPr="00D66AFB" w:rsidRDefault="00E23039" w:rsidP="008F0732">
      <w:pPr>
        <w:pStyle w:val="Normal-pool"/>
        <w:numPr>
          <w:ilvl w:val="0"/>
          <w:numId w:val="67"/>
        </w:numPr>
        <w:tabs>
          <w:tab w:val="clear" w:pos="1247"/>
          <w:tab w:val="clear" w:pos="1871"/>
          <w:tab w:val="clear" w:pos="2495"/>
          <w:tab w:val="clear" w:pos="3119"/>
          <w:tab w:val="clear" w:pos="3742"/>
          <w:tab w:val="clear" w:pos="4366"/>
        </w:tabs>
        <w:spacing w:after="120"/>
        <w:ind w:left="3119" w:hanging="624"/>
      </w:pPr>
      <w:r w:rsidRPr="00D66AFB">
        <w:t>100-g dry basis test portion (or equivalent) of &lt;3-mm size fraction with deionized water, with a liquid to solid ratio of 10:1, placed in a 2000 ml bottle. It is shaken horizontally for 8 hours at room temperature, then stilled for 16</w:t>
      </w:r>
      <w:r w:rsidR="008A04FB" w:rsidRPr="00D66AFB">
        <w:t> </w:t>
      </w:r>
      <w:r w:rsidRPr="00D66AFB">
        <w:t xml:space="preserve">hours. The shake speed is 110 rpm. The amplitude of vibration is 40 mm. </w:t>
      </w:r>
    </w:p>
    <w:p w14:paraId="2FC5A06B" w14:textId="77777777" w:rsidR="00E23039" w:rsidRPr="00D66AFB" w:rsidRDefault="00E23039" w:rsidP="008F0732">
      <w:pPr>
        <w:pStyle w:val="Normal-pool"/>
        <w:numPr>
          <w:ilvl w:val="0"/>
          <w:numId w:val="67"/>
        </w:numPr>
        <w:tabs>
          <w:tab w:val="clear" w:pos="1247"/>
          <w:tab w:val="clear" w:pos="1871"/>
          <w:tab w:val="clear" w:pos="2495"/>
          <w:tab w:val="clear" w:pos="3119"/>
          <w:tab w:val="clear" w:pos="3742"/>
          <w:tab w:val="clear" w:pos="4366"/>
        </w:tabs>
        <w:spacing w:after="120"/>
        <w:ind w:left="3119" w:hanging="624"/>
      </w:pPr>
      <w:r w:rsidRPr="00D66AFB">
        <w:t>If sample contains liquid, extraction fluid should be filtered with a pressured 0.45-µm filter membrane prior to analysis. If percent solids of sample ≤ 9%, the filtrate is the leach solution, should be used for analysis directly. If percent solids of sample＞9%, the filter residue (the test) should be tested under the above extraction procedure, the filtrate should be mixed with the leach solution of the filter residue for analysis.</w:t>
      </w:r>
    </w:p>
    <w:p w14:paraId="4BA7F6A5" w14:textId="724BE615" w:rsidR="00E23039" w:rsidRPr="00D66AFB" w:rsidRDefault="00E23039" w:rsidP="008F0732">
      <w:pPr>
        <w:pStyle w:val="Normalnumber"/>
        <w:numPr>
          <w:ilvl w:val="1"/>
          <w:numId w:val="1"/>
        </w:numPr>
        <w:tabs>
          <w:tab w:val="clear" w:pos="2495"/>
          <w:tab w:val="left" w:pos="624"/>
        </w:tabs>
        <w:ind w:left="1247" w:firstLine="624"/>
      </w:pPr>
      <w:r w:rsidRPr="00D66AFB">
        <w:t>Federal Ministry of Environment, Switzerland: Test methods in the domain of waste and contaminated sites: Solid test method No.22</w:t>
      </w:r>
      <w:r w:rsidRPr="00D66AFB">
        <w:rPr>
          <w:rStyle w:val="FootnoteReference"/>
        </w:rPr>
        <w:footnoteReference w:id="19"/>
      </w:r>
      <w:r w:rsidRPr="00D66AFB">
        <w:t>.</w:t>
      </w:r>
    </w:p>
    <w:p w14:paraId="05AE069D" w14:textId="77777777" w:rsidR="00E23039" w:rsidRPr="00D66AFB" w:rsidRDefault="00E23039" w:rsidP="008F0732">
      <w:pPr>
        <w:pStyle w:val="Normal-pool"/>
        <w:numPr>
          <w:ilvl w:val="0"/>
          <w:numId w:val="68"/>
        </w:numPr>
        <w:tabs>
          <w:tab w:val="clear" w:pos="1247"/>
          <w:tab w:val="clear" w:pos="1871"/>
          <w:tab w:val="clear" w:pos="2495"/>
          <w:tab w:val="clear" w:pos="3119"/>
          <w:tab w:val="clear" w:pos="3742"/>
          <w:tab w:val="clear" w:pos="4366"/>
        </w:tabs>
        <w:spacing w:after="120"/>
        <w:ind w:left="3119" w:hanging="624"/>
      </w:pPr>
      <w:r w:rsidRPr="00D66AFB">
        <w:t xml:space="preserve">The sampled material is tested if </w:t>
      </w:r>
      <w:proofErr w:type="gramStart"/>
      <w:r w:rsidRPr="00D66AFB">
        <w:t>possible</w:t>
      </w:r>
      <w:proofErr w:type="gramEnd"/>
      <w:r w:rsidRPr="00D66AFB">
        <w:t xml:space="preserve"> in the form in which it will be landfilled.</w:t>
      </w:r>
    </w:p>
    <w:p w14:paraId="00407361" w14:textId="77777777" w:rsidR="00E23039" w:rsidRPr="00D66AFB" w:rsidRDefault="00E23039" w:rsidP="008F0732">
      <w:pPr>
        <w:pStyle w:val="Normal-pool"/>
        <w:numPr>
          <w:ilvl w:val="0"/>
          <w:numId w:val="68"/>
        </w:numPr>
        <w:tabs>
          <w:tab w:val="clear" w:pos="1247"/>
          <w:tab w:val="clear" w:pos="1871"/>
          <w:tab w:val="clear" w:pos="2495"/>
          <w:tab w:val="clear" w:pos="3119"/>
          <w:tab w:val="clear" w:pos="3742"/>
          <w:tab w:val="clear" w:pos="4366"/>
        </w:tabs>
        <w:spacing w:after="120"/>
        <w:ind w:left="3119" w:hanging="624"/>
      </w:pPr>
      <w:r w:rsidRPr="00D66AFB">
        <w:t xml:space="preserve">The size of the pieces is not reduced as much as possible. When a large quantity of samples has been taken, a representative portion of at least 100 g is withdrawn. If a pre-grinding is necessary for practical reasons (introduction into the test container), one will not go below a size of 0.5 cm. </w:t>
      </w:r>
    </w:p>
    <w:p w14:paraId="43970882" w14:textId="77777777" w:rsidR="00E23039" w:rsidRPr="00D66AFB" w:rsidRDefault="00E23039" w:rsidP="008F0732">
      <w:pPr>
        <w:pStyle w:val="Normal-pool"/>
        <w:numPr>
          <w:ilvl w:val="0"/>
          <w:numId w:val="68"/>
        </w:numPr>
        <w:tabs>
          <w:tab w:val="clear" w:pos="1247"/>
          <w:tab w:val="clear" w:pos="1871"/>
          <w:tab w:val="clear" w:pos="2495"/>
          <w:tab w:val="clear" w:pos="3119"/>
          <w:tab w:val="clear" w:pos="3742"/>
          <w:tab w:val="clear" w:pos="4366"/>
        </w:tabs>
        <w:spacing w:after="120"/>
        <w:ind w:left="3119" w:hanging="624"/>
      </w:pPr>
      <w:r w:rsidRPr="00D66AFB">
        <w:t xml:space="preserve">For neutral leaching, distilled or demineralised water with a conductivity less than or equal to 10 μ S cm –1 is used. At least 100 g of sample are introduced into the leaching vessel, where they are mixed with ten times the amount of </w:t>
      </w:r>
      <w:r w:rsidRPr="00D66AFB">
        <w:lastRenderedPageBreak/>
        <w:t xml:space="preserve">water, with reference to the dry weight of the sample. The leaching vessel is hermetically sealed and placed for 24 hours in a rotary agitator set to one rotation per minute. </w:t>
      </w:r>
    </w:p>
    <w:p w14:paraId="142E4CE1" w14:textId="77777777" w:rsidR="00E23039" w:rsidRPr="00D66AFB" w:rsidRDefault="00E23039" w:rsidP="008F0732">
      <w:pPr>
        <w:pStyle w:val="Normal-pool"/>
        <w:numPr>
          <w:ilvl w:val="0"/>
          <w:numId w:val="68"/>
        </w:numPr>
        <w:tabs>
          <w:tab w:val="clear" w:pos="1247"/>
          <w:tab w:val="clear" w:pos="1871"/>
          <w:tab w:val="clear" w:pos="2495"/>
          <w:tab w:val="clear" w:pos="3119"/>
          <w:tab w:val="clear" w:pos="3742"/>
          <w:tab w:val="clear" w:pos="4366"/>
        </w:tabs>
        <w:spacing w:after="120"/>
        <w:ind w:left="3119" w:hanging="624"/>
      </w:pPr>
      <w:r w:rsidRPr="00D66AFB">
        <w:t xml:space="preserve">This test also provides for the use of CO2 saturation to maintain lower </w:t>
      </w:r>
      <w:proofErr w:type="spellStart"/>
      <w:r w:rsidRPr="00D66AFB">
        <w:t>pH.</w:t>
      </w:r>
      <w:proofErr w:type="spellEnd"/>
    </w:p>
    <w:p w14:paraId="1C183A53" w14:textId="77777777" w:rsidR="00E23039" w:rsidRPr="00D66AFB" w:rsidRDefault="00E23039" w:rsidP="008F0732">
      <w:pPr>
        <w:pStyle w:val="Normalnumber"/>
        <w:keepNext/>
        <w:keepLines/>
        <w:numPr>
          <w:ilvl w:val="0"/>
          <w:numId w:val="19"/>
        </w:numPr>
        <w:ind w:left="1247"/>
      </w:pPr>
      <w:r w:rsidRPr="00D66AFB">
        <w:t>Test conditions for the leach test methods reviewed in this section is summarised below.</w:t>
      </w:r>
    </w:p>
    <w:tbl>
      <w:tblPr>
        <w:tblW w:w="8307" w:type="dxa"/>
        <w:jc w:val="right"/>
        <w:tblCellMar>
          <w:left w:w="0" w:type="dxa"/>
          <w:right w:w="0" w:type="dxa"/>
        </w:tblCellMar>
        <w:tblLook w:val="04A0" w:firstRow="1" w:lastRow="0" w:firstColumn="1" w:lastColumn="0" w:noHBand="0" w:noVBand="1"/>
      </w:tblPr>
      <w:tblGrid>
        <w:gridCol w:w="2127"/>
        <w:gridCol w:w="1236"/>
        <w:gridCol w:w="1236"/>
        <w:gridCol w:w="1236"/>
        <w:gridCol w:w="1236"/>
        <w:gridCol w:w="1236"/>
      </w:tblGrid>
      <w:tr w:rsidR="000B7FBB" w:rsidRPr="00D66AFB" w14:paraId="06451F7A" w14:textId="77777777" w:rsidTr="000B7FBB">
        <w:trPr>
          <w:trHeight w:val="57"/>
          <w:jc w:val="right"/>
        </w:trPr>
        <w:tc>
          <w:tcPr>
            <w:tcW w:w="2127" w:type="dxa"/>
            <w:tcBorders>
              <w:top w:val="single" w:sz="4" w:space="0" w:color="auto"/>
              <w:bottom w:val="single" w:sz="12" w:space="0" w:color="auto"/>
            </w:tcBorders>
            <w:tcMar>
              <w:top w:w="0" w:type="dxa"/>
              <w:left w:w="108" w:type="dxa"/>
              <w:bottom w:w="0" w:type="dxa"/>
              <w:right w:w="108" w:type="dxa"/>
            </w:tcMar>
            <w:vAlign w:val="bottom"/>
            <w:hideMark/>
          </w:tcPr>
          <w:p w14:paraId="68823AB9" w14:textId="77777777" w:rsidR="00E23039" w:rsidRPr="00D66AFB" w:rsidRDefault="00E23039" w:rsidP="00985C39">
            <w:pPr>
              <w:pStyle w:val="Normal-pool-Table"/>
              <w:rPr>
                <w:i/>
                <w:iCs/>
                <w:szCs w:val="18"/>
              </w:rPr>
            </w:pPr>
            <w:r w:rsidRPr="00D66AFB">
              <w:rPr>
                <w:i/>
                <w:iCs/>
                <w:szCs w:val="18"/>
                <w:lang w:eastAsia="en-CA"/>
              </w:rPr>
              <w:t>Leach Test</w:t>
            </w:r>
          </w:p>
        </w:tc>
        <w:tc>
          <w:tcPr>
            <w:tcW w:w="1236" w:type="dxa"/>
            <w:tcBorders>
              <w:top w:val="single" w:sz="4" w:space="0" w:color="auto"/>
              <w:bottom w:val="single" w:sz="12" w:space="0" w:color="auto"/>
            </w:tcBorders>
            <w:tcMar>
              <w:top w:w="0" w:type="dxa"/>
              <w:left w:w="108" w:type="dxa"/>
              <w:bottom w:w="0" w:type="dxa"/>
              <w:right w:w="108" w:type="dxa"/>
            </w:tcMar>
            <w:vAlign w:val="bottom"/>
            <w:hideMark/>
          </w:tcPr>
          <w:p w14:paraId="6713AA5D" w14:textId="77777777" w:rsidR="00E23039" w:rsidRPr="00D66AFB" w:rsidRDefault="00E23039" w:rsidP="00985C39">
            <w:pPr>
              <w:pStyle w:val="Normal-pool-Table"/>
              <w:rPr>
                <w:i/>
                <w:iCs/>
                <w:szCs w:val="18"/>
                <w:lang w:eastAsia="en-CA"/>
              </w:rPr>
            </w:pPr>
            <w:r w:rsidRPr="00D66AFB">
              <w:rPr>
                <w:i/>
                <w:iCs/>
                <w:szCs w:val="18"/>
                <w:lang w:eastAsia="en-CA"/>
              </w:rPr>
              <w:t>L/S Ratio</w:t>
            </w:r>
          </w:p>
        </w:tc>
        <w:tc>
          <w:tcPr>
            <w:tcW w:w="1236" w:type="dxa"/>
            <w:tcBorders>
              <w:top w:val="single" w:sz="4" w:space="0" w:color="auto"/>
              <w:bottom w:val="single" w:sz="12" w:space="0" w:color="auto"/>
            </w:tcBorders>
            <w:tcMar>
              <w:top w:w="0" w:type="dxa"/>
              <w:left w:w="108" w:type="dxa"/>
              <w:bottom w:w="0" w:type="dxa"/>
              <w:right w:w="108" w:type="dxa"/>
            </w:tcMar>
            <w:vAlign w:val="bottom"/>
            <w:hideMark/>
          </w:tcPr>
          <w:p w14:paraId="787BA5D9" w14:textId="77777777" w:rsidR="00E23039" w:rsidRPr="00D66AFB" w:rsidRDefault="00E23039" w:rsidP="00985C39">
            <w:pPr>
              <w:pStyle w:val="Normal-pool-Table"/>
              <w:rPr>
                <w:i/>
                <w:iCs/>
                <w:szCs w:val="18"/>
                <w:lang w:eastAsia="en-CA"/>
              </w:rPr>
            </w:pPr>
            <w:r w:rsidRPr="00D66AFB">
              <w:rPr>
                <w:i/>
                <w:iCs/>
                <w:szCs w:val="18"/>
                <w:lang w:eastAsia="en-CA"/>
              </w:rPr>
              <w:t>Test Duration</w:t>
            </w:r>
          </w:p>
        </w:tc>
        <w:tc>
          <w:tcPr>
            <w:tcW w:w="1236" w:type="dxa"/>
            <w:tcBorders>
              <w:top w:val="single" w:sz="4" w:space="0" w:color="auto"/>
              <w:bottom w:val="single" w:sz="12" w:space="0" w:color="auto"/>
            </w:tcBorders>
            <w:tcMar>
              <w:top w:w="0" w:type="dxa"/>
              <w:left w:w="108" w:type="dxa"/>
              <w:bottom w:w="0" w:type="dxa"/>
              <w:right w:w="108" w:type="dxa"/>
            </w:tcMar>
            <w:vAlign w:val="bottom"/>
            <w:hideMark/>
          </w:tcPr>
          <w:p w14:paraId="3A965D89" w14:textId="77777777" w:rsidR="00E23039" w:rsidRPr="00D66AFB" w:rsidRDefault="00E23039" w:rsidP="00985C39">
            <w:pPr>
              <w:pStyle w:val="Normal-pool-Table"/>
              <w:rPr>
                <w:i/>
                <w:iCs/>
                <w:szCs w:val="18"/>
                <w:lang w:eastAsia="en-CA"/>
              </w:rPr>
            </w:pPr>
            <w:r w:rsidRPr="00D66AFB">
              <w:rPr>
                <w:i/>
                <w:iCs/>
                <w:szCs w:val="18"/>
                <w:lang w:eastAsia="en-CA"/>
              </w:rPr>
              <w:t>Sample Size</w:t>
            </w:r>
          </w:p>
        </w:tc>
        <w:tc>
          <w:tcPr>
            <w:tcW w:w="1236" w:type="dxa"/>
            <w:tcBorders>
              <w:top w:val="single" w:sz="4" w:space="0" w:color="auto"/>
              <w:bottom w:val="single" w:sz="12" w:space="0" w:color="auto"/>
            </w:tcBorders>
            <w:tcMar>
              <w:top w:w="0" w:type="dxa"/>
              <w:left w:w="108" w:type="dxa"/>
              <w:bottom w:w="0" w:type="dxa"/>
              <w:right w:w="108" w:type="dxa"/>
            </w:tcMar>
            <w:vAlign w:val="bottom"/>
            <w:hideMark/>
          </w:tcPr>
          <w:p w14:paraId="358F133B" w14:textId="77777777" w:rsidR="00E23039" w:rsidRPr="00D66AFB" w:rsidRDefault="00E23039" w:rsidP="00985C39">
            <w:pPr>
              <w:pStyle w:val="Normal-pool-Table"/>
              <w:rPr>
                <w:i/>
                <w:iCs/>
                <w:szCs w:val="18"/>
                <w:lang w:eastAsia="en-CA"/>
              </w:rPr>
            </w:pPr>
            <w:r w:rsidRPr="00D66AFB">
              <w:rPr>
                <w:i/>
                <w:iCs/>
                <w:szCs w:val="18"/>
                <w:lang w:eastAsia="en-CA"/>
              </w:rPr>
              <w:t>pH Control</w:t>
            </w:r>
          </w:p>
        </w:tc>
        <w:tc>
          <w:tcPr>
            <w:tcW w:w="1236" w:type="dxa"/>
            <w:tcBorders>
              <w:top w:val="single" w:sz="4" w:space="0" w:color="auto"/>
              <w:bottom w:val="single" w:sz="12" w:space="0" w:color="auto"/>
            </w:tcBorders>
            <w:tcMar>
              <w:top w:w="0" w:type="dxa"/>
              <w:left w:w="108" w:type="dxa"/>
              <w:bottom w:w="0" w:type="dxa"/>
              <w:right w:w="108" w:type="dxa"/>
            </w:tcMar>
            <w:vAlign w:val="bottom"/>
            <w:hideMark/>
          </w:tcPr>
          <w:p w14:paraId="4CE19CB1" w14:textId="77777777" w:rsidR="00E23039" w:rsidRPr="00D66AFB" w:rsidRDefault="00E23039" w:rsidP="00985C39">
            <w:pPr>
              <w:pStyle w:val="Normal-pool-Table"/>
              <w:rPr>
                <w:i/>
                <w:iCs/>
                <w:szCs w:val="18"/>
                <w:lang w:eastAsia="en-CA"/>
              </w:rPr>
            </w:pPr>
            <w:r w:rsidRPr="00D66AFB">
              <w:rPr>
                <w:i/>
                <w:iCs/>
                <w:szCs w:val="18"/>
                <w:lang w:eastAsia="en-CA"/>
              </w:rPr>
              <w:t>Test Material</w:t>
            </w:r>
          </w:p>
        </w:tc>
      </w:tr>
      <w:tr w:rsidR="000B7FBB" w:rsidRPr="00D66AFB" w14:paraId="166BF86A" w14:textId="77777777" w:rsidTr="000B7FBB">
        <w:trPr>
          <w:trHeight w:val="57"/>
          <w:jc w:val="right"/>
        </w:trPr>
        <w:tc>
          <w:tcPr>
            <w:tcW w:w="2127" w:type="dxa"/>
            <w:tcBorders>
              <w:top w:val="single" w:sz="12" w:space="0" w:color="auto"/>
            </w:tcBorders>
            <w:tcMar>
              <w:top w:w="0" w:type="dxa"/>
              <w:left w:w="108" w:type="dxa"/>
              <w:bottom w:w="0" w:type="dxa"/>
              <w:right w:w="108" w:type="dxa"/>
            </w:tcMar>
            <w:hideMark/>
          </w:tcPr>
          <w:p w14:paraId="24D53163" w14:textId="77777777" w:rsidR="00E23039" w:rsidRPr="00D66AFB" w:rsidRDefault="00E23039" w:rsidP="00985C39">
            <w:pPr>
              <w:pStyle w:val="Normal-pool-Table"/>
              <w:rPr>
                <w:szCs w:val="18"/>
                <w:lang w:eastAsia="en-CA"/>
              </w:rPr>
            </w:pPr>
            <w:r w:rsidRPr="00D66AFB">
              <w:rPr>
                <w:szCs w:val="18"/>
                <w:lang w:eastAsia="en-CA"/>
              </w:rPr>
              <w:t>Shake Test (EN 12457-1, -2, -4)</w:t>
            </w:r>
          </w:p>
        </w:tc>
        <w:tc>
          <w:tcPr>
            <w:tcW w:w="1236" w:type="dxa"/>
            <w:tcBorders>
              <w:top w:val="single" w:sz="12" w:space="0" w:color="auto"/>
            </w:tcBorders>
            <w:tcMar>
              <w:top w:w="0" w:type="dxa"/>
              <w:left w:w="108" w:type="dxa"/>
              <w:bottom w:w="0" w:type="dxa"/>
              <w:right w:w="108" w:type="dxa"/>
            </w:tcMar>
            <w:hideMark/>
          </w:tcPr>
          <w:p w14:paraId="21D460EF" w14:textId="64C6A871" w:rsidR="00E23039" w:rsidRPr="00D66AFB" w:rsidRDefault="00E23039" w:rsidP="00985C39">
            <w:pPr>
              <w:pStyle w:val="Normal-pool-Table"/>
              <w:rPr>
                <w:szCs w:val="18"/>
                <w:lang w:eastAsia="en-CA"/>
              </w:rPr>
            </w:pPr>
            <w:r w:rsidRPr="00D66AFB">
              <w:rPr>
                <w:szCs w:val="18"/>
                <w:lang w:eastAsia="en-CA"/>
              </w:rPr>
              <w:t>10:1</w:t>
            </w:r>
            <w:r w:rsidR="00AF5F51" w:rsidRPr="00D66AFB">
              <w:rPr>
                <w:szCs w:val="18"/>
                <w:vertAlign w:val="superscript"/>
                <w:lang w:eastAsia="en-CA"/>
              </w:rPr>
              <w:t>a</w:t>
            </w:r>
          </w:p>
        </w:tc>
        <w:tc>
          <w:tcPr>
            <w:tcW w:w="1236" w:type="dxa"/>
            <w:tcBorders>
              <w:top w:val="single" w:sz="12" w:space="0" w:color="auto"/>
            </w:tcBorders>
            <w:tcMar>
              <w:top w:w="0" w:type="dxa"/>
              <w:left w:w="108" w:type="dxa"/>
              <w:bottom w:w="0" w:type="dxa"/>
              <w:right w:w="108" w:type="dxa"/>
            </w:tcMar>
            <w:hideMark/>
          </w:tcPr>
          <w:p w14:paraId="6B976C9D" w14:textId="77777777" w:rsidR="00E23039" w:rsidRPr="00D66AFB" w:rsidRDefault="00E23039" w:rsidP="00985C39">
            <w:pPr>
              <w:pStyle w:val="Normal-pool-Table"/>
              <w:rPr>
                <w:szCs w:val="18"/>
                <w:lang w:eastAsia="en-CA"/>
              </w:rPr>
            </w:pPr>
            <w:r w:rsidRPr="00D66AFB">
              <w:rPr>
                <w:szCs w:val="18"/>
                <w:lang w:eastAsia="en-CA"/>
              </w:rPr>
              <w:t>24 hours</w:t>
            </w:r>
          </w:p>
        </w:tc>
        <w:tc>
          <w:tcPr>
            <w:tcW w:w="1236" w:type="dxa"/>
            <w:tcBorders>
              <w:top w:val="single" w:sz="12" w:space="0" w:color="auto"/>
            </w:tcBorders>
            <w:tcMar>
              <w:top w:w="0" w:type="dxa"/>
              <w:left w:w="108" w:type="dxa"/>
              <w:bottom w:w="0" w:type="dxa"/>
              <w:right w:w="108" w:type="dxa"/>
            </w:tcMar>
            <w:hideMark/>
          </w:tcPr>
          <w:p w14:paraId="2B2EC14A" w14:textId="77777777" w:rsidR="00E23039" w:rsidRPr="00D66AFB" w:rsidRDefault="00E23039" w:rsidP="00985C39">
            <w:pPr>
              <w:pStyle w:val="Normal-pool-Table"/>
              <w:rPr>
                <w:szCs w:val="18"/>
                <w:lang w:eastAsia="en-CA"/>
              </w:rPr>
            </w:pPr>
            <w:r w:rsidRPr="00D66AFB">
              <w:rPr>
                <w:szCs w:val="18"/>
                <w:lang w:eastAsia="en-CA"/>
              </w:rPr>
              <w:t>175g</w:t>
            </w:r>
          </w:p>
        </w:tc>
        <w:tc>
          <w:tcPr>
            <w:tcW w:w="1236" w:type="dxa"/>
            <w:tcBorders>
              <w:top w:val="single" w:sz="12" w:space="0" w:color="auto"/>
            </w:tcBorders>
            <w:tcMar>
              <w:top w:w="0" w:type="dxa"/>
              <w:left w:w="108" w:type="dxa"/>
              <w:bottom w:w="0" w:type="dxa"/>
              <w:right w:w="108" w:type="dxa"/>
            </w:tcMar>
            <w:hideMark/>
          </w:tcPr>
          <w:p w14:paraId="3BBA1045" w14:textId="77777777" w:rsidR="00E23039" w:rsidRPr="00D66AFB" w:rsidRDefault="00E23039" w:rsidP="00985C39">
            <w:pPr>
              <w:pStyle w:val="Normal-pool-Table"/>
              <w:rPr>
                <w:szCs w:val="18"/>
                <w:lang w:eastAsia="en-CA"/>
              </w:rPr>
            </w:pPr>
            <w:r w:rsidRPr="00D66AFB">
              <w:rPr>
                <w:szCs w:val="18"/>
                <w:lang w:eastAsia="en-CA"/>
              </w:rPr>
              <w:t>Neutral</w:t>
            </w:r>
          </w:p>
        </w:tc>
        <w:tc>
          <w:tcPr>
            <w:tcW w:w="1236" w:type="dxa"/>
            <w:tcBorders>
              <w:top w:val="single" w:sz="12" w:space="0" w:color="auto"/>
            </w:tcBorders>
            <w:tcMar>
              <w:top w:w="0" w:type="dxa"/>
              <w:left w:w="108" w:type="dxa"/>
              <w:bottom w:w="0" w:type="dxa"/>
              <w:right w:w="108" w:type="dxa"/>
            </w:tcMar>
            <w:hideMark/>
          </w:tcPr>
          <w:p w14:paraId="6C0EFF7B" w14:textId="77777777" w:rsidR="00E23039" w:rsidRPr="00D66AFB" w:rsidRDefault="00E23039" w:rsidP="00985C39">
            <w:pPr>
              <w:pStyle w:val="Normal-pool-Table"/>
              <w:rPr>
                <w:szCs w:val="18"/>
                <w:lang w:eastAsia="en-CA"/>
              </w:rPr>
            </w:pPr>
            <w:r w:rsidRPr="00D66AFB">
              <w:rPr>
                <w:szCs w:val="18"/>
                <w:lang w:eastAsia="en-CA"/>
              </w:rPr>
              <w:t>&lt;4mm or &lt;10mm</w:t>
            </w:r>
          </w:p>
        </w:tc>
      </w:tr>
      <w:tr w:rsidR="00E23039" w:rsidRPr="00D66AFB" w14:paraId="2115C854" w14:textId="77777777" w:rsidTr="000B7FBB">
        <w:trPr>
          <w:trHeight w:val="57"/>
          <w:jc w:val="right"/>
        </w:trPr>
        <w:tc>
          <w:tcPr>
            <w:tcW w:w="2127" w:type="dxa"/>
            <w:tcMar>
              <w:top w:w="0" w:type="dxa"/>
              <w:left w:w="108" w:type="dxa"/>
              <w:bottom w:w="0" w:type="dxa"/>
              <w:right w:w="108" w:type="dxa"/>
            </w:tcMar>
            <w:hideMark/>
          </w:tcPr>
          <w:p w14:paraId="4725AF2F" w14:textId="77777777" w:rsidR="00E23039" w:rsidRPr="00D66AFB" w:rsidRDefault="00E23039" w:rsidP="00985C39">
            <w:pPr>
              <w:pStyle w:val="Normal-pool-Table"/>
              <w:rPr>
                <w:szCs w:val="18"/>
                <w:lang w:eastAsia="en-CA"/>
              </w:rPr>
            </w:pPr>
            <w:r w:rsidRPr="00D66AFB">
              <w:rPr>
                <w:szCs w:val="18"/>
                <w:lang w:eastAsia="en-CA"/>
              </w:rPr>
              <w:t>Japanese Leaching Test No. 13</w:t>
            </w:r>
          </w:p>
        </w:tc>
        <w:tc>
          <w:tcPr>
            <w:tcW w:w="1236" w:type="dxa"/>
            <w:tcMar>
              <w:top w:w="0" w:type="dxa"/>
              <w:left w:w="108" w:type="dxa"/>
              <w:bottom w:w="0" w:type="dxa"/>
              <w:right w:w="108" w:type="dxa"/>
            </w:tcMar>
            <w:hideMark/>
          </w:tcPr>
          <w:p w14:paraId="0BBE6C27" w14:textId="77777777" w:rsidR="00E23039" w:rsidRPr="00D66AFB" w:rsidRDefault="00E23039" w:rsidP="00985C39">
            <w:pPr>
              <w:pStyle w:val="Normal-pool-Table"/>
              <w:rPr>
                <w:szCs w:val="18"/>
                <w:lang w:eastAsia="en-CA"/>
              </w:rPr>
            </w:pPr>
            <w:r w:rsidRPr="00D66AFB">
              <w:rPr>
                <w:szCs w:val="18"/>
                <w:lang w:eastAsia="en-CA"/>
              </w:rPr>
              <w:t>10:1</w:t>
            </w:r>
          </w:p>
        </w:tc>
        <w:tc>
          <w:tcPr>
            <w:tcW w:w="1236" w:type="dxa"/>
            <w:tcMar>
              <w:top w:w="0" w:type="dxa"/>
              <w:left w:w="108" w:type="dxa"/>
              <w:bottom w:w="0" w:type="dxa"/>
              <w:right w:w="108" w:type="dxa"/>
            </w:tcMar>
            <w:hideMark/>
          </w:tcPr>
          <w:p w14:paraId="2347D1FC" w14:textId="77777777" w:rsidR="00E23039" w:rsidRPr="00D66AFB" w:rsidRDefault="00E23039" w:rsidP="00985C39">
            <w:pPr>
              <w:pStyle w:val="Normal-pool-Table"/>
              <w:rPr>
                <w:szCs w:val="18"/>
                <w:lang w:eastAsia="en-CA"/>
              </w:rPr>
            </w:pPr>
            <w:r w:rsidRPr="00D66AFB">
              <w:rPr>
                <w:szCs w:val="18"/>
                <w:lang w:eastAsia="en-CA"/>
              </w:rPr>
              <w:t>6 hours</w:t>
            </w:r>
          </w:p>
        </w:tc>
        <w:tc>
          <w:tcPr>
            <w:tcW w:w="1236" w:type="dxa"/>
            <w:tcMar>
              <w:top w:w="0" w:type="dxa"/>
              <w:left w:w="108" w:type="dxa"/>
              <w:bottom w:w="0" w:type="dxa"/>
              <w:right w:w="108" w:type="dxa"/>
            </w:tcMar>
            <w:hideMark/>
          </w:tcPr>
          <w:p w14:paraId="154F84C5" w14:textId="77777777" w:rsidR="00E23039" w:rsidRPr="00D66AFB" w:rsidRDefault="00E23039" w:rsidP="00985C39">
            <w:pPr>
              <w:pStyle w:val="Normal-pool-Table"/>
              <w:rPr>
                <w:szCs w:val="18"/>
                <w:lang w:eastAsia="en-CA"/>
              </w:rPr>
            </w:pPr>
            <w:r w:rsidRPr="00D66AFB">
              <w:rPr>
                <w:szCs w:val="18"/>
                <w:lang w:eastAsia="en-CA"/>
              </w:rPr>
              <w:t>50g</w:t>
            </w:r>
          </w:p>
        </w:tc>
        <w:tc>
          <w:tcPr>
            <w:tcW w:w="1236" w:type="dxa"/>
            <w:tcMar>
              <w:top w:w="0" w:type="dxa"/>
              <w:left w:w="108" w:type="dxa"/>
              <w:bottom w:w="0" w:type="dxa"/>
              <w:right w:w="108" w:type="dxa"/>
            </w:tcMar>
            <w:hideMark/>
          </w:tcPr>
          <w:p w14:paraId="26A53357" w14:textId="77777777" w:rsidR="00E23039" w:rsidRPr="00D66AFB" w:rsidRDefault="00E23039" w:rsidP="00985C39">
            <w:pPr>
              <w:pStyle w:val="Normal-pool-Table"/>
              <w:rPr>
                <w:szCs w:val="18"/>
                <w:lang w:eastAsia="en-CA"/>
              </w:rPr>
            </w:pPr>
            <w:r w:rsidRPr="00D66AFB">
              <w:rPr>
                <w:szCs w:val="18"/>
                <w:lang w:eastAsia="en-CA"/>
              </w:rPr>
              <w:t>Neutral</w:t>
            </w:r>
          </w:p>
        </w:tc>
        <w:tc>
          <w:tcPr>
            <w:tcW w:w="1236" w:type="dxa"/>
            <w:tcMar>
              <w:top w:w="0" w:type="dxa"/>
              <w:left w:w="108" w:type="dxa"/>
              <w:bottom w:w="0" w:type="dxa"/>
              <w:right w:w="108" w:type="dxa"/>
            </w:tcMar>
            <w:hideMark/>
          </w:tcPr>
          <w:p w14:paraId="2AAF45CE" w14:textId="77777777" w:rsidR="00E23039" w:rsidRPr="00D66AFB" w:rsidRDefault="00E23039" w:rsidP="00985C39">
            <w:pPr>
              <w:pStyle w:val="Normal-pool-Table"/>
              <w:rPr>
                <w:szCs w:val="18"/>
                <w:lang w:eastAsia="en-CA"/>
              </w:rPr>
            </w:pPr>
            <w:r w:rsidRPr="00D66AFB">
              <w:rPr>
                <w:szCs w:val="18"/>
                <w:lang w:eastAsia="en-CA"/>
              </w:rPr>
              <w:t>0.5-5mm</w:t>
            </w:r>
          </w:p>
        </w:tc>
      </w:tr>
      <w:tr w:rsidR="00E23039" w:rsidRPr="00D66AFB" w14:paraId="14F49364" w14:textId="77777777" w:rsidTr="000B7FBB">
        <w:trPr>
          <w:trHeight w:val="57"/>
          <w:jc w:val="right"/>
        </w:trPr>
        <w:tc>
          <w:tcPr>
            <w:tcW w:w="2127" w:type="dxa"/>
            <w:tcMar>
              <w:top w:w="0" w:type="dxa"/>
              <w:left w:w="108" w:type="dxa"/>
              <w:bottom w:w="0" w:type="dxa"/>
              <w:right w:w="108" w:type="dxa"/>
            </w:tcMar>
            <w:hideMark/>
          </w:tcPr>
          <w:p w14:paraId="5BB305D9" w14:textId="77777777" w:rsidR="00E23039" w:rsidRPr="00D66AFB" w:rsidRDefault="00E23039" w:rsidP="00985C39">
            <w:pPr>
              <w:pStyle w:val="Normal-pool-Table"/>
              <w:rPr>
                <w:szCs w:val="18"/>
                <w:lang w:eastAsia="en-CA"/>
              </w:rPr>
            </w:pPr>
            <w:r w:rsidRPr="00D66AFB">
              <w:rPr>
                <w:szCs w:val="18"/>
                <w:lang w:eastAsia="en-CA"/>
              </w:rPr>
              <w:t>LEAF (EPA 1314 &amp; 1316)</w:t>
            </w:r>
          </w:p>
        </w:tc>
        <w:tc>
          <w:tcPr>
            <w:tcW w:w="1236" w:type="dxa"/>
            <w:tcMar>
              <w:top w:w="0" w:type="dxa"/>
              <w:left w:w="108" w:type="dxa"/>
              <w:bottom w:w="0" w:type="dxa"/>
              <w:right w:w="108" w:type="dxa"/>
            </w:tcMar>
            <w:hideMark/>
          </w:tcPr>
          <w:p w14:paraId="7DF42CAC" w14:textId="3438D7C9" w:rsidR="00E23039" w:rsidRPr="00D66AFB" w:rsidRDefault="00E23039" w:rsidP="00985C39">
            <w:pPr>
              <w:pStyle w:val="Normal-pool-Table"/>
              <w:rPr>
                <w:szCs w:val="18"/>
                <w:lang w:eastAsia="en-CA"/>
              </w:rPr>
            </w:pPr>
            <w:r w:rsidRPr="00D66AFB">
              <w:rPr>
                <w:szCs w:val="18"/>
                <w:lang w:eastAsia="en-CA"/>
              </w:rPr>
              <w:t>10:1</w:t>
            </w:r>
            <w:r w:rsidR="003A45E6" w:rsidRPr="00D66AFB">
              <w:rPr>
                <w:szCs w:val="18"/>
                <w:vertAlign w:val="superscript"/>
                <w:lang w:eastAsia="en-CA"/>
              </w:rPr>
              <w:t>b</w:t>
            </w:r>
          </w:p>
        </w:tc>
        <w:tc>
          <w:tcPr>
            <w:tcW w:w="1236" w:type="dxa"/>
            <w:tcMar>
              <w:top w:w="0" w:type="dxa"/>
              <w:left w:w="108" w:type="dxa"/>
              <w:bottom w:w="0" w:type="dxa"/>
              <w:right w:w="108" w:type="dxa"/>
            </w:tcMar>
            <w:hideMark/>
          </w:tcPr>
          <w:p w14:paraId="1B62B055" w14:textId="3812F1D5" w:rsidR="00E23039" w:rsidRPr="00D66AFB" w:rsidRDefault="00E23039" w:rsidP="00985C39">
            <w:pPr>
              <w:pStyle w:val="Normal-pool-Table"/>
              <w:rPr>
                <w:szCs w:val="18"/>
                <w:lang w:eastAsia="en-CA"/>
              </w:rPr>
            </w:pPr>
            <w:r w:rsidRPr="00D66AFB">
              <w:rPr>
                <w:szCs w:val="18"/>
                <w:lang w:eastAsia="en-CA"/>
              </w:rPr>
              <w:t xml:space="preserve">24 </w:t>
            </w:r>
            <w:proofErr w:type="spellStart"/>
            <w:r w:rsidRPr="00D66AFB">
              <w:rPr>
                <w:szCs w:val="18"/>
                <w:lang w:eastAsia="en-CA"/>
              </w:rPr>
              <w:t>hours</w:t>
            </w:r>
            <w:r w:rsidR="003A45E6" w:rsidRPr="00D66AFB">
              <w:rPr>
                <w:szCs w:val="18"/>
                <w:vertAlign w:val="superscript"/>
                <w:lang w:eastAsia="en-CA"/>
              </w:rPr>
              <w:t>a</w:t>
            </w:r>
            <w:proofErr w:type="spellEnd"/>
          </w:p>
        </w:tc>
        <w:tc>
          <w:tcPr>
            <w:tcW w:w="1236" w:type="dxa"/>
            <w:tcMar>
              <w:top w:w="0" w:type="dxa"/>
              <w:left w:w="108" w:type="dxa"/>
              <w:bottom w:w="0" w:type="dxa"/>
              <w:right w:w="108" w:type="dxa"/>
            </w:tcMar>
            <w:hideMark/>
          </w:tcPr>
          <w:p w14:paraId="34136B72" w14:textId="77777777" w:rsidR="00E23039" w:rsidRPr="00D66AFB" w:rsidRDefault="00E23039" w:rsidP="00985C39">
            <w:pPr>
              <w:pStyle w:val="Normal-pool-Table"/>
              <w:rPr>
                <w:szCs w:val="18"/>
                <w:lang w:eastAsia="en-CA"/>
              </w:rPr>
            </w:pPr>
            <w:r w:rsidRPr="00D66AFB">
              <w:rPr>
                <w:szCs w:val="18"/>
                <w:lang w:eastAsia="en-CA"/>
              </w:rPr>
              <w:t>Varies</w:t>
            </w:r>
          </w:p>
        </w:tc>
        <w:tc>
          <w:tcPr>
            <w:tcW w:w="1236" w:type="dxa"/>
            <w:tcMar>
              <w:top w:w="0" w:type="dxa"/>
              <w:left w:w="108" w:type="dxa"/>
              <w:bottom w:w="0" w:type="dxa"/>
              <w:right w:w="108" w:type="dxa"/>
            </w:tcMar>
            <w:hideMark/>
          </w:tcPr>
          <w:p w14:paraId="680DC197" w14:textId="49D442B5" w:rsidR="00E23039" w:rsidRPr="00D66AFB" w:rsidRDefault="00E23039" w:rsidP="00985C39">
            <w:pPr>
              <w:pStyle w:val="Normal-pool-Table"/>
              <w:rPr>
                <w:szCs w:val="18"/>
                <w:lang w:eastAsia="en-CA"/>
              </w:rPr>
            </w:pPr>
            <w:proofErr w:type="spellStart"/>
            <w:r w:rsidRPr="00D66AFB">
              <w:rPr>
                <w:szCs w:val="18"/>
                <w:lang w:eastAsia="en-CA"/>
              </w:rPr>
              <w:t>Neutral</w:t>
            </w:r>
            <w:r w:rsidR="003A45E6" w:rsidRPr="00D66AFB">
              <w:rPr>
                <w:szCs w:val="18"/>
                <w:vertAlign w:val="superscript"/>
                <w:lang w:eastAsia="en-CA"/>
              </w:rPr>
              <w:t>a</w:t>
            </w:r>
            <w:proofErr w:type="spellEnd"/>
          </w:p>
        </w:tc>
        <w:tc>
          <w:tcPr>
            <w:tcW w:w="1236" w:type="dxa"/>
            <w:tcMar>
              <w:top w:w="0" w:type="dxa"/>
              <w:left w:w="108" w:type="dxa"/>
              <w:bottom w:w="0" w:type="dxa"/>
              <w:right w:w="108" w:type="dxa"/>
            </w:tcMar>
            <w:hideMark/>
          </w:tcPr>
          <w:p w14:paraId="72C89B23" w14:textId="77777777" w:rsidR="00E23039" w:rsidRPr="00D66AFB" w:rsidRDefault="00E23039" w:rsidP="00985C39">
            <w:pPr>
              <w:pStyle w:val="Normal-pool-Table"/>
              <w:rPr>
                <w:szCs w:val="18"/>
                <w:lang w:eastAsia="en-CA"/>
              </w:rPr>
            </w:pPr>
            <w:r w:rsidRPr="00D66AFB">
              <w:rPr>
                <w:szCs w:val="18"/>
                <w:lang w:eastAsia="en-CA"/>
              </w:rPr>
              <w:t>Varies</w:t>
            </w:r>
          </w:p>
        </w:tc>
      </w:tr>
      <w:tr w:rsidR="000B7FBB" w:rsidRPr="00D66AFB" w14:paraId="09C3A613" w14:textId="77777777" w:rsidTr="000B7FBB">
        <w:trPr>
          <w:trHeight w:val="57"/>
          <w:jc w:val="right"/>
        </w:trPr>
        <w:tc>
          <w:tcPr>
            <w:tcW w:w="2127" w:type="dxa"/>
            <w:tcMar>
              <w:top w:w="0" w:type="dxa"/>
              <w:left w:w="108" w:type="dxa"/>
              <w:bottom w:w="0" w:type="dxa"/>
              <w:right w:w="108" w:type="dxa"/>
            </w:tcMar>
            <w:hideMark/>
          </w:tcPr>
          <w:p w14:paraId="05C7189B" w14:textId="77777777" w:rsidR="00E23039" w:rsidRPr="00D66AFB" w:rsidRDefault="00E23039" w:rsidP="00985C39">
            <w:pPr>
              <w:pStyle w:val="Normal-pool-Table"/>
              <w:rPr>
                <w:szCs w:val="18"/>
                <w:lang w:eastAsia="en-CA"/>
              </w:rPr>
            </w:pPr>
            <w:r w:rsidRPr="00D66AFB">
              <w:rPr>
                <w:szCs w:val="18"/>
                <w:lang w:eastAsia="en-CA"/>
              </w:rPr>
              <w:t>HJ 557-2010 Solid Waste</w:t>
            </w:r>
          </w:p>
        </w:tc>
        <w:tc>
          <w:tcPr>
            <w:tcW w:w="1236" w:type="dxa"/>
            <w:tcMar>
              <w:top w:w="0" w:type="dxa"/>
              <w:left w:w="108" w:type="dxa"/>
              <w:bottom w:w="0" w:type="dxa"/>
              <w:right w:w="108" w:type="dxa"/>
            </w:tcMar>
            <w:hideMark/>
          </w:tcPr>
          <w:p w14:paraId="4207AB67" w14:textId="77777777" w:rsidR="00E23039" w:rsidRPr="00D66AFB" w:rsidRDefault="00E23039" w:rsidP="00985C39">
            <w:pPr>
              <w:pStyle w:val="Normal-pool-Table"/>
              <w:rPr>
                <w:szCs w:val="18"/>
                <w:lang w:eastAsia="en-CA"/>
              </w:rPr>
            </w:pPr>
            <w:r w:rsidRPr="00D66AFB">
              <w:rPr>
                <w:szCs w:val="18"/>
                <w:lang w:eastAsia="en-CA"/>
              </w:rPr>
              <w:t>10:1</w:t>
            </w:r>
          </w:p>
        </w:tc>
        <w:tc>
          <w:tcPr>
            <w:tcW w:w="1236" w:type="dxa"/>
            <w:tcMar>
              <w:top w:w="0" w:type="dxa"/>
              <w:left w:w="108" w:type="dxa"/>
              <w:bottom w:w="0" w:type="dxa"/>
              <w:right w:w="108" w:type="dxa"/>
            </w:tcMar>
            <w:hideMark/>
          </w:tcPr>
          <w:p w14:paraId="3B4777FE" w14:textId="77777777" w:rsidR="00E23039" w:rsidRPr="00D66AFB" w:rsidRDefault="00E23039" w:rsidP="00985C39">
            <w:pPr>
              <w:pStyle w:val="Normal-pool-Table"/>
              <w:rPr>
                <w:szCs w:val="18"/>
                <w:lang w:eastAsia="en-CA"/>
              </w:rPr>
            </w:pPr>
            <w:r w:rsidRPr="00D66AFB">
              <w:rPr>
                <w:szCs w:val="18"/>
                <w:lang w:eastAsia="en-CA"/>
              </w:rPr>
              <w:t>24 hours</w:t>
            </w:r>
          </w:p>
        </w:tc>
        <w:tc>
          <w:tcPr>
            <w:tcW w:w="1236" w:type="dxa"/>
            <w:tcMar>
              <w:top w:w="0" w:type="dxa"/>
              <w:left w:w="108" w:type="dxa"/>
              <w:bottom w:w="0" w:type="dxa"/>
              <w:right w:w="108" w:type="dxa"/>
            </w:tcMar>
            <w:hideMark/>
          </w:tcPr>
          <w:p w14:paraId="3FD3227E" w14:textId="77777777" w:rsidR="00E23039" w:rsidRPr="00D66AFB" w:rsidRDefault="00E23039" w:rsidP="00985C39">
            <w:pPr>
              <w:pStyle w:val="Normal-pool-Table"/>
              <w:rPr>
                <w:szCs w:val="18"/>
                <w:lang w:eastAsia="en-CA"/>
              </w:rPr>
            </w:pPr>
            <w:r w:rsidRPr="00D66AFB">
              <w:rPr>
                <w:szCs w:val="18"/>
                <w:lang w:eastAsia="en-CA"/>
              </w:rPr>
              <w:t>100g</w:t>
            </w:r>
          </w:p>
        </w:tc>
        <w:tc>
          <w:tcPr>
            <w:tcW w:w="1236" w:type="dxa"/>
            <w:tcMar>
              <w:top w:w="0" w:type="dxa"/>
              <w:left w:w="108" w:type="dxa"/>
              <w:bottom w:w="0" w:type="dxa"/>
              <w:right w:w="108" w:type="dxa"/>
            </w:tcMar>
            <w:hideMark/>
          </w:tcPr>
          <w:p w14:paraId="21DEFFBC" w14:textId="77777777" w:rsidR="00E23039" w:rsidRPr="00D66AFB" w:rsidRDefault="00E23039" w:rsidP="00985C39">
            <w:pPr>
              <w:pStyle w:val="Normal-pool-Table"/>
              <w:rPr>
                <w:szCs w:val="18"/>
                <w:lang w:eastAsia="en-CA"/>
              </w:rPr>
            </w:pPr>
            <w:r w:rsidRPr="00D66AFB">
              <w:rPr>
                <w:szCs w:val="18"/>
                <w:lang w:eastAsia="en-CA"/>
              </w:rPr>
              <w:t>Neutral</w:t>
            </w:r>
          </w:p>
        </w:tc>
        <w:tc>
          <w:tcPr>
            <w:tcW w:w="1236" w:type="dxa"/>
            <w:tcMar>
              <w:top w:w="0" w:type="dxa"/>
              <w:left w:w="108" w:type="dxa"/>
              <w:bottom w:w="0" w:type="dxa"/>
              <w:right w:w="108" w:type="dxa"/>
            </w:tcMar>
            <w:hideMark/>
          </w:tcPr>
          <w:p w14:paraId="03059F79" w14:textId="77777777" w:rsidR="00E23039" w:rsidRPr="00D66AFB" w:rsidRDefault="00E23039" w:rsidP="00985C39">
            <w:pPr>
              <w:pStyle w:val="Normal-pool-Table"/>
              <w:rPr>
                <w:szCs w:val="18"/>
                <w:lang w:eastAsia="en-CA"/>
              </w:rPr>
            </w:pPr>
            <w:r w:rsidRPr="00D66AFB">
              <w:rPr>
                <w:szCs w:val="18"/>
                <w:lang w:eastAsia="en-CA"/>
              </w:rPr>
              <w:t>&lt;3mm</w:t>
            </w:r>
          </w:p>
        </w:tc>
      </w:tr>
      <w:tr w:rsidR="000B7FBB" w:rsidRPr="00D66AFB" w14:paraId="6912FE6A" w14:textId="77777777" w:rsidTr="000B7FBB">
        <w:trPr>
          <w:trHeight w:val="57"/>
          <w:jc w:val="right"/>
        </w:trPr>
        <w:tc>
          <w:tcPr>
            <w:tcW w:w="2127" w:type="dxa"/>
            <w:tcBorders>
              <w:bottom w:val="single" w:sz="12" w:space="0" w:color="auto"/>
            </w:tcBorders>
            <w:tcMar>
              <w:top w:w="0" w:type="dxa"/>
              <w:left w:w="108" w:type="dxa"/>
              <w:bottom w:w="0" w:type="dxa"/>
              <w:right w:w="108" w:type="dxa"/>
            </w:tcMar>
          </w:tcPr>
          <w:p w14:paraId="31C6D476" w14:textId="77777777" w:rsidR="00E23039" w:rsidRPr="00D66AFB" w:rsidRDefault="00E23039" w:rsidP="00985C39">
            <w:pPr>
              <w:pStyle w:val="Normal-pool-Table"/>
              <w:rPr>
                <w:szCs w:val="18"/>
                <w:lang w:eastAsia="en-CA"/>
              </w:rPr>
            </w:pPr>
            <w:r w:rsidRPr="00D66AFB">
              <w:rPr>
                <w:szCs w:val="18"/>
                <w:lang w:eastAsia="en-CA"/>
              </w:rPr>
              <w:t>Swiss solid test method No.22</w:t>
            </w:r>
          </w:p>
        </w:tc>
        <w:tc>
          <w:tcPr>
            <w:tcW w:w="1236" w:type="dxa"/>
            <w:tcBorders>
              <w:bottom w:val="single" w:sz="12" w:space="0" w:color="auto"/>
            </w:tcBorders>
            <w:tcMar>
              <w:top w:w="0" w:type="dxa"/>
              <w:left w:w="108" w:type="dxa"/>
              <w:bottom w:w="0" w:type="dxa"/>
              <w:right w:w="108" w:type="dxa"/>
            </w:tcMar>
          </w:tcPr>
          <w:p w14:paraId="33D18E1F" w14:textId="77777777" w:rsidR="00E23039" w:rsidRPr="00D66AFB" w:rsidRDefault="00E23039" w:rsidP="00985C39">
            <w:pPr>
              <w:pStyle w:val="Normal-pool-Table"/>
              <w:rPr>
                <w:szCs w:val="18"/>
                <w:lang w:eastAsia="en-CA"/>
              </w:rPr>
            </w:pPr>
            <w:r w:rsidRPr="00D66AFB">
              <w:rPr>
                <w:szCs w:val="18"/>
                <w:lang w:eastAsia="en-CA"/>
              </w:rPr>
              <w:t>10:1</w:t>
            </w:r>
          </w:p>
        </w:tc>
        <w:tc>
          <w:tcPr>
            <w:tcW w:w="1236" w:type="dxa"/>
            <w:tcBorders>
              <w:bottom w:val="single" w:sz="12" w:space="0" w:color="auto"/>
            </w:tcBorders>
            <w:tcMar>
              <w:top w:w="0" w:type="dxa"/>
              <w:left w:w="108" w:type="dxa"/>
              <w:bottom w:w="0" w:type="dxa"/>
              <w:right w:w="108" w:type="dxa"/>
            </w:tcMar>
          </w:tcPr>
          <w:p w14:paraId="09460EFF" w14:textId="77777777" w:rsidR="00E23039" w:rsidRPr="00D66AFB" w:rsidRDefault="00E23039" w:rsidP="00985C39">
            <w:pPr>
              <w:pStyle w:val="Normal-pool-Table"/>
              <w:rPr>
                <w:szCs w:val="18"/>
                <w:lang w:eastAsia="en-CA"/>
              </w:rPr>
            </w:pPr>
            <w:r w:rsidRPr="00D66AFB">
              <w:rPr>
                <w:szCs w:val="18"/>
                <w:lang w:eastAsia="en-CA"/>
              </w:rPr>
              <w:t>24 hours</w:t>
            </w:r>
          </w:p>
        </w:tc>
        <w:tc>
          <w:tcPr>
            <w:tcW w:w="1236" w:type="dxa"/>
            <w:tcBorders>
              <w:bottom w:val="single" w:sz="12" w:space="0" w:color="auto"/>
            </w:tcBorders>
            <w:tcMar>
              <w:top w:w="0" w:type="dxa"/>
              <w:left w:w="108" w:type="dxa"/>
              <w:bottom w:w="0" w:type="dxa"/>
              <w:right w:w="108" w:type="dxa"/>
            </w:tcMar>
          </w:tcPr>
          <w:p w14:paraId="5FBA12A8" w14:textId="77777777" w:rsidR="00E23039" w:rsidRPr="00D66AFB" w:rsidRDefault="00E23039" w:rsidP="00985C39">
            <w:pPr>
              <w:pStyle w:val="Normal-pool-Table"/>
              <w:rPr>
                <w:szCs w:val="18"/>
                <w:lang w:eastAsia="en-CA"/>
              </w:rPr>
            </w:pPr>
            <w:r w:rsidRPr="00D66AFB">
              <w:rPr>
                <w:szCs w:val="18"/>
                <w:lang w:eastAsia="en-CA"/>
              </w:rPr>
              <w:t>100g</w:t>
            </w:r>
          </w:p>
        </w:tc>
        <w:tc>
          <w:tcPr>
            <w:tcW w:w="1236" w:type="dxa"/>
            <w:tcBorders>
              <w:bottom w:val="single" w:sz="12" w:space="0" w:color="auto"/>
            </w:tcBorders>
            <w:tcMar>
              <w:top w:w="0" w:type="dxa"/>
              <w:left w:w="108" w:type="dxa"/>
              <w:bottom w:w="0" w:type="dxa"/>
              <w:right w:w="108" w:type="dxa"/>
            </w:tcMar>
          </w:tcPr>
          <w:p w14:paraId="006A9A34" w14:textId="6F0FFAC9" w:rsidR="00E23039" w:rsidRPr="00D66AFB" w:rsidRDefault="00E23039" w:rsidP="00985C39">
            <w:pPr>
              <w:pStyle w:val="Normal-pool-Table"/>
              <w:rPr>
                <w:szCs w:val="18"/>
                <w:lang w:eastAsia="en-CA"/>
              </w:rPr>
            </w:pPr>
            <w:proofErr w:type="spellStart"/>
            <w:r w:rsidRPr="00D66AFB">
              <w:rPr>
                <w:szCs w:val="18"/>
                <w:lang w:eastAsia="en-CA"/>
              </w:rPr>
              <w:t>Neutral</w:t>
            </w:r>
            <w:r w:rsidR="003A45E6" w:rsidRPr="00D66AFB">
              <w:rPr>
                <w:szCs w:val="18"/>
                <w:vertAlign w:val="superscript"/>
                <w:lang w:eastAsia="en-CA"/>
              </w:rPr>
              <w:t>c</w:t>
            </w:r>
            <w:proofErr w:type="spellEnd"/>
          </w:p>
        </w:tc>
        <w:tc>
          <w:tcPr>
            <w:tcW w:w="1236" w:type="dxa"/>
            <w:tcBorders>
              <w:bottom w:val="single" w:sz="12" w:space="0" w:color="auto"/>
            </w:tcBorders>
            <w:tcMar>
              <w:top w:w="0" w:type="dxa"/>
              <w:left w:w="108" w:type="dxa"/>
              <w:bottom w:w="0" w:type="dxa"/>
              <w:right w:w="108" w:type="dxa"/>
            </w:tcMar>
          </w:tcPr>
          <w:p w14:paraId="14AA6C8C" w14:textId="77777777" w:rsidR="00E23039" w:rsidRPr="00D66AFB" w:rsidRDefault="00E23039" w:rsidP="00985C39">
            <w:pPr>
              <w:pStyle w:val="Normal-pool-Table"/>
              <w:rPr>
                <w:szCs w:val="18"/>
                <w:lang w:eastAsia="en-CA"/>
              </w:rPr>
            </w:pPr>
            <w:r w:rsidRPr="00D66AFB">
              <w:rPr>
                <w:szCs w:val="18"/>
                <w:lang w:eastAsia="en-CA"/>
              </w:rPr>
              <w:t>Not reduced as much as possible</w:t>
            </w:r>
          </w:p>
        </w:tc>
      </w:tr>
    </w:tbl>
    <w:p w14:paraId="447ECB10" w14:textId="3A17DFE5" w:rsidR="002D14A8" w:rsidRPr="00D66AFB" w:rsidRDefault="00AF5F51" w:rsidP="008F0732">
      <w:pPr>
        <w:pStyle w:val="Normal-pool"/>
        <w:spacing w:before="60"/>
        <w:ind w:left="1247"/>
        <w:rPr>
          <w:sz w:val="18"/>
          <w:szCs w:val="18"/>
        </w:rPr>
      </w:pPr>
      <w:r w:rsidRPr="00D66AFB">
        <w:rPr>
          <w:sz w:val="18"/>
          <w:szCs w:val="18"/>
          <w:vertAlign w:val="superscript"/>
        </w:rPr>
        <w:tab/>
        <w:t>a</w:t>
      </w:r>
      <w:r w:rsidRPr="00D66AFB">
        <w:rPr>
          <w:sz w:val="18"/>
          <w:szCs w:val="18"/>
        </w:rPr>
        <w:t xml:space="preserve"> </w:t>
      </w:r>
      <w:r w:rsidR="002D14A8" w:rsidRPr="00D66AFB">
        <w:rPr>
          <w:sz w:val="18"/>
          <w:szCs w:val="18"/>
        </w:rPr>
        <w:t>EN 12457-1 and -2 also provide for L/S ratio of 2:1 but 10:1 is recommended to test for the Tier-2 threshold.</w:t>
      </w:r>
    </w:p>
    <w:p w14:paraId="3FAD679D" w14:textId="31B1577A" w:rsidR="002D14A8" w:rsidRPr="00D66AFB" w:rsidRDefault="00AF5F51" w:rsidP="008F0732">
      <w:pPr>
        <w:pStyle w:val="Normal-pool"/>
        <w:spacing w:before="60"/>
        <w:ind w:left="1247"/>
        <w:rPr>
          <w:sz w:val="18"/>
          <w:szCs w:val="18"/>
        </w:rPr>
      </w:pPr>
      <w:r w:rsidRPr="00D66AFB">
        <w:rPr>
          <w:sz w:val="18"/>
          <w:szCs w:val="18"/>
          <w:vertAlign w:val="superscript"/>
        </w:rPr>
        <w:tab/>
        <w:t>b</w:t>
      </w:r>
      <w:r w:rsidR="002D14A8" w:rsidRPr="00D66AFB">
        <w:rPr>
          <w:sz w:val="18"/>
          <w:szCs w:val="18"/>
        </w:rPr>
        <w:t xml:space="preserve"> LEAF tests can collect data over a range of L/S ratios and pH ranges, but results corresponding to L/S ratio and neutral pH are recommended to be used for the Tier-2 threshold, for more information see </w:t>
      </w:r>
      <w:hyperlink r:id="rId20" w:history="1">
        <w:r w:rsidR="002D14A8" w:rsidRPr="00D66AFB">
          <w:rPr>
            <w:rStyle w:val="Hyperlink"/>
            <w:sz w:val="18"/>
            <w:szCs w:val="18"/>
            <w:lang w:val="en-GB"/>
          </w:rPr>
          <w:t>https://www.epa.gov/hw-sw846/leaching-environmental-assessment-framework-leaf-methods-and-guidance</w:t>
        </w:r>
      </w:hyperlink>
      <w:r w:rsidR="002D14A8" w:rsidRPr="00D66AFB">
        <w:rPr>
          <w:sz w:val="18"/>
          <w:szCs w:val="18"/>
        </w:rPr>
        <w:t>.</w:t>
      </w:r>
    </w:p>
    <w:p w14:paraId="15025352" w14:textId="6E2214FC" w:rsidR="002D14A8" w:rsidRPr="00D66AFB" w:rsidRDefault="00AF5F51" w:rsidP="008F0732">
      <w:pPr>
        <w:pStyle w:val="Normal-pool"/>
        <w:spacing w:before="60"/>
        <w:ind w:left="1247"/>
        <w:rPr>
          <w:sz w:val="18"/>
          <w:szCs w:val="18"/>
        </w:rPr>
      </w:pPr>
      <w:r w:rsidRPr="00D66AFB">
        <w:rPr>
          <w:sz w:val="18"/>
          <w:szCs w:val="18"/>
          <w:vertAlign w:val="superscript"/>
        </w:rPr>
        <w:tab/>
        <w:t>c</w:t>
      </w:r>
      <w:r w:rsidRPr="00D66AFB">
        <w:rPr>
          <w:sz w:val="18"/>
          <w:szCs w:val="18"/>
        </w:rPr>
        <w:t xml:space="preserve"> This test method also provides for CO</w:t>
      </w:r>
      <w:r w:rsidRPr="00D66AFB">
        <w:rPr>
          <w:sz w:val="18"/>
          <w:szCs w:val="18"/>
          <w:vertAlign w:val="subscript"/>
        </w:rPr>
        <w:t>2</w:t>
      </w:r>
      <w:r w:rsidRPr="00D66AFB">
        <w:rPr>
          <w:sz w:val="18"/>
          <w:szCs w:val="18"/>
        </w:rPr>
        <w:t xml:space="preserve"> saturated </w:t>
      </w:r>
      <w:proofErr w:type="gramStart"/>
      <w:r w:rsidRPr="00D66AFB">
        <w:rPr>
          <w:sz w:val="18"/>
          <w:szCs w:val="18"/>
        </w:rPr>
        <w:t>water</w:t>
      </w:r>
      <w:proofErr w:type="gramEnd"/>
      <w:r w:rsidRPr="00D66AFB">
        <w:rPr>
          <w:sz w:val="18"/>
          <w:szCs w:val="18"/>
        </w:rPr>
        <w:t xml:space="preserve"> but neutral pH is recommended to test for the Tier-2 threshold.</w:t>
      </w:r>
    </w:p>
    <w:p w14:paraId="444A1F35" w14:textId="5314D379" w:rsidR="00E23039" w:rsidRPr="00D66AFB" w:rsidRDefault="00856316" w:rsidP="00856316">
      <w:pPr>
        <w:pStyle w:val="CH1"/>
      </w:pPr>
      <w:r w:rsidRPr="00D66AFB">
        <w:tab/>
      </w:r>
      <w:r w:rsidR="0061277D" w:rsidRPr="00D66AFB">
        <w:t>VI</w:t>
      </w:r>
      <w:r w:rsidRPr="00D66AFB">
        <w:t>.</w:t>
      </w:r>
      <w:r w:rsidRPr="00D66AFB">
        <w:tab/>
      </w:r>
      <w:r w:rsidR="00E23039" w:rsidRPr="00D66AFB">
        <w:t>Cost Factors in Testing</w:t>
      </w:r>
    </w:p>
    <w:p w14:paraId="6A9C03E7" w14:textId="77777777" w:rsidR="00E23039" w:rsidRPr="00D66AFB" w:rsidRDefault="00E23039" w:rsidP="008F0732">
      <w:pPr>
        <w:pStyle w:val="Normalnumber"/>
        <w:numPr>
          <w:ilvl w:val="0"/>
          <w:numId w:val="19"/>
        </w:numPr>
        <w:ind w:left="1247"/>
      </w:pPr>
      <w:r w:rsidRPr="00D66AFB">
        <w:t>Testing costs can vary worldwide due to factors such as regional labour costs, market competition, regulatory requirements, and overhead expenses. However, the complexity of the methods and the equipment required can have a significant impact on the overall cost.</w:t>
      </w:r>
    </w:p>
    <w:p w14:paraId="7E4E91FA" w14:textId="77777777" w:rsidR="00E23039" w:rsidRPr="00D66AFB" w:rsidRDefault="00E23039" w:rsidP="008F0732">
      <w:pPr>
        <w:pStyle w:val="Normalnumber"/>
        <w:numPr>
          <w:ilvl w:val="0"/>
          <w:numId w:val="19"/>
        </w:numPr>
        <w:ind w:left="1247"/>
      </w:pPr>
      <w:r w:rsidRPr="00D66AFB">
        <w:t>The test methods can be categorized into different levels:</w:t>
      </w:r>
    </w:p>
    <w:p w14:paraId="27431497" w14:textId="77777777" w:rsidR="00E23039" w:rsidRPr="00D66AFB" w:rsidRDefault="00E23039" w:rsidP="00ED451E">
      <w:pPr>
        <w:pStyle w:val="Normal-pool"/>
        <w:numPr>
          <w:ilvl w:val="0"/>
          <w:numId w:val="18"/>
        </w:numPr>
        <w:tabs>
          <w:tab w:val="clear" w:pos="1247"/>
          <w:tab w:val="clear" w:pos="1871"/>
          <w:tab w:val="clear" w:pos="2495"/>
          <w:tab w:val="clear" w:pos="3119"/>
          <w:tab w:val="clear" w:pos="3742"/>
          <w:tab w:val="clear" w:pos="4366"/>
        </w:tabs>
        <w:spacing w:after="120"/>
        <w:ind w:left="1247" w:firstLine="624"/>
      </w:pPr>
      <w:r w:rsidRPr="00D66AFB">
        <w:rPr>
          <w:b/>
        </w:rPr>
        <w:t>Low Complexity</w:t>
      </w:r>
      <w:r w:rsidRPr="00D66AFB">
        <w:t>: The Shake Test methods (EN 12457-1, EN 12457-2, EN 12457-4) are relatively straightforward and involve mixing the sample with deionized water and shaking it for a specified duration. The associated equipment requirements are generally simple and may include containers or bottles and a shaking apparatus. These tests are likely to have lower equipment costs.</w:t>
      </w:r>
    </w:p>
    <w:p w14:paraId="5379A691" w14:textId="77777777" w:rsidR="00E23039" w:rsidRPr="00D66AFB" w:rsidRDefault="00E23039" w:rsidP="005A3C22">
      <w:pPr>
        <w:pStyle w:val="Normal-pool"/>
        <w:numPr>
          <w:ilvl w:val="0"/>
          <w:numId w:val="18"/>
        </w:numPr>
        <w:tabs>
          <w:tab w:val="clear" w:pos="1247"/>
          <w:tab w:val="clear" w:pos="1871"/>
          <w:tab w:val="clear" w:pos="2495"/>
          <w:tab w:val="clear" w:pos="3119"/>
          <w:tab w:val="clear" w:pos="3742"/>
          <w:tab w:val="clear" w:pos="4366"/>
        </w:tabs>
        <w:spacing w:after="120"/>
        <w:ind w:left="1247" w:firstLine="624"/>
      </w:pPr>
      <w:r w:rsidRPr="00D66AFB">
        <w:rPr>
          <w:b/>
        </w:rPr>
        <w:t>Moderate Complexity</w:t>
      </w:r>
      <w:r w:rsidRPr="00D66AFB">
        <w:t>: The Japanese Leaching Test No. 13 and the HJ 557-2010 method require specific shaking conditions and may involve additional equipment such as horizontal shakers or vibration apparatus. These methods are moderately complex and may have slightly higher equipment costs compared to the Shake Test methods.</w:t>
      </w:r>
    </w:p>
    <w:p w14:paraId="7CF7EDFA" w14:textId="77777777" w:rsidR="00E23039" w:rsidRPr="00D66AFB" w:rsidRDefault="00E23039" w:rsidP="005A3C22">
      <w:pPr>
        <w:pStyle w:val="Normal-pool"/>
        <w:numPr>
          <w:ilvl w:val="0"/>
          <w:numId w:val="18"/>
        </w:numPr>
        <w:tabs>
          <w:tab w:val="clear" w:pos="1247"/>
          <w:tab w:val="clear" w:pos="1871"/>
          <w:tab w:val="clear" w:pos="2495"/>
          <w:tab w:val="clear" w:pos="3119"/>
          <w:tab w:val="clear" w:pos="3742"/>
          <w:tab w:val="clear" w:pos="4366"/>
        </w:tabs>
        <w:spacing w:after="120"/>
        <w:ind w:left="1247" w:firstLine="624"/>
      </w:pPr>
      <w:r w:rsidRPr="00D66AFB">
        <w:rPr>
          <w:b/>
        </w:rPr>
        <w:t>Higher Complexity</w:t>
      </w:r>
      <w:r w:rsidRPr="00D66AFB">
        <w:t>: The Leaching Environmental Assessment Framework (LEAF: EPA Methods 1314 and 1316) and the Solid test method No.22 methods can be more involved due to their multiple evaluation methods, flow-through percolation columns, CO2 injection systems, and specific setups. These methods are likely to have higher equipment costs due to their increased complexity and specialized requirements.</w:t>
      </w:r>
    </w:p>
    <w:p w14:paraId="4E717FD6" w14:textId="6101BCDF" w:rsidR="00E23039" w:rsidRPr="00D66AFB" w:rsidRDefault="00856316" w:rsidP="00856316">
      <w:pPr>
        <w:pStyle w:val="CH1"/>
      </w:pPr>
      <w:r w:rsidRPr="00D66AFB">
        <w:tab/>
      </w:r>
      <w:r w:rsidR="0061277D" w:rsidRPr="00D66AFB">
        <w:t>VII</w:t>
      </w:r>
      <w:r w:rsidRPr="00D66AFB">
        <w:t>.</w:t>
      </w:r>
      <w:r w:rsidRPr="00D66AFB">
        <w:tab/>
      </w:r>
      <w:r w:rsidR="00E23039" w:rsidRPr="00D66AFB">
        <w:t>How to collect a representative tailing sample</w:t>
      </w:r>
    </w:p>
    <w:p w14:paraId="734223DC" w14:textId="77777777" w:rsidR="00E23039" w:rsidRPr="00D66AFB" w:rsidRDefault="00E23039" w:rsidP="008F0732">
      <w:pPr>
        <w:pStyle w:val="Normalnumber"/>
        <w:numPr>
          <w:ilvl w:val="0"/>
          <w:numId w:val="19"/>
        </w:numPr>
        <w:ind w:left="1247"/>
      </w:pPr>
      <w:r w:rsidRPr="00D66AFB">
        <w:t>Waste from the extractive industry differs considerably from the waste types and sampling scenarios typically addressed in guidance documents. The approach to sampling described in this document is primarily focused on the requirements to undertake mineralogical and geochemical testing of mining waste.</w:t>
      </w:r>
    </w:p>
    <w:p w14:paraId="4B669712" w14:textId="77777777" w:rsidR="00E23039" w:rsidRPr="00D66AFB" w:rsidRDefault="00E23039" w:rsidP="008F0732">
      <w:pPr>
        <w:pStyle w:val="Normalnumber"/>
        <w:numPr>
          <w:ilvl w:val="0"/>
          <w:numId w:val="19"/>
        </w:numPr>
        <w:ind w:left="1247"/>
      </w:pPr>
      <w:r w:rsidRPr="00D66AFB">
        <w:rPr>
          <w:i/>
          <w:iCs/>
        </w:rPr>
        <w:t>In situ</w:t>
      </w:r>
      <w:r w:rsidRPr="00D66AFB">
        <w:t xml:space="preserve"> tailings are not typically sampled at a regular frequency due to accessibility constraints and health and safety risks. Instead, tailings are sampled at an accessible point prior to their deposition in a </w:t>
      </w:r>
      <w:proofErr w:type="gramStart"/>
      <w:r w:rsidRPr="00D66AFB">
        <w:t>tailings</w:t>
      </w:r>
      <w:proofErr w:type="gramEnd"/>
      <w:r w:rsidRPr="00D66AFB">
        <w:t xml:space="preserve"> storage facility, such as from a thickener underflow stream or a tailings pump box typically located at the processing facility, or less commonly from a spigot located at the tailings storage facility.</w:t>
      </w:r>
    </w:p>
    <w:p w14:paraId="39BE79F6" w14:textId="11FF5D6B" w:rsidR="00E23039" w:rsidRPr="00D66AFB" w:rsidRDefault="00E23039" w:rsidP="008F0732">
      <w:pPr>
        <w:pStyle w:val="Normalnumber"/>
        <w:numPr>
          <w:ilvl w:val="0"/>
          <w:numId w:val="19"/>
        </w:numPr>
        <w:ind w:left="1247"/>
      </w:pPr>
      <w:r w:rsidRPr="00D66AFB">
        <w:lastRenderedPageBreak/>
        <w:t>Tailings storage facilities should be included in surface and groundwater monitoring programs</w:t>
      </w:r>
      <w:r w:rsidRPr="00D66AFB">
        <w:rPr>
          <w:rStyle w:val="FootnoteReference"/>
        </w:rPr>
        <w:footnoteReference w:id="20"/>
      </w:r>
      <w:r w:rsidRPr="00D66AFB">
        <w:t xml:space="preserve">, such that the performance of tailings storage facilities, in terms of effects of any </w:t>
      </w:r>
      <w:proofErr w:type="gramStart"/>
      <w:r w:rsidRPr="00D66AFB">
        <w:t>tailings</w:t>
      </w:r>
      <w:proofErr w:type="gramEnd"/>
      <w:r w:rsidRPr="00D66AFB">
        <w:t xml:space="preserve"> seepage on water quality, can be evaluated (e.g., actual mercury concentrations in groundwater at relevant monitoring wells that can be compared to the WHO Drinking Water Standard of 0.006 mg/L).</w:t>
      </w:r>
      <w:r w:rsidR="00C05F92" w:rsidRPr="00D66AFB">
        <w:t xml:space="preserve"> </w:t>
      </w:r>
    </w:p>
    <w:p w14:paraId="5B59A5D6" w14:textId="77777777" w:rsidR="00E23039" w:rsidRPr="00D66AFB" w:rsidRDefault="00006C60" w:rsidP="008F0732">
      <w:pPr>
        <w:pStyle w:val="Normalnumber"/>
        <w:numPr>
          <w:ilvl w:val="0"/>
          <w:numId w:val="19"/>
        </w:numPr>
        <w:ind w:left="1247"/>
      </w:pPr>
      <w:hyperlink r:id="rId21" w:history="1">
        <w:r w:rsidR="00E23039" w:rsidRPr="00D66AFB">
          <w:rPr>
            <w:rStyle w:val="Hyperlink"/>
            <w:lang w:val="en-GB"/>
          </w:rPr>
          <w:t>CEN/TR 16365:2012</w:t>
        </w:r>
      </w:hyperlink>
      <w:r w:rsidR="00E23039" w:rsidRPr="00D66AFB">
        <w:t xml:space="preserve"> Characterization of waste - Sampling of waste from extractive industries - gives further specific information on sampling for testing of waste from the extractive industry to support the development of appropriate sampling plans.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E23039" w:rsidRPr="00D66AFB" w14:paraId="31747A67" w14:textId="77777777" w:rsidTr="00196D90">
        <w:tc>
          <w:tcPr>
            <w:tcW w:w="1897" w:type="dxa"/>
          </w:tcPr>
          <w:p w14:paraId="2A89BAC8" w14:textId="1AB790C7" w:rsidR="00E23039" w:rsidRPr="00D66AFB" w:rsidRDefault="00E23039" w:rsidP="00196D90">
            <w:pPr>
              <w:pStyle w:val="Normal-pool"/>
              <w:spacing w:before="520"/>
            </w:pPr>
          </w:p>
        </w:tc>
        <w:tc>
          <w:tcPr>
            <w:tcW w:w="1897" w:type="dxa"/>
          </w:tcPr>
          <w:p w14:paraId="00CF5F68" w14:textId="77777777" w:rsidR="00E23039" w:rsidRPr="00D66AFB" w:rsidRDefault="00E23039" w:rsidP="00196D90">
            <w:pPr>
              <w:pStyle w:val="Normal-pool"/>
              <w:spacing w:before="520"/>
            </w:pPr>
          </w:p>
        </w:tc>
        <w:tc>
          <w:tcPr>
            <w:tcW w:w="1897" w:type="dxa"/>
            <w:tcBorders>
              <w:bottom w:val="single" w:sz="4" w:space="0" w:color="auto"/>
            </w:tcBorders>
          </w:tcPr>
          <w:p w14:paraId="2E8BB69B" w14:textId="77777777" w:rsidR="00E23039" w:rsidRPr="00D66AFB" w:rsidRDefault="00E23039" w:rsidP="00196D90">
            <w:pPr>
              <w:pStyle w:val="Normal-pool"/>
              <w:spacing w:before="520"/>
            </w:pPr>
          </w:p>
        </w:tc>
        <w:tc>
          <w:tcPr>
            <w:tcW w:w="1897" w:type="dxa"/>
          </w:tcPr>
          <w:p w14:paraId="40E91706" w14:textId="77777777" w:rsidR="00E23039" w:rsidRPr="00D66AFB" w:rsidRDefault="00E23039" w:rsidP="00196D90">
            <w:pPr>
              <w:pStyle w:val="Normal-pool"/>
              <w:spacing w:before="520"/>
            </w:pPr>
          </w:p>
        </w:tc>
        <w:tc>
          <w:tcPr>
            <w:tcW w:w="1898" w:type="dxa"/>
          </w:tcPr>
          <w:p w14:paraId="492527CB" w14:textId="77777777" w:rsidR="00E23039" w:rsidRPr="00D66AFB" w:rsidRDefault="00E23039" w:rsidP="00196D90">
            <w:pPr>
              <w:pStyle w:val="Normal-pool"/>
              <w:spacing w:before="520"/>
            </w:pPr>
          </w:p>
        </w:tc>
      </w:tr>
    </w:tbl>
    <w:p w14:paraId="5C888B39" w14:textId="77777777" w:rsidR="00E23039" w:rsidRPr="00D66AFB" w:rsidRDefault="00E23039" w:rsidP="00E23039">
      <w:pPr>
        <w:pStyle w:val="Normal-pool"/>
      </w:pPr>
    </w:p>
    <w:sectPr w:rsidR="00E23039" w:rsidRPr="00D66AFB" w:rsidSect="00F7043D">
      <w:footerReference w:type="first" r:id="rId22"/>
      <w:footnotePr>
        <w:numRestart w:val="eachSect"/>
      </w:footnotePr>
      <w:pgSz w:w="11907" w:h="1683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C0547" w14:textId="77777777" w:rsidR="00660F73" w:rsidRDefault="00660F73">
      <w:r>
        <w:separator/>
      </w:r>
    </w:p>
  </w:endnote>
  <w:endnote w:type="continuationSeparator" w:id="0">
    <w:p w14:paraId="1221A77D" w14:textId="77777777" w:rsidR="00660F73" w:rsidRDefault="0066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7012" w14:textId="0F6AA58D" w:rsidR="00E23039" w:rsidRPr="00F7043D" w:rsidRDefault="00F7043D" w:rsidP="00F7043D">
    <w:pPr>
      <w:pStyle w:val="Footer"/>
    </w:pPr>
    <w:r>
      <w:rPr>
        <w:rStyle w:val="PageNumber"/>
        <w:b w:val="0"/>
        <w:lang w:val="en-US"/>
      </w:rPr>
      <w:fldChar w:fldCharType="begin"/>
    </w:r>
    <w:r>
      <w:rPr>
        <w:rStyle w:val="PageNumber"/>
        <w:b w:val="0"/>
        <w:lang w:val="en-US"/>
      </w:rPr>
      <w:instrText xml:space="preserve"> PAGE </w:instrText>
    </w:r>
    <w:r>
      <w:rPr>
        <w:rStyle w:val="PageNumber"/>
        <w:b w:val="0"/>
        <w:lang w:val="en-US"/>
      </w:rPr>
      <w:fldChar w:fldCharType="separate"/>
    </w:r>
    <w:r>
      <w:rPr>
        <w:rStyle w:val="PageNumber"/>
        <w:b w:val="0"/>
        <w:noProof/>
        <w:lang w:val="en-US"/>
      </w:rPr>
      <w:t>2</w:t>
    </w:r>
    <w:r>
      <w:rPr>
        <w:rStyle w:val="PageNumber"/>
        <w:b w:val="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297CB" w14:textId="013340CE" w:rsidR="00E23039" w:rsidRPr="00F7043D" w:rsidRDefault="00F7043D" w:rsidP="00F7043D">
    <w:pPr>
      <w:pStyle w:val="Footer-pool"/>
      <w:jc w:val="right"/>
    </w:pPr>
    <w:r>
      <w:rPr>
        <w:rStyle w:val="PageNumber"/>
        <w:b/>
      </w:rPr>
      <w:fldChar w:fldCharType="begin"/>
    </w:r>
    <w:r>
      <w:rPr>
        <w:rStyle w:val="PageNumber"/>
        <w:b/>
      </w:rPr>
      <w:instrText xml:space="preserve"> PAGE \* MERGEFORMAT </w:instrText>
    </w:r>
    <w:r>
      <w:rPr>
        <w:rStyle w:val="PageNumber"/>
        <w:b/>
      </w:rPr>
      <w:fldChar w:fldCharType="separate"/>
    </w:r>
    <w:r>
      <w:rPr>
        <w:rStyle w:val="PageNumber"/>
        <w:b/>
        <w:noProof/>
      </w:rPr>
      <w:t>3</w:t>
    </w:r>
    <w:r>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0291C" w14:textId="2BCE4EA3" w:rsidR="00F7043D" w:rsidRDefault="0013056E" w:rsidP="00F7043D">
    <w:pPr>
      <w:pStyle w:val="Normal-pool"/>
    </w:pPr>
    <w:bookmarkStart w:id="10" w:name="FooterJobDate"/>
    <w:r>
      <w:t>K2312709[E]</w:t>
    </w:r>
    <w:r>
      <w:tab/>
    </w:r>
    <w:r w:rsidR="0036093A">
      <w:t>30</w:t>
    </w:r>
    <w:r>
      <w:t>0823</w:t>
    </w:r>
    <w:bookmarkEnd w:id="1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C26B" w14:textId="7B7B5A76" w:rsidR="00D44601" w:rsidRDefault="00D44601" w:rsidP="00D44601">
    <w:pPr>
      <w:pStyle w:val="Normal-pool"/>
    </w:pPr>
    <w:r>
      <w:t>K2311388E]</w:t>
    </w:r>
    <w:r>
      <w:tab/>
    </w:r>
    <w:r w:rsidR="009818FA">
      <w:t>xx</w:t>
    </w:r>
    <w:r>
      <w:t>0623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BFFF2" w14:textId="77777777" w:rsidR="00660F73" w:rsidRPr="00433014" w:rsidRDefault="00660F73" w:rsidP="000E69C9">
      <w:pPr>
        <w:pStyle w:val="Normal-pool"/>
        <w:tabs>
          <w:tab w:val="clear" w:pos="1247"/>
          <w:tab w:val="clear" w:pos="1871"/>
          <w:tab w:val="clear" w:pos="2495"/>
          <w:tab w:val="clear" w:pos="3119"/>
          <w:tab w:val="clear" w:pos="3742"/>
          <w:tab w:val="clear" w:pos="4366"/>
        </w:tabs>
        <w:spacing w:before="60"/>
        <w:ind w:left="624"/>
        <w:rPr>
          <w:sz w:val="18"/>
          <w:szCs w:val="18"/>
        </w:rPr>
      </w:pPr>
      <w:r w:rsidRPr="00433014">
        <w:rPr>
          <w:sz w:val="18"/>
          <w:szCs w:val="18"/>
        </w:rPr>
        <w:separator/>
      </w:r>
    </w:p>
  </w:footnote>
  <w:footnote w:type="continuationSeparator" w:id="0">
    <w:p w14:paraId="2D16B90F" w14:textId="77777777" w:rsidR="00660F73" w:rsidRDefault="00660F73" w:rsidP="00BC07FE">
      <w:pPr>
        <w:pStyle w:val="Normal-pool"/>
      </w:pPr>
      <w:r>
        <w:continuationSeparator/>
      </w:r>
    </w:p>
  </w:footnote>
  <w:footnote w:type="continuationNotice" w:id="1">
    <w:p w14:paraId="61D5DD21" w14:textId="77777777" w:rsidR="00660F73" w:rsidRPr="00E94B48" w:rsidRDefault="00660F73" w:rsidP="00E94B48">
      <w:pPr>
        <w:pStyle w:val="Footer"/>
        <w:rPr>
          <w:sz w:val="4"/>
          <w:szCs w:val="4"/>
        </w:rPr>
      </w:pPr>
    </w:p>
  </w:footnote>
  <w:footnote w:id="2">
    <w:p w14:paraId="7850F2A8" w14:textId="77777777" w:rsidR="00F55399" w:rsidRPr="00D66AFB" w:rsidRDefault="00F5539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vertAlign w:val="baseline"/>
        </w:rPr>
        <w:t>*</w:t>
      </w:r>
      <w:r w:rsidRPr="00D66AFB">
        <w:rPr>
          <w:szCs w:val="18"/>
        </w:rPr>
        <w:t xml:space="preserve"> UNEP</w:t>
      </w:r>
      <w:r w:rsidRPr="00D66AFB">
        <w:rPr>
          <w:b/>
          <w:bCs/>
          <w:szCs w:val="18"/>
        </w:rPr>
        <w:t>/</w:t>
      </w:r>
      <w:r w:rsidRPr="00D66AFB">
        <w:rPr>
          <w:szCs w:val="18"/>
        </w:rPr>
        <w:t>MC/COP.5/1.</w:t>
      </w:r>
    </w:p>
  </w:footnote>
  <w:footnote w:id="3">
    <w:p w14:paraId="2CF9813F" w14:textId="7F8AB4E7" w:rsidR="008F0732" w:rsidRPr="00D66AFB" w:rsidRDefault="008F0732">
      <w:pPr>
        <w:pStyle w:val="FootnoteText"/>
      </w:pPr>
      <w:r w:rsidRPr="00D66AFB">
        <w:rPr>
          <w:rStyle w:val="FootnoteReference"/>
        </w:rPr>
        <w:footnoteRef/>
      </w:r>
      <w:r w:rsidRPr="00D66AFB">
        <w:t xml:space="preserve"> See </w:t>
      </w:r>
      <w:hyperlink r:id="rId1" w:anchor="sec1564" w:history="1">
        <w:r w:rsidRPr="00D66AFB">
          <w:rPr>
            <w:rStyle w:val="Hyperlink"/>
            <w:sz w:val="18"/>
            <w:szCs w:val="18"/>
            <w:lang w:val="en-GB"/>
          </w:rPr>
          <w:t>https://mercuryconvention.org/en/meetings/cop5#sec1564</w:t>
        </w:r>
      </w:hyperlink>
      <w:r w:rsidRPr="00D66AFB">
        <w:rPr>
          <w:rStyle w:val="Hyperlink"/>
          <w:sz w:val="18"/>
          <w:szCs w:val="18"/>
          <w:lang w:val="en-GB"/>
        </w:rPr>
        <w:t>.</w:t>
      </w:r>
    </w:p>
  </w:footnote>
  <w:footnote w:id="4">
    <w:p w14:paraId="21AE8BC7" w14:textId="39B82616" w:rsidR="009674B3" w:rsidRPr="00D801E9" w:rsidRDefault="009674B3" w:rsidP="00D801E9">
      <w:pPr>
        <w:pStyle w:val="Footnote-Text"/>
      </w:pPr>
      <w:r w:rsidRPr="00D801E9">
        <w:rPr>
          <w:rStyle w:val="FootnoteReference"/>
          <w:sz w:val="18"/>
          <w:szCs w:val="20"/>
          <w:vertAlign w:val="baseline"/>
        </w:rPr>
        <w:t>*</w:t>
      </w:r>
      <w:r w:rsidRPr="00D801E9">
        <w:t xml:space="preserve"> The annex has not been formally edited.</w:t>
      </w:r>
    </w:p>
  </w:footnote>
  <w:footnote w:id="5">
    <w:p w14:paraId="148D80D8" w14:textId="20FF4CE0" w:rsidR="00E23039" w:rsidRPr="00D66AFB" w:rsidRDefault="00E23039" w:rsidP="00D801E9">
      <w:pPr>
        <w:pStyle w:val="Footnote-Text"/>
      </w:pPr>
      <w:r w:rsidRPr="00D801E9">
        <w:rPr>
          <w:rStyle w:val="FootnoteReference"/>
          <w:sz w:val="18"/>
          <w:szCs w:val="20"/>
        </w:rPr>
        <w:footnoteRef/>
      </w:r>
      <w:r w:rsidRPr="00D801E9">
        <w:t xml:space="preserve"> </w:t>
      </w:r>
      <w:proofErr w:type="spellStart"/>
      <w:r w:rsidRPr="00D801E9">
        <w:t>Hennebert</w:t>
      </w:r>
      <w:proofErr w:type="spellEnd"/>
      <w:r w:rsidRPr="00D801E9">
        <w:t xml:space="preserve"> P. 2022. Risk management of hazardous solid waste according by hazardous property including mercury contaminated wastes. Detritus, 20 – 2022, 78-89</w:t>
      </w:r>
      <w:r w:rsidRPr="00D66AFB">
        <w:t xml:space="preserve">. </w:t>
      </w:r>
      <w:hyperlink r:id="rId2" w:history="1">
        <w:r w:rsidR="006A0994" w:rsidRPr="00D66AFB">
          <w:rPr>
            <w:rStyle w:val="Hyperlink"/>
            <w:sz w:val="18"/>
            <w:szCs w:val="18"/>
            <w:lang w:val="en-GB"/>
          </w:rPr>
          <w:t>https://doi.org/10.31025/2611-4135/2022.15212</w:t>
        </w:r>
      </w:hyperlink>
      <w:r w:rsidR="001D3C5B" w:rsidRPr="00D66AFB">
        <w:t>.</w:t>
      </w:r>
    </w:p>
  </w:footnote>
  <w:footnote w:id="6">
    <w:p w14:paraId="139491A6" w14:textId="2871DE59"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801E9">
        <w:rPr>
          <w:vertAlign w:val="superscript"/>
        </w:rPr>
        <w:footnoteRef/>
      </w:r>
      <w:r w:rsidRPr="00D801E9">
        <w:t xml:space="preserve"> United States Environmental Protection Agency, 1985, “Report to Congress: Wastes from the Extraction and Beneficiation of Metallic Ores, Phosphate Rock, Asbestos, Overburden from Uranium Mining and Oil Shale”. </w:t>
      </w:r>
      <w:hyperlink r:id="rId3" w:history="1">
        <w:r w:rsidR="006A0994" w:rsidRPr="00D66AFB">
          <w:rPr>
            <w:rStyle w:val="Hyperlink"/>
            <w:sz w:val="18"/>
            <w:szCs w:val="18"/>
            <w:lang w:val="en-GB"/>
          </w:rPr>
          <w:t>https://www.epa.gov/hw/report-congress-wastes-extraction-and-beneficiation-metallic-ores-phosphate-rock-asbestos</w:t>
        </w:r>
      </w:hyperlink>
      <w:r w:rsidR="006A0994" w:rsidRPr="00D66AFB">
        <w:rPr>
          <w:szCs w:val="18"/>
        </w:rPr>
        <w:t>.</w:t>
      </w:r>
    </w:p>
  </w:footnote>
  <w:footnote w:id="7">
    <w:p w14:paraId="45A4431A" w14:textId="74584533"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w:t>
      </w:r>
      <w:proofErr w:type="spellStart"/>
      <w:r w:rsidRPr="00D66AFB">
        <w:rPr>
          <w:szCs w:val="18"/>
        </w:rPr>
        <w:t>Lottermoser</w:t>
      </w:r>
      <w:proofErr w:type="spellEnd"/>
      <w:r w:rsidRPr="00D66AFB">
        <w:rPr>
          <w:szCs w:val="18"/>
        </w:rPr>
        <w:t xml:space="preserve"> B.G. 2007. Mine Wastes: Characterization, Treatment and Environmental Impacts, 2nd ed. Springer-Verlag Berlin Heidelberg pp. 304</w:t>
      </w:r>
      <w:r w:rsidR="00A12128" w:rsidRPr="00D66AFB">
        <w:rPr>
          <w:szCs w:val="18"/>
        </w:rPr>
        <w:t>.</w:t>
      </w:r>
    </w:p>
  </w:footnote>
  <w:footnote w:id="8">
    <w:p w14:paraId="49AF2652" w14:textId="751AAB0F"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European Union (EU). 2018. Best Available Techniques (BAT) Reference Document for the Management of Waste from Extractive Industries, in accordance with Directive 2006/21/EC; EUR 28963 EN; Publications Office of the European Union, Luxembourg, 2018; ISBN 978-92-79-77178-1; doi:10.2760/35297, JRC109657</w:t>
      </w:r>
      <w:r w:rsidR="00A12128" w:rsidRPr="00D66AFB">
        <w:rPr>
          <w:szCs w:val="18"/>
        </w:rPr>
        <w:t>.</w:t>
      </w:r>
    </w:p>
  </w:footnote>
  <w:footnote w:id="9">
    <w:p w14:paraId="5F5DE484" w14:textId="7258D8DC" w:rsidR="00E23039" w:rsidRPr="00D66AFB" w:rsidRDefault="00E23039" w:rsidP="000E69C9">
      <w:pPr>
        <w:pStyle w:val="Footnote-Text"/>
        <w:tabs>
          <w:tab w:val="clear" w:pos="1247"/>
          <w:tab w:val="clear" w:pos="1871"/>
          <w:tab w:val="clear" w:pos="2495"/>
          <w:tab w:val="clear" w:pos="3119"/>
          <w:tab w:val="clear" w:pos="3742"/>
          <w:tab w:val="clear" w:pos="4366"/>
        </w:tabs>
        <w:rPr>
          <w:rStyle w:val="FootnoteReference"/>
          <w:sz w:val="18"/>
          <w:vertAlign w:val="baseline"/>
        </w:rPr>
      </w:pPr>
      <w:r w:rsidRPr="00D66AFB">
        <w:rPr>
          <w:rStyle w:val="FootnoteReference"/>
          <w:sz w:val="18"/>
        </w:rPr>
        <w:footnoteRef/>
      </w:r>
      <w:r w:rsidRPr="00D66AFB">
        <w:rPr>
          <w:rStyle w:val="FootnoteReference"/>
          <w:sz w:val="18"/>
          <w:vertAlign w:val="baseline"/>
        </w:rPr>
        <w:t xml:space="preserve"> </w:t>
      </w:r>
      <w:proofErr w:type="spellStart"/>
      <w:r w:rsidRPr="00D66AFB">
        <w:rPr>
          <w:rStyle w:val="FootnoteReference"/>
          <w:sz w:val="18"/>
          <w:vertAlign w:val="baseline"/>
        </w:rPr>
        <w:t>Aghaei</w:t>
      </w:r>
      <w:proofErr w:type="spellEnd"/>
      <w:r w:rsidRPr="00D66AFB">
        <w:rPr>
          <w:rStyle w:val="FootnoteReference"/>
          <w:sz w:val="18"/>
          <w:vertAlign w:val="baseline"/>
        </w:rPr>
        <w:t xml:space="preserve">, E., Diaz </w:t>
      </w:r>
      <w:proofErr w:type="spellStart"/>
      <w:r w:rsidRPr="00D66AFB">
        <w:rPr>
          <w:rStyle w:val="FootnoteReference"/>
          <w:sz w:val="18"/>
          <w:vertAlign w:val="baseline"/>
        </w:rPr>
        <w:t>Alorro</w:t>
      </w:r>
      <w:proofErr w:type="spellEnd"/>
      <w:r w:rsidRPr="00D66AFB">
        <w:rPr>
          <w:rStyle w:val="FootnoteReference"/>
          <w:sz w:val="18"/>
          <w:vertAlign w:val="baseline"/>
        </w:rPr>
        <w:t>, R., Tadesse, B. and Browner, R. A review on current practices and emerging technologies for sustainable management, sequestration and stabilization of mercury from gold processing streams. J Environ Management 249: 198367 (2019)</w:t>
      </w:r>
      <w:r w:rsidR="00A12128" w:rsidRPr="00D66AFB">
        <w:t>.</w:t>
      </w:r>
    </w:p>
  </w:footnote>
  <w:footnote w:id="10">
    <w:p w14:paraId="301475CB" w14:textId="0F39ED00"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00C05F92" w:rsidRPr="00D66AFB">
        <w:rPr>
          <w:szCs w:val="18"/>
        </w:rPr>
        <w:t xml:space="preserve"> </w:t>
      </w:r>
      <w:r w:rsidRPr="00D66AFB">
        <w:rPr>
          <w:szCs w:val="18"/>
        </w:rPr>
        <w:t xml:space="preserve">In specific circumstances, </w:t>
      </w:r>
      <w:proofErr w:type="spellStart"/>
      <w:r w:rsidRPr="00D66AFB">
        <w:rPr>
          <w:szCs w:val="18"/>
        </w:rPr>
        <w:t>sulfide</w:t>
      </w:r>
      <w:proofErr w:type="spellEnd"/>
      <w:r w:rsidRPr="00D66AFB">
        <w:rPr>
          <w:szCs w:val="18"/>
        </w:rPr>
        <w:t xml:space="preserve"> minerals can oxidise in contact with air to produce sulfuric acid, which, if not neutralised by carbonate minerals in the rock, can dissolve constituents. As guidance on specific situations, standard practices to actively manage tailings to prevent deleterious mine drainage are available in the GARD Guide developed by International Network for Acid Prevention (INAP), </w:t>
      </w:r>
      <w:hyperlink r:id="rId4" w:history="1">
        <w:r w:rsidR="00B454AE" w:rsidRPr="00D66AFB">
          <w:rPr>
            <w:rStyle w:val="Hyperlink"/>
            <w:sz w:val="18"/>
            <w:szCs w:val="18"/>
            <w:lang w:val="en-GB"/>
          </w:rPr>
          <w:t>http://gardguide.com</w:t>
        </w:r>
      </w:hyperlink>
      <w:r w:rsidR="00B454AE" w:rsidRPr="00D66AFB">
        <w:rPr>
          <w:szCs w:val="18"/>
        </w:rPr>
        <w:t>.</w:t>
      </w:r>
    </w:p>
  </w:footnote>
  <w:footnote w:id="11">
    <w:p w14:paraId="1BF7BE6C" w14:textId="77777777"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The Global Industry Standard on Tailings Management, developed by the International Council on Mining and Metals, UNEP and Principles for Responsible Investment, provides a framework for safe management of mine tailings. </w:t>
      </w:r>
    </w:p>
  </w:footnote>
  <w:footnote w:id="12">
    <w:p w14:paraId="0A50E844" w14:textId="21719701"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Hydraulic conductivity can be understood as a characteristic of a formation that relates to its capacity to transmit water through its internal, interconnected pathways (ISO 6107:2021)</w:t>
      </w:r>
      <w:r w:rsidR="0087776F" w:rsidRPr="00D66AFB">
        <w:rPr>
          <w:szCs w:val="18"/>
        </w:rPr>
        <w:t>.</w:t>
      </w:r>
    </w:p>
  </w:footnote>
  <w:footnote w:id="13">
    <w:p w14:paraId="5CEB2090" w14:textId="22AA1E28"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w:t>
      </w:r>
      <w:hyperlink r:id="rId5" w:history="1">
        <w:r w:rsidRPr="00D66AFB">
          <w:rPr>
            <w:rStyle w:val="Hyperlink"/>
            <w:sz w:val="18"/>
            <w:szCs w:val="18"/>
            <w:lang w:val="en-GB"/>
          </w:rPr>
          <w:t>CEN/TR 16376:2012</w:t>
        </w:r>
      </w:hyperlink>
      <w:r w:rsidRPr="00D66AFB">
        <w:rPr>
          <w:szCs w:val="18"/>
        </w:rPr>
        <w:t xml:space="preserve"> Characterization of waste - Overall guidance document for characterization of waste from the extractive industries</w:t>
      </w:r>
      <w:r w:rsidR="0087776F" w:rsidRPr="00D66AFB">
        <w:rPr>
          <w:szCs w:val="18"/>
        </w:rPr>
        <w:t>.</w:t>
      </w:r>
    </w:p>
  </w:footnote>
  <w:footnote w:id="14">
    <w:p w14:paraId="434D266E" w14:textId="77777777"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w:t>
      </w:r>
      <w:hyperlink r:id="rId6" w:history="1">
        <w:r w:rsidRPr="00D66AFB">
          <w:rPr>
            <w:rStyle w:val="Hyperlink"/>
            <w:sz w:val="18"/>
            <w:szCs w:val="18"/>
            <w:lang w:val="en-GB"/>
          </w:rPr>
          <w:t>CEN/TR 16363:2012</w:t>
        </w:r>
      </w:hyperlink>
      <w:r w:rsidRPr="00D66AFB">
        <w:rPr>
          <w:szCs w:val="18"/>
        </w:rPr>
        <w:t xml:space="preserve"> Characterization of waste - Kinetic testing for assessing acid generation potential of sulfidic waste from extractive industries.</w:t>
      </w:r>
    </w:p>
  </w:footnote>
  <w:footnote w:id="15">
    <w:p w14:paraId="01C815F1" w14:textId="1C7A627A"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US EPA (2019) Leaching Environmental Assessment Framework (LEAF) How-To Guide</w:t>
      </w:r>
      <w:r w:rsidR="0087776F" w:rsidRPr="00D66AFB">
        <w:rPr>
          <w:szCs w:val="18"/>
        </w:rPr>
        <w:t>.</w:t>
      </w:r>
    </w:p>
  </w:footnote>
  <w:footnote w:id="16">
    <w:p w14:paraId="73FE7911" w14:textId="7BD978B3"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w:t>
      </w:r>
      <w:proofErr w:type="spellStart"/>
      <w:r w:rsidRPr="00D66AFB">
        <w:rPr>
          <w:szCs w:val="18"/>
        </w:rPr>
        <w:t>Hennebert</w:t>
      </w:r>
      <w:proofErr w:type="spellEnd"/>
      <w:r w:rsidRPr="00D66AFB">
        <w:rPr>
          <w:szCs w:val="18"/>
        </w:rPr>
        <w:t xml:space="preserve"> P. 2022. Risk management of hazardous solid waste according by hazardous property including mercury contaminated wastes. Detritus, 20 – 2022, 78-89. </w:t>
      </w:r>
      <w:hyperlink r:id="rId7" w:history="1">
        <w:r w:rsidR="00B454AE" w:rsidRPr="00D66AFB">
          <w:rPr>
            <w:rStyle w:val="Hyperlink"/>
            <w:sz w:val="18"/>
            <w:szCs w:val="18"/>
            <w:lang w:val="en-GB"/>
          </w:rPr>
          <w:t>https://doi.org/10.31025/2611-4135/2022.15212</w:t>
        </w:r>
      </w:hyperlink>
      <w:r w:rsidR="00B454AE" w:rsidRPr="00D66AFB">
        <w:rPr>
          <w:szCs w:val="18"/>
        </w:rPr>
        <w:t>.</w:t>
      </w:r>
    </w:p>
  </w:footnote>
  <w:footnote w:id="17">
    <w:p w14:paraId="3DF74F70" w14:textId="3C45D026" w:rsidR="0009027A" w:rsidRPr="00D66AFB" w:rsidRDefault="0009027A" w:rsidP="0009027A">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Taken from: </w:t>
      </w:r>
      <w:hyperlink r:id="rId8" w:history="1">
        <w:r w:rsidR="00055AD7" w:rsidRPr="00D66AFB">
          <w:rPr>
            <w:rStyle w:val="Hyperlink"/>
            <w:sz w:val="18"/>
            <w:szCs w:val="18"/>
            <w:lang w:val="en-GB"/>
          </w:rPr>
          <w:t>https://www.leachingtests.com/app/uploads/sites/18/2021/06/B.2.1-pH-Dependence-Mine-tailings-FI.pdf</w:t>
        </w:r>
      </w:hyperlink>
      <w:r w:rsidR="00055AD7" w:rsidRPr="00D66AFB">
        <w:rPr>
          <w:szCs w:val="18"/>
        </w:rPr>
        <w:t>.</w:t>
      </w:r>
    </w:p>
  </w:footnote>
  <w:footnote w:id="18">
    <w:p w14:paraId="76DF382B" w14:textId="6F57F9C3" w:rsidR="00E23039" w:rsidRPr="00006C60" w:rsidRDefault="00E23039" w:rsidP="000E69C9">
      <w:pPr>
        <w:pStyle w:val="Footnote-Text"/>
        <w:tabs>
          <w:tab w:val="clear" w:pos="1247"/>
          <w:tab w:val="clear" w:pos="1871"/>
          <w:tab w:val="clear" w:pos="2495"/>
          <w:tab w:val="clear" w:pos="3119"/>
          <w:tab w:val="clear" w:pos="3742"/>
          <w:tab w:val="clear" w:pos="4366"/>
        </w:tabs>
        <w:rPr>
          <w:szCs w:val="18"/>
          <w:lang w:val="fr-CH"/>
        </w:rPr>
      </w:pPr>
      <w:r w:rsidRPr="00D66AFB">
        <w:rPr>
          <w:rStyle w:val="FootnoteReference"/>
          <w:sz w:val="18"/>
        </w:rPr>
        <w:footnoteRef/>
      </w:r>
      <w:r w:rsidRPr="00D66AFB">
        <w:rPr>
          <w:szCs w:val="18"/>
        </w:rPr>
        <w:t xml:space="preserve"> </w:t>
      </w:r>
      <w:proofErr w:type="spellStart"/>
      <w:r w:rsidRPr="00D66AFB">
        <w:rPr>
          <w:szCs w:val="18"/>
        </w:rPr>
        <w:t>Hennebert</w:t>
      </w:r>
      <w:proofErr w:type="spellEnd"/>
      <w:r w:rsidRPr="00D66AFB">
        <w:rPr>
          <w:szCs w:val="18"/>
        </w:rPr>
        <w:t xml:space="preserve"> P, Stoffel A-F, </w:t>
      </w:r>
      <w:proofErr w:type="spellStart"/>
      <w:r w:rsidRPr="00D66AFB">
        <w:rPr>
          <w:szCs w:val="18"/>
        </w:rPr>
        <w:t>Hubner</w:t>
      </w:r>
      <w:proofErr w:type="spellEnd"/>
      <w:r w:rsidRPr="00D66AFB">
        <w:rPr>
          <w:szCs w:val="18"/>
        </w:rPr>
        <w:t xml:space="preserve"> M, </w:t>
      </w:r>
      <w:proofErr w:type="spellStart"/>
      <w:r w:rsidRPr="00D66AFB">
        <w:rPr>
          <w:szCs w:val="18"/>
        </w:rPr>
        <w:t>Fortmann</w:t>
      </w:r>
      <w:proofErr w:type="spellEnd"/>
      <w:r w:rsidRPr="00D66AFB">
        <w:rPr>
          <w:szCs w:val="18"/>
        </w:rPr>
        <w:t xml:space="preserve"> D, </w:t>
      </w:r>
      <w:proofErr w:type="spellStart"/>
      <w:r w:rsidRPr="00D66AFB">
        <w:rPr>
          <w:szCs w:val="18"/>
        </w:rPr>
        <w:t>Merdy</w:t>
      </w:r>
      <w:proofErr w:type="spellEnd"/>
      <w:r w:rsidRPr="00D66AFB">
        <w:rPr>
          <w:szCs w:val="18"/>
        </w:rPr>
        <w:t xml:space="preserve"> P, </w:t>
      </w:r>
      <w:proofErr w:type="spellStart"/>
      <w:r w:rsidRPr="00D66AFB">
        <w:rPr>
          <w:szCs w:val="18"/>
        </w:rPr>
        <w:t>Beggio</w:t>
      </w:r>
      <w:proofErr w:type="spellEnd"/>
      <w:r w:rsidRPr="00D66AFB">
        <w:rPr>
          <w:szCs w:val="18"/>
        </w:rPr>
        <w:t xml:space="preserve"> G. 2022. The inherent variability of some environmental analytical methods hampers the circular economy of materials. </w:t>
      </w:r>
      <w:proofErr w:type="spellStart"/>
      <w:r w:rsidRPr="00006C60">
        <w:rPr>
          <w:szCs w:val="18"/>
          <w:lang w:val="fr-CH"/>
        </w:rPr>
        <w:t>Detritus</w:t>
      </w:r>
      <w:proofErr w:type="spellEnd"/>
      <w:r w:rsidRPr="00006C60">
        <w:rPr>
          <w:szCs w:val="18"/>
          <w:lang w:val="fr-CH"/>
        </w:rPr>
        <w:t>. 17 p. DOI 10.31025/2611-4135/2022.16225</w:t>
      </w:r>
      <w:r w:rsidR="0087776F" w:rsidRPr="00006C60">
        <w:rPr>
          <w:szCs w:val="18"/>
          <w:lang w:val="fr-CH"/>
        </w:rPr>
        <w:t>.</w:t>
      </w:r>
    </w:p>
  </w:footnote>
  <w:footnote w:id="19">
    <w:p w14:paraId="6C7AB8F6" w14:textId="4330A8E6" w:rsidR="00E23039" w:rsidRPr="00006C60" w:rsidRDefault="00E23039" w:rsidP="000E69C9">
      <w:pPr>
        <w:pStyle w:val="Footnote-Text"/>
        <w:tabs>
          <w:tab w:val="clear" w:pos="1247"/>
          <w:tab w:val="clear" w:pos="1871"/>
          <w:tab w:val="clear" w:pos="2495"/>
          <w:tab w:val="clear" w:pos="3119"/>
          <w:tab w:val="clear" w:pos="3742"/>
          <w:tab w:val="clear" w:pos="4366"/>
        </w:tabs>
        <w:rPr>
          <w:szCs w:val="18"/>
          <w:lang w:val="fr-CH"/>
        </w:rPr>
      </w:pPr>
      <w:r w:rsidRPr="00D66AFB">
        <w:rPr>
          <w:rStyle w:val="FootnoteReference"/>
          <w:sz w:val="18"/>
        </w:rPr>
        <w:footnoteRef/>
      </w:r>
      <w:r w:rsidRPr="00006C60">
        <w:rPr>
          <w:szCs w:val="18"/>
          <w:lang w:val="fr-CH"/>
        </w:rPr>
        <w:t xml:space="preserve"> Méthodes de mesure dans le domaine des déchets et des sites pollués</w:t>
      </w:r>
      <w:r w:rsidR="0087776F" w:rsidRPr="00006C60">
        <w:rPr>
          <w:szCs w:val="18"/>
          <w:lang w:val="fr-CH"/>
        </w:rPr>
        <w:t>.</w:t>
      </w:r>
    </w:p>
  </w:footnote>
  <w:footnote w:id="20">
    <w:p w14:paraId="2528B962" w14:textId="4EB0856F" w:rsidR="00E23039" w:rsidRPr="00D66AFB" w:rsidRDefault="00E23039" w:rsidP="000E69C9">
      <w:pPr>
        <w:pStyle w:val="Footnote-Text"/>
        <w:tabs>
          <w:tab w:val="clear" w:pos="1247"/>
          <w:tab w:val="clear" w:pos="1871"/>
          <w:tab w:val="clear" w:pos="2495"/>
          <w:tab w:val="clear" w:pos="3119"/>
          <w:tab w:val="clear" w:pos="3742"/>
          <w:tab w:val="clear" w:pos="4366"/>
        </w:tabs>
        <w:rPr>
          <w:szCs w:val="18"/>
        </w:rPr>
      </w:pPr>
      <w:r w:rsidRPr="00D66AFB">
        <w:rPr>
          <w:rStyle w:val="FootnoteReference"/>
          <w:sz w:val="18"/>
        </w:rPr>
        <w:footnoteRef/>
      </w:r>
      <w:r w:rsidRPr="00D66AFB">
        <w:rPr>
          <w:szCs w:val="18"/>
        </w:rPr>
        <w:t xml:space="preserve"> </w:t>
      </w:r>
      <w:hyperlink r:id="rId9" w:history="1">
        <w:r w:rsidRPr="00D66AFB">
          <w:rPr>
            <w:rStyle w:val="Hyperlink"/>
            <w:sz w:val="18"/>
            <w:szCs w:val="18"/>
            <w:lang w:val="en-GB"/>
          </w:rPr>
          <w:t>global-industry-standard-on-tailings-management.pdf (globaltailingsreview.org)</w:t>
        </w:r>
      </w:hyperlink>
      <w:r w:rsidR="0087776F" w:rsidRPr="00D66AFB">
        <w:rPr>
          <w:rStyle w:val="Hyperlink"/>
          <w:color w:val="auto"/>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CB214" w14:textId="744503ED" w:rsidR="00E23039" w:rsidRPr="00F7043D" w:rsidRDefault="00F7043D" w:rsidP="00F7043D">
    <w:pPr>
      <w:pStyle w:val="Header-pool"/>
    </w:pPr>
    <w:r>
      <w:fldChar w:fldCharType="begin"/>
    </w:r>
    <w:r>
      <w:instrText xml:space="preserve"> StyleRef A_Symbol </w:instrText>
    </w:r>
    <w:r>
      <w:fldChar w:fldCharType="separate"/>
    </w:r>
    <w:r w:rsidR="00006C60">
      <w:rPr>
        <w:noProof/>
      </w:rPr>
      <w:t>UNEP/MC/COP.5/INF/13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C40A4" w14:textId="2ABF1ED3" w:rsidR="00E23039" w:rsidRPr="00F7043D" w:rsidRDefault="00F7043D" w:rsidP="00F7043D">
    <w:pPr>
      <w:pStyle w:val="Header-pool"/>
      <w:jc w:val="right"/>
    </w:pPr>
    <w:r>
      <w:fldChar w:fldCharType="begin"/>
    </w:r>
    <w:r>
      <w:instrText xml:space="preserve"> StyleRef A_Symbol </w:instrText>
    </w:r>
    <w:r>
      <w:fldChar w:fldCharType="separate"/>
    </w:r>
    <w:r w:rsidR="00006C60">
      <w:rPr>
        <w:noProof/>
      </w:rPr>
      <w:t>UNEP/MC/COP.5/INF/13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1" w15:restartNumberingAfterBreak="0">
    <w:nsid w:val="080A1ECF"/>
    <w:multiLevelType w:val="hybridMultilevel"/>
    <w:tmpl w:val="7F1CFAA6"/>
    <w:lvl w:ilvl="0" w:tplc="B95EBFE6">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806F70"/>
    <w:multiLevelType w:val="multilevel"/>
    <w:tmpl w:val="B2E6BB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7123B6"/>
    <w:multiLevelType w:val="hybridMultilevel"/>
    <w:tmpl w:val="2814E184"/>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987ADB"/>
    <w:multiLevelType w:val="hybridMultilevel"/>
    <w:tmpl w:val="712E7344"/>
    <w:lvl w:ilvl="0" w:tplc="7424281C">
      <w:start w:val="1"/>
      <w:numFmt w:val="decimal"/>
      <w:lvlText w:val="%1."/>
      <w:lvlJc w:val="left"/>
      <w:pPr>
        <w:ind w:left="2591" w:hanging="360"/>
      </w:pPr>
      <w:rPr>
        <w:i w:val="0"/>
        <w:iCs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29071E1B"/>
    <w:multiLevelType w:val="hybridMultilevel"/>
    <w:tmpl w:val="7FFC603E"/>
    <w:lvl w:ilvl="0" w:tplc="43405B62">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457FE"/>
    <w:multiLevelType w:val="hybridMultilevel"/>
    <w:tmpl w:val="DBC0D25E"/>
    <w:lvl w:ilvl="0" w:tplc="B95EBFE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2A66A9D"/>
    <w:multiLevelType w:val="multilevel"/>
    <w:tmpl w:val="E9B2F9CA"/>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8" w15:restartNumberingAfterBreak="0">
    <w:nsid w:val="5BA7556B"/>
    <w:multiLevelType w:val="hybridMultilevel"/>
    <w:tmpl w:val="68CCB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5C646E"/>
    <w:multiLevelType w:val="hybridMultilevel"/>
    <w:tmpl w:val="0ED2F41E"/>
    <w:lvl w:ilvl="0" w:tplc="B95EBFE6">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9C02BF5"/>
    <w:multiLevelType w:val="hybridMultilevel"/>
    <w:tmpl w:val="1BBE94AE"/>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FB420F"/>
    <w:multiLevelType w:val="hybridMultilevel"/>
    <w:tmpl w:val="0A641488"/>
    <w:lvl w:ilvl="0" w:tplc="43405B62">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727249DD"/>
    <w:multiLevelType w:val="hybridMultilevel"/>
    <w:tmpl w:val="D91EFC34"/>
    <w:lvl w:ilvl="0" w:tplc="B95EBFE6">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D46335E"/>
    <w:multiLevelType w:val="hybridMultilevel"/>
    <w:tmpl w:val="5030C5EE"/>
    <w:lvl w:ilvl="0" w:tplc="B95EBFE6">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4701985">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 w16cid:durableId="200024322">
    <w:abstractNumId w:val="7"/>
  </w:num>
  <w:num w:numId="3" w16cid:durableId="81727034">
    <w:abstractNumId w:val="12"/>
  </w:num>
  <w:num w:numId="4" w16cid:durableId="72901603">
    <w:abstractNumId w:val="0"/>
  </w:num>
  <w:num w:numId="5" w16cid:durableId="1544054212">
    <w:abstractNumId w:val="7"/>
    <w:lvlOverride w:ilvl="0">
      <w:lvl w:ilvl="0">
        <w:start w:val="1"/>
        <w:numFmt w:val="decimal"/>
        <w:pStyle w:val="Normalnumber"/>
        <w:lvlText w:val="%1."/>
        <w:lvlJc w:val="left"/>
        <w:pPr>
          <w:tabs>
            <w:tab w:val="num" w:pos="624"/>
          </w:tabs>
          <w:ind w:left="1248" w:firstLine="0"/>
        </w:pPr>
        <w:rPr>
          <w:rFonts w:hint="default"/>
          <w:b w:val="0"/>
          <w:bCs w:val="0"/>
          <w:i w:val="0"/>
          <w:iCs w:val="0"/>
        </w:rPr>
      </w:lvl>
    </w:lvlOverride>
  </w:num>
  <w:num w:numId="6" w16cid:durableId="1470903666">
    <w:abstractNumId w:val="4"/>
  </w:num>
  <w:num w:numId="7" w16cid:durableId="742607582">
    <w:abstractNumId w:val="7"/>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8" w16cid:durableId="358050857">
    <w:abstractNumId w:val="7"/>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9" w16cid:durableId="387150157">
    <w:abstractNumId w:val="7"/>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0" w16cid:durableId="8143678">
    <w:abstractNumId w:val="10"/>
  </w:num>
  <w:num w:numId="11" w16cid:durableId="1993751880">
    <w:abstractNumId w:val="7"/>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2" w16cid:durableId="1712343231">
    <w:abstractNumId w:val="5"/>
  </w:num>
  <w:num w:numId="13" w16cid:durableId="2093238224">
    <w:abstractNumId w:val="11"/>
  </w:num>
  <w:num w:numId="14" w16cid:durableId="12304613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3150876">
    <w:abstractNumId w:val="7"/>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6" w16cid:durableId="93792949">
    <w:abstractNumId w:val="7"/>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7" w16cid:durableId="203177895">
    <w:abstractNumId w:val="8"/>
  </w:num>
  <w:num w:numId="18" w16cid:durableId="1202785887">
    <w:abstractNumId w:val="3"/>
  </w:num>
  <w:num w:numId="19" w16cid:durableId="1829399493">
    <w:abstractNumId w:val="7"/>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20" w16cid:durableId="1779137740">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1" w16cid:durableId="1125731702">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2" w16cid:durableId="1421560902">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3" w16cid:durableId="1524435861">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4" w16cid:durableId="1147749876">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5" w16cid:durableId="130948000">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6" w16cid:durableId="207199812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7" w16cid:durableId="78593207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8" w16cid:durableId="1614094779">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9" w16cid:durableId="1714843842">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0" w16cid:durableId="696546006">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1" w16cid:durableId="810635484">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2" w16cid:durableId="1313364000">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3" w16cid:durableId="988092076">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4" w16cid:durableId="667828835">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5" w16cid:durableId="2124568945">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6" w16cid:durableId="3552926">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7" w16cid:durableId="170158378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8" w16cid:durableId="963853886">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9" w16cid:durableId="1691445391">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0" w16cid:durableId="138899509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1" w16cid:durableId="1340230531">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2" w16cid:durableId="730277941">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3" w16cid:durableId="781076027">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4" w16cid:durableId="634800895">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5" w16cid:durableId="125023570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6" w16cid:durableId="485167019">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7" w16cid:durableId="1310523841">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8" w16cid:durableId="2112160485">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49" w16cid:durableId="146480959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0" w16cid:durableId="2092001307">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1" w16cid:durableId="1553224691">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2" w16cid:durableId="2068800434">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3" w16cid:durableId="1527788787">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4" w16cid:durableId="675427198">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5" w16cid:durableId="1329098169">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6" w16cid:durableId="1361711246">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7" w16cid:durableId="1773698737">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8" w16cid:durableId="1090010487">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59" w16cid:durableId="1548756725">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60" w16cid:durableId="1708943982">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61" w16cid:durableId="2087871474">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62" w16cid:durableId="523910835">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63" w16cid:durableId="186929145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64" w16cid:durableId="1362433028">
    <w:abstractNumId w:val="1"/>
  </w:num>
  <w:num w:numId="65" w16cid:durableId="1916549796">
    <w:abstractNumId w:val="9"/>
  </w:num>
  <w:num w:numId="66" w16cid:durableId="402676504">
    <w:abstractNumId w:val="6"/>
  </w:num>
  <w:num w:numId="67" w16cid:durableId="2027321295">
    <w:abstractNumId w:val="13"/>
  </w:num>
  <w:num w:numId="68" w16cid:durableId="789400087">
    <w:abstractNumId w:val="14"/>
  </w:num>
  <w:num w:numId="69" w16cid:durableId="1616133803">
    <w:abstractNumId w:val="7"/>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de-CH" w:vendorID="64" w:dllVersion="0" w:nlCheck="1" w:checkStyle="0"/>
  <w:activeWritingStyle w:appName="MSWord" w:lang="en-GB"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51E"/>
    <w:rsid w:val="00006C60"/>
    <w:rsid w:val="000149E6"/>
    <w:rsid w:val="000208C8"/>
    <w:rsid w:val="000247B0"/>
    <w:rsid w:val="00026997"/>
    <w:rsid w:val="000278B9"/>
    <w:rsid w:val="00033E0B"/>
    <w:rsid w:val="00034F18"/>
    <w:rsid w:val="00035EDE"/>
    <w:rsid w:val="000509B4"/>
    <w:rsid w:val="00055AD7"/>
    <w:rsid w:val="00056B2C"/>
    <w:rsid w:val="0006035B"/>
    <w:rsid w:val="0007166E"/>
    <w:rsid w:val="00071886"/>
    <w:rsid w:val="000742BC"/>
    <w:rsid w:val="0008041D"/>
    <w:rsid w:val="00082A0C"/>
    <w:rsid w:val="00082DCD"/>
    <w:rsid w:val="00083504"/>
    <w:rsid w:val="0008710B"/>
    <w:rsid w:val="000873DF"/>
    <w:rsid w:val="0009027A"/>
    <w:rsid w:val="0009640C"/>
    <w:rsid w:val="000B217D"/>
    <w:rsid w:val="000B21D5"/>
    <w:rsid w:val="000B22A2"/>
    <w:rsid w:val="000B7FBB"/>
    <w:rsid w:val="000C2A52"/>
    <w:rsid w:val="000C46A9"/>
    <w:rsid w:val="000D33C0"/>
    <w:rsid w:val="000D4E42"/>
    <w:rsid w:val="000D5884"/>
    <w:rsid w:val="000D6941"/>
    <w:rsid w:val="000E0405"/>
    <w:rsid w:val="000E2ABF"/>
    <w:rsid w:val="000E69C9"/>
    <w:rsid w:val="000F63D1"/>
    <w:rsid w:val="000F6CFF"/>
    <w:rsid w:val="000F74A7"/>
    <w:rsid w:val="001139DA"/>
    <w:rsid w:val="0011551E"/>
    <w:rsid w:val="00115F73"/>
    <w:rsid w:val="001202E3"/>
    <w:rsid w:val="00123699"/>
    <w:rsid w:val="0013056E"/>
    <w:rsid w:val="0013059D"/>
    <w:rsid w:val="0014083A"/>
    <w:rsid w:val="00141A55"/>
    <w:rsid w:val="001446A3"/>
    <w:rsid w:val="00155395"/>
    <w:rsid w:val="00172C69"/>
    <w:rsid w:val="00172E6C"/>
    <w:rsid w:val="00173D27"/>
    <w:rsid w:val="00174739"/>
    <w:rsid w:val="00180BFE"/>
    <w:rsid w:val="0018127C"/>
    <w:rsid w:val="00181EC8"/>
    <w:rsid w:val="0018310F"/>
    <w:rsid w:val="00184349"/>
    <w:rsid w:val="0018645F"/>
    <w:rsid w:val="00195F33"/>
    <w:rsid w:val="001A5EE1"/>
    <w:rsid w:val="001A7FF9"/>
    <w:rsid w:val="001B1617"/>
    <w:rsid w:val="001B504B"/>
    <w:rsid w:val="001B77BF"/>
    <w:rsid w:val="001C29FC"/>
    <w:rsid w:val="001D3874"/>
    <w:rsid w:val="001D3C5B"/>
    <w:rsid w:val="001D5344"/>
    <w:rsid w:val="001D7E75"/>
    <w:rsid w:val="001E22D1"/>
    <w:rsid w:val="001E56D2"/>
    <w:rsid w:val="001E7D56"/>
    <w:rsid w:val="001F75DE"/>
    <w:rsid w:val="00200D58"/>
    <w:rsid w:val="002013BE"/>
    <w:rsid w:val="002063A4"/>
    <w:rsid w:val="00206F97"/>
    <w:rsid w:val="0021145B"/>
    <w:rsid w:val="00214277"/>
    <w:rsid w:val="0021449A"/>
    <w:rsid w:val="0022762D"/>
    <w:rsid w:val="00230763"/>
    <w:rsid w:val="00234806"/>
    <w:rsid w:val="002378D6"/>
    <w:rsid w:val="00243550"/>
    <w:rsid w:val="00243D36"/>
    <w:rsid w:val="00247707"/>
    <w:rsid w:val="00253FA0"/>
    <w:rsid w:val="00277919"/>
    <w:rsid w:val="00286740"/>
    <w:rsid w:val="00287B42"/>
    <w:rsid w:val="002929D8"/>
    <w:rsid w:val="00293534"/>
    <w:rsid w:val="002935C2"/>
    <w:rsid w:val="002A237D"/>
    <w:rsid w:val="002A4C53"/>
    <w:rsid w:val="002B0672"/>
    <w:rsid w:val="002B1B4C"/>
    <w:rsid w:val="002B247F"/>
    <w:rsid w:val="002B402F"/>
    <w:rsid w:val="002C145D"/>
    <w:rsid w:val="002C2C3E"/>
    <w:rsid w:val="002C533E"/>
    <w:rsid w:val="002D027F"/>
    <w:rsid w:val="002D14A8"/>
    <w:rsid w:val="002D7A85"/>
    <w:rsid w:val="002D7B60"/>
    <w:rsid w:val="002E19D4"/>
    <w:rsid w:val="002E2934"/>
    <w:rsid w:val="002F4761"/>
    <w:rsid w:val="002F5006"/>
    <w:rsid w:val="002F5C79"/>
    <w:rsid w:val="003019E2"/>
    <w:rsid w:val="0031413F"/>
    <w:rsid w:val="003148BB"/>
    <w:rsid w:val="00317976"/>
    <w:rsid w:val="00323885"/>
    <w:rsid w:val="00331475"/>
    <w:rsid w:val="00342D9F"/>
    <w:rsid w:val="0034535D"/>
    <w:rsid w:val="00355EA9"/>
    <w:rsid w:val="003578DE"/>
    <w:rsid w:val="0036093A"/>
    <w:rsid w:val="003649A3"/>
    <w:rsid w:val="00365F6B"/>
    <w:rsid w:val="00366909"/>
    <w:rsid w:val="00371340"/>
    <w:rsid w:val="00374B0F"/>
    <w:rsid w:val="003759E2"/>
    <w:rsid w:val="00386999"/>
    <w:rsid w:val="00396257"/>
    <w:rsid w:val="00397EB8"/>
    <w:rsid w:val="003A07AB"/>
    <w:rsid w:val="003A086E"/>
    <w:rsid w:val="003A37B8"/>
    <w:rsid w:val="003A45E6"/>
    <w:rsid w:val="003A4FD0"/>
    <w:rsid w:val="003A69D1"/>
    <w:rsid w:val="003A7705"/>
    <w:rsid w:val="003B1545"/>
    <w:rsid w:val="003C0329"/>
    <w:rsid w:val="003C035E"/>
    <w:rsid w:val="003C3267"/>
    <w:rsid w:val="003C409D"/>
    <w:rsid w:val="003C5BA6"/>
    <w:rsid w:val="003F0E85"/>
    <w:rsid w:val="003F1E58"/>
    <w:rsid w:val="003F614B"/>
    <w:rsid w:val="003F6C8B"/>
    <w:rsid w:val="003F6F07"/>
    <w:rsid w:val="00404CB5"/>
    <w:rsid w:val="00405251"/>
    <w:rsid w:val="00405B0C"/>
    <w:rsid w:val="00405E69"/>
    <w:rsid w:val="00410C55"/>
    <w:rsid w:val="0041604D"/>
    <w:rsid w:val="00416854"/>
    <w:rsid w:val="00417725"/>
    <w:rsid w:val="0041779A"/>
    <w:rsid w:val="004243EA"/>
    <w:rsid w:val="00433014"/>
    <w:rsid w:val="00437F26"/>
    <w:rsid w:val="00441A64"/>
    <w:rsid w:val="00444097"/>
    <w:rsid w:val="00444D1D"/>
    <w:rsid w:val="00445487"/>
    <w:rsid w:val="00454769"/>
    <w:rsid w:val="00455B73"/>
    <w:rsid w:val="00456D58"/>
    <w:rsid w:val="00460F91"/>
    <w:rsid w:val="00466991"/>
    <w:rsid w:val="0047064C"/>
    <w:rsid w:val="00474D90"/>
    <w:rsid w:val="004959EF"/>
    <w:rsid w:val="00495BFE"/>
    <w:rsid w:val="004A42E1"/>
    <w:rsid w:val="004B162C"/>
    <w:rsid w:val="004C3DBE"/>
    <w:rsid w:val="004C5C96"/>
    <w:rsid w:val="004D06A4"/>
    <w:rsid w:val="004E59D4"/>
    <w:rsid w:val="004E79AC"/>
    <w:rsid w:val="004F1A81"/>
    <w:rsid w:val="0051354C"/>
    <w:rsid w:val="005218D9"/>
    <w:rsid w:val="0052568F"/>
    <w:rsid w:val="00532E47"/>
    <w:rsid w:val="00536186"/>
    <w:rsid w:val="0054317E"/>
    <w:rsid w:val="00544CBB"/>
    <w:rsid w:val="005458D0"/>
    <w:rsid w:val="00550518"/>
    <w:rsid w:val="00552CD6"/>
    <w:rsid w:val="0057315F"/>
    <w:rsid w:val="00576104"/>
    <w:rsid w:val="00594BA0"/>
    <w:rsid w:val="005A3C22"/>
    <w:rsid w:val="005B22D9"/>
    <w:rsid w:val="005B630F"/>
    <w:rsid w:val="005C1197"/>
    <w:rsid w:val="005C67C8"/>
    <w:rsid w:val="005D0249"/>
    <w:rsid w:val="005D6E8C"/>
    <w:rsid w:val="005F100C"/>
    <w:rsid w:val="005F68DA"/>
    <w:rsid w:val="005F75E6"/>
    <w:rsid w:val="006014DD"/>
    <w:rsid w:val="00606BBC"/>
    <w:rsid w:val="0060773B"/>
    <w:rsid w:val="0061277D"/>
    <w:rsid w:val="006157B5"/>
    <w:rsid w:val="00626FC6"/>
    <w:rsid w:val="00627CEE"/>
    <w:rsid w:val="006303B4"/>
    <w:rsid w:val="00633CEB"/>
    <w:rsid w:val="00633D3D"/>
    <w:rsid w:val="006344AE"/>
    <w:rsid w:val="00641703"/>
    <w:rsid w:val="006431A6"/>
    <w:rsid w:val="006459F6"/>
    <w:rsid w:val="006501AD"/>
    <w:rsid w:val="006508D8"/>
    <w:rsid w:val="00651BFA"/>
    <w:rsid w:val="00660F73"/>
    <w:rsid w:val="00663A80"/>
    <w:rsid w:val="00665A4B"/>
    <w:rsid w:val="00691F0D"/>
    <w:rsid w:val="00692E2A"/>
    <w:rsid w:val="006933D4"/>
    <w:rsid w:val="006A0994"/>
    <w:rsid w:val="006A76F2"/>
    <w:rsid w:val="006C38DA"/>
    <w:rsid w:val="006C3DDA"/>
    <w:rsid w:val="006D3277"/>
    <w:rsid w:val="006D6402"/>
    <w:rsid w:val="006D7EFB"/>
    <w:rsid w:val="006E1BF4"/>
    <w:rsid w:val="006E6672"/>
    <w:rsid w:val="006E6722"/>
    <w:rsid w:val="006F10F1"/>
    <w:rsid w:val="007027B9"/>
    <w:rsid w:val="00713300"/>
    <w:rsid w:val="00713D8F"/>
    <w:rsid w:val="00715E88"/>
    <w:rsid w:val="00730A21"/>
    <w:rsid w:val="00734CAA"/>
    <w:rsid w:val="0074311F"/>
    <w:rsid w:val="00755106"/>
    <w:rsid w:val="0075533C"/>
    <w:rsid w:val="00757581"/>
    <w:rsid w:val="007611A0"/>
    <w:rsid w:val="007658A0"/>
    <w:rsid w:val="00786D70"/>
    <w:rsid w:val="00796D3F"/>
    <w:rsid w:val="007A1683"/>
    <w:rsid w:val="007A36F8"/>
    <w:rsid w:val="007A3994"/>
    <w:rsid w:val="007A5C12"/>
    <w:rsid w:val="007A6C61"/>
    <w:rsid w:val="007A7CB0"/>
    <w:rsid w:val="007A7CB2"/>
    <w:rsid w:val="007B2096"/>
    <w:rsid w:val="007B68A3"/>
    <w:rsid w:val="007B693B"/>
    <w:rsid w:val="007C2541"/>
    <w:rsid w:val="007D66A8"/>
    <w:rsid w:val="007D72B5"/>
    <w:rsid w:val="007E003F"/>
    <w:rsid w:val="00802E72"/>
    <w:rsid w:val="008164F2"/>
    <w:rsid w:val="00821395"/>
    <w:rsid w:val="00823FB6"/>
    <w:rsid w:val="00830E26"/>
    <w:rsid w:val="00843576"/>
    <w:rsid w:val="00843B64"/>
    <w:rsid w:val="008478FC"/>
    <w:rsid w:val="00856316"/>
    <w:rsid w:val="00863C40"/>
    <w:rsid w:val="00867BFF"/>
    <w:rsid w:val="0087776F"/>
    <w:rsid w:val="0088480A"/>
    <w:rsid w:val="00885F4E"/>
    <w:rsid w:val="008861F7"/>
    <w:rsid w:val="0088757A"/>
    <w:rsid w:val="008957DD"/>
    <w:rsid w:val="00897D98"/>
    <w:rsid w:val="008A04FB"/>
    <w:rsid w:val="008A26B4"/>
    <w:rsid w:val="008A6DF2"/>
    <w:rsid w:val="008A7807"/>
    <w:rsid w:val="008B4C37"/>
    <w:rsid w:val="008B4CC9"/>
    <w:rsid w:val="008B4E90"/>
    <w:rsid w:val="008C02EE"/>
    <w:rsid w:val="008C1B8B"/>
    <w:rsid w:val="008C2A70"/>
    <w:rsid w:val="008C6CA8"/>
    <w:rsid w:val="008D04B0"/>
    <w:rsid w:val="008D3AE0"/>
    <w:rsid w:val="008D7C99"/>
    <w:rsid w:val="008E0FCB"/>
    <w:rsid w:val="008F0732"/>
    <w:rsid w:val="00907D78"/>
    <w:rsid w:val="0091649E"/>
    <w:rsid w:val="009207DF"/>
    <w:rsid w:val="0092178C"/>
    <w:rsid w:val="00930B88"/>
    <w:rsid w:val="009316A9"/>
    <w:rsid w:val="009378DC"/>
    <w:rsid w:val="00940DCC"/>
    <w:rsid w:val="0094179A"/>
    <w:rsid w:val="0094459E"/>
    <w:rsid w:val="009448B9"/>
    <w:rsid w:val="00944DBC"/>
    <w:rsid w:val="00950977"/>
    <w:rsid w:val="00951A7B"/>
    <w:rsid w:val="009564A6"/>
    <w:rsid w:val="00961A33"/>
    <w:rsid w:val="009674B3"/>
    <w:rsid w:val="00967621"/>
    <w:rsid w:val="00967E6A"/>
    <w:rsid w:val="009723C2"/>
    <w:rsid w:val="00980797"/>
    <w:rsid w:val="009818FA"/>
    <w:rsid w:val="00985C39"/>
    <w:rsid w:val="009927AF"/>
    <w:rsid w:val="009935AC"/>
    <w:rsid w:val="009A06FB"/>
    <w:rsid w:val="009A46E7"/>
    <w:rsid w:val="009A6054"/>
    <w:rsid w:val="009B0F83"/>
    <w:rsid w:val="009B4A0F"/>
    <w:rsid w:val="009C11D2"/>
    <w:rsid w:val="009C6C70"/>
    <w:rsid w:val="009D0922"/>
    <w:rsid w:val="009D0B63"/>
    <w:rsid w:val="009D3388"/>
    <w:rsid w:val="009E307E"/>
    <w:rsid w:val="009F3770"/>
    <w:rsid w:val="00A03A4A"/>
    <w:rsid w:val="00A060C8"/>
    <w:rsid w:val="00A07870"/>
    <w:rsid w:val="00A07F19"/>
    <w:rsid w:val="00A12128"/>
    <w:rsid w:val="00A1348D"/>
    <w:rsid w:val="00A1489E"/>
    <w:rsid w:val="00A232EE"/>
    <w:rsid w:val="00A2400F"/>
    <w:rsid w:val="00A4175F"/>
    <w:rsid w:val="00A418C8"/>
    <w:rsid w:val="00A44411"/>
    <w:rsid w:val="00A469FA"/>
    <w:rsid w:val="00A50E94"/>
    <w:rsid w:val="00A55B01"/>
    <w:rsid w:val="00A56B5B"/>
    <w:rsid w:val="00A603FF"/>
    <w:rsid w:val="00A65342"/>
    <w:rsid w:val="00A657DD"/>
    <w:rsid w:val="00A666A6"/>
    <w:rsid w:val="00A675FD"/>
    <w:rsid w:val="00A71501"/>
    <w:rsid w:val="00A72437"/>
    <w:rsid w:val="00A80611"/>
    <w:rsid w:val="00A84B15"/>
    <w:rsid w:val="00A87016"/>
    <w:rsid w:val="00AA31B0"/>
    <w:rsid w:val="00AB021E"/>
    <w:rsid w:val="00AB274F"/>
    <w:rsid w:val="00AB5340"/>
    <w:rsid w:val="00AC010E"/>
    <w:rsid w:val="00AC01CC"/>
    <w:rsid w:val="00AC16B8"/>
    <w:rsid w:val="00AC79E4"/>
    <w:rsid w:val="00AC79ED"/>
    <w:rsid w:val="00AC7C96"/>
    <w:rsid w:val="00AD10BC"/>
    <w:rsid w:val="00AE237D"/>
    <w:rsid w:val="00AE2A3D"/>
    <w:rsid w:val="00AE502A"/>
    <w:rsid w:val="00AF5F51"/>
    <w:rsid w:val="00AF7C07"/>
    <w:rsid w:val="00B1644C"/>
    <w:rsid w:val="00B22C93"/>
    <w:rsid w:val="00B24D22"/>
    <w:rsid w:val="00B27589"/>
    <w:rsid w:val="00B34FF9"/>
    <w:rsid w:val="00B37EF9"/>
    <w:rsid w:val="00B405B7"/>
    <w:rsid w:val="00B454AE"/>
    <w:rsid w:val="00B45E6D"/>
    <w:rsid w:val="00B506E4"/>
    <w:rsid w:val="00B52222"/>
    <w:rsid w:val="00B54FE7"/>
    <w:rsid w:val="00B57C47"/>
    <w:rsid w:val="00B66901"/>
    <w:rsid w:val="00B71E6D"/>
    <w:rsid w:val="00B72070"/>
    <w:rsid w:val="00B779E1"/>
    <w:rsid w:val="00B8535F"/>
    <w:rsid w:val="00B859A3"/>
    <w:rsid w:val="00B91EE1"/>
    <w:rsid w:val="00BA0090"/>
    <w:rsid w:val="00BA1A67"/>
    <w:rsid w:val="00BB49DE"/>
    <w:rsid w:val="00BC07FE"/>
    <w:rsid w:val="00BD0163"/>
    <w:rsid w:val="00BD159E"/>
    <w:rsid w:val="00BD2A1B"/>
    <w:rsid w:val="00BD6CA8"/>
    <w:rsid w:val="00BE1869"/>
    <w:rsid w:val="00BE5B5F"/>
    <w:rsid w:val="00BF2F41"/>
    <w:rsid w:val="00C00FF2"/>
    <w:rsid w:val="00C05F92"/>
    <w:rsid w:val="00C107E0"/>
    <w:rsid w:val="00C26EFC"/>
    <w:rsid w:val="00C26F55"/>
    <w:rsid w:val="00C30C63"/>
    <w:rsid w:val="00C31C1D"/>
    <w:rsid w:val="00C32B37"/>
    <w:rsid w:val="00C36B8B"/>
    <w:rsid w:val="00C4401A"/>
    <w:rsid w:val="00C47DBF"/>
    <w:rsid w:val="00C51E36"/>
    <w:rsid w:val="00C53666"/>
    <w:rsid w:val="00C552FF"/>
    <w:rsid w:val="00C558DA"/>
    <w:rsid w:val="00C55AF3"/>
    <w:rsid w:val="00C71DB6"/>
    <w:rsid w:val="00C75C7C"/>
    <w:rsid w:val="00C84759"/>
    <w:rsid w:val="00C969B8"/>
    <w:rsid w:val="00CA139C"/>
    <w:rsid w:val="00CA2E69"/>
    <w:rsid w:val="00CA6C7F"/>
    <w:rsid w:val="00CB54D3"/>
    <w:rsid w:val="00CB6F8C"/>
    <w:rsid w:val="00CC0260"/>
    <w:rsid w:val="00CC10A6"/>
    <w:rsid w:val="00CC1C6E"/>
    <w:rsid w:val="00CD5EB8"/>
    <w:rsid w:val="00CD7044"/>
    <w:rsid w:val="00CE08B9"/>
    <w:rsid w:val="00CE524C"/>
    <w:rsid w:val="00CF141F"/>
    <w:rsid w:val="00CF4777"/>
    <w:rsid w:val="00CF5AF8"/>
    <w:rsid w:val="00CF6298"/>
    <w:rsid w:val="00CF79F8"/>
    <w:rsid w:val="00D067BB"/>
    <w:rsid w:val="00D1352A"/>
    <w:rsid w:val="00D13EDE"/>
    <w:rsid w:val="00D169AF"/>
    <w:rsid w:val="00D247AA"/>
    <w:rsid w:val="00D2509C"/>
    <w:rsid w:val="00D25249"/>
    <w:rsid w:val="00D255A7"/>
    <w:rsid w:val="00D44172"/>
    <w:rsid w:val="00D44601"/>
    <w:rsid w:val="00D44754"/>
    <w:rsid w:val="00D63B8C"/>
    <w:rsid w:val="00D63CC0"/>
    <w:rsid w:val="00D643B4"/>
    <w:rsid w:val="00D66AFB"/>
    <w:rsid w:val="00D72CB6"/>
    <w:rsid w:val="00D739CC"/>
    <w:rsid w:val="00D801E9"/>
    <w:rsid w:val="00D8093D"/>
    <w:rsid w:val="00D8108C"/>
    <w:rsid w:val="00D842AE"/>
    <w:rsid w:val="00D9211C"/>
    <w:rsid w:val="00D92DE0"/>
    <w:rsid w:val="00D92FEF"/>
    <w:rsid w:val="00D93A0F"/>
    <w:rsid w:val="00D9724D"/>
    <w:rsid w:val="00DA1BCA"/>
    <w:rsid w:val="00DA3FFA"/>
    <w:rsid w:val="00DA7299"/>
    <w:rsid w:val="00DB36B7"/>
    <w:rsid w:val="00DB3E23"/>
    <w:rsid w:val="00DB50CD"/>
    <w:rsid w:val="00DC46FF"/>
    <w:rsid w:val="00DC5254"/>
    <w:rsid w:val="00DC6CDB"/>
    <w:rsid w:val="00DD1A4F"/>
    <w:rsid w:val="00DD3107"/>
    <w:rsid w:val="00DD5EFF"/>
    <w:rsid w:val="00DD7C2C"/>
    <w:rsid w:val="00DE6E55"/>
    <w:rsid w:val="00DF5660"/>
    <w:rsid w:val="00DF5D27"/>
    <w:rsid w:val="00E06797"/>
    <w:rsid w:val="00E100A5"/>
    <w:rsid w:val="00E11528"/>
    <w:rsid w:val="00E122BC"/>
    <w:rsid w:val="00E1265B"/>
    <w:rsid w:val="00E13B48"/>
    <w:rsid w:val="00E1404F"/>
    <w:rsid w:val="00E1436D"/>
    <w:rsid w:val="00E1680D"/>
    <w:rsid w:val="00E212EF"/>
    <w:rsid w:val="00E21C83"/>
    <w:rsid w:val="00E23039"/>
    <w:rsid w:val="00E238CA"/>
    <w:rsid w:val="00E24ADA"/>
    <w:rsid w:val="00E256F6"/>
    <w:rsid w:val="00E32F59"/>
    <w:rsid w:val="00E46D9A"/>
    <w:rsid w:val="00E509D1"/>
    <w:rsid w:val="00E565FF"/>
    <w:rsid w:val="00E600D6"/>
    <w:rsid w:val="00E65388"/>
    <w:rsid w:val="00E67833"/>
    <w:rsid w:val="00E76611"/>
    <w:rsid w:val="00E8145A"/>
    <w:rsid w:val="00E85B7D"/>
    <w:rsid w:val="00E9121B"/>
    <w:rsid w:val="00E94B48"/>
    <w:rsid w:val="00E952FB"/>
    <w:rsid w:val="00EA0AE2"/>
    <w:rsid w:val="00EA292F"/>
    <w:rsid w:val="00EA39E5"/>
    <w:rsid w:val="00EB14EE"/>
    <w:rsid w:val="00EB3106"/>
    <w:rsid w:val="00EB40A4"/>
    <w:rsid w:val="00EC4E43"/>
    <w:rsid w:val="00EC5A46"/>
    <w:rsid w:val="00EC63E2"/>
    <w:rsid w:val="00ED0087"/>
    <w:rsid w:val="00ED1F3E"/>
    <w:rsid w:val="00ED451E"/>
    <w:rsid w:val="00EE1BA8"/>
    <w:rsid w:val="00EE1E98"/>
    <w:rsid w:val="00EE397B"/>
    <w:rsid w:val="00EE5261"/>
    <w:rsid w:val="00EF22B3"/>
    <w:rsid w:val="00EF469A"/>
    <w:rsid w:val="00F013C5"/>
    <w:rsid w:val="00F03B69"/>
    <w:rsid w:val="00F07A50"/>
    <w:rsid w:val="00F113DA"/>
    <w:rsid w:val="00F20EA8"/>
    <w:rsid w:val="00F23184"/>
    <w:rsid w:val="00F37DC8"/>
    <w:rsid w:val="00F402A2"/>
    <w:rsid w:val="00F40B45"/>
    <w:rsid w:val="00F439B3"/>
    <w:rsid w:val="00F502DD"/>
    <w:rsid w:val="00F511D5"/>
    <w:rsid w:val="00F53153"/>
    <w:rsid w:val="00F55399"/>
    <w:rsid w:val="00F638FC"/>
    <w:rsid w:val="00F63B0D"/>
    <w:rsid w:val="00F650C3"/>
    <w:rsid w:val="00F65D85"/>
    <w:rsid w:val="00F7043D"/>
    <w:rsid w:val="00F7203C"/>
    <w:rsid w:val="00F75453"/>
    <w:rsid w:val="00F779DF"/>
    <w:rsid w:val="00F8091E"/>
    <w:rsid w:val="00F8615C"/>
    <w:rsid w:val="00F9672F"/>
    <w:rsid w:val="00F969E5"/>
    <w:rsid w:val="00F9751A"/>
    <w:rsid w:val="00F97AEE"/>
    <w:rsid w:val="00FA0BAC"/>
    <w:rsid w:val="00FA1C95"/>
    <w:rsid w:val="00FA6BB0"/>
    <w:rsid w:val="00FA7390"/>
    <w:rsid w:val="00FB061C"/>
    <w:rsid w:val="00FD2D77"/>
    <w:rsid w:val="00FD5860"/>
    <w:rsid w:val="00FE352D"/>
    <w:rsid w:val="00FE40EB"/>
    <w:rsid w:val="00FE4D02"/>
    <w:rsid w:val="00FE51C9"/>
    <w:rsid w:val="00FE7B2F"/>
    <w:rsid w:val="00FE7D62"/>
    <w:rsid w:val="00FF11D2"/>
    <w:rsid w:val="00FF381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A215B"/>
  <w15:chartTrackingRefBased/>
  <w15:docId w15:val="{06396162-8070-4075-8698-0137C4CD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qFormat/>
    <w:rsid w:val="00F7043D"/>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semiHidden/>
    <w:rsid w:val="0022762D"/>
    <w:pPr>
      <w:keepNext/>
      <w:numPr>
        <w:numId w:val="3"/>
      </w:numPr>
      <w:spacing w:before="240" w:after="120"/>
      <w:outlineLvl w:val="0"/>
    </w:pPr>
    <w:rPr>
      <w:b/>
      <w:sz w:val="28"/>
    </w:rPr>
  </w:style>
  <w:style w:type="paragraph" w:styleId="Heading2">
    <w:name w:val="heading 2"/>
    <w:basedOn w:val="Normal"/>
    <w:next w:val="Normalnumber"/>
    <w:link w:val="Heading2Char"/>
    <w:semiHidden/>
    <w:rsid w:val="0022762D"/>
    <w:pPr>
      <w:keepNext/>
      <w:numPr>
        <w:ilvl w:val="1"/>
        <w:numId w:val="3"/>
      </w:numPr>
      <w:spacing w:before="240" w:after="120"/>
      <w:outlineLvl w:val="1"/>
    </w:pPr>
    <w:rPr>
      <w:b/>
      <w:sz w:val="24"/>
      <w:szCs w:val="24"/>
    </w:rPr>
  </w:style>
  <w:style w:type="paragraph" w:styleId="Heading3">
    <w:name w:val="heading 3"/>
    <w:basedOn w:val="Normal"/>
    <w:next w:val="Normalnumber"/>
    <w:link w:val="Heading3Char"/>
    <w:semiHidden/>
    <w:rsid w:val="0022762D"/>
    <w:pPr>
      <w:numPr>
        <w:ilvl w:val="2"/>
        <w:numId w:val="3"/>
      </w:numPr>
      <w:spacing w:after="120"/>
      <w:outlineLvl w:val="2"/>
    </w:pPr>
    <w:rPr>
      <w:b/>
    </w:rPr>
  </w:style>
  <w:style w:type="paragraph" w:styleId="Heading4">
    <w:name w:val="heading 4"/>
    <w:basedOn w:val="Heading3"/>
    <w:next w:val="Normalnumber"/>
    <w:link w:val="Heading4Char"/>
    <w:semiHidden/>
    <w:rsid w:val="0022762D"/>
    <w:pPr>
      <w:keepNext/>
      <w:numPr>
        <w:ilvl w:val="3"/>
      </w:numPr>
      <w:outlineLvl w:val="3"/>
    </w:pPr>
  </w:style>
  <w:style w:type="paragraph" w:styleId="Heading5">
    <w:name w:val="heading 5"/>
    <w:basedOn w:val="Normal"/>
    <w:next w:val="Normal"/>
    <w:link w:val="Heading5Char"/>
    <w:semiHidden/>
    <w:rsid w:val="0022762D"/>
    <w:pPr>
      <w:keepNext/>
      <w:numPr>
        <w:ilvl w:val="4"/>
        <w:numId w:val="3"/>
      </w:numPr>
      <w:outlineLvl w:val="4"/>
    </w:pPr>
    <w:rPr>
      <w:rFonts w:ascii="Univers" w:hAnsi="Univers"/>
      <w:b/>
      <w:sz w:val="24"/>
    </w:rPr>
  </w:style>
  <w:style w:type="paragraph" w:styleId="Heading6">
    <w:name w:val="heading 6"/>
    <w:basedOn w:val="Normal"/>
    <w:next w:val="Normal"/>
    <w:link w:val="Heading6Char"/>
    <w:semiHidden/>
    <w:rsid w:val="0022762D"/>
    <w:pPr>
      <w:keepNext/>
      <w:numPr>
        <w:ilvl w:val="5"/>
        <w:numId w:val="3"/>
      </w:numPr>
      <w:outlineLvl w:val="5"/>
    </w:pPr>
    <w:rPr>
      <w:b/>
      <w:bCs/>
      <w:sz w:val="24"/>
    </w:rPr>
  </w:style>
  <w:style w:type="paragraph" w:styleId="Heading7">
    <w:name w:val="heading 7"/>
    <w:basedOn w:val="Normal"/>
    <w:next w:val="Normal"/>
    <w:link w:val="Heading7Char"/>
    <w:semiHidden/>
    <w:rsid w:val="0022762D"/>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semiHidden/>
    <w:rsid w:val="0022762D"/>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semiHidden/>
    <w:rsid w:val="0022762D"/>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2762D"/>
    <w:rPr>
      <w:rFonts w:ascii="Times New Roman" w:hAnsi="Times New Roman"/>
      <w:b/>
      <w:sz w:val="18"/>
    </w:rPr>
  </w:style>
  <w:style w:type="table" w:customStyle="1" w:styleId="Tabledocright">
    <w:name w:val="Table_doc_right"/>
    <w:basedOn w:val="TableNormal"/>
    <w:rsid w:val="0022762D"/>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22762D"/>
    <w:pPr>
      <w:ind w:left="1000"/>
    </w:pPr>
    <w:rPr>
      <w:sz w:val="18"/>
      <w:szCs w:val="18"/>
    </w:rPr>
  </w:style>
  <w:style w:type="paragraph" w:styleId="TOC7">
    <w:name w:val="toc 7"/>
    <w:basedOn w:val="Normal"/>
    <w:next w:val="Normal"/>
    <w:autoRedefine/>
    <w:semiHidden/>
    <w:rsid w:val="0022762D"/>
    <w:pPr>
      <w:ind w:left="1200"/>
    </w:pPr>
    <w:rPr>
      <w:sz w:val="18"/>
      <w:szCs w:val="18"/>
    </w:rPr>
  </w:style>
  <w:style w:type="paragraph" w:styleId="TOC8">
    <w:name w:val="toc 8"/>
    <w:basedOn w:val="Normal"/>
    <w:next w:val="Normal"/>
    <w:autoRedefine/>
    <w:semiHidden/>
    <w:rsid w:val="0022762D"/>
    <w:pPr>
      <w:ind w:left="1400"/>
    </w:pPr>
    <w:rPr>
      <w:sz w:val="18"/>
      <w:szCs w:val="18"/>
    </w:rPr>
  </w:style>
  <w:style w:type="paragraph" w:styleId="TOC9">
    <w:name w:val="toc 9"/>
    <w:basedOn w:val="Normal"/>
    <w:next w:val="Normal"/>
    <w:autoRedefine/>
    <w:semiHidden/>
    <w:rsid w:val="0022762D"/>
    <w:pPr>
      <w:ind w:left="1600"/>
    </w:pPr>
    <w:rPr>
      <w:sz w:val="18"/>
      <w:szCs w:val="18"/>
    </w:rPr>
  </w:style>
  <w:style w:type="paragraph" w:customStyle="1" w:styleId="Titlefigure">
    <w:name w:val="Title_figure"/>
    <w:basedOn w:val="Titletable"/>
    <w:next w:val="NormalNonumber"/>
    <w:rsid w:val="0022762D"/>
    <w:rPr>
      <w:bCs w:val="0"/>
    </w:rPr>
  </w:style>
  <w:style w:type="paragraph" w:styleId="TableofFigures">
    <w:name w:val="table of figures"/>
    <w:basedOn w:val="Normal"/>
    <w:next w:val="Normal"/>
    <w:autoRedefine/>
    <w:semiHidden/>
    <w:rsid w:val="0022762D"/>
    <w:pPr>
      <w:ind w:left="1814" w:hanging="567"/>
    </w:pPr>
  </w:style>
  <w:style w:type="paragraph" w:customStyle="1" w:styleId="CH1">
    <w:name w:val="CH1"/>
    <w:basedOn w:val="Normal-pool"/>
    <w:next w:val="CH2"/>
    <w:qFormat/>
    <w:rsid w:val="00234806"/>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EE1BA8"/>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F638FC"/>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F638FC"/>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22762D"/>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F638FC"/>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22762D"/>
    <w:pPr>
      <w:tabs>
        <w:tab w:val="left" w:pos="4321"/>
        <w:tab w:val="right" w:pos="8641"/>
      </w:tabs>
      <w:spacing w:before="60" w:after="120"/>
    </w:pPr>
    <w:rPr>
      <w:b/>
      <w:sz w:val="18"/>
    </w:rPr>
  </w:style>
  <w:style w:type="paragraph" w:customStyle="1" w:styleId="Footer-pool">
    <w:name w:val="Footer-pool"/>
    <w:basedOn w:val="Normal"/>
    <w:next w:val="Normal"/>
    <w:rsid w:val="00C969B8"/>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rPr>
  </w:style>
  <w:style w:type="paragraph" w:customStyle="1" w:styleId="Header-pool">
    <w:name w:val="Header-pool"/>
    <w:basedOn w:val="Normal"/>
    <w:next w:val="Normal"/>
    <w:rsid w:val="00C969B8"/>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rPr>
  </w:style>
  <w:style w:type="paragraph" w:customStyle="1" w:styleId="Normal-pool">
    <w:name w:val="Normal-pool"/>
    <w:link w:val="Normal-poolChar"/>
    <w:qFormat/>
    <w:rsid w:val="00C969B8"/>
    <w:pPr>
      <w:tabs>
        <w:tab w:val="left" w:pos="624"/>
        <w:tab w:val="left" w:pos="1247"/>
        <w:tab w:val="left" w:pos="1871"/>
        <w:tab w:val="left" w:pos="2495"/>
        <w:tab w:val="left" w:pos="3119"/>
        <w:tab w:val="left" w:pos="3742"/>
        <w:tab w:val="left" w:pos="4366"/>
      </w:tabs>
    </w:pPr>
    <w:rPr>
      <w:rFonts w:eastAsia="Times New Roman"/>
      <w:lang w:val="en-GB"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CharCharCharCharCarChar"/>
    <w:uiPriority w:val="99"/>
    <w:qFormat/>
    <w:rsid w:val="0022762D"/>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B57C47"/>
    <w:pPr>
      <w:tabs>
        <w:tab w:val="left" w:pos="4082"/>
      </w:tabs>
      <w:spacing w:before="20" w:after="40"/>
      <w:ind w:left="1247"/>
    </w:pPr>
    <w:rPr>
      <w:sz w:val="18"/>
    </w:rPr>
  </w:style>
  <w:style w:type="table" w:customStyle="1" w:styleId="AATable">
    <w:name w:val="AA_Table"/>
    <w:basedOn w:val="TableNormal"/>
    <w:semiHidden/>
    <w:rsid w:val="001C29FC"/>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34806"/>
    <w:pPr>
      <w:keepNext/>
      <w:keepLines/>
      <w:suppressAutoHyphens/>
    </w:pPr>
    <w:rPr>
      <w:b/>
    </w:rPr>
  </w:style>
  <w:style w:type="paragraph" w:customStyle="1" w:styleId="AATitle2">
    <w:name w:val="AA_Title2"/>
    <w:basedOn w:val="AATitle"/>
    <w:qFormat/>
    <w:rsid w:val="00234806"/>
    <w:pPr>
      <w:keepNext w:val="0"/>
      <w:keepLines w:val="0"/>
      <w:spacing w:before="120" w:after="120"/>
    </w:pPr>
  </w:style>
  <w:style w:type="paragraph" w:customStyle="1" w:styleId="BBTitle">
    <w:name w:val="BB_Title"/>
    <w:basedOn w:val="Normal-pool"/>
    <w:link w:val="BBTitleChar"/>
    <w:qFormat/>
    <w:rsid w:val="00234806"/>
    <w:pPr>
      <w:keepNext/>
      <w:keepLines/>
      <w:suppressAutoHyphens/>
      <w:spacing w:before="320" w:after="240"/>
      <w:ind w:left="1247" w:right="567"/>
    </w:pPr>
    <w:rPr>
      <w:b/>
      <w:sz w:val="28"/>
      <w:szCs w:val="28"/>
    </w:rPr>
  </w:style>
  <w:style w:type="paragraph" w:styleId="Footer">
    <w:name w:val="footer"/>
    <w:basedOn w:val="Normal"/>
    <w:link w:val="FooterChar"/>
    <w:uiPriority w:val="99"/>
    <w:semiHidden/>
    <w:rsid w:val="0022762D"/>
    <w:pPr>
      <w:tabs>
        <w:tab w:val="center" w:pos="4320"/>
        <w:tab w:val="right" w:pos="8640"/>
      </w:tabs>
      <w:spacing w:before="60" w:after="120"/>
    </w:pPr>
    <w:rPr>
      <w:sz w:val="18"/>
    </w:rPr>
  </w:style>
  <w:style w:type="paragraph" w:styleId="Header">
    <w:name w:val="header"/>
    <w:basedOn w:val="Normal"/>
    <w:link w:val="HeaderChar"/>
    <w:semiHidden/>
    <w:rsid w:val="000208C8"/>
    <w:pPr>
      <w:tabs>
        <w:tab w:val="center" w:pos="4536"/>
        <w:tab w:val="right" w:pos="9072"/>
      </w:tabs>
    </w:pPr>
    <w:rPr>
      <w:b/>
      <w:sz w:val="18"/>
    </w:rPr>
  </w:style>
  <w:style w:type="character" w:styleId="Hyperlink">
    <w:name w:val="Hyperlink"/>
    <w:uiPriority w:val="99"/>
    <w:unhideWhenUsed/>
    <w:rsid w:val="00BD159E"/>
    <w:rPr>
      <w:rFonts w:ascii="Times New Roman" w:hAnsi="Times New Roman"/>
      <w:color w:val="0000FF"/>
      <w:sz w:val="20"/>
      <w:szCs w:val="20"/>
      <w:u w:val="none"/>
      <w:lang w:val="en-US"/>
    </w:rPr>
  </w:style>
  <w:style w:type="numbering" w:customStyle="1" w:styleId="Normallist">
    <w:name w:val="Normal_list"/>
    <w:basedOn w:val="NoList"/>
    <w:rsid w:val="00DE6E55"/>
    <w:pPr>
      <w:numPr>
        <w:numId w:val="2"/>
      </w:numPr>
    </w:pPr>
  </w:style>
  <w:style w:type="paragraph" w:customStyle="1" w:styleId="NormalNonumber">
    <w:name w:val="Normal_No_number"/>
    <w:basedOn w:val="Normal-pool"/>
    <w:qFormat/>
    <w:rsid w:val="00C969B8"/>
    <w:pPr>
      <w:tabs>
        <w:tab w:val="clear" w:pos="1247"/>
        <w:tab w:val="clear" w:pos="1871"/>
        <w:tab w:val="clear" w:pos="2495"/>
        <w:tab w:val="clear" w:pos="3119"/>
        <w:tab w:val="clear" w:pos="3742"/>
        <w:tab w:val="clear" w:pos="4366"/>
      </w:tabs>
      <w:spacing w:after="120"/>
      <w:ind w:left="1247"/>
    </w:pPr>
  </w:style>
  <w:style w:type="paragraph" w:customStyle="1" w:styleId="Normalnumber">
    <w:name w:val="Normal_number"/>
    <w:basedOn w:val="Normal"/>
    <w:link w:val="NormalnumberChar"/>
    <w:qFormat/>
    <w:rsid w:val="000E69C9"/>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234806"/>
    <w:pPr>
      <w:keepNext/>
      <w:keepLines/>
      <w:suppressAutoHyphens/>
      <w:spacing w:after="60"/>
      <w:ind w:left="1247"/>
    </w:pPr>
    <w:rPr>
      <w:b/>
      <w:bCs/>
    </w:rPr>
  </w:style>
  <w:style w:type="paragraph" w:styleId="TOC1">
    <w:name w:val="toc 1"/>
    <w:basedOn w:val="Normal-pool"/>
    <w:next w:val="Normal-pool"/>
    <w:uiPriority w:val="39"/>
    <w:unhideWhenUsed/>
    <w:rsid w:val="0022762D"/>
    <w:pPr>
      <w:tabs>
        <w:tab w:val="right" w:leader="dot" w:pos="9486"/>
      </w:tabs>
      <w:spacing w:before="240"/>
      <w:ind w:left="1814" w:hanging="567"/>
    </w:pPr>
    <w:rPr>
      <w:bCs/>
    </w:rPr>
  </w:style>
  <w:style w:type="paragraph" w:styleId="TOC2">
    <w:name w:val="toc 2"/>
    <w:basedOn w:val="Normal-pool"/>
    <w:next w:val="Normal-pool"/>
    <w:uiPriority w:val="39"/>
    <w:unhideWhenUsed/>
    <w:rsid w:val="0022762D"/>
    <w:pPr>
      <w:tabs>
        <w:tab w:val="right" w:leader="dot" w:pos="9486"/>
      </w:tabs>
      <w:ind w:left="2381" w:hanging="567"/>
    </w:pPr>
  </w:style>
  <w:style w:type="paragraph" w:styleId="TOC3">
    <w:name w:val="toc 3"/>
    <w:basedOn w:val="Normal-pool"/>
    <w:next w:val="Normal-pool"/>
    <w:unhideWhenUsed/>
    <w:rsid w:val="0022762D"/>
    <w:pPr>
      <w:tabs>
        <w:tab w:val="right" w:leader="dot" w:pos="9486"/>
      </w:tabs>
      <w:ind w:left="2948" w:hanging="567"/>
    </w:pPr>
    <w:rPr>
      <w:iCs/>
    </w:rPr>
  </w:style>
  <w:style w:type="paragraph" w:styleId="TOC4">
    <w:name w:val="toc 4"/>
    <w:basedOn w:val="Normal-pool"/>
    <w:next w:val="Normal-pool"/>
    <w:unhideWhenUsed/>
    <w:rsid w:val="0022762D"/>
    <w:pPr>
      <w:tabs>
        <w:tab w:val="left" w:pos="1000"/>
        <w:tab w:val="right" w:leader="dot" w:pos="9486"/>
      </w:tabs>
      <w:ind w:left="3515" w:hanging="567"/>
    </w:pPr>
    <w:rPr>
      <w:szCs w:val="18"/>
    </w:rPr>
  </w:style>
  <w:style w:type="paragraph" w:styleId="TOC5">
    <w:name w:val="toc 5"/>
    <w:basedOn w:val="Normal-pool"/>
    <w:next w:val="Normal-pool"/>
    <w:rsid w:val="0022762D"/>
    <w:pPr>
      <w:ind w:left="800"/>
    </w:pPr>
    <w:rPr>
      <w:sz w:val="18"/>
      <w:szCs w:val="18"/>
    </w:rPr>
  </w:style>
  <w:style w:type="paragraph" w:customStyle="1" w:styleId="ZZAnxheader">
    <w:name w:val="ZZ_Anx_header"/>
    <w:basedOn w:val="Normal-pool"/>
    <w:rsid w:val="00234806"/>
    <w:rPr>
      <w:b/>
      <w:bCs/>
      <w:sz w:val="28"/>
      <w:szCs w:val="22"/>
    </w:rPr>
  </w:style>
  <w:style w:type="paragraph" w:customStyle="1" w:styleId="ZZAnxtitle">
    <w:name w:val="ZZ_Anx_title"/>
    <w:basedOn w:val="Normal-pool"/>
    <w:link w:val="ZZAnxtitleChar"/>
    <w:rsid w:val="00663A80"/>
    <w:pPr>
      <w:spacing w:before="360" w:after="120"/>
      <w:ind w:left="1247"/>
    </w:pPr>
    <w:rPr>
      <w:b/>
      <w:bCs/>
      <w:sz w:val="28"/>
      <w:szCs w:val="26"/>
    </w:rPr>
  </w:style>
  <w:style w:type="paragraph" w:styleId="NormalWeb">
    <w:name w:val="Normal (Web)"/>
    <w:basedOn w:val="Normal"/>
    <w:uiPriority w:val="99"/>
    <w:semiHidden/>
    <w:unhideWhenUsed/>
    <w:rsid w:val="0022762D"/>
    <w:pPr>
      <w:spacing w:before="100" w:beforeAutospacing="1" w:after="100" w:afterAutospacing="1"/>
    </w:pPr>
    <w:rPr>
      <w:rFonts w:eastAsiaTheme="minorEastAsia"/>
      <w:sz w:val="24"/>
      <w:szCs w:val="24"/>
    </w:rPr>
  </w:style>
  <w:style w:type="paragraph" w:customStyle="1" w:styleId="Normal-pool-Table">
    <w:name w:val="Normal-pool-Table"/>
    <w:basedOn w:val="Normal-pool"/>
    <w:rsid w:val="00234806"/>
    <w:pPr>
      <w:spacing w:before="40" w:after="40"/>
    </w:pPr>
    <w:rPr>
      <w:sz w:val="18"/>
    </w:rPr>
  </w:style>
  <w:style w:type="paragraph" w:customStyle="1" w:styleId="Footnote-Text">
    <w:name w:val="Footnote-Text"/>
    <w:basedOn w:val="Normal-pool"/>
    <w:rsid w:val="00234806"/>
    <w:pPr>
      <w:spacing w:before="20" w:after="40"/>
      <w:ind w:left="1247"/>
    </w:pPr>
    <w:rPr>
      <w:sz w:val="18"/>
    </w:rPr>
  </w:style>
  <w:style w:type="character" w:customStyle="1" w:styleId="Normal-poolChar">
    <w:name w:val="Normal-pool Char"/>
    <w:link w:val="Normal-pool"/>
    <w:locked/>
    <w:rsid w:val="00C969B8"/>
    <w:rPr>
      <w:rFonts w:eastAsia="Times New Roman"/>
      <w:lang w:val="en-GB" w:eastAsia="en-US"/>
    </w:rPr>
  </w:style>
  <w:style w:type="paragraph" w:customStyle="1" w:styleId="AConvName">
    <w:name w:val="A_ConvName"/>
    <w:basedOn w:val="Normal-pool"/>
    <w:next w:val="Normal-pool"/>
    <w:rsid w:val="00234806"/>
    <w:pPr>
      <w:spacing w:before="120" w:after="240"/>
    </w:pPr>
    <w:rPr>
      <w:rFonts w:ascii="Arial" w:hAnsi="Arial"/>
      <w:b/>
      <w:sz w:val="28"/>
    </w:rPr>
  </w:style>
  <w:style w:type="paragraph" w:customStyle="1" w:styleId="ASymbol">
    <w:name w:val="A_Symbol"/>
    <w:basedOn w:val="Normal-pool"/>
    <w:rsid w:val="00F7043D"/>
    <w:pPr>
      <w:tabs>
        <w:tab w:val="clear" w:pos="624"/>
        <w:tab w:val="clear" w:pos="1247"/>
        <w:tab w:val="right" w:pos="2920"/>
      </w:tabs>
    </w:pPr>
    <w:rPr>
      <w:rFonts w:eastAsia="SimSun"/>
    </w:rPr>
  </w:style>
  <w:style w:type="paragraph" w:customStyle="1" w:styleId="AText">
    <w:name w:val="A_Text"/>
    <w:basedOn w:val="Normal-pool"/>
    <w:rsid w:val="003759E2"/>
    <w:pPr>
      <w:spacing w:before="120"/>
    </w:pPr>
  </w:style>
  <w:style w:type="paragraph" w:customStyle="1" w:styleId="ATwoLetters">
    <w:name w:val="A_TwoLetters"/>
    <w:basedOn w:val="Normal-pool"/>
    <w:next w:val="Normal-pool"/>
    <w:rsid w:val="0022762D"/>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1E22D1"/>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22762D"/>
    <w:rPr>
      <w:rFonts w:ascii="Tahoma" w:hAnsi="Tahoma" w:cs="Tahoma"/>
      <w:sz w:val="16"/>
      <w:szCs w:val="16"/>
    </w:rPr>
  </w:style>
  <w:style w:type="character" w:customStyle="1" w:styleId="BalloonTextChar">
    <w:name w:val="Balloon Text Char"/>
    <w:basedOn w:val="DefaultParagraphFont"/>
    <w:link w:val="BalloonText"/>
    <w:rsid w:val="0022762D"/>
    <w:rPr>
      <w:rFonts w:ascii="Tahoma" w:hAnsi="Tahoma" w:cs="Tahoma"/>
      <w:sz w:val="16"/>
      <w:szCs w:val="16"/>
      <w:lang w:val="en-GB"/>
    </w:rPr>
  </w:style>
  <w:style w:type="character" w:styleId="CommentReference">
    <w:name w:val="annotation reference"/>
    <w:basedOn w:val="DefaultParagraphFont"/>
    <w:unhideWhenUsed/>
    <w:rsid w:val="0022762D"/>
    <w:rPr>
      <w:sz w:val="16"/>
      <w:szCs w:val="16"/>
    </w:rPr>
  </w:style>
  <w:style w:type="paragraph" w:styleId="CommentText">
    <w:name w:val="annotation text"/>
    <w:basedOn w:val="Normal"/>
    <w:link w:val="CommentTextChar"/>
    <w:unhideWhenUsed/>
    <w:rsid w:val="0022762D"/>
  </w:style>
  <w:style w:type="character" w:customStyle="1" w:styleId="CommentTextChar">
    <w:name w:val="Comment Text Char"/>
    <w:basedOn w:val="DefaultParagraphFont"/>
    <w:link w:val="CommentText"/>
    <w:rsid w:val="0022762D"/>
    <w:rPr>
      <w:lang w:val="en-GB"/>
    </w:rPr>
  </w:style>
  <w:style w:type="paragraph" w:styleId="CommentSubject">
    <w:name w:val="annotation subject"/>
    <w:basedOn w:val="CommentText"/>
    <w:next w:val="CommentText"/>
    <w:link w:val="CommentSubjectChar"/>
    <w:semiHidden/>
    <w:unhideWhenUsed/>
    <w:rsid w:val="0022762D"/>
    <w:rPr>
      <w:b/>
      <w:bCs/>
    </w:rPr>
  </w:style>
  <w:style w:type="character" w:customStyle="1" w:styleId="CommentSubjectChar">
    <w:name w:val="Comment Subject Char"/>
    <w:basedOn w:val="CommentTextChar"/>
    <w:link w:val="CommentSubject"/>
    <w:semiHidden/>
    <w:rsid w:val="0022762D"/>
    <w:rPr>
      <w:b/>
      <w:bCs/>
      <w:lang w:val="en-GB"/>
    </w:rPr>
  </w:style>
  <w:style w:type="character" w:styleId="FollowedHyperlink">
    <w:name w:val="FollowedHyperlink"/>
    <w:uiPriority w:val="99"/>
    <w:semiHidden/>
    <w:rsid w:val="00BD159E"/>
    <w:rPr>
      <w:color w:val="0000FF"/>
      <w:u w:val="none"/>
    </w:rPr>
  </w:style>
  <w:style w:type="character" w:customStyle="1" w:styleId="FooterChar">
    <w:name w:val="Footer Char"/>
    <w:basedOn w:val="DefaultParagraphFont"/>
    <w:link w:val="Footer"/>
    <w:uiPriority w:val="99"/>
    <w:semiHidden/>
    <w:rsid w:val="0022762D"/>
    <w:rPr>
      <w:sz w:val="18"/>
      <w:lang w:val="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rsid w:val="00B57C47"/>
    <w:rPr>
      <w:rFonts w:eastAsia="Times New Roman"/>
      <w:sz w:val="18"/>
      <w:lang w:val="en-GB" w:eastAsia="en-US"/>
    </w:rPr>
  </w:style>
  <w:style w:type="character" w:customStyle="1" w:styleId="HeaderChar">
    <w:name w:val="Header Char"/>
    <w:basedOn w:val="DefaultParagraphFont"/>
    <w:link w:val="Header"/>
    <w:semiHidden/>
    <w:rsid w:val="000208C8"/>
    <w:rPr>
      <w:rFonts w:eastAsia="Times New Roman"/>
      <w:b/>
      <w:sz w:val="18"/>
      <w:lang w:val="en-GB" w:eastAsia="en-US"/>
    </w:rPr>
  </w:style>
  <w:style w:type="character" w:customStyle="1" w:styleId="Heading1Char">
    <w:name w:val="Heading 1 Char"/>
    <w:basedOn w:val="DefaultParagraphFont"/>
    <w:link w:val="Heading1"/>
    <w:semiHidden/>
    <w:rsid w:val="00E600D6"/>
    <w:rPr>
      <w:rFonts w:eastAsia="Times New Roman"/>
      <w:b/>
      <w:sz w:val="28"/>
      <w:lang w:val="en-GB" w:eastAsia="en-US"/>
    </w:rPr>
  </w:style>
  <w:style w:type="character" w:customStyle="1" w:styleId="Heading2Char">
    <w:name w:val="Heading 2 Char"/>
    <w:basedOn w:val="DefaultParagraphFont"/>
    <w:link w:val="Heading2"/>
    <w:semiHidden/>
    <w:rsid w:val="00E600D6"/>
    <w:rPr>
      <w:rFonts w:eastAsia="Times New Roman"/>
      <w:b/>
      <w:sz w:val="24"/>
      <w:szCs w:val="24"/>
      <w:lang w:val="en-GB" w:eastAsia="en-US"/>
    </w:rPr>
  </w:style>
  <w:style w:type="character" w:customStyle="1" w:styleId="Heading3Char">
    <w:name w:val="Heading 3 Char"/>
    <w:basedOn w:val="DefaultParagraphFont"/>
    <w:link w:val="Heading3"/>
    <w:semiHidden/>
    <w:rsid w:val="00E600D6"/>
    <w:rPr>
      <w:rFonts w:eastAsia="Times New Roman"/>
      <w:b/>
      <w:lang w:val="en-GB" w:eastAsia="en-US"/>
    </w:rPr>
  </w:style>
  <w:style w:type="character" w:customStyle="1" w:styleId="Heading4Char">
    <w:name w:val="Heading 4 Char"/>
    <w:basedOn w:val="DefaultParagraphFont"/>
    <w:link w:val="Heading4"/>
    <w:semiHidden/>
    <w:rsid w:val="00E600D6"/>
    <w:rPr>
      <w:rFonts w:eastAsia="Times New Roman"/>
      <w:b/>
      <w:lang w:val="en-GB" w:eastAsia="en-US"/>
    </w:rPr>
  </w:style>
  <w:style w:type="character" w:customStyle="1" w:styleId="Heading5Char">
    <w:name w:val="Heading 5 Char"/>
    <w:basedOn w:val="DefaultParagraphFont"/>
    <w:link w:val="Heading5"/>
    <w:semiHidden/>
    <w:rsid w:val="00E600D6"/>
    <w:rPr>
      <w:rFonts w:ascii="Univers" w:eastAsia="Times New Roman" w:hAnsi="Univers"/>
      <w:b/>
      <w:sz w:val="24"/>
      <w:lang w:val="en-GB" w:eastAsia="en-US"/>
    </w:rPr>
  </w:style>
  <w:style w:type="character" w:customStyle="1" w:styleId="Heading6Char">
    <w:name w:val="Heading 6 Char"/>
    <w:basedOn w:val="DefaultParagraphFont"/>
    <w:link w:val="Heading6"/>
    <w:semiHidden/>
    <w:rsid w:val="00E600D6"/>
    <w:rPr>
      <w:rFonts w:eastAsia="Times New Roman"/>
      <w:b/>
      <w:bCs/>
      <w:sz w:val="24"/>
      <w:lang w:val="en-GB" w:eastAsia="en-US"/>
    </w:rPr>
  </w:style>
  <w:style w:type="character" w:customStyle="1" w:styleId="Heading7Char">
    <w:name w:val="Heading 7 Char"/>
    <w:basedOn w:val="DefaultParagraphFont"/>
    <w:link w:val="Heading7"/>
    <w:semiHidden/>
    <w:rsid w:val="00E600D6"/>
    <w:rPr>
      <w:rFonts w:eastAsia="Times New Roman"/>
      <w:snapToGrid w:val="0"/>
      <w:u w:val="single"/>
      <w:lang w:val="en-GB" w:eastAsia="en-US"/>
    </w:rPr>
  </w:style>
  <w:style w:type="character" w:customStyle="1" w:styleId="Heading8Char">
    <w:name w:val="Heading 8 Char"/>
    <w:basedOn w:val="DefaultParagraphFont"/>
    <w:link w:val="Heading8"/>
    <w:semiHidden/>
    <w:rsid w:val="00E600D6"/>
    <w:rPr>
      <w:rFonts w:eastAsia="Times New Roman"/>
      <w:snapToGrid w:val="0"/>
      <w:u w:val="single"/>
      <w:lang w:val="en-GB" w:eastAsia="en-US"/>
    </w:rPr>
  </w:style>
  <w:style w:type="character" w:customStyle="1" w:styleId="Heading9Char">
    <w:name w:val="Heading 9 Char"/>
    <w:basedOn w:val="DefaultParagraphFont"/>
    <w:link w:val="Heading9"/>
    <w:semiHidden/>
    <w:rsid w:val="00E600D6"/>
    <w:rPr>
      <w:rFonts w:eastAsia="Times New Roman"/>
      <w:snapToGrid w:val="0"/>
      <w:u w:val="single"/>
      <w:lang w:val="en-GB" w:eastAsia="en-US"/>
    </w:rPr>
  </w:style>
  <w:style w:type="paragraph" w:styleId="ListParagraph">
    <w:name w:val="List Paragraph"/>
    <w:basedOn w:val="Normal"/>
    <w:uiPriority w:val="34"/>
    <w:qFormat/>
    <w:rsid w:val="0022762D"/>
    <w:pPr>
      <w:ind w:left="720"/>
      <w:contextualSpacing/>
    </w:pPr>
  </w:style>
  <w:style w:type="paragraph" w:styleId="NoSpacing">
    <w:name w:val="No Spacing"/>
    <w:uiPriority w:val="1"/>
    <w:semiHidden/>
    <w:qFormat/>
    <w:rsid w:val="0022762D"/>
    <w:rPr>
      <w:rFonts w:asciiTheme="minorHAnsi" w:eastAsiaTheme="minorHAnsi" w:hAnsiTheme="minorHAnsi" w:cstheme="minorBidi"/>
      <w:sz w:val="22"/>
      <w:szCs w:val="22"/>
      <w:lang w:val="en-GB" w:eastAsia="en-US"/>
    </w:rPr>
  </w:style>
  <w:style w:type="character" w:customStyle="1" w:styleId="NormalnumberChar">
    <w:name w:val="Normal_number Char"/>
    <w:link w:val="Normalnumber"/>
    <w:rsid w:val="000E69C9"/>
    <w:rPr>
      <w:rFonts w:eastAsia="Times New Roman"/>
      <w:lang w:val="en-GB" w:eastAsia="en-US"/>
    </w:rPr>
  </w:style>
  <w:style w:type="character" w:styleId="PlaceholderText">
    <w:name w:val="Placeholder Text"/>
    <w:basedOn w:val="DefaultParagraphFont"/>
    <w:uiPriority w:val="99"/>
    <w:semiHidden/>
    <w:rsid w:val="0022762D"/>
    <w:rPr>
      <w:color w:val="808080"/>
    </w:rPr>
  </w:style>
  <w:style w:type="table" w:styleId="TableGrid">
    <w:name w:val="Table Grid"/>
    <w:basedOn w:val="TableNormal"/>
    <w:rsid w:val="00227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EB14EE"/>
    <w:pPr>
      <w:tabs>
        <w:tab w:val="left" w:pos="624"/>
        <w:tab w:val="left" w:pos="4082"/>
      </w:tabs>
      <w:spacing w:before="120"/>
    </w:pPr>
    <w:rPr>
      <w:lang w:val="en-US"/>
    </w:rPr>
  </w:style>
  <w:style w:type="character" w:customStyle="1" w:styleId="ALogoChar">
    <w:name w:val="A_Logo Char"/>
    <w:basedOn w:val="DefaultParagraphFont"/>
    <w:link w:val="ALogo"/>
    <w:rsid w:val="00EB14EE"/>
    <w:rPr>
      <w:rFonts w:eastAsia="Times New Roman"/>
      <w:lang w:val="en-US" w:eastAsia="en-US"/>
    </w:rPr>
  </w:style>
  <w:style w:type="paragraph" w:customStyle="1" w:styleId="ASpacer">
    <w:name w:val="A_Spacer"/>
    <w:basedOn w:val="Normal-pool"/>
    <w:link w:val="ASpacerChar"/>
    <w:qFormat/>
    <w:rsid w:val="00234806"/>
    <w:rPr>
      <w:sz w:val="2"/>
    </w:rPr>
  </w:style>
  <w:style w:type="character" w:customStyle="1" w:styleId="ASpacerChar">
    <w:name w:val="A_Spacer Char"/>
    <w:basedOn w:val="Normal-poolChar"/>
    <w:link w:val="ASpacer"/>
    <w:rsid w:val="00234806"/>
    <w:rPr>
      <w:rFonts w:eastAsia="Times New Roman"/>
      <w:sz w:val="2"/>
      <w:lang w:val="en-US" w:eastAsia="en-US"/>
    </w:rPr>
  </w:style>
  <w:style w:type="paragraph" w:customStyle="1" w:styleId="AATitle1">
    <w:name w:val="AA_Title1"/>
    <w:basedOn w:val="Normal-pool"/>
    <w:qFormat/>
    <w:rsid w:val="00234806"/>
  </w:style>
  <w:style w:type="character" w:styleId="UnresolvedMention">
    <w:name w:val="Unresolved Mention"/>
    <w:basedOn w:val="DefaultParagraphFont"/>
    <w:uiPriority w:val="99"/>
    <w:semiHidden/>
    <w:rsid w:val="00A03A4A"/>
    <w:rPr>
      <w:color w:val="605E5C"/>
      <w:shd w:val="clear" w:color="auto" w:fill="E1DFDD"/>
    </w:rPr>
  </w:style>
  <w:style w:type="paragraph" w:customStyle="1" w:styleId="ANormal">
    <w:name w:val="A_Normal"/>
    <w:basedOn w:val="Normal-pool"/>
    <w:qFormat/>
    <w:rsid w:val="000873DF"/>
  </w:style>
  <w:style w:type="paragraph" w:customStyle="1" w:styleId="AText0">
    <w:name w:val="A_Text0"/>
    <w:basedOn w:val="AText"/>
    <w:next w:val="AText"/>
    <w:qFormat/>
    <w:rsid w:val="00AC16B8"/>
    <w:pPr>
      <w:spacing w:before="0" w:after="120"/>
    </w:pPr>
  </w:style>
  <w:style w:type="paragraph" w:styleId="Revision">
    <w:name w:val="Revision"/>
    <w:hidden/>
    <w:uiPriority w:val="99"/>
    <w:semiHidden/>
    <w:rsid w:val="009B0F83"/>
    <w:rPr>
      <w:rFonts w:eastAsia="Times New Roman"/>
      <w:lang w:val="en-GB"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semiHidden/>
    <w:rsid w:val="00F55399"/>
    <w:pPr>
      <w:tabs>
        <w:tab w:val="clear" w:pos="1247"/>
        <w:tab w:val="clear" w:pos="1814"/>
        <w:tab w:val="clear" w:pos="2381"/>
        <w:tab w:val="clear" w:pos="2948"/>
        <w:tab w:val="clear" w:pos="3515"/>
      </w:tabs>
      <w:spacing w:after="160" w:line="240" w:lineRule="exact"/>
      <w:jc w:val="both"/>
    </w:pPr>
    <w:rPr>
      <w:rFonts w:eastAsia="SimSun"/>
      <w:szCs w:val="18"/>
      <w:vertAlign w:val="superscript"/>
      <w:lang w:val="fr-FR" w:eastAsia="zh-CN"/>
    </w:rPr>
  </w:style>
  <w:style w:type="paragraph" w:styleId="Bibliography">
    <w:name w:val="Bibliography"/>
    <w:basedOn w:val="Normal"/>
    <w:next w:val="Normal"/>
    <w:uiPriority w:val="37"/>
    <w:semiHidden/>
    <w:rsid w:val="00F9672F"/>
    <w:rPr>
      <w:lang w:val="en-US"/>
    </w:rPr>
  </w:style>
  <w:style w:type="paragraph" w:customStyle="1" w:styleId="Normalpool">
    <w:name w:val="Normal_pool"/>
    <w:link w:val="NormalpoolChar"/>
    <w:autoRedefine/>
    <w:semiHidden/>
    <w:rsid w:val="00F9672F"/>
    <w:pPr>
      <w:tabs>
        <w:tab w:val="left" w:pos="624"/>
      </w:tabs>
      <w:spacing w:after="120"/>
      <w:ind w:left="1247" w:firstLine="624"/>
    </w:pPr>
    <w:rPr>
      <w:rFonts w:asciiTheme="majorBidi" w:hAnsiTheme="majorBidi" w:cstheme="majorBidi"/>
      <w:lang w:val="en-GB" w:eastAsia="en-US"/>
    </w:rPr>
  </w:style>
  <w:style w:type="character" w:customStyle="1" w:styleId="NormalpoolChar">
    <w:name w:val="Normal_pool Char"/>
    <w:link w:val="Normalpool"/>
    <w:semiHidden/>
    <w:locked/>
    <w:rsid w:val="00F9672F"/>
    <w:rPr>
      <w:rFonts w:asciiTheme="majorBidi" w:hAnsiTheme="majorBidi" w:cstheme="majorBidi"/>
      <w:lang w:val="en-GB" w:eastAsia="en-US"/>
    </w:rPr>
  </w:style>
  <w:style w:type="paragraph" w:styleId="BlockText">
    <w:name w:val="Block Text"/>
    <w:basedOn w:val="Normal"/>
    <w:semiHidden/>
    <w:rsid w:val="00F9672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rsid w:val="00F9672F"/>
    <w:pPr>
      <w:spacing w:after="120"/>
    </w:pPr>
    <w:rPr>
      <w:lang w:val="en-US"/>
    </w:rPr>
  </w:style>
  <w:style w:type="character" w:customStyle="1" w:styleId="BodyTextChar">
    <w:name w:val="Body Text Char"/>
    <w:basedOn w:val="DefaultParagraphFont"/>
    <w:link w:val="BodyText"/>
    <w:semiHidden/>
    <w:rsid w:val="00F9672F"/>
    <w:rPr>
      <w:rFonts w:eastAsia="Times New Roman"/>
      <w:lang w:val="en-US" w:eastAsia="en-US"/>
    </w:rPr>
  </w:style>
  <w:style w:type="paragraph" w:styleId="BodyText3">
    <w:name w:val="Body Text 3"/>
    <w:basedOn w:val="Normal"/>
    <w:link w:val="BodyText3Char"/>
    <w:semiHidden/>
    <w:rsid w:val="00F9672F"/>
    <w:pPr>
      <w:spacing w:after="120"/>
    </w:pPr>
    <w:rPr>
      <w:sz w:val="16"/>
      <w:szCs w:val="16"/>
      <w:lang w:val="en-US"/>
    </w:rPr>
  </w:style>
  <w:style w:type="character" w:customStyle="1" w:styleId="BodyText3Char">
    <w:name w:val="Body Text 3 Char"/>
    <w:basedOn w:val="DefaultParagraphFont"/>
    <w:link w:val="BodyText3"/>
    <w:semiHidden/>
    <w:rsid w:val="00F9672F"/>
    <w:rPr>
      <w:rFonts w:eastAsia="Times New Roman"/>
      <w:sz w:val="16"/>
      <w:szCs w:val="16"/>
      <w:lang w:val="en-US" w:eastAsia="en-US"/>
    </w:rPr>
  </w:style>
  <w:style w:type="paragraph" w:styleId="BodyTextFirstIndent">
    <w:name w:val="Body Text First Indent"/>
    <w:basedOn w:val="Normal"/>
    <w:link w:val="BodyTextFirstIndentChar"/>
    <w:semiHidden/>
    <w:rsid w:val="00F9672F"/>
    <w:pPr>
      <w:ind w:firstLine="360"/>
    </w:pPr>
    <w:rPr>
      <w:lang w:val="en-US"/>
    </w:rPr>
  </w:style>
  <w:style w:type="character" w:customStyle="1" w:styleId="BodyTextFirstIndentChar">
    <w:name w:val="Body Text First Indent Char"/>
    <w:basedOn w:val="BodyTextChar"/>
    <w:link w:val="BodyTextFirstIndent"/>
    <w:semiHidden/>
    <w:rsid w:val="00F9672F"/>
    <w:rPr>
      <w:rFonts w:eastAsia="Times New Roman"/>
      <w:lang w:val="en-US" w:eastAsia="en-US"/>
    </w:rPr>
  </w:style>
  <w:style w:type="paragraph" w:styleId="BodyTextIndent">
    <w:name w:val="Body Text Indent"/>
    <w:basedOn w:val="Normal"/>
    <w:link w:val="BodyTextIndentChar"/>
    <w:semiHidden/>
    <w:rsid w:val="00F9672F"/>
    <w:pPr>
      <w:spacing w:after="120"/>
      <w:ind w:left="283"/>
    </w:pPr>
    <w:rPr>
      <w:lang w:val="en-US"/>
    </w:rPr>
  </w:style>
  <w:style w:type="character" w:customStyle="1" w:styleId="BodyTextIndentChar">
    <w:name w:val="Body Text Indent Char"/>
    <w:basedOn w:val="DefaultParagraphFont"/>
    <w:link w:val="BodyTextIndent"/>
    <w:semiHidden/>
    <w:rsid w:val="00F9672F"/>
    <w:rPr>
      <w:rFonts w:eastAsia="Times New Roman"/>
      <w:lang w:val="en-US" w:eastAsia="en-US"/>
    </w:rPr>
  </w:style>
  <w:style w:type="paragraph" w:styleId="BodyTextFirstIndent2">
    <w:name w:val="Body Text First Indent 2"/>
    <w:basedOn w:val="BodyTextIndent"/>
    <w:link w:val="BodyTextFirstIndent2Char"/>
    <w:semiHidden/>
    <w:rsid w:val="00F9672F"/>
    <w:pPr>
      <w:spacing w:after="0"/>
      <w:ind w:left="360" w:firstLine="360"/>
    </w:pPr>
  </w:style>
  <w:style w:type="character" w:customStyle="1" w:styleId="BodyTextFirstIndent2Char">
    <w:name w:val="Body Text First Indent 2 Char"/>
    <w:basedOn w:val="BodyTextIndentChar"/>
    <w:link w:val="BodyTextFirstIndent2"/>
    <w:semiHidden/>
    <w:rsid w:val="00F9672F"/>
    <w:rPr>
      <w:rFonts w:eastAsia="Times New Roman"/>
      <w:lang w:val="en-US" w:eastAsia="en-US"/>
    </w:rPr>
  </w:style>
  <w:style w:type="paragraph" w:styleId="BodyTextIndent2">
    <w:name w:val="Body Text Indent 2"/>
    <w:basedOn w:val="Normal"/>
    <w:link w:val="BodyTextIndent2Char"/>
    <w:semiHidden/>
    <w:rsid w:val="00F9672F"/>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F9672F"/>
    <w:rPr>
      <w:rFonts w:eastAsia="Times New Roman"/>
      <w:lang w:val="en-US" w:eastAsia="en-US"/>
    </w:rPr>
  </w:style>
  <w:style w:type="paragraph" w:styleId="BodyTextIndent3">
    <w:name w:val="Body Text Indent 3"/>
    <w:basedOn w:val="Normal"/>
    <w:link w:val="BodyTextIndent3Char"/>
    <w:semiHidden/>
    <w:rsid w:val="00F9672F"/>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F9672F"/>
    <w:rPr>
      <w:rFonts w:eastAsia="Times New Roman"/>
      <w:sz w:val="16"/>
      <w:szCs w:val="16"/>
      <w:lang w:val="en-US" w:eastAsia="en-US"/>
    </w:rPr>
  </w:style>
  <w:style w:type="character" w:styleId="BookTitle">
    <w:name w:val="Book Title"/>
    <w:basedOn w:val="DefaultParagraphFont"/>
    <w:uiPriority w:val="33"/>
    <w:semiHidden/>
    <w:qFormat/>
    <w:rsid w:val="00F9672F"/>
    <w:rPr>
      <w:b/>
      <w:bCs/>
      <w:i/>
      <w:iCs/>
      <w:spacing w:val="5"/>
      <w:lang w:val="en-US"/>
    </w:rPr>
  </w:style>
  <w:style w:type="paragraph" w:styleId="Caption">
    <w:name w:val="caption"/>
    <w:basedOn w:val="Normal"/>
    <w:next w:val="Normal"/>
    <w:semiHidden/>
    <w:unhideWhenUsed/>
    <w:qFormat/>
    <w:rsid w:val="00F9672F"/>
    <w:pPr>
      <w:spacing w:after="200"/>
    </w:pPr>
    <w:rPr>
      <w:i/>
      <w:iCs/>
      <w:color w:val="1F497D" w:themeColor="text2"/>
      <w:sz w:val="18"/>
      <w:szCs w:val="18"/>
      <w:lang w:val="en-US"/>
    </w:rPr>
  </w:style>
  <w:style w:type="paragraph" w:styleId="Closing">
    <w:name w:val="Closing"/>
    <w:basedOn w:val="Normal"/>
    <w:link w:val="ClosingChar"/>
    <w:semiHidden/>
    <w:rsid w:val="00F9672F"/>
    <w:pPr>
      <w:ind w:left="4252"/>
    </w:pPr>
    <w:rPr>
      <w:lang w:val="en-US"/>
    </w:rPr>
  </w:style>
  <w:style w:type="character" w:customStyle="1" w:styleId="ClosingChar">
    <w:name w:val="Closing Char"/>
    <w:basedOn w:val="DefaultParagraphFont"/>
    <w:link w:val="Closing"/>
    <w:semiHidden/>
    <w:rsid w:val="00F9672F"/>
    <w:rPr>
      <w:rFonts w:eastAsia="Times New Roman"/>
      <w:lang w:val="en-US" w:eastAsia="en-US"/>
    </w:rPr>
  </w:style>
  <w:style w:type="table" w:styleId="ColorfulGrid">
    <w:name w:val="Colorful Grid"/>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F9672F"/>
    <w:rPr>
      <w:lang w:val="en-US"/>
    </w:rPr>
  </w:style>
  <w:style w:type="character" w:customStyle="1" w:styleId="DateChar">
    <w:name w:val="Date Char"/>
    <w:basedOn w:val="DefaultParagraphFont"/>
    <w:link w:val="Date"/>
    <w:semiHidden/>
    <w:rsid w:val="00F9672F"/>
    <w:rPr>
      <w:rFonts w:eastAsia="Times New Roman"/>
      <w:lang w:val="en-US" w:eastAsia="en-US"/>
    </w:rPr>
  </w:style>
  <w:style w:type="paragraph" w:styleId="DocumentMap">
    <w:name w:val="Document Map"/>
    <w:basedOn w:val="Normal"/>
    <w:link w:val="DocumentMapChar"/>
    <w:semiHidden/>
    <w:rsid w:val="00F9672F"/>
    <w:rPr>
      <w:rFonts w:ascii="Segoe UI" w:hAnsi="Segoe UI" w:cs="Segoe UI"/>
      <w:sz w:val="16"/>
      <w:szCs w:val="16"/>
      <w:lang w:val="en-US"/>
    </w:rPr>
  </w:style>
  <w:style w:type="character" w:customStyle="1" w:styleId="DocumentMapChar">
    <w:name w:val="Document Map Char"/>
    <w:basedOn w:val="DefaultParagraphFont"/>
    <w:link w:val="DocumentMap"/>
    <w:semiHidden/>
    <w:rsid w:val="00F9672F"/>
    <w:rPr>
      <w:rFonts w:ascii="Segoe UI" w:eastAsia="Times New Roman" w:hAnsi="Segoe UI" w:cs="Segoe UI"/>
      <w:sz w:val="16"/>
      <w:szCs w:val="16"/>
      <w:lang w:val="en-US" w:eastAsia="en-US"/>
    </w:rPr>
  </w:style>
  <w:style w:type="paragraph" w:styleId="E-mailSignature">
    <w:name w:val="E-mail Signature"/>
    <w:basedOn w:val="Normal"/>
    <w:link w:val="E-mailSignatureChar"/>
    <w:semiHidden/>
    <w:rsid w:val="00F9672F"/>
    <w:rPr>
      <w:lang w:val="en-US"/>
    </w:rPr>
  </w:style>
  <w:style w:type="character" w:customStyle="1" w:styleId="E-mailSignatureChar">
    <w:name w:val="E-mail Signature Char"/>
    <w:basedOn w:val="DefaultParagraphFont"/>
    <w:link w:val="E-mailSignature"/>
    <w:semiHidden/>
    <w:rsid w:val="00F9672F"/>
    <w:rPr>
      <w:rFonts w:eastAsia="Times New Roman"/>
      <w:lang w:val="en-US" w:eastAsia="en-US"/>
    </w:rPr>
  </w:style>
  <w:style w:type="character" w:styleId="Emphasis">
    <w:name w:val="Emphasis"/>
    <w:basedOn w:val="DefaultParagraphFont"/>
    <w:semiHidden/>
    <w:qFormat/>
    <w:rsid w:val="00F9672F"/>
    <w:rPr>
      <w:i/>
      <w:iCs/>
    </w:rPr>
  </w:style>
  <w:style w:type="character" w:styleId="EndnoteReference">
    <w:name w:val="endnote reference"/>
    <w:basedOn w:val="DefaultParagraphFont"/>
    <w:semiHidden/>
    <w:rsid w:val="00F9672F"/>
    <w:rPr>
      <w:vertAlign w:val="superscript"/>
    </w:rPr>
  </w:style>
  <w:style w:type="paragraph" w:styleId="EndnoteText">
    <w:name w:val="endnote text"/>
    <w:basedOn w:val="Normal"/>
    <w:link w:val="EndnoteTextChar"/>
    <w:semiHidden/>
    <w:rsid w:val="00F9672F"/>
    <w:rPr>
      <w:lang w:val="en-US"/>
    </w:rPr>
  </w:style>
  <w:style w:type="character" w:customStyle="1" w:styleId="EndnoteTextChar">
    <w:name w:val="Endnote Text Char"/>
    <w:basedOn w:val="DefaultParagraphFont"/>
    <w:link w:val="EndnoteText"/>
    <w:semiHidden/>
    <w:rsid w:val="00F9672F"/>
    <w:rPr>
      <w:rFonts w:eastAsia="Times New Roman"/>
      <w:lang w:val="en-US" w:eastAsia="en-US"/>
    </w:rPr>
  </w:style>
  <w:style w:type="paragraph" w:styleId="EnvelopeAddress">
    <w:name w:val="envelope address"/>
    <w:basedOn w:val="Normal"/>
    <w:semiHidden/>
    <w:rsid w:val="00F9672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semiHidden/>
    <w:rsid w:val="00F9672F"/>
    <w:rPr>
      <w:rFonts w:asciiTheme="majorHAnsi" w:eastAsiaTheme="majorEastAsia" w:hAnsiTheme="majorHAnsi" w:cstheme="majorBidi"/>
      <w:lang w:val="en-US"/>
    </w:rPr>
  </w:style>
  <w:style w:type="table" w:styleId="GridTable1Light">
    <w:name w:val="Grid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F9672F"/>
    <w:rPr>
      <w:color w:val="2B579A"/>
      <w:shd w:val="clear" w:color="auto" w:fill="E1DFDD"/>
    </w:rPr>
  </w:style>
  <w:style w:type="character" w:styleId="HTMLAcronym">
    <w:name w:val="HTML Acronym"/>
    <w:basedOn w:val="DefaultParagraphFont"/>
    <w:semiHidden/>
    <w:rsid w:val="00F9672F"/>
  </w:style>
  <w:style w:type="paragraph" w:styleId="HTMLAddress">
    <w:name w:val="HTML Address"/>
    <w:basedOn w:val="Normal"/>
    <w:link w:val="HTMLAddressChar"/>
    <w:semiHidden/>
    <w:rsid w:val="00F9672F"/>
    <w:rPr>
      <w:i/>
      <w:iCs/>
      <w:lang w:val="en-US"/>
    </w:rPr>
  </w:style>
  <w:style w:type="character" w:customStyle="1" w:styleId="HTMLAddressChar">
    <w:name w:val="HTML Address Char"/>
    <w:basedOn w:val="DefaultParagraphFont"/>
    <w:link w:val="HTMLAddress"/>
    <w:semiHidden/>
    <w:rsid w:val="00F9672F"/>
    <w:rPr>
      <w:rFonts w:eastAsia="Times New Roman"/>
      <w:i/>
      <w:iCs/>
      <w:lang w:val="en-US" w:eastAsia="en-US"/>
    </w:rPr>
  </w:style>
  <w:style w:type="paragraph" w:styleId="BodyText2">
    <w:name w:val="Body Text 2"/>
    <w:basedOn w:val="Normal"/>
    <w:link w:val="BodyText2Char"/>
    <w:semiHidden/>
    <w:rsid w:val="00F9672F"/>
    <w:pPr>
      <w:spacing w:after="120" w:line="480" w:lineRule="auto"/>
    </w:pPr>
    <w:rPr>
      <w:lang w:val="en-US"/>
    </w:rPr>
  </w:style>
  <w:style w:type="character" w:customStyle="1" w:styleId="BodyText2Char">
    <w:name w:val="Body Text 2 Char"/>
    <w:basedOn w:val="DefaultParagraphFont"/>
    <w:link w:val="BodyText2"/>
    <w:semiHidden/>
    <w:rsid w:val="00F9672F"/>
    <w:rPr>
      <w:rFonts w:eastAsia="Times New Roman"/>
      <w:lang w:val="en-US" w:eastAsia="en-US"/>
    </w:rPr>
  </w:style>
  <w:style w:type="character" w:styleId="HTMLCode">
    <w:name w:val="HTML Code"/>
    <w:basedOn w:val="DefaultParagraphFont"/>
    <w:semiHidden/>
    <w:rsid w:val="00F9672F"/>
    <w:rPr>
      <w:rFonts w:ascii="Consolas" w:hAnsi="Consolas"/>
      <w:sz w:val="20"/>
      <w:szCs w:val="20"/>
    </w:rPr>
  </w:style>
  <w:style w:type="character" w:styleId="HTMLDefinition">
    <w:name w:val="HTML Definition"/>
    <w:basedOn w:val="DefaultParagraphFont"/>
    <w:semiHidden/>
    <w:rsid w:val="00F9672F"/>
    <w:rPr>
      <w:i/>
      <w:iCs/>
    </w:rPr>
  </w:style>
  <w:style w:type="character" w:styleId="HTMLKeyboard">
    <w:name w:val="HTML Keyboard"/>
    <w:basedOn w:val="DefaultParagraphFont"/>
    <w:semiHidden/>
    <w:rsid w:val="00F9672F"/>
    <w:rPr>
      <w:rFonts w:ascii="Consolas" w:hAnsi="Consolas"/>
      <w:sz w:val="20"/>
      <w:szCs w:val="20"/>
    </w:rPr>
  </w:style>
  <w:style w:type="paragraph" w:styleId="HTMLPreformatted">
    <w:name w:val="HTML Preformatted"/>
    <w:basedOn w:val="Normal"/>
    <w:link w:val="HTMLPreformattedChar"/>
    <w:semiHidden/>
    <w:rsid w:val="00F9672F"/>
    <w:rPr>
      <w:rFonts w:ascii="Consolas" w:hAnsi="Consolas"/>
      <w:lang w:val="en-US"/>
    </w:rPr>
  </w:style>
  <w:style w:type="character" w:customStyle="1" w:styleId="HTMLPreformattedChar">
    <w:name w:val="HTML Preformatted Char"/>
    <w:basedOn w:val="DefaultParagraphFont"/>
    <w:link w:val="HTMLPreformatted"/>
    <w:semiHidden/>
    <w:rsid w:val="00F9672F"/>
    <w:rPr>
      <w:rFonts w:ascii="Consolas" w:eastAsia="Times New Roman" w:hAnsi="Consolas"/>
      <w:lang w:val="en-US" w:eastAsia="en-US"/>
    </w:rPr>
  </w:style>
  <w:style w:type="character" w:styleId="HTMLSample">
    <w:name w:val="HTML Sample"/>
    <w:basedOn w:val="DefaultParagraphFont"/>
    <w:semiHidden/>
    <w:unhideWhenUsed/>
    <w:rsid w:val="00F9672F"/>
    <w:rPr>
      <w:rFonts w:ascii="Consolas" w:hAnsi="Consolas"/>
      <w:sz w:val="24"/>
      <w:szCs w:val="24"/>
    </w:rPr>
  </w:style>
  <w:style w:type="character" w:styleId="HTMLTypewriter">
    <w:name w:val="HTML Typewriter"/>
    <w:basedOn w:val="DefaultParagraphFont"/>
    <w:semiHidden/>
    <w:unhideWhenUsed/>
    <w:rsid w:val="00F9672F"/>
    <w:rPr>
      <w:rFonts w:ascii="Consolas" w:hAnsi="Consolas"/>
      <w:sz w:val="20"/>
      <w:szCs w:val="20"/>
    </w:rPr>
  </w:style>
  <w:style w:type="character" w:styleId="HTMLVariable">
    <w:name w:val="HTML Variable"/>
    <w:basedOn w:val="DefaultParagraphFont"/>
    <w:semiHidden/>
    <w:unhideWhenUsed/>
    <w:rsid w:val="00F9672F"/>
    <w:rPr>
      <w:i/>
      <w:iCs/>
    </w:rPr>
  </w:style>
  <w:style w:type="character" w:styleId="HTMLCite">
    <w:name w:val="HTML Cite"/>
    <w:basedOn w:val="DefaultParagraphFont"/>
    <w:semiHidden/>
    <w:rsid w:val="00F9672F"/>
    <w:rPr>
      <w:i/>
      <w:iCs/>
    </w:rPr>
  </w:style>
  <w:style w:type="paragraph" w:styleId="Index1">
    <w:name w:val="index 1"/>
    <w:basedOn w:val="Normal"/>
    <w:next w:val="Normal"/>
    <w:autoRedefine/>
    <w:semiHidden/>
    <w:rsid w:val="00F9672F"/>
    <w:pPr>
      <w:tabs>
        <w:tab w:val="clear" w:pos="1247"/>
      </w:tabs>
      <w:ind w:left="200" w:hanging="200"/>
    </w:pPr>
    <w:rPr>
      <w:lang w:val="en-US"/>
    </w:rPr>
  </w:style>
  <w:style w:type="paragraph" w:styleId="Index2">
    <w:name w:val="index 2"/>
    <w:basedOn w:val="Normal"/>
    <w:next w:val="Normal"/>
    <w:autoRedefine/>
    <w:semiHidden/>
    <w:rsid w:val="00F9672F"/>
    <w:pPr>
      <w:tabs>
        <w:tab w:val="clear" w:pos="1247"/>
      </w:tabs>
      <w:ind w:left="400" w:hanging="200"/>
    </w:pPr>
    <w:rPr>
      <w:lang w:val="en-US"/>
    </w:rPr>
  </w:style>
  <w:style w:type="paragraph" w:styleId="Index3">
    <w:name w:val="index 3"/>
    <w:basedOn w:val="Normal"/>
    <w:next w:val="Normal"/>
    <w:autoRedefine/>
    <w:semiHidden/>
    <w:rsid w:val="00F9672F"/>
    <w:pPr>
      <w:tabs>
        <w:tab w:val="clear" w:pos="1247"/>
      </w:tabs>
      <w:ind w:left="600" w:hanging="200"/>
    </w:pPr>
    <w:rPr>
      <w:lang w:val="en-US"/>
    </w:rPr>
  </w:style>
  <w:style w:type="paragraph" w:styleId="Index4">
    <w:name w:val="index 4"/>
    <w:basedOn w:val="Normal"/>
    <w:next w:val="Normal"/>
    <w:autoRedefine/>
    <w:semiHidden/>
    <w:rsid w:val="00F9672F"/>
    <w:pPr>
      <w:tabs>
        <w:tab w:val="clear" w:pos="1247"/>
      </w:tabs>
      <w:ind w:left="800" w:hanging="200"/>
    </w:pPr>
    <w:rPr>
      <w:lang w:val="en-US"/>
    </w:rPr>
  </w:style>
  <w:style w:type="paragraph" w:styleId="Index5">
    <w:name w:val="index 5"/>
    <w:basedOn w:val="Normal"/>
    <w:next w:val="Normal"/>
    <w:autoRedefine/>
    <w:semiHidden/>
    <w:rsid w:val="00F9672F"/>
    <w:pPr>
      <w:tabs>
        <w:tab w:val="clear" w:pos="1247"/>
      </w:tabs>
      <w:ind w:left="1000" w:hanging="200"/>
    </w:pPr>
    <w:rPr>
      <w:lang w:val="en-US"/>
    </w:rPr>
  </w:style>
  <w:style w:type="paragraph" w:styleId="Index6">
    <w:name w:val="index 6"/>
    <w:basedOn w:val="Normal"/>
    <w:next w:val="Normal"/>
    <w:autoRedefine/>
    <w:semiHidden/>
    <w:rsid w:val="00F9672F"/>
    <w:pPr>
      <w:tabs>
        <w:tab w:val="clear" w:pos="1247"/>
      </w:tabs>
      <w:ind w:left="1200" w:hanging="200"/>
    </w:pPr>
    <w:rPr>
      <w:lang w:val="en-US"/>
    </w:rPr>
  </w:style>
  <w:style w:type="paragraph" w:styleId="Index7">
    <w:name w:val="index 7"/>
    <w:basedOn w:val="Normal"/>
    <w:next w:val="Normal"/>
    <w:autoRedefine/>
    <w:semiHidden/>
    <w:rsid w:val="00F9672F"/>
    <w:pPr>
      <w:tabs>
        <w:tab w:val="clear" w:pos="1247"/>
      </w:tabs>
      <w:ind w:left="1400" w:hanging="200"/>
    </w:pPr>
    <w:rPr>
      <w:lang w:val="en-US"/>
    </w:rPr>
  </w:style>
  <w:style w:type="paragraph" w:styleId="IndexHeading">
    <w:name w:val="index heading"/>
    <w:basedOn w:val="Normal"/>
    <w:next w:val="Normal"/>
    <w:semiHidden/>
    <w:rsid w:val="00F9672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F9672F"/>
    <w:rPr>
      <w:i/>
      <w:iCs/>
      <w:color w:val="4F81BD" w:themeColor="accent1"/>
    </w:rPr>
  </w:style>
  <w:style w:type="paragraph" w:styleId="IntenseQuote">
    <w:name w:val="Intense Quote"/>
    <w:basedOn w:val="Normal"/>
    <w:next w:val="Normal"/>
    <w:link w:val="IntenseQuoteChar"/>
    <w:uiPriority w:val="30"/>
    <w:semiHidden/>
    <w:qFormat/>
    <w:rsid w:val="00F9672F"/>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semiHidden/>
    <w:rsid w:val="00F9672F"/>
    <w:rPr>
      <w:rFonts w:eastAsia="Times New Roman"/>
      <w:i/>
      <w:iCs/>
      <w:color w:val="4F81BD" w:themeColor="accent1"/>
      <w:lang w:val="en-US" w:eastAsia="en-US"/>
    </w:rPr>
  </w:style>
  <w:style w:type="character" w:styleId="IntenseReference">
    <w:name w:val="Intense Reference"/>
    <w:basedOn w:val="DefaultParagraphFont"/>
    <w:uiPriority w:val="32"/>
    <w:semiHidden/>
    <w:qFormat/>
    <w:rsid w:val="00F9672F"/>
    <w:rPr>
      <w:b/>
      <w:bCs/>
      <w:smallCaps/>
      <w:color w:val="4F81BD" w:themeColor="accent1"/>
      <w:spacing w:val="5"/>
    </w:rPr>
  </w:style>
  <w:style w:type="table" w:styleId="LightGrid">
    <w:name w:val="Light Grid"/>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9672F"/>
    <w:rPr>
      <w:rFonts w:asciiTheme="minorHAnsi" w:eastAsiaTheme="minorEastAsia" w:hAnsiTheme="minorHAnsi" w:cstheme="minorBidi"/>
      <w:color w:val="000000" w:themeColor="text1" w:themeShade="BF"/>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Index8">
    <w:name w:val="index 8"/>
    <w:basedOn w:val="Normal"/>
    <w:next w:val="Normal"/>
    <w:autoRedefine/>
    <w:semiHidden/>
    <w:rsid w:val="00F9672F"/>
    <w:pPr>
      <w:tabs>
        <w:tab w:val="clear" w:pos="1247"/>
      </w:tabs>
      <w:ind w:left="1600" w:hanging="200"/>
    </w:pPr>
    <w:rPr>
      <w:lang w:val="en-US"/>
    </w:rPr>
  </w:style>
  <w:style w:type="paragraph" w:styleId="Index9">
    <w:name w:val="index 9"/>
    <w:basedOn w:val="Normal"/>
    <w:next w:val="Normal"/>
    <w:autoRedefine/>
    <w:semiHidden/>
    <w:rsid w:val="00F9672F"/>
    <w:pPr>
      <w:tabs>
        <w:tab w:val="clear" w:pos="1247"/>
      </w:tabs>
      <w:ind w:left="1800" w:hanging="200"/>
    </w:pPr>
    <w:rPr>
      <w:lang w:val="en-US"/>
    </w:rPr>
  </w:style>
  <w:style w:type="character" w:styleId="LineNumber">
    <w:name w:val="line number"/>
    <w:basedOn w:val="DefaultParagraphFont"/>
    <w:semiHidden/>
    <w:rsid w:val="00F9672F"/>
  </w:style>
  <w:style w:type="paragraph" w:styleId="List3">
    <w:name w:val="List 3"/>
    <w:basedOn w:val="Normal"/>
    <w:semiHidden/>
    <w:rsid w:val="00F9672F"/>
    <w:pPr>
      <w:ind w:left="849" w:hanging="283"/>
      <w:contextualSpacing/>
    </w:pPr>
    <w:rPr>
      <w:lang w:val="en-US"/>
    </w:rPr>
  </w:style>
  <w:style w:type="paragraph" w:styleId="List4">
    <w:name w:val="List 4"/>
    <w:basedOn w:val="Normal"/>
    <w:semiHidden/>
    <w:rsid w:val="00F9672F"/>
    <w:pPr>
      <w:ind w:left="1132" w:hanging="283"/>
      <w:contextualSpacing/>
    </w:pPr>
    <w:rPr>
      <w:lang w:val="en-US"/>
    </w:rPr>
  </w:style>
  <w:style w:type="paragraph" w:styleId="List5">
    <w:name w:val="List 5"/>
    <w:basedOn w:val="Normal"/>
    <w:semiHidden/>
    <w:rsid w:val="00F9672F"/>
    <w:pPr>
      <w:ind w:left="1415" w:hanging="283"/>
      <w:contextualSpacing/>
    </w:pPr>
    <w:rPr>
      <w:lang w:val="en-US"/>
    </w:rPr>
  </w:style>
  <w:style w:type="paragraph" w:styleId="List">
    <w:name w:val="List"/>
    <w:basedOn w:val="Normal"/>
    <w:semiHidden/>
    <w:rsid w:val="00F9672F"/>
    <w:pPr>
      <w:ind w:left="283" w:hanging="283"/>
      <w:contextualSpacing/>
    </w:pPr>
    <w:rPr>
      <w:lang w:val="en-US"/>
    </w:rPr>
  </w:style>
  <w:style w:type="paragraph" w:styleId="List2">
    <w:name w:val="List 2"/>
    <w:basedOn w:val="Normal"/>
    <w:semiHidden/>
    <w:rsid w:val="00F9672F"/>
    <w:pPr>
      <w:ind w:left="566" w:hanging="283"/>
      <w:contextualSpacing/>
    </w:pPr>
    <w:rPr>
      <w:lang w:val="en-US"/>
    </w:rPr>
  </w:style>
  <w:style w:type="paragraph" w:styleId="ListBullet">
    <w:name w:val="List Bullet"/>
    <w:basedOn w:val="Normal"/>
    <w:semiHidden/>
    <w:rsid w:val="00F9672F"/>
    <w:pPr>
      <w:tabs>
        <w:tab w:val="num" w:pos="360"/>
      </w:tabs>
      <w:ind w:left="360" w:hanging="360"/>
      <w:contextualSpacing/>
    </w:pPr>
    <w:rPr>
      <w:lang w:val="en-US"/>
    </w:rPr>
  </w:style>
  <w:style w:type="paragraph" w:styleId="ListBullet2">
    <w:name w:val="List Bullet 2"/>
    <w:basedOn w:val="Normal"/>
    <w:semiHidden/>
    <w:rsid w:val="00F9672F"/>
    <w:pPr>
      <w:tabs>
        <w:tab w:val="num" w:pos="643"/>
      </w:tabs>
      <w:ind w:left="643" w:hanging="360"/>
      <w:contextualSpacing/>
    </w:pPr>
    <w:rPr>
      <w:lang w:val="en-US"/>
    </w:rPr>
  </w:style>
  <w:style w:type="paragraph" w:styleId="ListBullet3">
    <w:name w:val="List Bullet 3"/>
    <w:basedOn w:val="Normal"/>
    <w:semiHidden/>
    <w:rsid w:val="00F9672F"/>
    <w:pPr>
      <w:tabs>
        <w:tab w:val="num" w:pos="926"/>
      </w:tabs>
      <w:ind w:left="926" w:hanging="360"/>
      <w:contextualSpacing/>
    </w:pPr>
    <w:rPr>
      <w:lang w:val="en-US"/>
    </w:rPr>
  </w:style>
  <w:style w:type="paragraph" w:styleId="ListBullet4">
    <w:name w:val="List Bullet 4"/>
    <w:basedOn w:val="Normal"/>
    <w:semiHidden/>
    <w:rsid w:val="00F9672F"/>
    <w:pPr>
      <w:tabs>
        <w:tab w:val="num" w:pos="1209"/>
      </w:tabs>
      <w:ind w:left="1209" w:hanging="360"/>
      <w:contextualSpacing/>
    </w:pPr>
    <w:rPr>
      <w:lang w:val="en-US"/>
    </w:rPr>
  </w:style>
  <w:style w:type="paragraph" w:styleId="ListBullet5">
    <w:name w:val="List Bullet 5"/>
    <w:basedOn w:val="Normal"/>
    <w:semiHidden/>
    <w:rsid w:val="00F9672F"/>
    <w:pPr>
      <w:tabs>
        <w:tab w:val="num" w:pos="1492"/>
      </w:tabs>
      <w:ind w:left="1492" w:hanging="360"/>
      <w:contextualSpacing/>
    </w:pPr>
    <w:rPr>
      <w:lang w:val="en-US"/>
    </w:rPr>
  </w:style>
  <w:style w:type="paragraph" w:styleId="ListContinue">
    <w:name w:val="List Continue"/>
    <w:basedOn w:val="Normal"/>
    <w:semiHidden/>
    <w:rsid w:val="00F9672F"/>
    <w:pPr>
      <w:spacing w:after="120"/>
      <w:ind w:left="283"/>
      <w:contextualSpacing/>
    </w:pPr>
    <w:rPr>
      <w:lang w:val="en-US"/>
    </w:rPr>
  </w:style>
  <w:style w:type="paragraph" w:styleId="ListContinue2">
    <w:name w:val="List Continue 2"/>
    <w:basedOn w:val="Normal"/>
    <w:semiHidden/>
    <w:rsid w:val="00F9672F"/>
    <w:pPr>
      <w:spacing w:after="120"/>
      <w:ind w:left="566"/>
      <w:contextualSpacing/>
    </w:pPr>
    <w:rPr>
      <w:lang w:val="en-US"/>
    </w:rPr>
  </w:style>
  <w:style w:type="paragraph" w:styleId="ListContinue3">
    <w:name w:val="List Continue 3"/>
    <w:basedOn w:val="Normal"/>
    <w:semiHidden/>
    <w:rsid w:val="00F9672F"/>
    <w:pPr>
      <w:spacing w:after="120"/>
      <w:ind w:left="849"/>
      <w:contextualSpacing/>
    </w:pPr>
    <w:rPr>
      <w:lang w:val="en-US"/>
    </w:rPr>
  </w:style>
  <w:style w:type="paragraph" w:styleId="ListContinue4">
    <w:name w:val="List Continue 4"/>
    <w:basedOn w:val="Normal"/>
    <w:semiHidden/>
    <w:rsid w:val="00F9672F"/>
    <w:pPr>
      <w:spacing w:after="120"/>
      <w:ind w:left="1132"/>
      <w:contextualSpacing/>
    </w:pPr>
    <w:rPr>
      <w:lang w:val="en-US"/>
    </w:rPr>
  </w:style>
  <w:style w:type="paragraph" w:styleId="ListContinue5">
    <w:name w:val="List Continue 5"/>
    <w:basedOn w:val="Normal"/>
    <w:semiHidden/>
    <w:rsid w:val="00F9672F"/>
    <w:pPr>
      <w:spacing w:after="120"/>
      <w:ind w:left="1415"/>
      <w:contextualSpacing/>
    </w:pPr>
    <w:rPr>
      <w:lang w:val="en-US"/>
    </w:rPr>
  </w:style>
  <w:style w:type="paragraph" w:styleId="ListNumber">
    <w:name w:val="List Number"/>
    <w:basedOn w:val="Normal"/>
    <w:semiHidden/>
    <w:rsid w:val="00F9672F"/>
    <w:pPr>
      <w:tabs>
        <w:tab w:val="num" w:pos="360"/>
      </w:tabs>
      <w:ind w:left="360" w:hanging="360"/>
      <w:contextualSpacing/>
    </w:pPr>
    <w:rPr>
      <w:lang w:val="en-US"/>
    </w:rPr>
  </w:style>
  <w:style w:type="paragraph" w:styleId="ListNumber4">
    <w:name w:val="List Number 4"/>
    <w:basedOn w:val="Normal"/>
    <w:semiHidden/>
    <w:rsid w:val="00F9672F"/>
    <w:pPr>
      <w:numPr>
        <w:numId w:val="4"/>
      </w:numPr>
      <w:contextualSpacing/>
    </w:pPr>
    <w:rPr>
      <w:lang w:val="en-US"/>
    </w:rPr>
  </w:style>
  <w:style w:type="paragraph" w:styleId="ListNumber2">
    <w:name w:val="List Number 2"/>
    <w:basedOn w:val="Normal"/>
    <w:semiHidden/>
    <w:rsid w:val="00F9672F"/>
    <w:pPr>
      <w:tabs>
        <w:tab w:val="num" w:pos="643"/>
      </w:tabs>
      <w:ind w:left="643" w:hanging="360"/>
      <w:contextualSpacing/>
    </w:pPr>
    <w:rPr>
      <w:lang w:val="en-US"/>
    </w:rPr>
  </w:style>
  <w:style w:type="table" w:styleId="ListTable1Light">
    <w:name w:val="List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F9672F"/>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F9672F"/>
    <w:rPr>
      <w:rFonts w:ascii="Consolas" w:eastAsia="Times New Roman" w:hAnsi="Consolas"/>
      <w:lang w:val="en-US" w:eastAsia="en-US"/>
    </w:rPr>
  </w:style>
  <w:style w:type="table" w:styleId="MediumGrid1">
    <w:name w:val="Medium Grid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F9672F"/>
    <w:rPr>
      <w:color w:val="2B579A"/>
      <w:shd w:val="clear" w:color="auto" w:fill="E1DFDD"/>
    </w:rPr>
  </w:style>
  <w:style w:type="paragraph" w:styleId="MessageHeader">
    <w:name w:val="Message Header"/>
    <w:basedOn w:val="Normal"/>
    <w:link w:val="MessageHeaderChar"/>
    <w:semiHidden/>
    <w:rsid w:val="00F9672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F9672F"/>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rsid w:val="00F9672F"/>
    <w:pPr>
      <w:ind w:left="708"/>
    </w:pPr>
  </w:style>
  <w:style w:type="paragraph" w:styleId="NoteHeading">
    <w:name w:val="Note Heading"/>
    <w:basedOn w:val="Normal"/>
    <w:next w:val="Normal"/>
    <w:link w:val="NoteHeadingChar"/>
    <w:semiHidden/>
    <w:rsid w:val="00F9672F"/>
  </w:style>
  <w:style w:type="character" w:customStyle="1" w:styleId="NoteHeadingChar">
    <w:name w:val="Note Heading Char"/>
    <w:basedOn w:val="DefaultParagraphFont"/>
    <w:link w:val="NoteHeading"/>
    <w:semiHidden/>
    <w:rsid w:val="00F9672F"/>
    <w:rPr>
      <w:rFonts w:eastAsia="Times New Roman"/>
      <w:lang w:val="en-GB" w:eastAsia="en-US"/>
    </w:rPr>
  </w:style>
  <w:style w:type="table" w:styleId="PlainTable1">
    <w:name w:val="Plain Table 1"/>
    <w:basedOn w:val="TableNormal"/>
    <w:uiPriority w:val="41"/>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rsid w:val="00F9672F"/>
    <w:rPr>
      <w:rFonts w:ascii="Consolas" w:hAnsi="Consolas"/>
      <w:sz w:val="21"/>
      <w:szCs w:val="21"/>
    </w:rPr>
  </w:style>
  <w:style w:type="character" w:customStyle="1" w:styleId="PlainTextChar">
    <w:name w:val="Plain Text Char"/>
    <w:basedOn w:val="DefaultParagraphFont"/>
    <w:link w:val="PlainText"/>
    <w:semiHidden/>
    <w:rsid w:val="00F9672F"/>
    <w:rPr>
      <w:rFonts w:ascii="Consolas" w:eastAsia="Times New Roman" w:hAnsi="Consolas"/>
      <w:sz w:val="21"/>
      <w:szCs w:val="21"/>
      <w:lang w:val="en-GB" w:eastAsia="en-US"/>
    </w:rPr>
  </w:style>
  <w:style w:type="paragraph" w:styleId="Quote">
    <w:name w:val="Quote"/>
    <w:basedOn w:val="Normal"/>
    <w:next w:val="Normal"/>
    <w:link w:val="QuoteChar"/>
    <w:uiPriority w:val="29"/>
    <w:semiHidden/>
    <w:qFormat/>
    <w:rsid w:val="00F967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9672F"/>
    <w:rPr>
      <w:rFonts w:eastAsia="Times New Roman"/>
      <w:i/>
      <w:iCs/>
      <w:color w:val="404040" w:themeColor="text1" w:themeTint="BF"/>
      <w:lang w:val="en-GB" w:eastAsia="en-US"/>
    </w:rPr>
  </w:style>
  <w:style w:type="paragraph" w:styleId="Salutation">
    <w:name w:val="Salutation"/>
    <w:basedOn w:val="Normal"/>
    <w:next w:val="Normal"/>
    <w:link w:val="SalutationChar"/>
    <w:semiHidden/>
    <w:rsid w:val="00F9672F"/>
  </w:style>
  <w:style w:type="character" w:customStyle="1" w:styleId="SalutationChar">
    <w:name w:val="Salutation Char"/>
    <w:basedOn w:val="DefaultParagraphFont"/>
    <w:link w:val="Salutation"/>
    <w:semiHidden/>
    <w:rsid w:val="00F9672F"/>
    <w:rPr>
      <w:rFonts w:eastAsia="Times New Roman"/>
      <w:lang w:val="en-GB" w:eastAsia="en-US"/>
    </w:rPr>
  </w:style>
  <w:style w:type="paragraph" w:styleId="Signature">
    <w:name w:val="Signature"/>
    <w:basedOn w:val="Normal"/>
    <w:link w:val="SignatureChar"/>
    <w:semiHidden/>
    <w:rsid w:val="00F9672F"/>
    <w:pPr>
      <w:ind w:left="4252"/>
    </w:pPr>
  </w:style>
  <w:style w:type="character" w:customStyle="1" w:styleId="SignatureChar">
    <w:name w:val="Signature Char"/>
    <w:basedOn w:val="DefaultParagraphFont"/>
    <w:link w:val="Signature"/>
    <w:semiHidden/>
    <w:rsid w:val="00F9672F"/>
    <w:rPr>
      <w:rFonts w:eastAsia="Times New Roman"/>
      <w:lang w:val="en-GB" w:eastAsia="en-US"/>
    </w:rPr>
  </w:style>
  <w:style w:type="character" w:styleId="SmartHyperlink">
    <w:name w:val="Smart Hyperlink"/>
    <w:basedOn w:val="DefaultParagraphFont"/>
    <w:uiPriority w:val="99"/>
    <w:semiHidden/>
    <w:rsid w:val="00F9672F"/>
    <w:rPr>
      <w:u w:val="dotted"/>
    </w:rPr>
  </w:style>
  <w:style w:type="character" w:customStyle="1" w:styleId="SmartLink1">
    <w:name w:val="SmartLink1"/>
    <w:basedOn w:val="DefaultParagraphFont"/>
    <w:uiPriority w:val="99"/>
    <w:semiHidden/>
    <w:rsid w:val="00F9672F"/>
    <w:rPr>
      <w:color w:val="0000FF"/>
      <w:u w:val="single"/>
      <w:shd w:val="clear" w:color="auto" w:fill="F3F2F1"/>
    </w:rPr>
  </w:style>
  <w:style w:type="character" w:styleId="Strong">
    <w:name w:val="Strong"/>
    <w:basedOn w:val="DefaultParagraphFont"/>
    <w:semiHidden/>
    <w:qFormat/>
    <w:rsid w:val="00F9672F"/>
    <w:rPr>
      <w:b/>
      <w:bCs/>
    </w:rPr>
  </w:style>
  <w:style w:type="paragraph" w:styleId="Subtitle">
    <w:name w:val="Subtitle"/>
    <w:basedOn w:val="Normal"/>
    <w:next w:val="Normal"/>
    <w:link w:val="SubtitleChar"/>
    <w:semiHidden/>
    <w:qFormat/>
    <w:rsid w:val="00F9672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F9672F"/>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semiHidden/>
    <w:qFormat/>
    <w:rsid w:val="00F9672F"/>
    <w:rPr>
      <w:i/>
      <w:iCs/>
      <w:color w:val="404040" w:themeColor="text1" w:themeTint="BF"/>
    </w:rPr>
  </w:style>
  <w:style w:type="character" w:styleId="SubtleReference">
    <w:name w:val="Subtle Reference"/>
    <w:basedOn w:val="DefaultParagraphFont"/>
    <w:uiPriority w:val="31"/>
    <w:semiHidden/>
    <w:qFormat/>
    <w:rsid w:val="00F9672F"/>
    <w:rPr>
      <w:smallCaps/>
      <w:color w:val="5A5A5A" w:themeColor="text1" w:themeTint="A5"/>
    </w:rPr>
  </w:style>
  <w:style w:type="table" w:styleId="Table3Deffects1">
    <w:name w:val="Table 3D effect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000080"/>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FFFFFF"/>
      <w:kern w:val="2"/>
      <w:sz w:val="22"/>
      <w:szCs w:val="22"/>
      <w14:ligatures w14:val="standardContextua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9672F"/>
    <w:rPr>
      <w:rFonts w:asciiTheme="minorHAnsi" w:eastAsiaTheme="minorEastAsia" w:hAnsiTheme="minorHAnsi" w:cstheme="minorBidi"/>
      <w:kern w:val="2"/>
      <w:sz w:val="22"/>
      <w:szCs w:val="2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F9672F"/>
    <w:pPr>
      <w:tabs>
        <w:tab w:val="clear" w:pos="1247"/>
      </w:tabs>
      <w:ind w:left="200" w:hanging="200"/>
    </w:pPr>
  </w:style>
  <w:style w:type="table" w:styleId="TableProfessional">
    <w:name w:val="Table Professional"/>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F9672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F9672F"/>
    <w:rPr>
      <w:rFonts w:asciiTheme="majorHAnsi" w:eastAsiaTheme="majorEastAsia" w:hAnsiTheme="majorHAnsi" w:cstheme="majorBidi"/>
      <w:spacing w:val="-10"/>
      <w:kern w:val="28"/>
      <w:sz w:val="56"/>
      <w:szCs w:val="56"/>
      <w:lang w:val="en-GB" w:eastAsia="en-US"/>
    </w:rPr>
  </w:style>
  <w:style w:type="paragraph" w:styleId="TOAHeading">
    <w:name w:val="toa heading"/>
    <w:basedOn w:val="Normal"/>
    <w:next w:val="Normal"/>
    <w:semiHidden/>
    <w:rsid w:val="00F9672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F9672F"/>
    <w:pPr>
      <w:keepLines/>
      <w:numPr>
        <w:numId w:val="0"/>
      </w:num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Headerpool">
    <w:name w:val="Header_pool"/>
    <w:basedOn w:val="Normal"/>
    <w:next w:val="Normal"/>
    <w:semiHidden/>
    <w:rsid w:val="00F9672F"/>
    <w:pPr>
      <w:pBdr>
        <w:bottom w:val="single" w:sz="4" w:space="1" w:color="auto"/>
      </w:pBdr>
      <w:tabs>
        <w:tab w:val="center" w:pos="4536"/>
        <w:tab w:val="right" w:pos="9072"/>
      </w:tabs>
      <w:spacing w:after="120"/>
    </w:pPr>
    <w:rPr>
      <w:b/>
      <w:sz w:val="18"/>
      <w:lang w:val="en-US"/>
    </w:rPr>
  </w:style>
  <w:style w:type="paragraph" w:styleId="ListNumber3">
    <w:name w:val="List Number 3"/>
    <w:basedOn w:val="Normal"/>
    <w:semiHidden/>
    <w:rsid w:val="00F9672F"/>
    <w:pPr>
      <w:tabs>
        <w:tab w:val="num" w:pos="926"/>
      </w:tabs>
      <w:ind w:left="926" w:hanging="360"/>
      <w:contextualSpacing/>
    </w:pPr>
    <w:rPr>
      <w:lang w:val="en-US"/>
    </w:rPr>
  </w:style>
  <w:style w:type="paragraph" w:customStyle="1" w:styleId="Default">
    <w:name w:val="Default"/>
    <w:semiHidden/>
    <w:rsid w:val="00F9672F"/>
    <w:pPr>
      <w:autoSpaceDE w:val="0"/>
      <w:autoSpaceDN w:val="0"/>
      <w:adjustRightInd w:val="0"/>
    </w:pPr>
    <w:rPr>
      <w:rFonts w:eastAsiaTheme="minorEastAsia"/>
      <w:color w:val="000000"/>
      <w:sz w:val="24"/>
      <w:szCs w:val="24"/>
      <w:lang w:val="en-US"/>
    </w:rPr>
  </w:style>
  <w:style w:type="table" w:customStyle="1" w:styleId="Tabledocright1">
    <w:name w:val="Table_doc_right1"/>
    <w:basedOn w:val="TableNormal"/>
    <w:rsid w:val="00F9672F"/>
    <w:pPr>
      <w:spacing w:before="40" w:after="40"/>
    </w:pPr>
    <w:rPr>
      <w:sz w:val="18"/>
      <w:szCs w:val="18"/>
      <w:lang w:val="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F9672F"/>
    <w:rPr>
      <w:rFonts w:ascii="Arial" w:hAnsi="Arial"/>
      <w:sz w:val="16"/>
      <w:lang w:val="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0">
    <w:name w:val="Table Grid1"/>
    <w:basedOn w:val="TableNormal"/>
    <w:next w:val="TableGrid"/>
    <w:uiPriority w:val="59"/>
    <w:rsid w:val="00F9672F"/>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F9672F"/>
    <w:rPr>
      <w:lang w:val="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BBTitleChar">
    <w:name w:val="BB_Title Char"/>
    <w:link w:val="BBTitle"/>
    <w:rsid w:val="00F9672F"/>
    <w:rPr>
      <w:rFonts w:eastAsia="Times New Roman"/>
      <w:b/>
      <w:sz w:val="28"/>
      <w:szCs w:val="28"/>
      <w:lang w:val="en-US" w:eastAsia="en-US"/>
    </w:rPr>
  </w:style>
  <w:style w:type="character" w:customStyle="1" w:styleId="ZZAnxtitleChar">
    <w:name w:val="ZZ_Anx_title Char"/>
    <w:link w:val="ZZAnxtitle"/>
    <w:rsid w:val="00F9672F"/>
    <w:rPr>
      <w:rFonts w:eastAsia="Times New Roman"/>
      <w:b/>
      <w:bCs/>
      <w:sz w:val="28"/>
      <w:szCs w:val="26"/>
      <w:lang w:val="en-US" w:eastAsia="en-US"/>
    </w:rPr>
  </w:style>
  <w:style w:type="character" w:customStyle="1" w:styleId="CH2Char">
    <w:name w:val="CH2 Char"/>
    <w:link w:val="CH2"/>
    <w:rsid w:val="00F9672F"/>
    <w:rPr>
      <w:rFonts w:eastAsia="Times New Roman"/>
      <w:b/>
      <w:sz w:val="24"/>
      <w:szCs w:val="24"/>
      <w:lang w:val="en-US" w:eastAsia="en-US"/>
    </w:rPr>
  </w:style>
  <w:style w:type="character" w:customStyle="1" w:styleId="HeaderChar1">
    <w:name w:val="Header Char1"/>
    <w:basedOn w:val="DefaultParagraphFont"/>
    <w:uiPriority w:val="99"/>
    <w:semiHidden/>
    <w:rsid w:val="00F9672F"/>
    <w:rPr>
      <w:rFonts w:eastAsia="SimSun"/>
      <w:lang w:eastAsia="zh-CN"/>
    </w:rPr>
  </w:style>
  <w:style w:type="paragraph" w:customStyle="1" w:styleId="xl65">
    <w:name w:val="xl65"/>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67">
    <w:name w:val="xl67"/>
    <w:basedOn w:val="Normal"/>
    <w:semiHidden/>
    <w:rsid w:val="00F9672F"/>
    <w:pPr>
      <w:spacing w:before="100" w:beforeAutospacing="1" w:after="100" w:afterAutospacing="1"/>
    </w:pPr>
    <w:rPr>
      <w:b/>
      <w:bCs/>
      <w:sz w:val="24"/>
      <w:szCs w:val="24"/>
    </w:rPr>
  </w:style>
  <w:style w:type="paragraph" w:customStyle="1" w:styleId="xl68">
    <w:name w:val="xl68"/>
    <w:basedOn w:val="Normal"/>
    <w:semiHidden/>
    <w:rsid w:val="00F9672F"/>
    <w:pPr>
      <w:pBdr>
        <w:top w:val="single" w:sz="8" w:space="0" w:color="auto"/>
        <w:bottom w:val="single" w:sz="4" w:space="0" w:color="auto"/>
      </w:pBdr>
      <w:shd w:val="clear" w:color="000000" w:fill="B4C6E7"/>
      <w:spacing w:before="100" w:beforeAutospacing="1" w:after="100" w:afterAutospacing="1"/>
    </w:pPr>
    <w:rPr>
      <w:b/>
      <w:bCs/>
      <w:sz w:val="24"/>
      <w:szCs w:val="24"/>
    </w:rPr>
  </w:style>
  <w:style w:type="paragraph" w:customStyle="1" w:styleId="xl69">
    <w:name w:val="xl69"/>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0">
    <w:name w:val="xl70"/>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1">
    <w:name w:val="xl71"/>
    <w:basedOn w:val="Normal"/>
    <w:semiHidden/>
    <w:rsid w:val="00F9672F"/>
    <w:pPr>
      <w:pBdr>
        <w:top w:val="single" w:sz="4" w:space="0" w:color="auto"/>
        <w:bottom w:val="single" w:sz="4" w:space="0" w:color="auto"/>
      </w:pBdr>
      <w:shd w:val="clear" w:color="000000" w:fill="F8CBAD"/>
      <w:spacing w:before="100" w:beforeAutospacing="1" w:after="100" w:afterAutospacing="1"/>
    </w:pPr>
    <w:rPr>
      <w:sz w:val="24"/>
      <w:szCs w:val="24"/>
    </w:rPr>
  </w:style>
  <w:style w:type="paragraph" w:customStyle="1" w:styleId="xl72">
    <w:name w:val="xl72"/>
    <w:basedOn w:val="Normal"/>
    <w:semiHidden/>
    <w:rsid w:val="00F9672F"/>
    <w:pPr>
      <w:pBdr>
        <w:top w:val="single" w:sz="4" w:space="0" w:color="auto"/>
        <w:bottom w:val="single" w:sz="8" w:space="0" w:color="auto"/>
      </w:pBdr>
      <w:shd w:val="clear" w:color="000000" w:fill="FFFF00"/>
      <w:spacing w:before="100" w:beforeAutospacing="1" w:after="100" w:afterAutospacing="1"/>
    </w:pPr>
    <w:rPr>
      <w:b/>
      <w:bCs/>
      <w:sz w:val="24"/>
      <w:szCs w:val="24"/>
    </w:rPr>
  </w:style>
  <w:style w:type="paragraph" w:customStyle="1" w:styleId="xl73">
    <w:name w:val="xl73"/>
    <w:basedOn w:val="Normal"/>
    <w:semiHidden/>
    <w:rsid w:val="00F9672F"/>
    <w:pPr>
      <w:pBdr>
        <w:top w:val="single" w:sz="4" w:space="0" w:color="auto"/>
        <w:bottom w:val="single" w:sz="8" w:space="0" w:color="auto"/>
      </w:pBdr>
      <w:shd w:val="clear" w:color="000000" w:fill="FFFF00"/>
      <w:spacing w:before="100" w:beforeAutospacing="1" w:after="100" w:afterAutospacing="1"/>
      <w:jc w:val="center"/>
    </w:pPr>
    <w:rPr>
      <w:b/>
      <w:bCs/>
      <w:sz w:val="24"/>
      <w:szCs w:val="24"/>
    </w:rPr>
  </w:style>
  <w:style w:type="paragraph" w:customStyle="1" w:styleId="xl74">
    <w:name w:val="xl74"/>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5">
    <w:name w:val="xl75"/>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6">
    <w:name w:val="xl76"/>
    <w:basedOn w:val="Normal"/>
    <w:semiHidden/>
    <w:rsid w:val="00F9672F"/>
    <w:pPr>
      <w:pBdr>
        <w:top w:val="single" w:sz="4" w:space="0" w:color="auto"/>
        <w:bottom w:val="single" w:sz="4" w:space="0" w:color="auto"/>
      </w:pBdr>
      <w:shd w:val="clear" w:color="000000" w:fill="F8CBAD"/>
      <w:spacing w:before="100" w:beforeAutospacing="1" w:after="100" w:afterAutospacing="1"/>
    </w:pPr>
    <w:rPr>
      <w:b/>
      <w:bCs/>
      <w:sz w:val="24"/>
      <w:szCs w:val="24"/>
    </w:rPr>
  </w:style>
  <w:style w:type="paragraph" w:customStyle="1" w:styleId="xl77">
    <w:name w:val="xl77"/>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8">
    <w:name w:val="xl78"/>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9">
    <w:name w:val="xl79"/>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86">
    <w:name w:val="xl8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87">
    <w:name w:val="xl87"/>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88">
    <w:name w:val="xl88"/>
    <w:basedOn w:val="Normal"/>
    <w:semiHidden/>
    <w:rsid w:val="00F9672F"/>
    <w:pPr>
      <w:pBdr>
        <w:top w:val="single" w:sz="4" w:space="0" w:color="auto"/>
        <w:bottom w:val="single" w:sz="8" w:space="0" w:color="auto"/>
      </w:pBdr>
      <w:shd w:val="clear" w:color="000000" w:fill="FFFF00"/>
      <w:spacing w:before="100" w:beforeAutospacing="1" w:after="100" w:afterAutospacing="1"/>
      <w:jc w:val="center"/>
      <w:textAlignment w:val="center"/>
    </w:pPr>
    <w:rPr>
      <w:b/>
      <w:bCs/>
      <w:sz w:val="24"/>
      <w:szCs w:val="24"/>
    </w:rPr>
  </w:style>
  <w:style w:type="paragraph" w:customStyle="1" w:styleId="xl89">
    <w:name w:val="xl89"/>
    <w:basedOn w:val="Normal"/>
    <w:semiHidden/>
    <w:rsid w:val="00F9672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1">
    <w:name w:val="xl91"/>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Normal"/>
    <w:semiHidden/>
    <w:rsid w:val="00F9672F"/>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3">
    <w:name w:val="xl93"/>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7">
    <w:name w:val="xl97"/>
    <w:basedOn w:val="Normal"/>
    <w:semiHidden/>
    <w:rsid w:val="00F9672F"/>
    <w:pPr>
      <w:pBdr>
        <w:top w:val="single" w:sz="8"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98">
    <w:name w:val="xl98"/>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9">
    <w:name w:val="xl99"/>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100">
    <w:name w:val="xl100"/>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101">
    <w:name w:val="xl101"/>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2">
    <w:name w:val="xl102"/>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03">
    <w:name w:val="xl103"/>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4">
    <w:name w:val="xl104"/>
    <w:basedOn w:val="Normal"/>
    <w:semiHidden/>
    <w:rsid w:val="00F9672F"/>
    <w:pPr>
      <w:spacing w:before="100" w:beforeAutospacing="1" w:after="100" w:afterAutospacing="1"/>
    </w:pPr>
    <w:rPr>
      <w:sz w:val="16"/>
      <w:szCs w:val="16"/>
    </w:rPr>
  </w:style>
  <w:style w:type="paragraph" w:styleId="ListNumber5">
    <w:name w:val="List Number 5"/>
    <w:basedOn w:val="Normal"/>
    <w:semiHidden/>
    <w:rsid w:val="00F9672F"/>
    <w:pPr>
      <w:tabs>
        <w:tab w:val="num" w:pos="1492"/>
      </w:tabs>
      <w:ind w:left="1492" w:hanging="360"/>
      <w:contextualSpacing/>
    </w:pPr>
    <w:rPr>
      <w:lang w:val="en-US"/>
    </w:rPr>
  </w:style>
  <w:style w:type="paragraph" w:customStyle="1" w:styleId="msonormal0">
    <w:name w:val="msonormal"/>
    <w:basedOn w:val="Normal"/>
    <w:semiHidden/>
    <w:rsid w:val="00F9672F"/>
    <w:pPr>
      <w:spacing w:before="100" w:beforeAutospacing="1" w:after="100" w:afterAutospacing="1"/>
    </w:pPr>
    <w:rPr>
      <w:sz w:val="24"/>
      <w:szCs w:val="24"/>
      <w:lang w:val="en-US"/>
    </w:rPr>
  </w:style>
  <w:style w:type="character" w:customStyle="1" w:styleId="cf01">
    <w:name w:val="cf01"/>
    <w:basedOn w:val="DefaultParagraphFont"/>
    <w:semiHidden/>
    <w:rsid w:val="00F9672F"/>
    <w:rPr>
      <w:rFonts w:ascii="Segoe UI" w:hAnsi="Segoe UI" w:cs="Segoe UI" w:hint="default"/>
      <w:i/>
      <w:iCs/>
      <w:sz w:val="18"/>
      <w:szCs w:val="18"/>
    </w:rPr>
  </w:style>
  <w:style w:type="character" w:customStyle="1" w:styleId="cf11">
    <w:name w:val="cf11"/>
    <w:basedOn w:val="DefaultParagraphFont"/>
    <w:semiHidden/>
    <w:rsid w:val="00F967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standards.cencenelec.eu/dyn/www/f?p=CEN:110:0::::FSP_PROJECT,FSP_ORG_ID:31637,2046877&amp;cs=1FA4D3797CFB1DB7B1B78603C6AD50F4C"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epa.gov/hw-sw846/leaching-environmental-assessment-framework-leaf-methods-and-guid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www.leachingtests.com/app/uploads/sites/18/2021/06/B.2.1-pH-Dependence-Mine-tailings-FI.pdf" TargetMode="External"/><Relationship Id="rId3" Type="http://schemas.openxmlformats.org/officeDocument/2006/relationships/hyperlink" Target="https://www.epa.gov/hw/report-congress-wastes-extraction-and-beneficiation-metallic-ores-phosphate-rock-asbestos" TargetMode="External"/><Relationship Id="rId7" Type="http://schemas.openxmlformats.org/officeDocument/2006/relationships/hyperlink" Target="https://doi.org/10.31025/2611-4135/2022.15212" TargetMode="External"/><Relationship Id="rId2" Type="http://schemas.openxmlformats.org/officeDocument/2006/relationships/hyperlink" Target="https://doi.org/10.31025/2611-4135/2022.15212" TargetMode="External"/><Relationship Id="rId1" Type="http://schemas.openxmlformats.org/officeDocument/2006/relationships/hyperlink" Target="https://minamataconvention.org/en/meetings/cop5" TargetMode="External"/><Relationship Id="rId6" Type="http://schemas.openxmlformats.org/officeDocument/2006/relationships/hyperlink" Target="https://standards.cencenelec.eu/dyn/www/f?p=CEN:110:0::::FSP_PROJECT,FSP_ORG_ID:29712,2046877&amp;cs=111430801676205AC8931FEE59D7D6774" TargetMode="External"/><Relationship Id="rId5" Type="http://schemas.openxmlformats.org/officeDocument/2006/relationships/hyperlink" Target="https://standards.cencenelec.eu/dyn/www/f?p=CEN:110:0::::FSP_PROJECT,FSP_ORG_ID:29713,2046877&amp;cs=1487B2A21857C31CD51ED4354EB332457" TargetMode="External"/><Relationship Id="rId4" Type="http://schemas.openxmlformats.org/officeDocument/2006/relationships/hyperlink" Target="http://gardguide.com" TargetMode="External"/><Relationship Id="rId9" Type="http://schemas.openxmlformats.org/officeDocument/2006/relationships/hyperlink" Target="https://globaltailingsreview.org/wp-content/uploads/2020/08/global-industry-standard-on-tailings-manage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THU\Downloads\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5D2FC-899A-4223-A1B0-F2DDA79C88A9}">
  <ds:schemaRefs>
    <ds:schemaRef ds:uri="http://schemas.openxmlformats.org/officeDocument/2006/bibliography"/>
  </ds:schemaRefs>
</ds:datastoreItem>
</file>

<file path=customXml/itemProps2.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4.xml><?xml version="1.0" encoding="utf-8"?>
<ds:datastoreItem xmlns:ds="http://schemas.openxmlformats.org/officeDocument/2006/customXml" ds:itemID="{4B3F1F59-2613-4BB3-B11D-FF9C19230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PlainPage_EN.dotm</Template>
  <TotalTime>21</TotalTime>
  <Pages>9</Pages>
  <Words>3622</Words>
  <Characters>19530</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Veronica  Gathu</dc:creator>
  <cp:keywords>EN</cp:keywords>
  <dc:description/>
  <cp:lastModifiedBy>My Linh Doan</cp:lastModifiedBy>
  <cp:revision>11</cp:revision>
  <cp:lastPrinted>2023-08-30T06:34:00Z</cp:lastPrinted>
  <dcterms:created xsi:type="dcterms:W3CDTF">2023-08-29T16:49:00Z</dcterms:created>
  <dcterms:modified xsi:type="dcterms:W3CDTF">2023-09-22T12:16:00Z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y fmtid="{D5CDD505-2E9C-101B-9397-08002B2CF9AE}" pid="4" name="Order">
    <vt:r8>22800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UNONDCSTES-Language">
    <vt:lpwstr>EN</vt:lpwstr>
  </property>
  <property fmtid="{D5CDD505-2E9C-101B-9397-08002B2CF9AE}" pid="12" name="UNONDCSTES-Category">
    <vt:lpwstr>UNEP-MC-COP</vt:lpwstr>
  </property>
  <property fmtid="{D5CDD505-2E9C-101B-9397-08002B2CF9AE}" pid="13" name="UNONDCSTES-Generator">
    <vt:lpwstr>0</vt:lpwstr>
  </property>
  <property fmtid="{D5CDD505-2E9C-101B-9397-08002B2CF9AE}" pid="14" name="UNONDCSTES-NoSymbol">
    <vt:lpwstr>1</vt:lpwstr>
  </property>
  <property fmtid="{D5CDD505-2E9C-101B-9397-08002B2CF9AE}" pid="15" name="UNONDCSTES-LangDistr">
    <vt:lpwstr>EN_EN</vt:lpwstr>
  </property>
  <property fmtid="{D5CDD505-2E9C-101B-9397-08002B2CF9AE}" pid="16" name="UNONDCSTES-Data">
    <vt:lpwstr>2023-UNEP-MC-COP-5_EN.docx</vt:lpwstr>
  </property>
</Properties>
</file>