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733" w:rsidRDefault="00EB2733" w:rsidP="00EB2733">
      <w:pPr>
        <w:pStyle w:val="Normal-pool"/>
      </w:pPr>
    </w:p>
    <w:tbl>
      <w:tblPr>
        <w:tblW w:w="5000" w:type="pct"/>
        <w:jc w:val="right"/>
        <w:tblLayout w:type="fixed"/>
        <w:tblLook w:val="0000" w:firstRow="0" w:lastRow="0" w:firstColumn="0" w:lastColumn="0" w:noHBand="0" w:noVBand="0"/>
      </w:tblPr>
      <w:tblGrid>
        <w:gridCol w:w="1518"/>
        <w:gridCol w:w="4643"/>
        <w:gridCol w:w="3335"/>
      </w:tblGrid>
      <w:tr w:rsidR="00EB2733" w:rsidRPr="00EB2733" w:rsidTr="006F6E59">
        <w:trPr>
          <w:cantSplit/>
          <w:trHeight w:val="57"/>
          <w:jc w:val="right"/>
        </w:trPr>
        <w:tc>
          <w:tcPr>
            <w:tcW w:w="1550" w:type="dxa"/>
          </w:tcPr>
          <w:p w:rsidR="00EB2733" w:rsidRPr="00EB2733" w:rsidRDefault="00EB2733" w:rsidP="00EB2733">
            <w:pPr>
              <w:tabs>
                <w:tab w:val="left" w:pos="624"/>
                <w:tab w:val="left" w:pos="1871"/>
                <w:tab w:val="left" w:pos="2495"/>
              </w:tabs>
              <w:rPr>
                <w:rFonts w:ascii="Univers" w:hAnsi="Univers"/>
                <w:b/>
                <w:noProof/>
                <w:color w:val="000000"/>
                <w:sz w:val="27"/>
                <w:szCs w:val="27"/>
                <w:lang w:val="en-US"/>
              </w:rPr>
            </w:pPr>
            <w:r w:rsidRPr="00EB2733">
              <w:rPr>
                <w:rFonts w:ascii="Arial" w:hAnsi="Arial" w:cs="Arial"/>
                <w:b/>
                <w:noProof/>
                <w:color w:val="000000"/>
                <w:sz w:val="27"/>
                <w:szCs w:val="27"/>
                <w:lang w:val="en-US"/>
              </w:rPr>
              <w:t xml:space="preserve">UNITED </w:t>
            </w:r>
            <w:r w:rsidRPr="00EB2733">
              <w:rPr>
                <w:rFonts w:ascii="Arial" w:hAnsi="Arial" w:cs="Arial"/>
                <w:b/>
                <w:noProof/>
                <w:color w:val="000000"/>
                <w:sz w:val="27"/>
                <w:szCs w:val="27"/>
                <w:lang w:val="en-US"/>
              </w:rPr>
              <w:br/>
              <w:t>NATIONS</w:t>
            </w:r>
          </w:p>
        </w:tc>
        <w:tc>
          <w:tcPr>
            <w:tcW w:w="4751" w:type="dxa"/>
          </w:tcPr>
          <w:p w:rsidR="00EB2733" w:rsidRPr="00EB2733" w:rsidRDefault="00EB2733" w:rsidP="00EB2733">
            <w:pPr>
              <w:tabs>
                <w:tab w:val="left" w:pos="624"/>
                <w:tab w:val="left" w:pos="1871"/>
                <w:tab w:val="left" w:pos="2495"/>
              </w:tabs>
              <w:rPr>
                <w:rFonts w:ascii="Univers" w:hAnsi="Univers"/>
                <w:b/>
                <w:color w:val="000000"/>
                <w:sz w:val="27"/>
                <w:szCs w:val="27"/>
                <w:lang w:val="en-US"/>
              </w:rPr>
            </w:pPr>
          </w:p>
        </w:tc>
        <w:tc>
          <w:tcPr>
            <w:tcW w:w="3411" w:type="dxa"/>
          </w:tcPr>
          <w:p w:rsidR="00EB2733" w:rsidRPr="00EB2733" w:rsidRDefault="00EB2733" w:rsidP="00EB2733">
            <w:pPr>
              <w:tabs>
                <w:tab w:val="left" w:pos="624"/>
                <w:tab w:val="left" w:pos="1871"/>
                <w:tab w:val="left" w:pos="2495"/>
              </w:tabs>
              <w:jc w:val="right"/>
              <w:rPr>
                <w:rFonts w:ascii="Arial" w:hAnsi="Arial" w:cs="Arial"/>
                <w:b/>
                <w:color w:val="000000"/>
                <w:sz w:val="64"/>
                <w:szCs w:val="64"/>
                <w:lang w:val="en-US"/>
              </w:rPr>
            </w:pPr>
            <w:r w:rsidRPr="00EB2733">
              <w:rPr>
                <w:rFonts w:ascii="Arial" w:hAnsi="Arial" w:cs="Arial"/>
                <w:b/>
                <w:color w:val="000000"/>
                <w:sz w:val="64"/>
                <w:szCs w:val="64"/>
                <w:lang w:val="en-US"/>
              </w:rPr>
              <w:t>MC</w:t>
            </w:r>
          </w:p>
        </w:tc>
      </w:tr>
      <w:tr w:rsidR="00EB2733" w:rsidRPr="00EB2733" w:rsidTr="006F6E59">
        <w:trPr>
          <w:cantSplit/>
          <w:trHeight w:val="57"/>
          <w:jc w:val="right"/>
        </w:trPr>
        <w:tc>
          <w:tcPr>
            <w:tcW w:w="1550" w:type="dxa"/>
            <w:tcBorders>
              <w:bottom w:val="single" w:sz="4" w:space="0" w:color="auto"/>
            </w:tcBorders>
          </w:tcPr>
          <w:p w:rsidR="00EB2733" w:rsidRPr="00EB2733" w:rsidRDefault="00EB2733" w:rsidP="00EB2733">
            <w:pPr>
              <w:tabs>
                <w:tab w:val="left" w:pos="624"/>
                <w:tab w:val="left" w:pos="1871"/>
                <w:tab w:val="left" w:pos="2495"/>
              </w:tabs>
              <w:rPr>
                <w:noProof/>
                <w:color w:val="000000"/>
                <w:sz w:val="18"/>
                <w:szCs w:val="18"/>
                <w:lang w:val="en-US"/>
              </w:rPr>
            </w:pPr>
          </w:p>
        </w:tc>
        <w:tc>
          <w:tcPr>
            <w:tcW w:w="4751" w:type="dxa"/>
            <w:tcBorders>
              <w:bottom w:val="single" w:sz="4" w:space="0" w:color="auto"/>
            </w:tcBorders>
          </w:tcPr>
          <w:p w:rsidR="00EB2733" w:rsidRPr="00EB2733" w:rsidRDefault="00EB2733" w:rsidP="00EB2733">
            <w:pPr>
              <w:tabs>
                <w:tab w:val="left" w:pos="624"/>
                <w:tab w:val="left" w:pos="1871"/>
                <w:tab w:val="left" w:pos="2495"/>
              </w:tabs>
              <w:rPr>
                <w:rFonts w:ascii="Univers" w:hAnsi="Univers"/>
                <w:b/>
                <w:color w:val="000000"/>
                <w:sz w:val="18"/>
                <w:szCs w:val="18"/>
                <w:lang w:val="en-US"/>
              </w:rPr>
            </w:pPr>
          </w:p>
        </w:tc>
        <w:tc>
          <w:tcPr>
            <w:tcW w:w="3411" w:type="dxa"/>
            <w:tcBorders>
              <w:bottom w:val="single" w:sz="4" w:space="0" w:color="auto"/>
            </w:tcBorders>
          </w:tcPr>
          <w:p w:rsidR="00EB2733" w:rsidRPr="00EB2733" w:rsidRDefault="00EB2733" w:rsidP="00EB2733">
            <w:pPr>
              <w:tabs>
                <w:tab w:val="left" w:pos="624"/>
                <w:tab w:val="left" w:pos="1871"/>
                <w:tab w:val="left" w:pos="2495"/>
              </w:tabs>
              <w:rPr>
                <w:noProof/>
                <w:color w:val="000000"/>
                <w:sz w:val="18"/>
                <w:szCs w:val="18"/>
                <w:lang w:val="en-US"/>
              </w:rPr>
            </w:pPr>
            <w:r w:rsidRPr="00EB2733">
              <w:rPr>
                <w:b/>
                <w:bCs/>
                <w:color w:val="000000"/>
                <w:sz w:val="28"/>
                <w:lang w:val="en-US"/>
              </w:rPr>
              <w:t>UNEP</w:t>
            </w:r>
            <w:bookmarkStart w:id="0" w:name="OLE_LINK1"/>
            <w:bookmarkStart w:id="1" w:name="OLE_LINK2"/>
            <w:r w:rsidRPr="00EB2733">
              <w:rPr>
                <w:b/>
                <w:bCs/>
                <w:color w:val="000000"/>
                <w:lang w:val="en-US"/>
              </w:rPr>
              <w:t>/</w:t>
            </w:r>
            <w:r w:rsidRPr="00EB2733">
              <w:rPr>
                <w:color w:val="000000"/>
                <w:lang w:val="en-US"/>
              </w:rPr>
              <w:t>MC/</w:t>
            </w:r>
            <w:bookmarkEnd w:id="0"/>
            <w:bookmarkEnd w:id="1"/>
            <w:r w:rsidRPr="00EB2733">
              <w:rPr>
                <w:color w:val="000000"/>
                <w:lang w:val="en-US"/>
              </w:rPr>
              <w:t>COP.3/INF/25</w:t>
            </w:r>
          </w:p>
        </w:tc>
      </w:tr>
      <w:bookmarkStart w:id="2" w:name="_MON_1021710510"/>
      <w:bookmarkEnd w:id="2"/>
      <w:bookmarkStart w:id="3" w:name="_MON_1021710482"/>
      <w:bookmarkEnd w:id="3"/>
      <w:tr w:rsidR="00EB2733" w:rsidRPr="00213C5F" w:rsidTr="006F6E59">
        <w:trPr>
          <w:cantSplit/>
          <w:trHeight w:val="57"/>
          <w:jc w:val="right"/>
        </w:trPr>
        <w:tc>
          <w:tcPr>
            <w:tcW w:w="1550" w:type="dxa"/>
            <w:tcBorders>
              <w:top w:val="single" w:sz="4" w:space="0" w:color="auto"/>
              <w:bottom w:val="single" w:sz="24" w:space="0" w:color="auto"/>
            </w:tcBorders>
          </w:tcPr>
          <w:p w:rsidR="00EB2733" w:rsidRPr="00EB2733" w:rsidRDefault="00EB2733" w:rsidP="00EB2733">
            <w:pPr>
              <w:tabs>
                <w:tab w:val="left" w:pos="624"/>
                <w:tab w:val="left" w:pos="1871"/>
                <w:tab w:val="left" w:pos="2495"/>
              </w:tabs>
              <w:rPr>
                <w:noProof/>
                <w:color w:val="000000"/>
                <w:lang w:val="en-US"/>
              </w:rPr>
            </w:pPr>
            <w:r w:rsidRPr="00EB2733">
              <w:rPr>
                <w:noProof/>
                <w:color w:val="000000"/>
                <w:lang w:val="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5pt;height:57.7pt" o:ole="" fillcolor="window">
                  <v:imagedata r:id="rId8" o:title=""/>
                </v:shape>
                <o:OLEObject Type="Embed" ProgID="Word.Picture.8" ShapeID="_x0000_i1025" DrawAspect="Content" ObjectID="_1635836294" r:id="rId9"/>
              </w:object>
            </w:r>
            <w:r w:rsidRPr="00EB2733">
              <w:rPr>
                <w:noProof/>
                <w:color w:val="000000"/>
                <w:lang w:val="en-GB" w:eastAsia="en-GB"/>
              </w:rPr>
              <w:drawing>
                <wp:inline distT="0" distB="0" distL="0" distR="0">
                  <wp:extent cx="725805" cy="767715"/>
                  <wp:effectExtent l="0" t="0" r="0" b="0"/>
                  <wp:docPr id="5"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5805" cy="767715"/>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EB2733" w:rsidRPr="00EB2733" w:rsidRDefault="00EB2733" w:rsidP="00EB2733">
            <w:pPr>
              <w:tabs>
                <w:tab w:val="left" w:pos="624"/>
                <w:tab w:val="left" w:pos="1871"/>
                <w:tab w:val="left" w:pos="2495"/>
              </w:tabs>
              <w:spacing w:before="1200"/>
              <w:rPr>
                <w:rFonts w:ascii="Arial" w:hAnsi="Arial" w:cs="Arial"/>
                <w:b/>
                <w:color w:val="000000"/>
                <w:sz w:val="28"/>
                <w:lang w:val="en-US"/>
              </w:rPr>
            </w:pPr>
            <w:r w:rsidRPr="00EB2733">
              <w:rPr>
                <w:rFonts w:ascii="Arial" w:hAnsi="Arial" w:cs="Arial"/>
                <w:b/>
                <w:color w:val="000000"/>
                <w:sz w:val="32"/>
                <w:szCs w:val="32"/>
                <w:lang w:val="en-US"/>
              </w:rPr>
              <w:t xml:space="preserve">United Nations </w:t>
            </w:r>
            <w:r w:rsidRPr="00EB2733">
              <w:rPr>
                <w:rFonts w:ascii="Arial" w:hAnsi="Arial" w:cs="Arial"/>
                <w:b/>
                <w:color w:val="000000"/>
                <w:sz w:val="32"/>
                <w:szCs w:val="32"/>
                <w:lang w:val="en-US"/>
              </w:rPr>
              <w:br w:type="textWrapping" w:clear="all"/>
              <w:t xml:space="preserve">Environment </w:t>
            </w:r>
            <w:r w:rsidRPr="00EB2733">
              <w:rPr>
                <w:rFonts w:ascii="Arial" w:hAnsi="Arial" w:cs="Arial"/>
                <w:b/>
                <w:color w:val="000000"/>
                <w:sz w:val="32"/>
                <w:szCs w:val="32"/>
                <w:lang w:val="en-US"/>
              </w:rPr>
              <w:br w:type="textWrapping" w:clear="all"/>
              <w:t>Programme</w:t>
            </w:r>
          </w:p>
        </w:tc>
        <w:tc>
          <w:tcPr>
            <w:tcW w:w="3411" w:type="dxa"/>
            <w:tcBorders>
              <w:top w:val="single" w:sz="4" w:space="0" w:color="auto"/>
              <w:bottom w:val="single" w:sz="24" w:space="0" w:color="auto"/>
            </w:tcBorders>
          </w:tcPr>
          <w:p w:rsidR="00EB2733" w:rsidRPr="00EB2733" w:rsidRDefault="00EB2733" w:rsidP="00EB2733">
            <w:pPr>
              <w:tabs>
                <w:tab w:val="left" w:pos="624"/>
                <w:tab w:val="left" w:pos="1871"/>
                <w:tab w:val="left" w:pos="2495"/>
              </w:tabs>
              <w:spacing w:before="120"/>
              <w:rPr>
                <w:color w:val="000000"/>
                <w:lang w:val="en-US"/>
              </w:rPr>
            </w:pPr>
            <w:r w:rsidRPr="00EB2733">
              <w:rPr>
                <w:color w:val="000000"/>
                <w:lang w:val="en-US"/>
              </w:rPr>
              <w:t xml:space="preserve">Distr.: General </w:t>
            </w:r>
            <w:r w:rsidRPr="00EB2733">
              <w:rPr>
                <w:color w:val="000000"/>
                <w:lang w:val="en-US"/>
              </w:rPr>
              <w:br w:type="textWrapping" w:clear="all"/>
            </w:r>
            <w:r>
              <w:rPr>
                <w:color w:val="000000"/>
                <w:lang w:val="en-US"/>
              </w:rPr>
              <w:t>20 November</w:t>
            </w:r>
            <w:r w:rsidRPr="00EB2733">
              <w:rPr>
                <w:color w:val="000000"/>
                <w:lang w:val="en-US"/>
              </w:rPr>
              <w:t xml:space="preserve"> 2019</w:t>
            </w:r>
          </w:p>
          <w:p w:rsidR="00EB2733" w:rsidRPr="00EB2733" w:rsidRDefault="00EB2733" w:rsidP="00EB2733">
            <w:pPr>
              <w:tabs>
                <w:tab w:val="left" w:pos="624"/>
                <w:tab w:val="left" w:pos="1871"/>
                <w:tab w:val="left" w:pos="2495"/>
              </w:tabs>
              <w:spacing w:before="120"/>
              <w:rPr>
                <w:color w:val="000000"/>
                <w:lang w:val="en-US"/>
              </w:rPr>
            </w:pPr>
            <w:r w:rsidRPr="00EB2733">
              <w:rPr>
                <w:color w:val="000000"/>
                <w:lang w:val="en-US"/>
              </w:rPr>
              <w:t>English only</w:t>
            </w:r>
          </w:p>
        </w:tc>
      </w:tr>
    </w:tbl>
    <w:p w:rsidR="00EB2733" w:rsidRPr="00EB2733" w:rsidRDefault="00EB2733" w:rsidP="00EB2733">
      <w:pPr>
        <w:pStyle w:val="AATitle"/>
      </w:pPr>
      <w:r w:rsidRPr="00EB2733">
        <w:t xml:space="preserve">Conference of the Parties to the </w:t>
      </w:r>
      <w:r w:rsidRPr="00EB2733">
        <w:br/>
        <w:t>Minamata Convention on Mercury</w:t>
      </w:r>
    </w:p>
    <w:p w:rsidR="00EB2733" w:rsidRPr="00EB2733" w:rsidRDefault="00EB2733" w:rsidP="00EB2733">
      <w:pPr>
        <w:pStyle w:val="AATitle"/>
      </w:pPr>
      <w:r w:rsidRPr="00EB2733">
        <w:t>Third meeting</w:t>
      </w:r>
    </w:p>
    <w:p w:rsidR="00EB2733" w:rsidRPr="00EB2733" w:rsidRDefault="00EB2733" w:rsidP="00EB2733">
      <w:pPr>
        <w:pStyle w:val="AATitle"/>
        <w:rPr>
          <w:b w:val="0"/>
        </w:rPr>
      </w:pPr>
      <w:bookmarkStart w:id="4" w:name="_Hlk517786179"/>
      <w:r w:rsidRPr="00EB2733">
        <w:rPr>
          <w:b w:val="0"/>
        </w:rPr>
        <w:t>Geneva, 25–29 November 2019</w:t>
      </w:r>
    </w:p>
    <w:p w:rsidR="00EB2733" w:rsidRPr="00EB2733" w:rsidRDefault="00EB2733" w:rsidP="00EB2733">
      <w:pPr>
        <w:pStyle w:val="AATitle"/>
        <w:rPr>
          <w:b w:val="0"/>
        </w:rPr>
      </w:pPr>
      <w:r w:rsidRPr="00EB2733">
        <w:rPr>
          <w:b w:val="0"/>
        </w:rPr>
        <w:t>Item 5 (a) (ii) of the provisional agenda</w:t>
      </w:r>
      <w:r w:rsidRPr="00EB2733">
        <w:rPr>
          <w:b w:val="0"/>
        </w:rPr>
        <w:footnoteReference w:customMarkFollows="1" w:id="1"/>
        <w:t>*</w:t>
      </w:r>
    </w:p>
    <w:p w:rsidR="00EB2733" w:rsidRPr="00EB2733" w:rsidRDefault="00EB2733" w:rsidP="00375982">
      <w:pPr>
        <w:pStyle w:val="AATitle2"/>
        <w:spacing w:before="60" w:after="0"/>
        <w:rPr>
          <w:lang w:val="en-US"/>
        </w:rPr>
      </w:pPr>
      <w:r w:rsidRPr="00EB2733">
        <w:t xml:space="preserve">Matters for consideration or action by the Conference of the Parties: mercury-added products and manufacturing processes in which mercury or mercury compounds are used: proposal to amend annex A </w:t>
      </w:r>
    </w:p>
    <w:p w:rsidR="00EB2733" w:rsidRPr="00EB2733" w:rsidRDefault="00EB2733" w:rsidP="00EB2733">
      <w:pPr>
        <w:pStyle w:val="BBTitle"/>
      </w:pPr>
      <w:r w:rsidRPr="00EB2733">
        <w:t xml:space="preserve">Perception and perspective of policymakers in </w:t>
      </w:r>
      <w:r w:rsidR="00F33A3C">
        <w:t xml:space="preserve">the field of </w:t>
      </w:r>
      <w:r w:rsidRPr="00EB2733">
        <w:t xml:space="preserve">dental public health </w:t>
      </w:r>
      <w:r w:rsidR="00F33A3C">
        <w:t>regarding</w:t>
      </w:r>
      <w:r w:rsidRPr="00EB2733">
        <w:t xml:space="preserve"> the phase</w:t>
      </w:r>
      <w:r w:rsidR="006121AB">
        <w:t>-</w:t>
      </w:r>
      <w:r w:rsidRPr="00EB2733">
        <w:t xml:space="preserve">down in use of dental amalgam and the proposal to amend Annex A </w:t>
      </w:r>
      <w:r w:rsidR="00F33A3C">
        <w:t>to</w:t>
      </w:r>
      <w:r w:rsidRPr="00EB2733">
        <w:t xml:space="preserve"> the Minamata Convention on Mercury </w:t>
      </w:r>
    </w:p>
    <w:p w:rsidR="00EB2733" w:rsidRPr="00EB2733" w:rsidRDefault="00EB2733" w:rsidP="00EB2733">
      <w:pPr>
        <w:pStyle w:val="CH2"/>
      </w:pPr>
      <w:r w:rsidRPr="00EB2733">
        <w:tab/>
      </w:r>
      <w:r w:rsidRPr="00EB2733">
        <w:tab/>
        <w:t>Note by the secretariat</w:t>
      </w:r>
    </w:p>
    <w:p w:rsidR="00EB2733" w:rsidRPr="00EB2733" w:rsidRDefault="00EB2733" w:rsidP="00EB2733">
      <w:pPr>
        <w:pStyle w:val="Normal-pool"/>
        <w:tabs>
          <w:tab w:val="clear" w:pos="1247"/>
          <w:tab w:val="clear" w:pos="1814"/>
          <w:tab w:val="clear" w:pos="2381"/>
          <w:tab w:val="clear" w:pos="2948"/>
          <w:tab w:val="clear" w:pos="3515"/>
          <w:tab w:val="clear" w:pos="4082"/>
          <w:tab w:val="left" w:pos="624"/>
        </w:tabs>
        <w:spacing w:after="120"/>
        <w:ind w:left="1247"/>
      </w:pPr>
      <w:r w:rsidRPr="00EB2733">
        <w:t xml:space="preserve">The annex to the present note sets out a paper submitted by the World Health Organization on the perception and perspective of policymakers in </w:t>
      </w:r>
      <w:r w:rsidR="00F33A3C">
        <w:t xml:space="preserve">the field of </w:t>
      </w:r>
      <w:r w:rsidRPr="00EB2733">
        <w:t xml:space="preserve">dental public health </w:t>
      </w:r>
      <w:r w:rsidR="00F33A3C">
        <w:t>regarding</w:t>
      </w:r>
      <w:r w:rsidRPr="00EB2733">
        <w:t xml:space="preserve"> the phase</w:t>
      </w:r>
      <w:r w:rsidR="006121AB">
        <w:noBreakHyphen/>
      </w:r>
      <w:r w:rsidRPr="00EB2733">
        <w:t>down</w:t>
      </w:r>
      <w:bookmarkStart w:id="5" w:name="_GoBack"/>
      <w:bookmarkEnd w:id="5"/>
      <w:r w:rsidRPr="00EB2733">
        <w:t xml:space="preserve"> in use of dental amalgam and the proposal to amend Annex A </w:t>
      </w:r>
      <w:r w:rsidR="00F33A3C">
        <w:t>to</w:t>
      </w:r>
      <w:r w:rsidRPr="00EB2733">
        <w:t xml:space="preserve"> the </w:t>
      </w:r>
      <w:r w:rsidR="00F33A3C">
        <w:t xml:space="preserve">Minamata </w:t>
      </w:r>
      <w:r w:rsidRPr="00EB2733">
        <w:t xml:space="preserve">Convention. It is reproduced as received, without formal editing. </w:t>
      </w:r>
    </w:p>
    <w:p w:rsidR="00EB2733" w:rsidRPr="00EB2733" w:rsidRDefault="00EB2733" w:rsidP="00EB2733">
      <w:pPr>
        <w:pStyle w:val="Normal-pool"/>
      </w:pPr>
    </w:p>
    <w:p w:rsidR="00EB2733" w:rsidRDefault="00EB2733" w:rsidP="00EB2733">
      <w:pPr>
        <w:pStyle w:val="ZZAnxheader"/>
      </w:pPr>
      <w:r w:rsidRPr="00EB2733">
        <w:br w:type="page"/>
      </w:r>
      <w:r>
        <w:lastRenderedPageBreak/>
        <w:t>Annex</w:t>
      </w:r>
    </w:p>
    <w:p w:rsidR="00EB2733" w:rsidRPr="00EB2733" w:rsidRDefault="00EB2733" w:rsidP="00EB2733">
      <w:pPr>
        <w:pBdr>
          <w:bottom w:val="single" w:sz="4" w:space="1" w:color="auto"/>
        </w:pBdr>
        <w:tabs>
          <w:tab w:val="clear" w:pos="1814"/>
          <w:tab w:val="clear" w:pos="2381"/>
          <w:tab w:val="clear" w:pos="2948"/>
          <w:tab w:val="clear" w:pos="3515"/>
          <w:tab w:val="center" w:pos="4536"/>
          <w:tab w:val="right" w:pos="9072"/>
          <w:tab w:val="right" w:pos="10490"/>
        </w:tabs>
        <w:spacing w:before="240" w:after="120"/>
        <w:rPr>
          <w:rFonts w:ascii="Arial Narrow" w:hAnsi="Arial Narrow"/>
          <w:b/>
          <w:sz w:val="36"/>
          <w:szCs w:val="36"/>
          <w:rtl/>
          <w:lang w:val="en-US" w:bidi="ar-EG"/>
        </w:rPr>
      </w:pPr>
      <w:r w:rsidRPr="00EB2733">
        <w:rPr>
          <w:b/>
          <w:noProof/>
          <w:sz w:val="18"/>
          <w:lang w:val="en-GB" w:eastAsia="en-GB"/>
        </w:rPr>
        <w:drawing>
          <wp:inline distT="0" distB="0" distL="0" distR="0">
            <wp:extent cx="1828800" cy="572135"/>
            <wp:effectExtent l="0" t="0" r="0" b="0"/>
            <wp:docPr id="3" name="Picture 1" descr="WHO-EN-B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EN-BW-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572135"/>
                    </a:xfrm>
                    <a:prstGeom prst="rect">
                      <a:avLst/>
                    </a:prstGeom>
                    <a:noFill/>
                    <a:ln>
                      <a:noFill/>
                    </a:ln>
                  </pic:spPr>
                </pic:pic>
              </a:graphicData>
            </a:graphic>
          </wp:inline>
        </w:drawing>
      </w:r>
      <w:r w:rsidRPr="00EB2733">
        <w:rPr>
          <w:rFonts w:ascii="Arial Narrow" w:hAnsi="Arial Narrow" w:hint="cs"/>
          <w:b/>
          <w:sz w:val="40"/>
          <w:szCs w:val="40"/>
          <w:rtl/>
          <w:lang w:val="en-US" w:bidi="ar-EG"/>
        </w:rPr>
        <w:tab/>
      </w:r>
    </w:p>
    <w:p w:rsidR="00EB2733" w:rsidRPr="00EB2733" w:rsidRDefault="00EB2733" w:rsidP="00EB2733">
      <w:pPr>
        <w:pBdr>
          <w:bottom w:val="single" w:sz="4" w:space="1" w:color="auto"/>
        </w:pBdr>
        <w:tabs>
          <w:tab w:val="clear" w:pos="1814"/>
          <w:tab w:val="clear" w:pos="2381"/>
          <w:tab w:val="clear" w:pos="2948"/>
          <w:tab w:val="clear" w:pos="3515"/>
          <w:tab w:val="left" w:pos="1134"/>
          <w:tab w:val="center" w:pos="4536"/>
          <w:tab w:val="right" w:pos="9072"/>
          <w:tab w:val="right" w:pos="10773"/>
        </w:tabs>
        <w:spacing w:after="120" w:line="400" w:lineRule="exact"/>
        <w:ind w:firstLine="1077"/>
        <w:rPr>
          <w:rFonts w:ascii="Arial Narrow" w:hAnsi="Arial Narrow"/>
          <w:b/>
          <w:smallCaps/>
          <w:sz w:val="16"/>
          <w:szCs w:val="16"/>
          <w:lang w:val="en-GB" w:bidi="ar-EG"/>
        </w:rPr>
      </w:pPr>
      <w:r>
        <w:rPr>
          <w:noProof/>
          <w:lang w:val="en-GB" w:eastAsia="en-GB"/>
        </w:rPr>
        <mc:AlternateContent>
          <mc:Choice Requires="wps">
            <w:drawing>
              <wp:anchor distT="4294967295" distB="4294967295" distL="114300" distR="114300" simplePos="0" relativeHeight="251659264" behindDoc="0" locked="0" layoutInCell="1" allowOverlap="1">
                <wp:simplePos x="0" y="0"/>
                <wp:positionH relativeFrom="column">
                  <wp:posOffset>713740</wp:posOffset>
                </wp:positionH>
                <wp:positionV relativeFrom="paragraph">
                  <wp:posOffset>45084</wp:posOffset>
                </wp:positionV>
                <wp:extent cx="5241290" cy="0"/>
                <wp:effectExtent l="0" t="0" r="1651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1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5FAFECF6"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pt,3.55pt" to="468.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FuU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"/>
            </w:pict>
          </mc:Fallback>
        </mc:AlternateContent>
      </w:r>
      <w:r w:rsidRPr="00EB2733">
        <w:rPr>
          <w:rFonts w:ascii="Arial Narrow" w:hAnsi="Arial Narrow"/>
          <w:b/>
          <w:smallCaps/>
          <w:sz w:val="16"/>
          <w:szCs w:val="16"/>
          <w:lang w:val="en-US" w:bidi="ar-EG"/>
        </w:rPr>
        <w:t xml:space="preserve">20, avenue </w:t>
      </w:r>
      <w:proofErr w:type="spellStart"/>
      <w:r w:rsidRPr="00EB2733">
        <w:rPr>
          <w:rFonts w:ascii="Arial Narrow" w:hAnsi="Arial Narrow"/>
          <w:b/>
          <w:smallCaps/>
          <w:sz w:val="16"/>
          <w:szCs w:val="16"/>
          <w:lang w:val="en-US" w:bidi="ar-EG"/>
        </w:rPr>
        <w:t>Appia</w:t>
      </w:r>
      <w:proofErr w:type="spellEnd"/>
      <w:r w:rsidRPr="00EB2733">
        <w:rPr>
          <w:rFonts w:ascii="Arial Narrow" w:hAnsi="Arial Narrow"/>
          <w:b/>
          <w:smallCaps/>
          <w:sz w:val="16"/>
          <w:szCs w:val="16"/>
          <w:lang w:val="en-US" w:bidi="ar-EG"/>
        </w:rPr>
        <w:t xml:space="preserve"> – CH-1211 </w:t>
      </w:r>
      <w:smartTag w:uri="urn:schemas-microsoft-com:office:smarttags" w:element="City">
        <w:r w:rsidRPr="00EB2733">
          <w:rPr>
            <w:rFonts w:ascii="Arial Narrow" w:hAnsi="Arial Narrow"/>
            <w:b/>
            <w:smallCaps/>
            <w:sz w:val="16"/>
            <w:szCs w:val="16"/>
            <w:lang w:val="en-US" w:bidi="ar-EG"/>
          </w:rPr>
          <w:t>Geneva</w:t>
        </w:r>
      </w:smartTag>
      <w:r w:rsidRPr="00EB2733">
        <w:rPr>
          <w:rFonts w:ascii="Arial Narrow" w:hAnsi="Arial Narrow"/>
          <w:b/>
          <w:smallCaps/>
          <w:sz w:val="16"/>
          <w:szCs w:val="16"/>
          <w:lang w:val="en-US" w:bidi="ar-EG"/>
        </w:rPr>
        <w:t xml:space="preserve"> 27 –</w:t>
      </w:r>
      <w:r w:rsidRPr="00EB2733">
        <w:rPr>
          <w:rFonts w:ascii="Arial Narrow" w:hAnsi="Arial Narrow"/>
          <w:b/>
          <w:smallCaps/>
          <w:spacing w:val="8"/>
          <w:sz w:val="16"/>
          <w:szCs w:val="16"/>
          <w:lang w:val="en-US" w:bidi="ar-EG"/>
        </w:rPr>
        <w:t xml:space="preserve"> </w:t>
      </w:r>
      <w:smartTag w:uri="urn:schemas-microsoft-com:office:smarttags" w:element="place">
        <w:smartTag w:uri="urn:schemas-microsoft-com:office:smarttags" w:element="country-region">
          <w:r w:rsidRPr="00EB2733">
            <w:rPr>
              <w:rFonts w:ascii="Arial Narrow" w:hAnsi="Arial Narrow"/>
              <w:b/>
              <w:smallCaps/>
              <w:sz w:val="16"/>
              <w:szCs w:val="16"/>
              <w:lang w:val="en-US" w:bidi="ar-EG"/>
            </w:rPr>
            <w:t>Switzerland</w:t>
          </w:r>
        </w:smartTag>
      </w:smartTag>
      <w:r w:rsidRPr="00EB2733">
        <w:rPr>
          <w:rFonts w:ascii="Arial Narrow" w:hAnsi="Arial Narrow"/>
          <w:b/>
          <w:smallCaps/>
          <w:sz w:val="16"/>
          <w:szCs w:val="16"/>
          <w:lang w:val="en-US" w:bidi="ar-EG"/>
        </w:rPr>
        <w:t xml:space="preserve"> – Tel central +41 22 791 2111 – Fax central +41 22 791 3111 –</w:t>
      </w:r>
      <w:r w:rsidRPr="00EB2733">
        <w:rPr>
          <w:b/>
          <w:smallCaps/>
          <w:sz w:val="16"/>
          <w:szCs w:val="16"/>
          <w:lang w:val="en-US"/>
        </w:rPr>
        <w:t xml:space="preserve"> </w:t>
      </w:r>
      <w:hyperlink r:id="rId12" w:history="1">
        <w:r w:rsidRPr="00EB2733">
          <w:rPr>
            <w:b/>
            <w:smallCaps/>
            <w:sz w:val="16"/>
            <w:szCs w:val="16"/>
            <w:lang w:val="en-US" w:bidi="ar-EG"/>
          </w:rPr>
          <w:t>www.who.int</w:t>
        </w:r>
      </w:hyperlink>
    </w:p>
    <w:bookmarkEnd w:id="4"/>
    <w:p w:rsidR="00EB2733" w:rsidRPr="00EB2733" w:rsidRDefault="00EB2733" w:rsidP="00EB2733">
      <w:pPr>
        <w:contextualSpacing/>
        <w:jc w:val="center"/>
        <w:rPr>
          <w:rFonts w:ascii="Calibri" w:hAnsi="Calibri" w:cs="Calibri"/>
          <w:b/>
          <w:spacing w:val="-10"/>
          <w:kern w:val="28"/>
          <w:szCs w:val="22"/>
          <w:lang w:val="en-US"/>
        </w:rPr>
      </w:pPr>
    </w:p>
    <w:p w:rsidR="00EB2733" w:rsidRPr="00EB2733" w:rsidRDefault="00EB2733" w:rsidP="00EB2733">
      <w:pPr>
        <w:contextualSpacing/>
        <w:jc w:val="center"/>
        <w:rPr>
          <w:rFonts w:ascii="Calibri" w:hAnsi="Calibri" w:cs="Calibri"/>
          <w:b/>
          <w:spacing w:val="-10"/>
          <w:kern w:val="28"/>
          <w:sz w:val="24"/>
          <w:szCs w:val="24"/>
          <w:lang w:val="en-US"/>
        </w:rPr>
      </w:pPr>
      <w:bookmarkStart w:id="6" w:name="_Hlk24969071"/>
      <w:r w:rsidRPr="00EB2733">
        <w:rPr>
          <w:rFonts w:ascii="Calibri" w:hAnsi="Calibri" w:cs="Calibri"/>
          <w:b/>
          <w:spacing w:val="-10"/>
          <w:kern w:val="28"/>
          <w:sz w:val="24"/>
          <w:szCs w:val="24"/>
          <w:lang w:val="en-US"/>
        </w:rPr>
        <w:t>Perception and perspective of policy makers in dental public health about the phase down in use of dental amalgam and the proposal to amend Annex A of the Minamata Convention on Mercury</w:t>
      </w:r>
      <w:bookmarkEnd w:id="6"/>
    </w:p>
    <w:p w:rsidR="00EB2733" w:rsidRPr="00EB2733" w:rsidRDefault="00EB2733" w:rsidP="00EB2733">
      <w:pPr>
        <w:keepNext/>
        <w:keepLines/>
        <w:spacing w:before="40" w:line="259" w:lineRule="auto"/>
        <w:jc w:val="both"/>
        <w:outlineLvl w:val="1"/>
        <w:rPr>
          <w:rFonts w:ascii="Calibri" w:hAnsi="Calibri" w:cs="Calibri"/>
          <w:color w:val="2F5496"/>
          <w:sz w:val="22"/>
          <w:szCs w:val="22"/>
          <w:lang w:val="en-US"/>
        </w:rPr>
      </w:pPr>
    </w:p>
    <w:p w:rsidR="00EB2733" w:rsidRPr="00EB2733" w:rsidRDefault="00EB2733" w:rsidP="00EB2733">
      <w:pPr>
        <w:keepNext/>
        <w:keepLines/>
        <w:spacing w:before="40" w:line="259" w:lineRule="auto"/>
        <w:jc w:val="both"/>
        <w:outlineLvl w:val="1"/>
        <w:rPr>
          <w:rFonts w:ascii="Calibri" w:hAnsi="Calibri" w:cs="Calibri"/>
          <w:i/>
          <w:color w:val="2F5496"/>
          <w:sz w:val="22"/>
          <w:szCs w:val="22"/>
          <w:lang w:val="en-US"/>
        </w:rPr>
      </w:pPr>
      <w:r w:rsidRPr="00EB2733">
        <w:rPr>
          <w:rFonts w:ascii="Calibri" w:hAnsi="Calibri" w:cs="Calibri"/>
          <w:i/>
          <w:color w:val="2F5496"/>
          <w:sz w:val="22"/>
          <w:szCs w:val="22"/>
          <w:lang w:val="en-US"/>
        </w:rPr>
        <w:t>18 November 2019</w:t>
      </w:r>
    </w:p>
    <w:p w:rsidR="00EB2733" w:rsidRPr="00EB2733" w:rsidRDefault="00EB2733" w:rsidP="00EB2733">
      <w:pPr>
        <w:tabs>
          <w:tab w:val="clear" w:pos="1247"/>
          <w:tab w:val="clear" w:pos="1814"/>
          <w:tab w:val="clear" w:pos="2948"/>
          <w:tab w:val="clear" w:pos="3515"/>
        </w:tabs>
        <w:spacing w:after="160" w:line="259" w:lineRule="auto"/>
        <w:jc w:val="both"/>
        <w:rPr>
          <w:rFonts w:ascii="Calibri" w:eastAsia="Calibri" w:hAnsi="Calibri" w:cs="Calibri"/>
          <w:b/>
          <w:bCs/>
          <w:sz w:val="22"/>
          <w:szCs w:val="22"/>
          <w:lang w:val="en-US"/>
        </w:rPr>
      </w:pPr>
      <w:r w:rsidRPr="00EB2733">
        <w:rPr>
          <w:rFonts w:ascii="Calibri" w:eastAsia="Calibri" w:hAnsi="Calibri" w:cs="Calibri"/>
          <w:b/>
          <w:bCs/>
          <w:sz w:val="22"/>
          <w:szCs w:val="22"/>
          <w:lang w:val="en-US"/>
        </w:rPr>
        <w:tab/>
      </w:r>
    </w:p>
    <w:p w:rsidR="00EB2733" w:rsidRPr="00EB2733" w:rsidRDefault="00EB2733" w:rsidP="00EB2733">
      <w:pPr>
        <w:tabs>
          <w:tab w:val="clear" w:pos="1247"/>
          <w:tab w:val="clear" w:pos="1814"/>
          <w:tab w:val="clear" w:pos="2381"/>
          <w:tab w:val="clear" w:pos="2948"/>
          <w:tab w:val="clear" w:pos="3515"/>
          <w:tab w:val="left" w:pos="3600"/>
        </w:tabs>
        <w:spacing w:after="160" w:line="259" w:lineRule="auto"/>
        <w:jc w:val="both"/>
        <w:rPr>
          <w:rFonts w:ascii="Calibri" w:eastAsia="Calibri" w:hAnsi="Calibri" w:cs="Calibri"/>
          <w:b/>
          <w:bCs/>
          <w:sz w:val="22"/>
          <w:szCs w:val="22"/>
          <w:lang w:val="en-US"/>
        </w:rPr>
      </w:pPr>
      <w:r w:rsidRPr="00EB2733">
        <w:rPr>
          <w:rFonts w:ascii="Calibri" w:eastAsia="Calibri" w:hAnsi="Calibri" w:cs="Calibri"/>
          <w:b/>
          <w:bCs/>
          <w:sz w:val="22"/>
          <w:szCs w:val="22"/>
          <w:lang w:val="en-US"/>
        </w:rPr>
        <w:t>Background</w:t>
      </w:r>
      <w:r w:rsidRPr="00EB2733">
        <w:rPr>
          <w:rFonts w:ascii="Calibri" w:eastAsia="Calibri" w:hAnsi="Calibri" w:cs="Calibri"/>
          <w:b/>
          <w:bCs/>
          <w:sz w:val="22"/>
          <w:szCs w:val="22"/>
          <w:lang w:val="en-US"/>
        </w:rPr>
        <w:tab/>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The third meeting of the Conference of the Parties to the Minamata Convention on Mercury (COP3), 25-29 November 2019, will consider a proposal to amend Annex A of the Convention to move dental amalgam out of Part II and place it in Part I, specifically, to not allow after 2021 the manufacture, import and export of dental amalgam for use in deciduous teeth, children under 15 years, pregnant women, and breastfeeding women, and after 2024, dental amalgam, except where no mercury-free alternatives are available after 2024 (UNEP/MC/COP.3/21).</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In line with World Health Assembly Resolution 67.11 (2014), the World Health Organization (WHO) Oral Health Programme conducted a survey in October 2019 among Chief Dental Officers, senior advisors and academics in oral health at the Ministry of Health, and directors of WHO Collaborating Centers (WHO CCs). All are members of an online community of practice hosted by WHO and called the WHO Global Oral Health Network Platform. The aim of the survey was to better understand the awareness, involvement, and views of this group of policy makers in dental public health about the Minamata Convention on Mercury and the proposed amendment to Annex A. In line with Article 16, subparagraph 2(a) of the Convention, which provides that the COP should consult with WHO in considering health-related issues, the intention of this work was to inform the discussions during COP3.</w:t>
      </w:r>
    </w:p>
    <w:p w:rsidR="00EB2733" w:rsidRPr="00EB2733" w:rsidRDefault="00EB2733" w:rsidP="00EB2733">
      <w:pPr>
        <w:spacing w:after="160" w:line="259" w:lineRule="auto"/>
        <w:ind w:firstLine="720"/>
        <w:jc w:val="both"/>
        <w:rPr>
          <w:rFonts w:ascii="Calibri" w:eastAsia="Calibri" w:hAnsi="Calibri"/>
          <w:sz w:val="22"/>
          <w:szCs w:val="22"/>
          <w:lang w:val="en-US"/>
        </w:rPr>
      </w:pPr>
      <w:r w:rsidRPr="00EB2733">
        <w:rPr>
          <w:rFonts w:ascii="Calibri" w:eastAsia="Calibri" w:hAnsi="Calibri" w:cs="Calibri"/>
          <w:sz w:val="22"/>
          <w:szCs w:val="22"/>
          <w:lang w:val="en-US"/>
        </w:rPr>
        <w:t xml:space="preserve">It is important to note that the survey results are based only on the views expressed by the participants alone and they do not necessarily represent the views, decisions, or policies of the institutions with which they are affiliated. 150 individuals were invited to participate in the survey. Of the 150, 79 participants from 71 countries and territories completed the survey, which resulted in a response rate of 52.7%. </w:t>
      </w:r>
      <w:r w:rsidRPr="00EB2733">
        <w:rPr>
          <w:rFonts w:ascii="Calibri" w:eastAsia="Calibri" w:hAnsi="Calibri"/>
          <w:sz w:val="22"/>
          <w:szCs w:val="22"/>
          <w:lang w:val="en-US"/>
        </w:rPr>
        <w:t>Of the 79 participants, 34 were from high-income countries, 32 from middle-income (upper and lower) countries, and 13 from low-income countries.</w:t>
      </w:r>
    </w:p>
    <w:p w:rsidR="00EB2733" w:rsidRPr="00EB2733" w:rsidRDefault="00EB2733" w:rsidP="00EB2733">
      <w:pPr>
        <w:spacing w:after="160" w:line="259" w:lineRule="auto"/>
        <w:jc w:val="both"/>
        <w:rPr>
          <w:rFonts w:ascii="Calibri" w:eastAsia="Calibri" w:hAnsi="Calibri" w:cs="Calibri"/>
          <w:b/>
          <w:bCs/>
          <w:sz w:val="22"/>
          <w:szCs w:val="22"/>
          <w:lang w:val="en-US"/>
        </w:rPr>
      </w:pPr>
      <w:bookmarkStart w:id="7" w:name="_Hlk24883306"/>
      <w:r w:rsidRPr="00EB2733">
        <w:rPr>
          <w:rFonts w:ascii="Calibri" w:eastAsia="Calibri" w:hAnsi="Calibri" w:cs="Calibri"/>
          <w:b/>
          <w:bCs/>
          <w:sz w:val="22"/>
          <w:szCs w:val="22"/>
          <w:lang w:val="en-US"/>
        </w:rPr>
        <w:t>Setting the context</w:t>
      </w:r>
    </w:p>
    <w:bookmarkEnd w:id="7"/>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 xml:space="preserve">The majority of participants (n=70, 88.6%) reported that dental amalgam is still used in their countries, which included all participants from low-income countries. 61 respondents (77.2%) reported that mercury-free alternatives were available in their countries whereas 13 (16.5%) indicated these alternatives were not available. Among them, 11 (84.6%) were from low- and middle-income countries. Of the 61 participants that reported mercury-free alternatives were available in their countries, </w:t>
      </w:r>
      <w:bookmarkStart w:id="8" w:name="_Hlk24880231"/>
      <w:r w:rsidRPr="00EB2733">
        <w:rPr>
          <w:rFonts w:ascii="Calibri" w:eastAsia="Calibri" w:hAnsi="Calibri" w:cs="Calibri"/>
          <w:sz w:val="22"/>
          <w:szCs w:val="22"/>
          <w:lang w:val="en-US"/>
        </w:rPr>
        <w:t>37.7% (n=23) indicated that these were not affordable to the most vulnerable and marginalized population groups</w:t>
      </w:r>
      <w:bookmarkEnd w:id="8"/>
      <w:r w:rsidRPr="00EB2733">
        <w:rPr>
          <w:rFonts w:ascii="Calibri" w:eastAsia="Calibri" w:hAnsi="Calibri" w:cs="Calibri"/>
          <w:sz w:val="22"/>
          <w:szCs w:val="22"/>
          <w:lang w:val="en-US"/>
        </w:rPr>
        <w:t xml:space="preserve">. When combining the “no” responses of all participants from both questions on availability and affordability, almost half of the respondents (n=36, 45.6%) reported that mercury-free alternatives were either not available or affordable to the most vulnerable and marginalized population groups in their countries. Most of these participants (n=24, 66.7%) were from low- and middle-income countries. </w:t>
      </w:r>
    </w:p>
    <w:p w:rsidR="00EB2733" w:rsidRPr="00EB2733" w:rsidRDefault="00EB2733" w:rsidP="00EB2733">
      <w:pPr>
        <w:spacing w:after="160" w:line="259" w:lineRule="auto"/>
        <w:jc w:val="both"/>
        <w:rPr>
          <w:rFonts w:ascii="Calibri" w:eastAsia="Calibri" w:hAnsi="Calibri" w:cs="Calibri"/>
          <w:b/>
          <w:bCs/>
          <w:sz w:val="22"/>
          <w:szCs w:val="22"/>
          <w:lang w:val="en-US"/>
        </w:rPr>
      </w:pPr>
      <w:r w:rsidRPr="00EB2733">
        <w:rPr>
          <w:rFonts w:ascii="Calibri" w:eastAsia="Calibri" w:hAnsi="Calibri" w:cs="Calibri"/>
          <w:b/>
          <w:bCs/>
          <w:sz w:val="22"/>
          <w:szCs w:val="22"/>
          <w:lang w:val="en-US"/>
        </w:rPr>
        <w:lastRenderedPageBreak/>
        <w:t>Minamata Convention and the phase down in use of dental amalgam</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 xml:space="preserve">Most respondents (n=69, 87.3%) were aware of the Minamata Convention. Approximately half of the participants (51.9% to 54.4%) reported they had not been involved in meetings organized either by the Ministry of Environment or Ministry of Health to discuss the implementation of the Convention or the phase down in use of dental amalgam. About half of the participants (n=38, 48.1%), including most of the participants from low-income countries (10 out of 13), were either “not at all involved” or “slightly involved” in the implementation of the phase down in use of dental amalgam in their countries. </w:t>
      </w:r>
    </w:p>
    <w:p w:rsidR="00EB2733" w:rsidRPr="00EB2733" w:rsidRDefault="00EB2733" w:rsidP="00EB2733">
      <w:pPr>
        <w:spacing w:after="160"/>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Approximately half of the respondents (n=42, 53.2%) reported that their countries were currently implementing activities related to the phase down in use of dental amalgam. Of the 30 who reported no activities were being implemented, 23 (76.7%) were from low- and middle-income countries. Activities reported were in line with the nine provisions listed in the Convention. The top priority provision mentioned by the respondents was “</w:t>
      </w:r>
      <w:r w:rsidRPr="00EB2733">
        <w:rPr>
          <w:rFonts w:ascii="Calibri" w:eastAsia="Calibri" w:hAnsi="Calibri" w:cs="Calibri"/>
          <w:i/>
          <w:iCs/>
          <w:sz w:val="22"/>
          <w:szCs w:val="22"/>
          <w:lang w:val="en-US"/>
        </w:rPr>
        <w:t xml:space="preserve">Setting national objectives aiming at dental caries prevention and health promotion, thereby minimizing the need for dental restoration”. </w:t>
      </w:r>
      <w:r w:rsidRPr="00EB2733">
        <w:rPr>
          <w:rFonts w:ascii="Calibri" w:eastAsia="Calibri" w:hAnsi="Calibri" w:cs="Calibri"/>
          <w:sz w:val="22"/>
          <w:szCs w:val="22"/>
          <w:lang w:val="en-US"/>
        </w:rPr>
        <w:t>The least</w:t>
      </w:r>
      <w:r w:rsidRPr="00EB2733" w:rsidDel="00371F7F">
        <w:rPr>
          <w:rFonts w:ascii="Calibri" w:eastAsia="Calibri" w:hAnsi="Calibri" w:cs="Calibri"/>
          <w:sz w:val="22"/>
          <w:szCs w:val="22"/>
          <w:lang w:val="en-US"/>
        </w:rPr>
        <w:t xml:space="preserve"> </w:t>
      </w:r>
      <w:r w:rsidRPr="00EB2733">
        <w:rPr>
          <w:rFonts w:ascii="Calibri" w:eastAsia="Calibri" w:hAnsi="Calibri" w:cs="Calibri"/>
          <w:sz w:val="22"/>
          <w:szCs w:val="22"/>
          <w:lang w:val="en-US"/>
        </w:rPr>
        <w:t>activities reported by the respondents were related to</w:t>
      </w:r>
      <w:r w:rsidRPr="00EB2733" w:rsidDel="00371F7F">
        <w:rPr>
          <w:rFonts w:ascii="Calibri" w:eastAsia="Calibri" w:hAnsi="Calibri" w:cs="Calibri"/>
          <w:sz w:val="22"/>
          <w:szCs w:val="22"/>
          <w:lang w:val="en-US"/>
        </w:rPr>
        <w:t xml:space="preserve"> amending insurance policies and promoting research on mercury-free alternatives. </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The Convention does not specify an implementation timeline to phase down the use of dental amalgam. Participants were asked to provide what they considered would be a realistic timeline to implement the phase down for their countries. The dates proposed varied depending on participants’ national contexts and the complexity of activities they currently undertake. In broad terms, most participants provided a timeframe between 2020 to 2030 to complete the phase down in use of dental amalgam. Conversely, a few responded that it was difficult to estimate a realistic timeline due to the specific challenges encountered in their countries.</w:t>
      </w:r>
    </w:p>
    <w:p w:rsidR="00EB2733" w:rsidRPr="00EB2733" w:rsidRDefault="00EB2733" w:rsidP="00EB2733">
      <w:pPr>
        <w:spacing w:after="160" w:line="259" w:lineRule="auto"/>
        <w:jc w:val="both"/>
        <w:rPr>
          <w:rFonts w:ascii="Calibri" w:eastAsia="Calibri" w:hAnsi="Calibri" w:cs="Calibri"/>
          <w:b/>
          <w:bCs/>
          <w:sz w:val="22"/>
          <w:szCs w:val="22"/>
          <w:lang w:val="en-US"/>
        </w:rPr>
      </w:pPr>
      <w:r w:rsidRPr="00EB2733">
        <w:rPr>
          <w:rFonts w:ascii="Calibri" w:eastAsia="Calibri" w:hAnsi="Calibri" w:cs="Calibri"/>
          <w:b/>
          <w:bCs/>
          <w:sz w:val="22"/>
          <w:szCs w:val="22"/>
          <w:lang w:val="en-US"/>
        </w:rPr>
        <w:t>Proposal to amend Annex A of the Convention</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 xml:space="preserve">About half of the participants (n=40, 51,3%) were aware of the proposed amendment to Annex A of the Convention. 42.3% of the respondents (n=33) agreed with the proposal whereas 57.7% (n=45) partially agreed/disagreed, disagreed or were unsure (respectively 32.1% (n=25) partially agreed/partially disagreed, 20.5% (n=16), disagreed and 5.1% (n=4) were unsure). </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 xml:space="preserve">Participants had an opportunity to freely comment on the proposed amendment through optional open-ended questions. The most common themes reported are presented below. </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 xml:space="preserve">Irrespective of agreeing or disagreeing with the proposed amendment, </w:t>
      </w:r>
      <w:bookmarkStart w:id="9" w:name="_Hlk24815695"/>
      <w:r w:rsidRPr="00EB2733">
        <w:rPr>
          <w:rFonts w:ascii="Calibri" w:eastAsia="Calibri" w:hAnsi="Calibri" w:cs="Calibri"/>
          <w:sz w:val="22"/>
          <w:szCs w:val="22"/>
          <w:lang w:val="en-US"/>
        </w:rPr>
        <w:t>49 participants reported concerns associated with phasing out dental amalgam</w:t>
      </w:r>
      <w:bookmarkEnd w:id="9"/>
      <w:r w:rsidRPr="00EB2733">
        <w:rPr>
          <w:rFonts w:ascii="Calibri" w:eastAsia="Calibri" w:hAnsi="Calibri" w:cs="Calibri"/>
          <w:sz w:val="22"/>
          <w:szCs w:val="22"/>
          <w:lang w:val="en-US"/>
        </w:rPr>
        <w:t xml:space="preserve"> which included the following: 26 mentioned issues with their countries’ readiness to implement the proposal within the timeframe proposed due to lack of supporting structures or because the proposed phase out date is soon. 21 mentioned delivery of low quality dental restorative treatments and potential therapeutic failures given that dental amalgam has specific clinical indications and a true substitute for dental amalgam was not yet available in the market. 31 participants mentioned it could negatively impact access to dental care due to the higher cost of mercury-free alternatives and lack of appropriate equipment and infrastructure in resource-limited settings which could lead to increased health inequalities. </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sz w:val="22"/>
          <w:szCs w:val="22"/>
          <w:lang w:val="en-US"/>
        </w:rPr>
        <w:t xml:space="preserve">There were participants who reported that the proposed amendment would cause no significant impact in the delivery of oral health services in their countries, especially for the 2021 phase out date (n=38) in comparison to the 2024 phase out date (n=27). One of the main reasons was reported by 18 participants who explained that their countries had already taken similar policy measures to avoid the use of dental amalgam in deciduous teeth, children, pregnant or breastfeeding women; and a few also mentioned that the material could still be used when it was deemed strictly necessary. </w:t>
      </w:r>
      <w:r w:rsidR="001E09F8">
        <w:rPr>
          <w:rFonts w:ascii="Calibri" w:eastAsia="Calibri" w:hAnsi="Calibri" w:cs="Calibri"/>
          <w:sz w:val="22"/>
          <w:szCs w:val="22"/>
          <w:lang w:val="en-US"/>
        </w:rPr>
        <w:t>14</w:t>
      </w:r>
      <w:r w:rsidRPr="00EB2733">
        <w:rPr>
          <w:rFonts w:ascii="Calibri" w:eastAsia="Calibri" w:hAnsi="Calibri" w:cs="Calibri"/>
          <w:sz w:val="22"/>
          <w:szCs w:val="22"/>
          <w:lang w:val="en-US"/>
        </w:rPr>
        <w:t xml:space="preserve"> out of the 18 participants were from high-income countries. It also was interesting to note that of the 18 participants, 7 agreed with the proposed amendment, 3 partially agreed/disagreed, and 8 disagreed. </w:t>
      </w:r>
    </w:p>
    <w:p w:rsidR="00EB2733" w:rsidRPr="00EB2733" w:rsidRDefault="00EB2733" w:rsidP="00EB2733">
      <w:pPr>
        <w:spacing w:after="160" w:line="259" w:lineRule="auto"/>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lastRenderedPageBreak/>
        <w:t>It is worth noting that a few participants also expressed their concerns about the potential environmental implications of mercury-free alternatives, especially now that plastic pollution has gained significant international attention.</w:t>
      </w:r>
    </w:p>
    <w:p w:rsidR="00EB2733" w:rsidRPr="00EB2733" w:rsidRDefault="00EB2733" w:rsidP="00EB2733">
      <w:pPr>
        <w:spacing w:after="160" w:line="259" w:lineRule="auto"/>
        <w:jc w:val="both"/>
        <w:rPr>
          <w:rFonts w:ascii="Calibri" w:eastAsia="Calibri" w:hAnsi="Calibri" w:cs="Calibri"/>
          <w:b/>
          <w:bCs/>
          <w:sz w:val="22"/>
          <w:szCs w:val="22"/>
          <w:lang w:val="en-US"/>
        </w:rPr>
      </w:pPr>
      <w:r w:rsidRPr="00EB2733">
        <w:rPr>
          <w:rFonts w:ascii="Calibri" w:eastAsia="Calibri" w:hAnsi="Calibri" w:cs="Calibri"/>
          <w:b/>
          <w:bCs/>
          <w:sz w:val="22"/>
          <w:szCs w:val="22"/>
          <w:lang w:val="en-US"/>
        </w:rPr>
        <w:t xml:space="preserve">Conclusion and Recommendations </w:t>
      </w:r>
    </w:p>
    <w:p w:rsidR="00EB2733" w:rsidRPr="00EB2733" w:rsidRDefault="00EB2733" w:rsidP="00EB2733">
      <w:pPr>
        <w:spacing w:after="160"/>
        <w:ind w:firstLine="720"/>
        <w:jc w:val="both"/>
        <w:rPr>
          <w:rFonts w:ascii="Calibri" w:eastAsia="Calibri" w:hAnsi="Calibri"/>
          <w:sz w:val="22"/>
          <w:szCs w:val="22"/>
          <w:lang w:val="en-US"/>
        </w:rPr>
      </w:pPr>
      <w:r w:rsidRPr="00EB2733">
        <w:rPr>
          <w:rFonts w:ascii="Calibri" w:eastAsia="Calibri" w:hAnsi="Calibri" w:cs="Calibri"/>
          <w:sz w:val="22"/>
          <w:szCs w:val="22"/>
          <w:lang w:val="en-US"/>
        </w:rPr>
        <w:t>The perception and perspective of policy makers in dental public health about the phase down in use of dental amalgam and the proposal to amend Annex A of the Minamata Convention on Mercury varied among participants depending on national contexts and levels of income. The results showed that</w:t>
      </w:r>
      <w:r w:rsidRPr="00EB2733">
        <w:rPr>
          <w:rFonts w:ascii="Calibri" w:eastAsia="Calibri" w:hAnsi="Calibri"/>
          <w:sz w:val="22"/>
          <w:szCs w:val="22"/>
          <w:lang w:val="en-US"/>
        </w:rPr>
        <w:t xml:space="preserve"> dental amalgam is still used in most of the countries and is viewed as a restorative material that is needed for the equitable delivery of oral health care services. </w:t>
      </w:r>
      <w:r w:rsidRPr="00EB2733">
        <w:rPr>
          <w:rFonts w:ascii="Calibri" w:eastAsia="Calibri" w:hAnsi="Calibri" w:cs="Calibri"/>
          <w:sz w:val="22"/>
          <w:szCs w:val="22"/>
          <w:lang w:val="en-US"/>
        </w:rPr>
        <w:t>The affordability of dental amalgam has been one of the reasons for its availability. Even though 61 participants reported the availability of mercury-free alternatives, among them, 23 (37.7%) indicated that these were not affordable for the most vulnerable and marginalized population groups. A substantial number of participants</w:t>
      </w:r>
      <w:r w:rsidRPr="00EB2733">
        <w:rPr>
          <w:rFonts w:ascii="Calibri" w:eastAsia="Calibri" w:hAnsi="Calibri"/>
          <w:sz w:val="22"/>
          <w:szCs w:val="22"/>
          <w:lang w:val="en-US"/>
        </w:rPr>
        <w:t xml:space="preserve"> reported they were not fully prepared to phase out the dental amalgam within the timeframe proposed in the amendment and anticipated negative consequences due to the lack of a true substitute of dental amalgam in the market and the higher cost of alternatives. </w:t>
      </w:r>
      <w:r w:rsidRPr="00EB2733">
        <w:rPr>
          <w:rFonts w:ascii="Calibri" w:eastAsia="Calibri" w:hAnsi="Calibri" w:cs="Calibri"/>
          <w:sz w:val="22"/>
          <w:szCs w:val="22"/>
          <w:lang w:val="en-US"/>
        </w:rPr>
        <w:t>Furthermore, the</w:t>
      </w:r>
      <w:r w:rsidRPr="00EB2733">
        <w:rPr>
          <w:rFonts w:ascii="Calibri" w:eastAsia="Calibri" w:hAnsi="Calibri"/>
          <w:sz w:val="22"/>
          <w:szCs w:val="22"/>
          <w:lang w:val="en-US"/>
        </w:rPr>
        <w:t xml:space="preserve"> results also drew attention to the weak level of involvement of half of the participants in the phase down of the use of dental amalgam in their countries.  </w:t>
      </w:r>
    </w:p>
    <w:p w:rsidR="00EB2733" w:rsidRPr="00EB2733" w:rsidRDefault="00EB2733" w:rsidP="00EB2733">
      <w:pPr>
        <w:spacing w:after="160"/>
        <w:ind w:firstLine="720"/>
        <w:jc w:val="both"/>
        <w:rPr>
          <w:rFonts w:ascii="Calibri" w:eastAsia="Calibri" w:hAnsi="Calibri"/>
          <w:sz w:val="22"/>
          <w:szCs w:val="22"/>
          <w:lang w:val="en-US"/>
        </w:rPr>
      </w:pPr>
      <w:r w:rsidRPr="00EB2733">
        <w:rPr>
          <w:rFonts w:ascii="Calibri" w:eastAsia="Calibri" w:hAnsi="Calibri"/>
          <w:sz w:val="22"/>
          <w:szCs w:val="22"/>
          <w:lang w:val="en-US"/>
        </w:rPr>
        <w:t>Based on this survey, it appears that a phase out of dental amalgam approach is not a one-size-fits-all solution for all countries but an ultimate goal that should be reached at some point, and certainly an option that should be implemented in some countries based on specific needs and situations. In any case, substantial preliminary work is required at both global and national levels before moving toward the goals suggested by the proposed amendment to Annex A. Phasing out dental amalgam without the required supporting evidence on alternatives, national situation assessments, and the involvement of key stakeholders could compromise the delivery of quality dental treatments and increase health inequalities in access to essential oral health care and therefore impact the achievement of Universal Health Coverage.</w:t>
      </w:r>
      <w:r w:rsidRPr="00EB2733">
        <w:rPr>
          <w:rFonts w:ascii="Calibri" w:eastAsia="Calibri" w:hAnsi="Calibri"/>
          <w:sz w:val="22"/>
          <w:szCs w:val="22"/>
          <w:vertAlign w:val="superscript"/>
          <w:lang w:val="en-US"/>
        </w:rPr>
        <w:footnoteReference w:id="2"/>
      </w:r>
      <w:r w:rsidRPr="00EB2733">
        <w:rPr>
          <w:rFonts w:ascii="Calibri" w:eastAsia="Calibri" w:hAnsi="Calibri"/>
          <w:sz w:val="22"/>
          <w:szCs w:val="22"/>
          <w:lang w:val="en-US"/>
        </w:rPr>
        <w:t xml:space="preserve"> </w:t>
      </w:r>
    </w:p>
    <w:p w:rsidR="00EB2733" w:rsidRPr="00EB2733" w:rsidRDefault="00EB2733" w:rsidP="00EB2733">
      <w:pPr>
        <w:spacing w:after="160"/>
        <w:ind w:firstLine="720"/>
        <w:jc w:val="both"/>
        <w:rPr>
          <w:rFonts w:ascii="Calibri" w:eastAsia="Calibri" w:hAnsi="Calibri"/>
          <w:sz w:val="22"/>
          <w:szCs w:val="22"/>
          <w:lang w:val="en-US"/>
        </w:rPr>
      </w:pPr>
      <w:r w:rsidRPr="00EB2733">
        <w:rPr>
          <w:rFonts w:ascii="Calibri" w:eastAsia="Calibri" w:hAnsi="Calibri"/>
          <w:sz w:val="22"/>
          <w:szCs w:val="22"/>
          <w:lang w:val="en-US"/>
        </w:rPr>
        <w:t xml:space="preserve">In this regard, the WHO position remains unchanged and efforts should focus on accelerating the phase down in use of dental amalgam through a comprehensive, stepwise, and inclusive process that considers a timescale for </w:t>
      </w:r>
      <w:r w:rsidRPr="00EB2733">
        <w:rPr>
          <w:rFonts w:ascii="Calibri" w:eastAsia="Calibri" w:hAnsi="Calibri" w:cs="Calibri"/>
          <w:sz w:val="22"/>
          <w:szCs w:val="22"/>
          <w:lang w:val="en-US"/>
        </w:rPr>
        <w:t>implementation</w:t>
      </w:r>
      <w:r w:rsidRPr="00EB2733">
        <w:rPr>
          <w:rFonts w:ascii="Calibri" w:eastAsia="Calibri" w:hAnsi="Calibri"/>
          <w:sz w:val="22"/>
          <w:szCs w:val="22"/>
          <w:lang w:val="en-US"/>
        </w:rPr>
        <w:t xml:space="preserve"> according to national contexts. Phasing out dental amalgam in the short-term </w:t>
      </w:r>
      <w:r w:rsidRPr="00EB2733">
        <w:rPr>
          <w:rFonts w:ascii="Calibri" w:eastAsia="Calibri" w:hAnsi="Calibri" w:cs="Calibri"/>
          <w:sz w:val="22"/>
          <w:szCs w:val="22"/>
          <w:lang w:val="en-US"/>
        </w:rPr>
        <w:t xml:space="preserve">is seen as premature, particularly for low- and middle-income countries </w:t>
      </w:r>
      <w:r w:rsidRPr="00EB2733">
        <w:rPr>
          <w:rFonts w:ascii="Calibri" w:eastAsia="Calibri" w:hAnsi="Calibri"/>
          <w:sz w:val="22"/>
          <w:szCs w:val="22"/>
          <w:lang w:val="en-US"/>
        </w:rPr>
        <w:t xml:space="preserve">with a high prevalence of untreated dental caries. </w:t>
      </w:r>
    </w:p>
    <w:p w:rsidR="00EB2733" w:rsidRPr="00EB2733" w:rsidRDefault="00EB2733" w:rsidP="00EB2733">
      <w:pPr>
        <w:spacing w:after="160"/>
        <w:ind w:firstLine="720"/>
        <w:jc w:val="both"/>
        <w:rPr>
          <w:rFonts w:ascii="Calibri" w:eastAsia="Calibri" w:hAnsi="Calibri" w:cs="Calibri"/>
          <w:sz w:val="22"/>
          <w:szCs w:val="22"/>
          <w:lang w:val="en-US"/>
        </w:rPr>
      </w:pPr>
      <w:r w:rsidRPr="00EB2733">
        <w:rPr>
          <w:rFonts w:ascii="Calibri" w:eastAsia="Calibri" w:hAnsi="Calibri" w:cs="Calibri"/>
          <w:sz w:val="22"/>
          <w:szCs w:val="22"/>
          <w:lang w:val="en-US"/>
        </w:rPr>
        <w:t>In light of the results, reinforcement of the collaboration between Ministries of Health and Environment appears to be a matter of urgency.</w:t>
      </w:r>
      <w:r w:rsidRPr="00EB2733">
        <w:rPr>
          <w:rFonts w:ascii="Calibri" w:eastAsia="Calibri" w:hAnsi="Calibri"/>
          <w:sz w:val="22"/>
          <w:szCs w:val="22"/>
          <w:lang w:val="en-US"/>
        </w:rPr>
        <w:t xml:space="preserve"> These ministries’ Parties to the Convention should engage the oral health community </w:t>
      </w:r>
      <w:r w:rsidRPr="00EB2733">
        <w:rPr>
          <w:rFonts w:ascii="Calibri" w:eastAsia="Calibri" w:hAnsi="Calibri" w:cs="Calibri"/>
          <w:sz w:val="22"/>
          <w:szCs w:val="22"/>
          <w:lang w:val="en-US"/>
        </w:rPr>
        <w:t>during</w:t>
      </w:r>
      <w:r w:rsidRPr="00EB2733">
        <w:rPr>
          <w:rFonts w:ascii="Calibri" w:eastAsia="Calibri" w:hAnsi="Calibri"/>
          <w:sz w:val="22"/>
          <w:szCs w:val="22"/>
          <w:lang w:val="en-US"/>
        </w:rPr>
        <w:t xml:space="preserve"> the discussions, strategic planning, and delivery of activities to phase down the use of dental amalgam to ensure all views are considered. Setting up a national coordination committee under Ministry of Health and Ministry of Environment leadership could create an environment conducive to consensus </w:t>
      </w:r>
      <w:r w:rsidRPr="00EB2733">
        <w:rPr>
          <w:rFonts w:ascii="Calibri" w:eastAsia="Calibri" w:hAnsi="Calibri" w:cs="Calibri"/>
          <w:sz w:val="22"/>
          <w:szCs w:val="22"/>
          <w:lang w:val="en-US"/>
        </w:rPr>
        <w:t>building</w:t>
      </w:r>
      <w:r w:rsidRPr="00EB2733">
        <w:rPr>
          <w:rFonts w:ascii="Calibri" w:eastAsia="Calibri" w:hAnsi="Calibri"/>
          <w:sz w:val="22"/>
          <w:szCs w:val="22"/>
          <w:lang w:val="en-US"/>
        </w:rPr>
        <w:t xml:space="preserve"> for the health sector. In the meantime, it is important to reiterate the need for further research, both private and public, to make available a quality mercury-free restorative material that is affordable, biocompatible, clinically effective, user-friendly, and environmentally sound. </w:t>
      </w:r>
    </w:p>
    <w:p w:rsidR="00EB2733" w:rsidRDefault="00EB2733" w:rsidP="00EB2733">
      <w:pPr>
        <w:spacing w:after="160"/>
        <w:ind w:firstLine="720"/>
        <w:jc w:val="both"/>
        <w:rPr>
          <w:rFonts w:ascii="Calibri" w:eastAsia="Calibri" w:hAnsi="Calibri"/>
          <w:sz w:val="22"/>
          <w:szCs w:val="22"/>
          <w:lang w:val="en-US"/>
        </w:rPr>
      </w:pPr>
      <w:r w:rsidRPr="00EB2733">
        <w:rPr>
          <w:rFonts w:ascii="Calibri" w:eastAsia="Calibri" w:hAnsi="Calibri"/>
          <w:sz w:val="22"/>
          <w:szCs w:val="22"/>
          <w:lang w:val="en-US"/>
        </w:rPr>
        <w:t xml:space="preserve">Finally, the implementation of the Minamata Convention provides the opportunity to rethink the model of dentistry towards health </w:t>
      </w:r>
      <w:r w:rsidRPr="00EB2733">
        <w:rPr>
          <w:rFonts w:ascii="Calibri" w:eastAsia="Calibri" w:hAnsi="Calibri" w:cs="Calibri"/>
          <w:sz w:val="22"/>
          <w:szCs w:val="22"/>
          <w:lang w:val="en-US"/>
        </w:rPr>
        <w:t>promotion</w:t>
      </w:r>
      <w:r w:rsidRPr="00EB2733">
        <w:rPr>
          <w:rFonts w:ascii="Calibri" w:eastAsia="Calibri" w:hAnsi="Calibri"/>
          <w:sz w:val="22"/>
          <w:szCs w:val="22"/>
          <w:lang w:val="en-US"/>
        </w:rPr>
        <w:t xml:space="preserve"> and integrated disease prevention, along with the wider use of mercury-free alternatives and minimally invasive care. From an environmental perspective, the environmental impact of mercury-free alternatives still</w:t>
      </w:r>
      <w:r w:rsidRPr="00EB2733">
        <w:rPr>
          <w:lang w:val="en-US"/>
        </w:rPr>
        <w:t xml:space="preserve"> </w:t>
      </w:r>
      <w:r w:rsidRPr="00EB2733">
        <w:rPr>
          <w:rFonts w:ascii="Calibri" w:eastAsia="Calibri" w:hAnsi="Calibri"/>
          <w:sz w:val="22"/>
          <w:szCs w:val="22"/>
          <w:lang w:val="en-US"/>
        </w:rPr>
        <w:t>needs to be carefully assessed.</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9"/>
        <w:gridCol w:w="1898"/>
        <w:gridCol w:w="1899"/>
        <w:gridCol w:w="1900"/>
        <w:gridCol w:w="1900"/>
      </w:tblGrid>
      <w:tr w:rsidR="00EB2733" w:rsidRPr="00213C5F" w:rsidTr="00EB2733">
        <w:tc>
          <w:tcPr>
            <w:tcW w:w="1921" w:type="dxa"/>
          </w:tcPr>
          <w:p w:rsidR="00EB2733" w:rsidRDefault="00EB2733" w:rsidP="00375982">
            <w:pPr>
              <w:pStyle w:val="Normal-pool"/>
              <w:spacing w:before="520" w:after="0"/>
              <w:rPr>
                <w:sz w:val="16"/>
                <w:szCs w:val="16"/>
                <w:lang w:bidi="ar-EG"/>
              </w:rPr>
            </w:pPr>
          </w:p>
        </w:tc>
        <w:tc>
          <w:tcPr>
            <w:tcW w:w="1921" w:type="dxa"/>
          </w:tcPr>
          <w:p w:rsidR="00EB2733" w:rsidRDefault="00EB2733" w:rsidP="00375982">
            <w:pPr>
              <w:pStyle w:val="Normal-pool"/>
              <w:spacing w:before="520" w:after="0"/>
              <w:rPr>
                <w:sz w:val="16"/>
                <w:szCs w:val="16"/>
                <w:lang w:bidi="ar-EG"/>
              </w:rPr>
            </w:pPr>
          </w:p>
        </w:tc>
        <w:tc>
          <w:tcPr>
            <w:tcW w:w="1922" w:type="dxa"/>
            <w:tcBorders>
              <w:bottom w:val="single" w:sz="4" w:space="0" w:color="auto"/>
            </w:tcBorders>
          </w:tcPr>
          <w:p w:rsidR="00EB2733" w:rsidRDefault="00EB2733" w:rsidP="00375982">
            <w:pPr>
              <w:pStyle w:val="Normal-pool"/>
              <w:spacing w:before="520" w:after="0"/>
              <w:rPr>
                <w:sz w:val="16"/>
                <w:szCs w:val="16"/>
                <w:lang w:bidi="ar-EG"/>
              </w:rPr>
            </w:pPr>
          </w:p>
        </w:tc>
        <w:tc>
          <w:tcPr>
            <w:tcW w:w="1923" w:type="dxa"/>
          </w:tcPr>
          <w:p w:rsidR="00EB2733" w:rsidRDefault="00EB2733" w:rsidP="00375982">
            <w:pPr>
              <w:pStyle w:val="Normal-pool"/>
              <w:spacing w:before="520" w:after="0"/>
              <w:rPr>
                <w:sz w:val="16"/>
                <w:szCs w:val="16"/>
                <w:lang w:bidi="ar-EG"/>
              </w:rPr>
            </w:pPr>
          </w:p>
        </w:tc>
        <w:tc>
          <w:tcPr>
            <w:tcW w:w="1923" w:type="dxa"/>
          </w:tcPr>
          <w:p w:rsidR="00EB2733" w:rsidRDefault="00EB2733" w:rsidP="00375982">
            <w:pPr>
              <w:pStyle w:val="Normal-pool"/>
              <w:spacing w:before="520" w:after="0"/>
              <w:rPr>
                <w:sz w:val="16"/>
                <w:szCs w:val="16"/>
                <w:lang w:bidi="ar-EG"/>
              </w:rPr>
            </w:pPr>
          </w:p>
        </w:tc>
      </w:tr>
    </w:tbl>
    <w:p w:rsidR="00EB2733" w:rsidRPr="00375982" w:rsidRDefault="00EB2733">
      <w:pPr>
        <w:pStyle w:val="Normal-pool"/>
      </w:pPr>
    </w:p>
    <w:sectPr w:rsidR="00EB2733" w:rsidRPr="00375982" w:rsidSect="006E6722">
      <w:headerReference w:type="even" r:id="rId13"/>
      <w:headerReference w:type="default" r:id="rId14"/>
      <w:footerReference w:type="even" r:id="rId15"/>
      <w:footerReference w:type="defaul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733" w:rsidRDefault="00EB2733">
      <w:r>
        <w:separator/>
      </w:r>
    </w:p>
  </w:endnote>
  <w:endnote w:type="continuationSeparator" w:id="0">
    <w:p w:rsidR="00EB2733" w:rsidRDefault="00EB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699" w:rsidRDefault="00123699">
    <w:pPr>
      <w:pStyle w:val="Footer"/>
    </w:pPr>
    <w:r>
      <w:rPr>
        <w:rStyle w:val="PageNumber"/>
      </w:rPr>
      <w:fldChar w:fldCharType="begin"/>
    </w:r>
    <w:r>
      <w:rPr>
        <w:rStyle w:val="PageNumber"/>
      </w:rPr>
      <w:instrText xml:space="preserve"> PAGE </w:instrText>
    </w:r>
    <w:r>
      <w:rPr>
        <w:rStyle w:val="PageNumber"/>
      </w:rPr>
      <w:fldChar w:fldCharType="separate"/>
    </w:r>
    <w:r w:rsidR="00213C5F">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699" w:rsidRDefault="0012369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13C5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733" w:rsidRPr="00EB2733" w:rsidRDefault="00EB2733" w:rsidP="00EB2733">
    <w:pPr>
      <w:pStyle w:val="Footer-pool"/>
      <w:rPr>
        <w:b w:val="0"/>
        <w:sz w:val="20"/>
      </w:rPr>
    </w:pPr>
    <w:r w:rsidRPr="00EB2733">
      <w:rPr>
        <w:rStyle w:val="job-value"/>
        <w:b w:val="0"/>
        <w:sz w:val="20"/>
      </w:rPr>
      <w:t>K</w:t>
    </w:r>
    <w:r w:rsidR="00213C5F">
      <w:rPr>
        <w:rStyle w:val="job-value"/>
        <w:b w:val="0"/>
        <w:sz w:val="20"/>
      </w:rPr>
      <w:t>1904801</w:t>
    </w:r>
    <w:r w:rsidR="00213C5F">
      <w:rPr>
        <w:rStyle w:val="job-value"/>
        <w:b w:val="0"/>
        <w:sz w:val="20"/>
      </w:rPr>
      <w:tab/>
      <w:t>21</w:t>
    </w:r>
    <w:r w:rsidRPr="00EB2733">
      <w:rPr>
        <w:rStyle w:val="job-value"/>
        <w:b w:val="0"/>
        <w:sz w:val="20"/>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733" w:rsidRPr="00EB2733" w:rsidRDefault="00EB2733" w:rsidP="00EB2733">
      <w:pPr>
        <w:tabs>
          <w:tab w:val="clear" w:pos="1247"/>
          <w:tab w:val="clear" w:pos="1814"/>
          <w:tab w:val="clear" w:pos="2381"/>
          <w:tab w:val="clear" w:pos="2948"/>
          <w:tab w:val="clear" w:pos="3515"/>
          <w:tab w:val="left" w:pos="624"/>
        </w:tabs>
        <w:spacing w:before="60"/>
        <w:ind w:left="624"/>
        <w:rPr>
          <w:sz w:val="18"/>
          <w:szCs w:val="18"/>
        </w:rPr>
      </w:pPr>
      <w:r w:rsidRPr="00EB2733">
        <w:rPr>
          <w:sz w:val="18"/>
          <w:szCs w:val="18"/>
        </w:rPr>
        <w:separator/>
      </w:r>
    </w:p>
  </w:footnote>
  <w:footnote w:type="continuationSeparator" w:id="0">
    <w:p w:rsidR="00EB2733" w:rsidRDefault="00EB2733">
      <w:r>
        <w:continuationSeparator/>
      </w:r>
    </w:p>
  </w:footnote>
  <w:footnote w:id="1">
    <w:p w:rsidR="00EB2733" w:rsidRPr="00EB2733" w:rsidRDefault="00EB2733" w:rsidP="00EB2733">
      <w:pPr>
        <w:tabs>
          <w:tab w:val="left" w:pos="624"/>
        </w:tabs>
        <w:spacing w:before="20" w:after="40"/>
        <w:ind w:left="1247"/>
        <w:rPr>
          <w:sz w:val="18"/>
          <w:szCs w:val="18"/>
          <w:lang w:val="en-GB"/>
        </w:rPr>
      </w:pPr>
      <w:r w:rsidRPr="00EB2733">
        <w:rPr>
          <w:sz w:val="18"/>
          <w:szCs w:val="18"/>
          <w:lang w:val="en-GB"/>
        </w:rPr>
        <w:t>* UNEP/MC/COP.3/1.</w:t>
      </w:r>
    </w:p>
  </w:footnote>
  <w:footnote w:id="2">
    <w:p w:rsidR="00EB2733" w:rsidRPr="00EB2733" w:rsidRDefault="00EB2733" w:rsidP="00EB2733">
      <w:pPr>
        <w:pStyle w:val="FootnoteText"/>
        <w:tabs>
          <w:tab w:val="left" w:pos="624"/>
        </w:tabs>
        <w:jc w:val="both"/>
        <w:rPr>
          <w:szCs w:val="18"/>
          <w:lang w:val="en-US"/>
        </w:rPr>
      </w:pPr>
      <w:r w:rsidRPr="00EB2733">
        <w:rPr>
          <w:rStyle w:val="FootnoteReference"/>
          <w:sz w:val="18"/>
        </w:rPr>
        <w:footnoteRef/>
      </w:r>
      <w:r w:rsidRPr="00EB2733">
        <w:rPr>
          <w:szCs w:val="18"/>
          <w:lang w:val="en-US"/>
        </w:rPr>
        <w:t xml:space="preserve"> Universal health coverage is defined as ensuring that all people have access to needed health services (including prevention, promotion, treatment, rehabilitation and palliation) of sufficient quality to be effective while also ensuring that the use of these services does not expose the user the financial hardship.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699" w:rsidRPr="00EB2733" w:rsidRDefault="00EB2733" w:rsidP="00EB2733">
    <w:pPr>
      <w:pStyle w:val="Header-pool"/>
      <w:rPr>
        <w:sz w:val="20"/>
      </w:rPr>
    </w:pPr>
    <w:r w:rsidRPr="00EB2733">
      <w:rPr>
        <w:bCs/>
        <w:color w:val="000000"/>
        <w:sz w:val="20"/>
        <w:lang w:val="en-US"/>
      </w:rPr>
      <w:t>UNEP/</w:t>
    </w:r>
    <w:r w:rsidRPr="00EB2733">
      <w:rPr>
        <w:color w:val="000000"/>
        <w:sz w:val="20"/>
        <w:lang w:val="en-US"/>
      </w:rPr>
      <w:t>MC/COP.3/INF/25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699" w:rsidRPr="00EB2733" w:rsidRDefault="00EB2733" w:rsidP="00EB2733">
    <w:pPr>
      <w:pStyle w:val="Header-pool"/>
      <w:jc w:val="right"/>
      <w:rPr>
        <w:sz w:val="20"/>
      </w:rPr>
    </w:pPr>
    <w:r w:rsidRPr="00EB2733">
      <w:rPr>
        <w:bCs/>
        <w:color w:val="000000"/>
        <w:sz w:val="20"/>
        <w:lang w:val="en-US"/>
      </w:rPr>
      <w:t>UNEP/</w:t>
    </w:r>
    <w:r w:rsidRPr="00EB2733">
      <w:rPr>
        <w:color w:val="000000"/>
        <w:sz w:val="20"/>
        <w:lang w:val="en-US"/>
      </w:rPr>
      <w:t>MC/COP.3/INF/25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D07A6E4C"/>
    <w:numStyleLink w:val="Normallist"/>
  </w:abstractNum>
  <w:num w:numId="1">
    <w:abstractNumId w:val="0"/>
  </w:num>
  <w:num w:numId="2">
    <w:abstractNumId w:val="1"/>
  </w:num>
  <w:num w:numId="3">
    <w:abstractNumId w:val="2"/>
  </w:num>
  <w:num w:numId="4">
    <w:abstractNumId w:val="3"/>
  </w:num>
  <w:num w:numId="5">
    <w:abstractNumId w:val="0"/>
  </w:num>
  <w:num w:numId="6">
    <w:abstractNumId w:val="1"/>
  </w:num>
  <w:num w:numId="7">
    <w:abstractNumId w:val="2"/>
  </w:num>
  <w:num w:numId="8">
    <w:abstractNumId w:val="3"/>
  </w:num>
  <w:num w:numId="9">
    <w:abstractNumId w:val="0"/>
  </w:num>
  <w:num w:numId="10">
    <w:abstractNumId w:val="1"/>
  </w:num>
  <w:num w:numId="11">
    <w:abstractNumId w:val="2"/>
  </w:num>
  <w:num w:numId="12">
    <w:abstractNumId w:val="3"/>
  </w:num>
  <w:num w:numId="13">
    <w:abstractNumId w:val="2"/>
  </w:num>
  <w:num w:numId="14">
    <w:abstractNumId w:val="3"/>
  </w:num>
  <w:num w:numId="15">
    <w:abstractNumId w:val="0"/>
  </w:num>
  <w:num w:numId="16">
    <w:abstractNumId w:val="1"/>
  </w:num>
  <w:num w:numId="17">
    <w:abstractNumId w:val="2"/>
  </w:num>
  <w:num w:numId="18">
    <w:abstractNumId w:val="3"/>
  </w:num>
  <w:num w:numId="19">
    <w:abstractNumId w:val="0"/>
  </w:num>
  <w:num w:numId="20">
    <w:abstractNumId w:val="1"/>
  </w:num>
  <w:num w:numId="21">
    <w:abstractNumId w:val="2"/>
  </w:num>
  <w:num w:numId="22">
    <w:abstractNumId w:val="3"/>
  </w:num>
  <w:num w:numId="23">
    <w:abstractNumId w:val="0"/>
  </w:num>
  <w:num w:numId="24">
    <w:abstractNumId w:val="1"/>
  </w:num>
  <w:num w:numId="25">
    <w:abstractNumId w:val="2"/>
  </w:num>
  <w:num w:numId="26">
    <w:abstractNumId w:val="3"/>
  </w:num>
  <w:num w:numId="27">
    <w:abstractNumId w:val="0"/>
  </w:num>
  <w:num w:numId="28">
    <w:abstractNumId w:val="1"/>
  </w:num>
  <w:num w:numId="29">
    <w:abstractNumId w:val="2"/>
  </w:num>
  <w:num w:numId="30">
    <w:abstractNumId w:val="3"/>
  </w:num>
  <w:num w:numId="31">
    <w:abstractNumId w:val="0"/>
  </w:num>
  <w:num w:numId="32">
    <w:abstractNumId w:val="1"/>
  </w:num>
  <w:num w:numId="33">
    <w:abstractNumId w:val="2"/>
  </w:num>
  <w:num w:numId="34">
    <w:abstractNumId w:val="3"/>
  </w:num>
  <w:num w:numId="35">
    <w:abstractNumId w:val="2"/>
  </w:num>
  <w:num w:numId="36">
    <w:abstractNumId w:val="3"/>
  </w:num>
  <w:num w:numId="37">
    <w:abstractNumId w:val="2"/>
  </w:num>
  <w:num w:numId="38">
    <w:abstractNumId w:val="2"/>
  </w:num>
  <w:num w:numId="39">
    <w:abstractNumId w:val="2"/>
  </w:num>
  <w:num w:numId="40">
    <w:abstractNumId w:val="2"/>
  </w:num>
  <w:num w:numId="41">
    <w:abstractNumId w:val="2"/>
  </w:num>
  <w:num w:numId="4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733"/>
    <w:rsid w:val="000149E6"/>
    <w:rsid w:val="000247B0"/>
    <w:rsid w:val="00026997"/>
    <w:rsid w:val="00033E0B"/>
    <w:rsid w:val="00035EDE"/>
    <w:rsid w:val="000509B4"/>
    <w:rsid w:val="0006035B"/>
    <w:rsid w:val="0006620A"/>
    <w:rsid w:val="00071886"/>
    <w:rsid w:val="000742BC"/>
    <w:rsid w:val="00082A0C"/>
    <w:rsid w:val="00083504"/>
    <w:rsid w:val="0009640C"/>
    <w:rsid w:val="000B22A2"/>
    <w:rsid w:val="000C2A52"/>
    <w:rsid w:val="000D33C0"/>
    <w:rsid w:val="000D6941"/>
    <w:rsid w:val="001202E3"/>
    <w:rsid w:val="00123699"/>
    <w:rsid w:val="0013059D"/>
    <w:rsid w:val="00141A55"/>
    <w:rsid w:val="001446A3"/>
    <w:rsid w:val="00155395"/>
    <w:rsid w:val="00160D74"/>
    <w:rsid w:val="00167D02"/>
    <w:rsid w:val="00181EC8"/>
    <w:rsid w:val="00184349"/>
    <w:rsid w:val="00195F33"/>
    <w:rsid w:val="001B1617"/>
    <w:rsid w:val="001B504B"/>
    <w:rsid w:val="001C64FC"/>
    <w:rsid w:val="001D3874"/>
    <w:rsid w:val="001D7E75"/>
    <w:rsid w:val="001E09F8"/>
    <w:rsid w:val="001E56D2"/>
    <w:rsid w:val="001E7D56"/>
    <w:rsid w:val="001F75DE"/>
    <w:rsid w:val="00200D58"/>
    <w:rsid w:val="002013BE"/>
    <w:rsid w:val="002063A4"/>
    <w:rsid w:val="0021145B"/>
    <w:rsid w:val="00213C5F"/>
    <w:rsid w:val="00243D36"/>
    <w:rsid w:val="00247707"/>
    <w:rsid w:val="0026018E"/>
    <w:rsid w:val="00286740"/>
    <w:rsid w:val="002929D8"/>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55EA9"/>
    <w:rsid w:val="003578DE"/>
    <w:rsid w:val="00375982"/>
    <w:rsid w:val="00396257"/>
    <w:rsid w:val="00397EB8"/>
    <w:rsid w:val="003A4FD0"/>
    <w:rsid w:val="003A69D1"/>
    <w:rsid w:val="003A7705"/>
    <w:rsid w:val="003A77F1"/>
    <w:rsid w:val="003B1545"/>
    <w:rsid w:val="003C409D"/>
    <w:rsid w:val="003C5BA6"/>
    <w:rsid w:val="003F0E85"/>
    <w:rsid w:val="00410C55"/>
    <w:rsid w:val="00416854"/>
    <w:rsid w:val="00417725"/>
    <w:rsid w:val="00437F26"/>
    <w:rsid w:val="00444097"/>
    <w:rsid w:val="00445487"/>
    <w:rsid w:val="00454769"/>
    <w:rsid w:val="00466991"/>
    <w:rsid w:val="0047064C"/>
    <w:rsid w:val="004A42E1"/>
    <w:rsid w:val="004B162C"/>
    <w:rsid w:val="004C3DBE"/>
    <w:rsid w:val="004C5C96"/>
    <w:rsid w:val="004D06A4"/>
    <w:rsid w:val="004F1A81"/>
    <w:rsid w:val="005218D9"/>
    <w:rsid w:val="00536186"/>
    <w:rsid w:val="00544CBB"/>
    <w:rsid w:val="0057315F"/>
    <w:rsid w:val="00576104"/>
    <w:rsid w:val="005C67C8"/>
    <w:rsid w:val="005D0249"/>
    <w:rsid w:val="005D6E8C"/>
    <w:rsid w:val="005F100C"/>
    <w:rsid w:val="005F68DA"/>
    <w:rsid w:val="0060773B"/>
    <w:rsid w:val="006121AB"/>
    <w:rsid w:val="006157B5"/>
    <w:rsid w:val="00626FC6"/>
    <w:rsid w:val="006303B4"/>
    <w:rsid w:val="00633D3D"/>
    <w:rsid w:val="00641703"/>
    <w:rsid w:val="006431A6"/>
    <w:rsid w:val="006459F6"/>
    <w:rsid w:val="006501AD"/>
    <w:rsid w:val="00651BFA"/>
    <w:rsid w:val="00654475"/>
    <w:rsid w:val="00665A4B"/>
    <w:rsid w:val="00692E2A"/>
    <w:rsid w:val="006A76F2"/>
    <w:rsid w:val="006D7EFB"/>
    <w:rsid w:val="006E6672"/>
    <w:rsid w:val="006E6722"/>
    <w:rsid w:val="007027B9"/>
    <w:rsid w:val="00715E88"/>
    <w:rsid w:val="00734CAA"/>
    <w:rsid w:val="00744416"/>
    <w:rsid w:val="0075533C"/>
    <w:rsid w:val="00757581"/>
    <w:rsid w:val="007611A0"/>
    <w:rsid w:val="00796D3F"/>
    <w:rsid w:val="007A1683"/>
    <w:rsid w:val="007A5C12"/>
    <w:rsid w:val="007A7CB0"/>
    <w:rsid w:val="007B68A3"/>
    <w:rsid w:val="007C2541"/>
    <w:rsid w:val="007D66A8"/>
    <w:rsid w:val="007E003F"/>
    <w:rsid w:val="00807502"/>
    <w:rsid w:val="008164F2"/>
    <w:rsid w:val="00821395"/>
    <w:rsid w:val="00830E26"/>
    <w:rsid w:val="00843576"/>
    <w:rsid w:val="00843B64"/>
    <w:rsid w:val="008478FC"/>
    <w:rsid w:val="00867BFF"/>
    <w:rsid w:val="0088480A"/>
    <w:rsid w:val="0088757A"/>
    <w:rsid w:val="008957DD"/>
    <w:rsid w:val="00897D98"/>
    <w:rsid w:val="008A6DF2"/>
    <w:rsid w:val="008A7807"/>
    <w:rsid w:val="008B4CC9"/>
    <w:rsid w:val="008D7C99"/>
    <w:rsid w:val="008E0FCB"/>
    <w:rsid w:val="0092178C"/>
    <w:rsid w:val="00930B88"/>
    <w:rsid w:val="00940DCC"/>
    <w:rsid w:val="0094179A"/>
    <w:rsid w:val="0094459E"/>
    <w:rsid w:val="00944DBC"/>
    <w:rsid w:val="00950977"/>
    <w:rsid w:val="00951A7B"/>
    <w:rsid w:val="009564A6"/>
    <w:rsid w:val="009655B7"/>
    <w:rsid w:val="00967621"/>
    <w:rsid w:val="00967E6A"/>
    <w:rsid w:val="009B4A0F"/>
    <w:rsid w:val="009C11D2"/>
    <w:rsid w:val="009C6C70"/>
    <w:rsid w:val="009D0B63"/>
    <w:rsid w:val="009E307E"/>
    <w:rsid w:val="00A07870"/>
    <w:rsid w:val="00A07F19"/>
    <w:rsid w:val="00A1348D"/>
    <w:rsid w:val="00A232EE"/>
    <w:rsid w:val="00A4175F"/>
    <w:rsid w:val="00A44411"/>
    <w:rsid w:val="00A469FA"/>
    <w:rsid w:val="00A55B01"/>
    <w:rsid w:val="00A56B5B"/>
    <w:rsid w:val="00A603FF"/>
    <w:rsid w:val="00A657DD"/>
    <w:rsid w:val="00A666A6"/>
    <w:rsid w:val="00A675FD"/>
    <w:rsid w:val="00A72437"/>
    <w:rsid w:val="00A80611"/>
    <w:rsid w:val="00AB5340"/>
    <w:rsid w:val="00AC0A89"/>
    <w:rsid w:val="00AC7C96"/>
    <w:rsid w:val="00AE237D"/>
    <w:rsid w:val="00AE502A"/>
    <w:rsid w:val="00AF7C07"/>
    <w:rsid w:val="00B22C93"/>
    <w:rsid w:val="00B27589"/>
    <w:rsid w:val="00B405B7"/>
    <w:rsid w:val="00B52222"/>
    <w:rsid w:val="00B54FE7"/>
    <w:rsid w:val="00B66901"/>
    <w:rsid w:val="00B71E6D"/>
    <w:rsid w:val="00B72070"/>
    <w:rsid w:val="00B779E1"/>
    <w:rsid w:val="00B91EE1"/>
    <w:rsid w:val="00BA0090"/>
    <w:rsid w:val="00BA1A67"/>
    <w:rsid w:val="00BE5B5F"/>
    <w:rsid w:val="00C26F55"/>
    <w:rsid w:val="00C30C63"/>
    <w:rsid w:val="00C36B8B"/>
    <w:rsid w:val="00C415C1"/>
    <w:rsid w:val="00C47DBF"/>
    <w:rsid w:val="00C552FF"/>
    <w:rsid w:val="00C558DA"/>
    <w:rsid w:val="00C55AF3"/>
    <w:rsid w:val="00C84759"/>
    <w:rsid w:val="00CA6C7F"/>
    <w:rsid w:val="00CC10A6"/>
    <w:rsid w:val="00CD5EB8"/>
    <w:rsid w:val="00CD7044"/>
    <w:rsid w:val="00CE08B9"/>
    <w:rsid w:val="00CE524C"/>
    <w:rsid w:val="00CF141F"/>
    <w:rsid w:val="00CF4777"/>
    <w:rsid w:val="00D067BB"/>
    <w:rsid w:val="00D1352A"/>
    <w:rsid w:val="00D169AF"/>
    <w:rsid w:val="00D25249"/>
    <w:rsid w:val="00D44172"/>
    <w:rsid w:val="00D51888"/>
    <w:rsid w:val="00D63B8C"/>
    <w:rsid w:val="00D739CC"/>
    <w:rsid w:val="00D8093D"/>
    <w:rsid w:val="00D8108C"/>
    <w:rsid w:val="00D842AE"/>
    <w:rsid w:val="00D9211C"/>
    <w:rsid w:val="00D92DE0"/>
    <w:rsid w:val="00D92FEF"/>
    <w:rsid w:val="00D93A0F"/>
    <w:rsid w:val="00DA1BCA"/>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9E5"/>
    <w:rsid w:val="00EB2733"/>
    <w:rsid w:val="00EC5A46"/>
    <w:rsid w:val="00EC63E2"/>
    <w:rsid w:val="00EE1FF1"/>
    <w:rsid w:val="00EF22B3"/>
    <w:rsid w:val="00F03B69"/>
    <w:rsid w:val="00F07A50"/>
    <w:rsid w:val="00F113DA"/>
    <w:rsid w:val="00F33A3C"/>
    <w:rsid w:val="00F37DC8"/>
    <w:rsid w:val="00F439B3"/>
    <w:rsid w:val="00F47C3B"/>
    <w:rsid w:val="00F650C3"/>
    <w:rsid w:val="00F65D85"/>
    <w:rsid w:val="00F8091E"/>
    <w:rsid w:val="00F8615C"/>
    <w:rsid w:val="00F969E5"/>
    <w:rsid w:val="00FA6BB0"/>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6385"/>
    <o:shapelayout v:ext="edit">
      <o:idmap v:ext="edit" data="1"/>
    </o:shapelayout>
  </w:shapeDefaults>
  <w:decimalSymbol w:val="."/>
  <w:listSeparator w:val=","/>
  <w14:docId w14:val="6AAEBAD1"/>
  <w15:chartTrackingRefBased/>
  <w15:docId w15:val="{E340EA3F-9A4A-45A7-9216-1C6D9640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EB2733"/>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EB2733"/>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EB2733"/>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CEC Footnote Reference"/>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EC"/>
    <w:basedOn w:val="Normalpool"/>
    <w:link w:val="FootnoteTextChar"/>
    <w:qFormat/>
    <w:rsid w:val="000D6941"/>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EB2733"/>
    <w:rPr>
      <w:sz w:val="18"/>
      <w:lang w:val="fr-FR" w:eastAsia="en-US"/>
    </w:rPr>
  </w:style>
  <w:style w:type="character" w:customStyle="1" w:styleId="job-value">
    <w:name w:val="job-value"/>
    <w:rsid w:val="00EB2733"/>
  </w:style>
  <w:style w:type="paragraph" w:styleId="BalloonText">
    <w:name w:val="Balloon Text"/>
    <w:basedOn w:val="Normal"/>
    <w:link w:val="BalloonTextChar"/>
    <w:rsid w:val="00EB2733"/>
    <w:rPr>
      <w:rFonts w:ascii="Segoe UI" w:hAnsi="Segoe UI" w:cs="Segoe UI"/>
      <w:sz w:val="18"/>
      <w:szCs w:val="18"/>
    </w:rPr>
  </w:style>
  <w:style w:type="character" w:customStyle="1" w:styleId="BalloonTextChar">
    <w:name w:val="Balloon Text Char"/>
    <w:basedOn w:val="DefaultParagraphFont"/>
    <w:link w:val="BalloonText"/>
    <w:rsid w:val="00EB2733"/>
    <w:rPr>
      <w:rFonts w:ascii="Segoe UI" w:hAnsi="Segoe UI" w:cs="Segoe UI"/>
      <w:sz w:val="18"/>
      <w:szCs w:val="18"/>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EB2733"/>
    <w:pPr>
      <w:numPr>
        <w:numId w:val="42"/>
      </w:numPr>
      <w:tabs>
        <w:tab w:val="clear" w:pos="1134"/>
        <w:tab w:val="clear" w:pos="1247"/>
        <w:tab w:val="clear" w:pos="1814"/>
        <w:tab w:val="clear" w:pos="2381"/>
        <w:tab w:val="clear" w:pos="2948"/>
        <w:tab w:val="clear" w:pos="3515"/>
        <w:tab w:val="clear" w:pos="4082"/>
        <w:tab w:val="num"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o.in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nzac\Desktop\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15FC549-2BEA-4A45-9262-C0BC5C6E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3</TotalTime>
  <Pages>4</Pages>
  <Words>1908</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Cynthia Mwanza</cp:lastModifiedBy>
  <cp:revision>3</cp:revision>
  <cp:lastPrinted>2019-11-20T13:14:00Z</cp:lastPrinted>
  <dcterms:created xsi:type="dcterms:W3CDTF">2019-11-21T07:07:00Z</dcterms:created>
  <dcterms:modified xsi:type="dcterms:W3CDTF">2019-11-21T07:12:00Z</dcterms:modified>
</cp:coreProperties>
</file>