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6"/>
        <w:gridCol w:w="4632"/>
        <w:gridCol w:w="3327"/>
      </w:tblGrid>
      <w:tr w:rsidR="00CA7F92" w:rsidRPr="00D25175" w14:paraId="55DDCDE6" w14:textId="77777777" w:rsidTr="004C79C9">
        <w:trPr>
          <w:cantSplit/>
          <w:trHeight w:val="57"/>
          <w:jc w:val="right"/>
        </w:trPr>
        <w:tc>
          <w:tcPr>
            <w:tcW w:w="1550" w:type="dxa"/>
          </w:tcPr>
          <w:p w14:paraId="4E46AE40" w14:textId="77777777" w:rsidR="00CA7F92" w:rsidRPr="00B8400F" w:rsidRDefault="00CA7F92" w:rsidP="004C79C9">
            <w:pPr>
              <w:pStyle w:val="Normal-pool"/>
              <w:rPr>
                <w:rFonts w:ascii="Arial" w:hAnsi="Arial" w:cs="Arial"/>
                <w:b/>
                <w:noProof/>
                <w:sz w:val="27"/>
                <w:szCs w:val="27"/>
              </w:rPr>
            </w:pPr>
            <w:bookmarkStart w:id="0" w:name="_GoBack"/>
            <w:bookmarkEnd w:id="0"/>
            <w:r w:rsidRPr="00B8400F">
              <w:rPr>
                <w:rFonts w:ascii="Arial" w:hAnsi="Arial" w:cs="Arial"/>
                <w:b/>
                <w:noProof/>
                <w:sz w:val="27"/>
                <w:szCs w:val="27"/>
              </w:rPr>
              <w:t xml:space="preserve">UNITED </w:t>
            </w:r>
            <w:r w:rsidRPr="00B8400F">
              <w:rPr>
                <w:rFonts w:ascii="Arial" w:hAnsi="Arial" w:cs="Arial"/>
                <w:b/>
                <w:noProof/>
                <w:sz w:val="27"/>
                <w:szCs w:val="27"/>
              </w:rPr>
              <w:br/>
              <w:t>NATIONS</w:t>
            </w:r>
          </w:p>
        </w:tc>
        <w:tc>
          <w:tcPr>
            <w:tcW w:w="4751" w:type="dxa"/>
          </w:tcPr>
          <w:p w14:paraId="0897A0F3" w14:textId="77777777" w:rsidR="00CA7F92" w:rsidRPr="00B8400F" w:rsidRDefault="00CA7F92" w:rsidP="004C79C9">
            <w:pPr>
              <w:pStyle w:val="Normal-pool"/>
              <w:jc w:val="right"/>
              <w:rPr>
                <w:rFonts w:ascii="Arial" w:hAnsi="Arial" w:cs="Arial"/>
                <w:b/>
              </w:rPr>
            </w:pPr>
          </w:p>
        </w:tc>
        <w:tc>
          <w:tcPr>
            <w:tcW w:w="3411" w:type="dxa"/>
          </w:tcPr>
          <w:p w14:paraId="3C0639A2" w14:textId="77777777" w:rsidR="00CA7F92" w:rsidRPr="00B8400F" w:rsidRDefault="00CA7F92" w:rsidP="004C79C9">
            <w:pPr>
              <w:pStyle w:val="Normal-pool"/>
              <w:jc w:val="right"/>
              <w:rPr>
                <w:rFonts w:ascii="Arial" w:hAnsi="Arial" w:cs="Arial"/>
                <w:b/>
                <w:sz w:val="64"/>
                <w:szCs w:val="64"/>
              </w:rPr>
            </w:pPr>
            <w:r w:rsidRPr="00B8400F">
              <w:rPr>
                <w:rFonts w:ascii="Arial" w:hAnsi="Arial" w:cs="Arial"/>
                <w:b/>
                <w:sz w:val="64"/>
                <w:szCs w:val="64"/>
              </w:rPr>
              <w:t>MC</w:t>
            </w:r>
          </w:p>
        </w:tc>
      </w:tr>
      <w:tr w:rsidR="00CA7F92" w:rsidRPr="00D25175" w14:paraId="70B27CD3" w14:textId="77777777" w:rsidTr="004C79C9">
        <w:trPr>
          <w:cantSplit/>
          <w:trHeight w:val="57"/>
          <w:jc w:val="right"/>
        </w:trPr>
        <w:tc>
          <w:tcPr>
            <w:tcW w:w="1550" w:type="dxa"/>
            <w:tcBorders>
              <w:bottom w:val="single" w:sz="4" w:space="0" w:color="auto"/>
            </w:tcBorders>
          </w:tcPr>
          <w:p w14:paraId="3930C66C" w14:textId="77777777" w:rsidR="00CA7F92" w:rsidRPr="00D25175" w:rsidRDefault="00CA7F92" w:rsidP="004C79C9">
            <w:pPr>
              <w:pStyle w:val="Normal-pool"/>
              <w:rPr>
                <w:noProof/>
                <w:sz w:val="18"/>
                <w:szCs w:val="18"/>
              </w:rPr>
            </w:pPr>
          </w:p>
        </w:tc>
        <w:tc>
          <w:tcPr>
            <w:tcW w:w="4751" w:type="dxa"/>
            <w:tcBorders>
              <w:bottom w:val="single" w:sz="4" w:space="0" w:color="auto"/>
            </w:tcBorders>
          </w:tcPr>
          <w:p w14:paraId="1F38FD38" w14:textId="77777777" w:rsidR="00CA7F92" w:rsidRPr="00D25175" w:rsidRDefault="00CA7F92" w:rsidP="004C79C9">
            <w:pPr>
              <w:pStyle w:val="Normal-pool"/>
              <w:rPr>
                <w:rFonts w:ascii="Univers" w:hAnsi="Univers"/>
                <w:sz w:val="18"/>
                <w:szCs w:val="18"/>
              </w:rPr>
            </w:pPr>
          </w:p>
        </w:tc>
        <w:tc>
          <w:tcPr>
            <w:tcW w:w="3411" w:type="dxa"/>
            <w:tcBorders>
              <w:bottom w:val="single" w:sz="4" w:space="0" w:color="auto"/>
            </w:tcBorders>
          </w:tcPr>
          <w:p w14:paraId="68571AF8" w14:textId="50C62ECA" w:rsidR="00CA7F92" w:rsidRPr="00D25175" w:rsidRDefault="00CA7F92" w:rsidP="004C79C9">
            <w:pPr>
              <w:pStyle w:val="Normal-pool"/>
              <w:rPr>
                <w:noProof/>
                <w:sz w:val="18"/>
                <w:szCs w:val="18"/>
              </w:rPr>
            </w:pPr>
            <w:r w:rsidRPr="00B8400F">
              <w:rPr>
                <w:b/>
                <w:bCs/>
                <w:sz w:val="28"/>
              </w:rPr>
              <w:t>UNEP</w:t>
            </w:r>
            <w:bookmarkStart w:id="1" w:name="OLE_LINK1"/>
            <w:bookmarkStart w:id="2" w:name="OLE_LINK2"/>
            <w:r w:rsidRPr="00B8400F">
              <w:rPr>
                <w:bCs/>
              </w:rPr>
              <w:t>/</w:t>
            </w:r>
            <w:r w:rsidRPr="00D25175">
              <w:t>MC/</w:t>
            </w:r>
            <w:bookmarkEnd w:id="1"/>
            <w:bookmarkEnd w:id="2"/>
            <w:r w:rsidRPr="00D25175">
              <w:t>COP.</w:t>
            </w:r>
            <w:r>
              <w:t>3</w:t>
            </w:r>
            <w:r w:rsidRPr="00D25175">
              <w:t>/</w:t>
            </w:r>
            <w:r>
              <w:t>INF/23</w:t>
            </w:r>
            <w:r w:rsidR="00C25E3A">
              <w:t>/</w:t>
            </w:r>
            <w:r>
              <w:t>R</w:t>
            </w:r>
            <w:r w:rsidR="00C25E3A">
              <w:t>ev</w:t>
            </w:r>
            <w:r>
              <w:t>.1</w:t>
            </w:r>
          </w:p>
        </w:tc>
      </w:tr>
      <w:bookmarkStart w:id="3" w:name="_MON_1021710510"/>
      <w:bookmarkEnd w:id="3"/>
      <w:bookmarkStart w:id="4" w:name="_MON_1021710482"/>
      <w:bookmarkEnd w:id="4"/>
      <w:tr w:rsidR="00CA7F92" w:rsidRPr="00D25175" w14:paraId="23F95311" w14:textId="77777777" w:rsidTr="004C79C9">
        <w:trPr>
          <w:cantSplit/>
          <w:trHeight w:val="57"/>
          <w:jc w:val="right"/>
        </w:trPr>
        <w:tc>
          <w:tcPr>
            <w:tcW w:w="1550" w:type="dxa"/>
            <w:tcBorders>
              <w:top w:val="single" w:sz="4" w:space="0" w:color="auto"/>
              <w:bottom w:val="single" w:sz="24" w:space="0" w:color="auto"/>
            </w:tcBorders>
          </w:tcPr>
          <w:p w14:paraId="0A6B979A" w14:textId="77777777" w:rsidR="00CA7F92" w:rsidRPr="00D25175" w:rsidRDefault="00CA7F92" w:rsidP="004C79C9">
            <w:pPr>
              <w:pStyle w:val="Normal-pool"/>
              <w:rPr>
                <w:noProof/>
              </w:rPr>
            </w:pPr>
            <w:r w:rsidRPr="00D25175">
              <w:rPr>
                <w:noProof/>
              </w:rPr>
              <w:object w:dxaOrig="1831" w:dyaOrig="1726" w14:anchorId="1C381D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4.5pt" o:ole="" fillcolor="window">
                  <v:imagedata r:id="rId10" o:title=""/>
                </v:shape>
                <o:OLEObject Type="Embed" ProgID="Word.Picture.8" ShapeID="_x0000_i1025" DrawAspect="Content" ObjectID="_1636119999" r:id="rId11"/>
              </w:object>
            </w:r>
            <w:r w:rsidRPr="00D25175">
              <w:rPr>
                <w:noProof/>
                <w:lang w:val="en-US"/>
              </w:rPr>
              <w:drawing>
                <wp:inline distT="0" distB="0" distL="0" distR="0" wp14:anchorId="4386A4D2" wp14:editId="1F6DE2D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5CA3A69E" w14:textId="77777777" w:rsidR="00CA7F92" w:rsidRPr="00B8400F" w:rsidRDefault="00CA7F92" w:rsidP="004C79C9">
            <w:pPr>
              <w:pStyle w:val="Normal-pool"/>
              <w:spacing w:before="1200"/>
              <w:rPr>
                <w:rFonts w:ascii="Arial" w:hAnsi="Arial" w:cs="Arial"/>
                <w:b/>
                <w:sz w:val="28"/>
              </w:rPr>
            </w:pPr>
            <w:r w:rsidRPr="00B8400F">
              <w:rPr>
                <w:rFonts w:ascii="Arial" w:hAnsi="Arial" w:cs="Arial"/>
                <w:b/>
                <w:sz w:val="32"/>
                <w:szCs w:val="32"/>
              </w:rPr>
              <w:t xml:space="preserve">United Nations </w:t>
            </w:r>
            <w:r w:rsidRPr="00B8400F">
              <w:rPr>
                <w:rFonts w:ascii="Arial" w:hAnsi="Arial" w:cs="Arial"/>
                <w:b/>
                <w:sz w:val="32"/>
                <w:szCs w:val="32"/>
              </w:rPr>
              <w:br w:type="textWrapping" w:clear="all"/>
              <w:t xml:space="preserve">Environment </w:t>
            </w:r>
            <w:r w:rsidRPr="00B8400F">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0D3BD3AB" w14:textId="1ABF90F8" w:rsidR="00CA7F92" w:rsidRPr="00D25175" w:rsidRDefault="00CA7F92" w:rsidP="004C79C9">
            <w:pPr>
              <w:pStyle w:val="Normal-pool"/>
              <w:spacing w:before="120"/>
            </w:pPr>
            <w:r w:rsidRPr="00D25175">
              <w:t>Distr.: General</w:t>
            </w:r>
            <w:r>
              <w:t xml:space="preserve"> </w:t>
            </w:r>
            <w:r>
              <w:br/>
            </w:r>
            <w:r w:rsidR="002D24D3">
              <w:t>22</w:t>
            </w:r>
            <w:r>
              <w:t xml:space="preserve"> </w:t>
            </w:r>
            <w:r w:rsidR="002D24D3">
              <w:t xml:space="preserve">November </w:t>
            </w:r>
            <w:r w:rsidRPr="00D25175">
              <w:t>201</w:t>
            </w:r>
            <w:r>
              <w:t>9</w:t>
            </w:r>
          </w:p>
          <w:p w14:paraId="4B33F98C" w14:textId="77777777" w:rsidR="00CA7F92" w:rsidRPr="00D25175" w:rsidRDefault="00CA7F92" w:rsidP="004C79C9">
            <w:pPr>
              <w:pStyle w:val="Normal-pool"/>
              <w:spacing w:before="120"/>
            </w:pPr>
            <w:r w:rsidRPr="00D25175">
              <w:t>English</w:t>
            </w:r>
            <w:r>
              <w:t xml:space="preserve"> only</w:t>
            </w:r>
          </w:p>
        </w:tc>
      </w:tr>
    </w:tbl>
    <w:p w14:paraId="2EF47989" w14:textId="77777777" w:rsidR="00CA7F92" w:rsidRPr="00D25175" w:rsidRDefault="00CA7F92" w:rsidP="00CA7F92">
      <w:pPr>
        <w:pStyle w:val="AATitle"/>
        <w:keepNext w:val="0"/>
        <w:keepLines w:val="0"/>
      </w:pPr>
      <w:r w:rsidRPr="00D25175">
        <w:t>Conference of the Parties</w:t>
      </w:r>
      <w:r>
        <w:t xml:space="preserve"> to the </w:t>
      </w:r>
      <w:r>
        <w:br/>
      </w:r>
      <w:proofErr w:type="spellStart"/>
      <w:r w:rsidRPr="00D25175">
        <w:t>Minamata</w:t>
      </w:r>
      <w:proofErr w:type="spellEnd"/>
      <w:r w:rsidRPr="00D25175">
        <w:t xml:space="preserve"> Convention on Mercury</w:t>
      </w:r>
    </w:p>
    <w:p w14:paraId="73E745BF" w14:textId="77777777" w:rsidR="00CA7F92" w:rsidRPr="00D25175" w:rsidRDefault="00CA7F92" w:rsidP="00CA7F92">
      <w:pPr>
        <w:pStyle w:val="AATitle"/>
        <w:keepNext w:val="0"/>
        <w:keepLines w:val="0"/>
      </w:pPr>
      <w:r>
        <w:t>Third</w:t>
      </w:r>
      <w:r w:rsidRPr="00D25175">
        <w:t xml:space="preserve"> meeting</w:t>
      </w:r>
    </w:p>
    <w:p w14:paraId="0A6BAD72" w14:textId="77777777" w:rsidR="00CA7F92" w:rsidRDefault="00CA7F92" w:rsidP="00CA7F92">
      <w:pPr>
        <w:pStyle w:val="AATitle"/>
        <w:rPr>
          <w:b w:val="0"/>
        </w:rPr>
      </w:pPr>
      <w:r w:rsidRPr="00D25175">
        <w:rPr>
          <w:b w:val="0"/>
        </w:rPr>
        <w:t xml:space="preserve">Geneva, </w:t>
      </w:r>
      <w:r>
        <w:rPr>
          <w:b w:val="0"/>
        </w:rPr>
        <w:t>25</w:t>
      </w:r>
      <w:r w:rsidRPr="00D25175">
        <w:rPr>
          <w:b w:val="0"/>
        </w:rPr>
        <w:t>–</w:t>
      </w:r>
      <w:r>
        <w:rPr>
          <w:b w:val="0"/>
        </w:rPr>
        <w:t>29</w:t>
      </w:r>
      <w:r w:rsidRPr="00D25175">
        <w:rPr>
          <w:b w:val="0"/>
        </w:rPr>
        <w:t xml:space="preserve"> </w:t>
      </w:r>
      <w:r>
        <w:rPr>
          <w:b w:val="0"/>
        </w:rPr>
        <w:t>November 2019</w:t>
      </w:r>
    </w:p>
    <w:p w14:paraId="5FE9A808" w14:textId="77777777" w:rsidR="00CA7F92" w:rsidRPr="006511BA" w:rsidRDefault="00CA7F92" w:rsidP="00CA7F92">
      <w:pPr>
        <w:pStyle w:val="AATitle"/>
        <w:rPr>
          <w:b w:val="0"/>
          <w:lang w:val="en-US"/>
        </w:rPr>
      </w:pPr>
      <w:r w:rsidRPr="006511BA">
        <w:rPr>
          <w:b w:val="0"/>
          <w:lang w:val="en-US"/>
        </w:rPr>
        <w:t>Item</w:t>
      </w:r>
      <w:r>
        <w:rPr>
          <w:b w:val="0"/>
          <w:lang w:val="en-US"/>
        </w:rPr>
        <w:t xml:space="preserve"> 8</w:t>
      </w:r>
      <w:r w:rsidRPr="006511BA">
        <w:rPr>
          <w:b w:val="0"/>
          <w:lang w:val="en-US"/>
        </w:rPr>
        <w:t xml:space="preserve"> of the provisional agenda</w:t>
      </w:r>
      <w:r w:rsidRPr="006511BA">
        <w:rPr>
          <w:b w:val="0"/>
          <w:lang w:val="en-US"/>
        </w:rPr>
        <w:footnoteReference w:customMarkFollows="1" w:id="1"/>
        <w:t>*</w:t>
      </w:r>
    </w:p>
    <w:p w14:paraId="21E02EE6" w14:textId="77777777" w:rsidR="00CA7F92" w:rsidRPr="00D25175" w:rsidRDefault="00CA7F92" w:rsidP="00CA7F92">
      <w:pPr>
        <w:pStyle w:val="AATitle2"/>
      </w:pPr>
      <w:r>
        <w:t xml:space="preserve">Venue and date of the fourth meeting of the </w:t>
      </w:r>
      <w:r>
        <w:br/>
        <w:t>Conference of the Parties</w:t>
      </w:r>
    </w:p>
    <w:p w14:paraId="3073E7ED" w14:textId="47281E09" w:rsidR="00CA7F92" w:rsidRDefault="00CA7F92" w:rsidP="00CA7F92">
      <w:pPr>
        <w:pStyle w:val="BBTitle"/>
      </w:pPr>
      <w:r>
        <w:t>Venue and date of the fourth meeting of the Conference of the Parties</w:t>
      </w:r>
      <w:r w:rsidR="00596A8A" w:rsidRPr="0092648E">
        <w:rPr>
          <w:rStyle w:val="FootnoteReference"/>
          <w:vertAlign w:val="baseline"/>
        </w:rPr>
        <w:footnoteReference w:customMarkFollows="1" w:id="2"/>
        <w:t>**</w:t>
      </w:r>
    </w:p>
    <w:p w14:paraId="699535AE" w14:textId="1F096F27" w:rsidR="00CA7F92" w:rsidRPr="002D24D3" w:rsidRDefault="00CA7F92" w:rsidP="002D24D3">
      <w:pPr>
        <w:pStyle w:val="Normalnumber"/>
        <w:numPr>
          <w:ilvl w:val="0"/>
          <w:numId w:val="0"/>
        </w:numPr>
        <w:ind w:left="1247"/>
        <w:rPr>
          <w:b/>
          <w:sz w:val="24"/>
          <w:szCs w:val="24"/>
        </w:rPr>
      </w:pPr>
      <w:r w:rsidRPr="002D24D3">
        <w:rPr>
          <w:b/>
          <w:sz w:val="24"/>
          <w:szCs w:val="24"/>
        </w:rPr>
        <w:t>Note by the secretariat</w:t>
      </w:r>
    </w:p>
    <w:p w14:paraId="1402A755" w14:textId="77777777" w:rsidR="001056A5" w:rsidRPr="001056A5" w:rsidRDefault="00CA7F92" w:rsidP="002D24D3">
      <w:pPr>
        <w:pStyle w:val="Normalnumber"/>
        <w:tabs>
          <w:tab w:val="clear" w:pos="1134"/>
          <w:tab w:val="left" w:pos="1247"/>
          <w:tab w:val="left" w:pos="1871"/>
        </w:tabs>
        <w:rPr>
          <w:rFonts w:ascii="Roboto" w:hAnsi="Roboto" w:cstheme="minorHAnsi"/>
        </w:rPr>
      </w:pPr>
      <w:r w:rsidRPr="00C63E47">
        <w:t xml:space="preserve">At its second meeting, the Conference of the Parties to the </w:t>
      </w:r>
      <w:proofErr w:type="spellStart"/>
      <w:r w:rsidRPr="00C63E47">
        <w:t>Minamata</w:t>
      </w:r>
      <w:proofErr w:type="spellEnd"/>
      <w:r w:rsidRPr="00C63E47">
        <w:t xml:space="preserve"> Convention on Mercury adopted decision MC-2/5 on the venue and date of the third meeting and subsequent meetings of the Conference of the Parties. </w:t>
      </w:r>
      <w:r>
        <w:t>In</w:t>
      </w:r>
      <w:r w:rsidRPr="00C63E47">
        <w:t xml:space="preserve"> paragraph 2 of the decision, the Conference of the Parties invited parties to submit offers to host </w:t>
      </w:r>
      <w:r>
        <w:t>its</w:t>
      </w:r>
      <w:r w:rsidRPr="00C63E47">
        <w:t xml:space="preserve"> fourth ordinary meeting in time for the third ordinary meeting, and to proceed in a similar manner for subsequent ordinary meetings.</w:t>
      </w:r>
    </w:p>
    <w:p w14:paraId="521534CD" w14:textId="3704D23C" w:rsidR="00CA7F92" w:rsidRPr="001056A5" w:rsidRDefault="00CA7F92" w:rsidP="002D24D3">
      <w:pPr>
        <w:pStyle w:val="Normalnumber"/>
        <w:tabs>
          <w:tab w:val="clear" w:pos="1134"/>
          <w:tab w:val="left" w:pos="1247"/>
          <w:tab w:val="left" w:pos="1871"/>
        </w:tabs>
        <w:rPr>
          <w:rFonts w:asciiTheme="majorBidi" w:hAnsiTheme="majorBidi" w:cstheme="majorBidi"/>
          <w:vanish/>
        </w:rPr>
      </w:pPr>
      <w:r w:rsidRPr="00C63E47">
        <w:t>In the same decision, the Conference of the Parties also requested the Executive Secretary to submit, in advance of each ordinary meeting, an assessment of the offers received pursuant to paragraph 2 of the decision, for consideration by the Conference of the Parties.</w:t>
      </w:r>
      <w:r>
        <w:t xml:space="preserve"> Part of such assessment, the one referring to the additional costs that the host Government would bear, is set out in the annex to the present note. In preparing such part of the assessment of the two offers received, the secretariat considered the additional costs of travel by secretariat, United Nations security and conference servicing staff. The document shows as well the travel costs of an estimated 105 sponsored party-delegates. According to the Financial Rules for the Conference of the Parties to the Convention, its subsidiary bodies and the secretariat, the special trust fund for the Convention supports, among others, the participation of representatives of developing</w:t>
      </w:r>
      <w:r w:rsidRPr="001056A5">
        <w:rPr>
          <w:lang w:val="en-US"/>
        </w:rPr>
        <w:t>-</w:t>
      </w:r>
      <w:r>
        <w:t xml:space="preserve">country parties and parties with economies in transition in the meetings of the COP. The assessment also includes the estimated additional costs that would be incurred should the parties decide to include a high-level segment in the programme, as reflected in the meeting documents on the programme of work and budget for the biennium 2020-2021. </w:t>
      </w:r>
    </w:p>
    <w:p w14:paraId="1D9535A0" w14:textId="77777777" w:rsidR="001056A5" w:rsidRDefault="001056A5" w:rsidP="001056A5">
      <w:pPr>
        <w:spacing w:after="120"/>
        <w:ind w:left="1247"/>
        <w:rPr>
          <w:rFonts w:asciiTheme="majorBidi" w:hAnsiTheme="majorBidi" w:cstheme="majorBidi"/>
        </w:rPr>
      </w:pPr>
    </w:p>
    <w:p w14:paraId="723E7DE1" w14:textId="39D9033F" w:rsidR="00EB2789" w:rsidRPr="001056A5" w:rsidRDefault="00CA7F92" w:rsidP="002D24D3">
      <w:pPr>
        <w:pStyle w:val="Normalnumber"/>
        <w:tabs>
          <w:tab w:val="clear" w:pos="1134"/>
          <w:tab w:val="left" w:pos="1247"/>
          <w:tab w:val="left" w:pos="1871"/>
        </w:tabs>
        <w:rPr>
          <w:rFonts w:asciiTheme="majorBidi" w:hAnsiTheme="majorBidi" w:cstheme="majorBidi"/>
        </w:rPr>
      </w:pPr>
      <w:r w:rsidRPr="001056A5">
        <w:rPr>
          <w:rFonts w:asciiTheme="majorBidi" w:hAnsiTheme="majorBidi" w:cstheme="majorBidi"/>
        </w:rPr>
        <w:lastRenderedPageBreak/>
        <w:t xml:space="preserve">There are other aspects –besides the costs– that Parties need to consider when assessing the offers. Prospective hosts refer to these aspects and provide details and clarifications as necessary in the presentation of their offers, both, in written form </w:t>
      </w:r>
      <w:r w:rsidRPr="001056A5">
        <w:rPr>
          <w:rFonts w:asciiTheme="majorBidi" w:hAnsiTheme="majorBidi" w:cstheme="majorBidi"/>
          <w:lang w:val="en-US"/>
        </w:rPr>
        <w:t>(e</w:t>
      </w:r>
      <w:r w:rsidRPr="001056A5">
        <w:rPr>
          <w:rFonts w:asciiTheme="majorBidi" w:hAnsiTheme="majorBidi" w:cstheme="majorBidi"/>
        </w:rPr>
        <w:t xml:space="preserve">.g. as captured in documents UNEP/MC/COP.3/INF/20/Rev.1 and UNEP/MC/COP.3/INF/20/INF/22) and through presentations, which may include videos, at the COP. It is difficult for the Secretariat to assess such aspects as they may imply appreciations which the Secretariat is not in a position to make. </w:t>
      </w:r>
    </w:p>
    <w:p w14:paraId="21F49FDC" w14:textId="706372A5" w:rsidR="00CA7F92" w:rsidRDefault="00CA7F92" w:rsidP="002D24D3">
      <w:pPr>
        <w:pStyle w:val="Normalnumber"/>
        <w:tabs>
          <w:tab w:val="clear" w:pos="1134"/>
          <w:tab w:val="left" w:pos="1247"/>
          <w:tab w:val="left" w:pos="1871"/>
        </w:tabs>
      </w:pPr>
      <w:r>
        <w:t xml:space="preserve">In </w:t>
      </w:r>
      <w:r w:rsidRPr="00AC1766">
        <w:t xml:space="preserve">accordance with General Assembly resolution </w:t>
      </w:r>
      <w:r>
        <w:t xml:space="preserve">40/243, Governments hosting meetings of the Conference of the Parties away from the seat of the secretariat are to </w:t>
      </w:r>
      <w:r w:rsidRPr="00AC1766">
        <w:t xml:space="preserve">bear the actual additional costs </w:t>
      </w:r>
      <w:r>
        <w:t xml:space="preserve">involved. </w:t>
      </w:r>
    </w:p>
    <w:p w14:paraId="40A57152" w14:textId="77777777" w:rsidR="00CA7F92" w:rsidRPr="000D6A32" w:rsidRDefault="00CA7F92" w:rsidP="002D24D3">
      <w:pPr>
        <w:pStyle w:val="Normalnumber"/>
        <w:tabs>
          <w:tab w:val="clear" w:pos="1134"/>
          <w:tab w:val="left" w:pos="1247"/>
          <w:tab w:val="left" w:pos="1871"/>
        </w:tabs>
      </w:pPr>
      <w:r>
        <w:t>The host Government would also be responsible for providing, at its own expense, the required premises, furnishings, equipment and local staff in a manner that the secretariat considers adequate for the effective functioning of the meeting. It should also ensure the availability of adequate accommodation at reasonable commercial rates, local transportation for meeting participants, emergency medical services and transport to hospitals, and police protection. It should commit itself to adhering to the Convention on Privileges and Immunities of the United Nations and to granting necessary entry visas to participants in a timely manner. More information on the subject is available in the Administrative Instruction</w:t>
      </w:r>
      <w:r w:rsidRPr="005416B5">
        <w:t xml:space="preserve"> ST/AI/342 on guidelines for the preparation of host Government agreements</w:t>
      </w:r>
      <w:r>
        <w:t xml:space="preserve"> falling under resolution 40/243</w:t>
      </w:r>
      <w:r w:rsidRPr="005416B5">
        <w:footnoteReference w:id="3"/>
      </w:r>
      <w:r>
        <w:t>, which the host Government will need to sign with the United Nations Environment Programme.</w:t>
      </w:r>
    </w:p>
    <w:p w14:paraId="25F92BAF" w14:textId="77777777" w:rsidR="00CA7F92" w:rsidRDefault="00CA7F92" w:rsidP="002D24D3">
      <w:pPr>
        <w:pStyle w:val="Normalnumber"/>
        <w:tabs>
          <w:tab w:val="clear" w:pos="1134"/>
          <w:tab w:val="left" w:pos="1247"/>
          <w:tab w:val="left" w:pos="1871"/>
        </w:tabs>
      </w:pPr>
      <w:r>
        <w:t>The Secretariat thanks the governments of Colombia and Indonesia for their generosity in making their offers to host the fourth meeting of the Conference of the Parties, taking into account the additional costs that are to be borne by them.</w:t>
      </w:r>
    </w:p>
    <w:p w14:paraId="630DAAB2" w14:textId="77777777" w:rsidR="00CA7F92" w:rsidRPr="005416B5" w:rsidRDefault="00CA7F92" w:rsidP="002D24D3">
      <w:pPr>
        <w:pStyle w:val="Normalnumber"/>
        <w:tabs>
          <w:tab w:val="clear" w:pos="1134"/>
          <w:tab w:val="left" w:pos="1247"/>
          <w:tab w:val="left" w:pos="1871"/>
        </w:tabs>
      </w:pPr>
      <w:r w:rsidRPr="005416B5">
        <w:t>The present note supplements documents UNEP/MC/COP.3/22 and UNEP/MC/COP.3/22/Add.1 on the venue and date of the fourth meeting of the Conference of the Parties.</w:t>
      </w:r>
    </w:p>
    <w:p w14:paraId="1E5A4B81" w14:textId="65D78244" w:rsidR="00CA7F92" w:rsidRPr="00354A4A" w:rsidRDefault="00CA7F92" w:rsidP="002D24D3">
      <w:pPr>
        <w:pStyle w:val="Normalnumber"/>
        <w:tabs>
          <w:tab w:val="clear" w:pos="1134"/>
          <w:tab w:val="left" w:pos="1247"/>
          <w:tab w:val="left" w:pos="1871"/>
        </w:tabs>
      </w:pPr>
      <w:r w:rsidRPr="005416B5">
        <w:t>According to rule 3 of the rules of procedure of the Conference of the Parties, t</w:t>
      </w:r>
      <w:r>
        <w:t>he m</w:t>
      </w:r>
      <w:r w:rsidRPr="00053C2E">
        <w:t xml:space="preserve">eetings of the Conference </w:t>
      </w:r>
      <w:r>
        <w:t xml:space="preserve">are to </w:t>
      </w:r>
      <w:r w:rsidRPr="00053C2E">
        <w:t xml:space="preserve">take place at the seat of the </w:t>
      </w:r>
      <w:r>
        <w:t>s</w:t>
      </w:r>
      <w:r w:rsidRPr="00053C2E">
        <w:t xml:space="preserve">ecretariat </w:t>
      </w:r>
      <w:r>
        <w:t xml:space="preserve">– in Geneva, Switzerland – </w:t>
      </w:r>
      <w:r w:rsidRPr="00053C2E">
        <w:t xml:space="preserve">unless </w:t>
      </w:r>
      <w:r>
        <w:t xml:space="preserve">the Conference of the Parties decides </w:t>
      </w:r>
      <w:r w:rsidR="000D2F66">
        <w:t>otherwise,</w:t>
      </w:r>
      <w:r>
        <w:t xml:space="preserve"> or </w:t>
      </w:r>
      <w:r w:rsidRPr="00053C2E">
        <w:t xml:space="preserve">other appropriate arrangements are made by the </w:t>
      </w:r>
      <w:r>
        <w:t>s</w:t>
      </w:r>
      <w:r w:rsidRPr="00053C2E">
        <w:t xml:space="preserve">ecretariat in consultation with the </w:t>
      </w:r>
      <w:r>
        <w:t>p</w:t>
      </w:r>
      <w:r w:rsidRPr="00053C2E">
        <w:t>arties.</w:t>
      </w:r>
    </w:p>
    <w:p w14:paraId="090F495E" w14:textId="77777777" w:rsidR="00CA7F92" w:rsidRDefault="00CA7F92" w:rsidP="002D24D3">
      <w:pPr>
        <w:pStyle w:val="Normalnumber"/>
        <w:tabs>
          <w:tab w:val="clear" w:pos="1134"/>
          <w:tab w:val="left" w:pos="1247"/>
          <w:tab w:val="left" w:pos="1871"/>
        </w:tabs>
      </w:pPr>
      <w:r w:rsidRPr="00AA42E9">
        <w:t xml:space="preserve">Since 2017, meetings of the </w:t>
      </w:r>
      <w:r>
        <w:t>C</w:t>
      </w:r>
      <w:r w:rsidRPr="00AA42E9">
        <w:t>onference of the Parties have been held during a one-week period every year in late September (</w:t>
      </w:r>
      <w:r>
        <w:t>2017</w:t>
      </w:r>
      <w:r w:rsidRPr="00AA42E9">
        <w:t>) or November (</w:t>
      </w:r>
      <w:r>
        <w:t>2018 and 2019</w:t>
      </w:r>
      <w:r w:rsidRPr="00AA42E9">
        <w:t xml:space="preserve">). According to </w:t>
      </w:r>
      <w:r>
        <w:t>r</w:t>
      </w:r>
      <w:r w:rsidRPr="00AA42E9">
        <w:t xml:space="preserve">ule 4 of the </w:t>
      </w:r>
      <w:r>
        <w:t>r</w:t>
      </w:r>
      <w:r w:rsidRPr="00AA42E9">
        <w:t xml:space="preserve">ules of </w:t>
      </w:r>
      <w:r>
        <w:t>p</w:t>
      </w:r>
      <w:r w:rsidRPr="00AA42E9">
        <w:t>rocedure</w:t>
      </w:r>
      <w:r>
        <w:t>,</w:t>
      </w:r>
      <w:r w:rsidRPr="00AA42E9">
        <w:t xml:space="preserve"> the ordinary meetings </w:t>
      </w:r>
      <w:r>
        <w:t>following the third meeting are to</w:t>
      </w:r>
      <w:r w:rsidRPr="00AA42E9">
        <w:t xml:space="preserve"> be held every two years.</w:t>
      </w:r>
    </w:p>
    <w:p w14:paraId="2A7E42CA" w14:textId="77777777" w:rsidR="00CA7F92" w:rsidRDefault="00CA7F92" w:rsidP="002D24D3">
      <w:pPr>
        <w:pStyle w:val="Normalnumber"/>
        <w:tabs>
          <w:tab w:val="clear" w:pos="1134"/>
          <w:tab w:val="left" w:pos="1247"/>
          <w:tab w:val="left" w:pos="1871"/>
        </w:tabs>
      </w:pPr>
      <w:r>
        <w:t xml:space="preserve">Parties wishing to </w:t>
      </w:r>
      <w:r w:rsidRPr="00053C2E">
        <w:t xml:space="preserve">offer </w:t>
      </w:r>
      <w:r>
        <w:t xml:space="preserve">to host a </w:t>
      </w:r>
      <w:r w:rsidRPr="00053C2E">
        <w:t xml:space="preserve">meeting of the </w:t>
      </w:r>
      <w:r>
        <w:t>C</w:t>
      </w:r>
      <w:r w:rsidRPr="00053C2E">
        <w:t xml:space="preserve">onference of the Parties </w:t>
      </w:r>
      <w:r>
        <w:t xml:space="preserve">are invited to </w:t>
      </w:r>
      <w:r w:rsidRPr="00053C2E">
        <w:t xml:space="preserve">submit </w:t>
      </w:r>
      <w:r>
        <w:t>such</w:t>
      </w:r>
      <w:r w:rsidRPr="00053C2E">
        <w:t xml:space="preserve"> offer</w:t>
      </w:r>
      <w:r>
        <w:t>s</w:t>
      </w:r>
      <w:r w:rsidRPr="00053C2E">
        <w:t xml:space="preserve"> </w:t>
      </w:r>
      <w:r>
        <w:t>in time for</w:t>
      </w:r>
      <w:r w:rsidRPr="00053C2E">
        <w:t xml:space="preserve"> </w:t>
      </w:r>
      <w:r>
        <w:t xml:space="preserve">the </w:t>
      </w:r>
      <w:r w:rsidRPr="00053C2E">
        <w:t xml:space="preserve">meeting of the </w:t>
      </w:r>
      <w:r>
        <w:t>C</w:t>
      </w:r>
      <w:r w:rsidRPr="00053C2E">
        <w:t>onference of the Parties</w:t>
      </w:r>
      <w:r>
        <w:t xml:space="preserve"> preceding the meeting that</w:t>
      </w:r>
      <w:r w:rsidRPr="00053C2E">
        <w:t xml:space="preserve"> they </w:t>
      </w:r>
      <w:r>
        <w:t>wish</w:t>
      </w:r>
      <w:r w:rsidRPr="00053C2E">
        <w:t xml:space="preserve"> to host</w:t>
      </w:r>
      <w:r>
        <w:t>. The Conference of the Parties considers such offers when deciding on the date and venue of its next meeting. Should the Conference of the Parties decide to accept such an offer, the decision would be subject to the conclusion of a host Government agreement between the hosting Government and the United Nations Environment Programme.</w:t>
      </w:r>
    </w:p>
    <w:p w14:paraId="48D4F63B" w14:textId="77777777" w:rsidR="00CA7F92" w:rsidRPr="003801AA" w:rsidRDefault="00CA7F92" w:rsidP="002D24D3">
      <w:pPr>
        <w:pStyle w:val="Normalnumber"/>
        <w:tabs>
          <w:tab w:val="clear" w:pos="1134"/>
          <w:tab w:val="left" w:pos="1247"/>
          <w:tab w:val="left" w:pos="1871"/>
        </w:tabs>
      </w:pPr>
      <w:r w:rsidRPr="003801AA">
        <w:t>A</w:t>
      </w:r>
      <w:r>
        <w:t>s referred to above, a</w:t>
      </w:r>
      <w:r w:rsidRPr="003801AA">
        <w:t xml:space="preserve"> comparative analysis of estimated costs</w:t>
      </w:r>
      <w:r>
        <w:t xml:space="preserve"> for</w:t>
      </w:r>
      <w:r w:rsidRPr="003801AA">
        <w:t xml:space="preserve"> the different </w:t>
      </w:r>
      <w:r>
        <w:t xml:space="preserve">possible </w:t>
      </w:r>
      <w:r w:rsidRPr="003801AA">
        <w:t>venues of the fourth meeting of the Conference of the Parties in 2021 is presented in table</w:t>
      </w:r>
      <w:r>
        <w:t>s</w:t>
      </w:r>
      <w:r w:rsidRPr="003801AA">
        <w:t xml:space="preserve"> 1 to 3. </w:t>
      </w:r>
    </w:p>
    <w:p w14:paraId="2CF70DC7" w14:textId="77777777" w:rsidR="00CA7F92" w:rsidRDefault="00CA7F92" w:rsidP="002D24D3">
      <w:pPr>
        <w:pStyle w:val="Normalnumber"/>
        <w:tabs>
          <w:tab w:val="clear" w:pos="1134"/>
          <w:tab w:val="left" w:pos="1247"/>
          <w:tab w:val="left" w:pos="1871"/>
        </w:tabs>
      </w:pPr>
      <w:r>
        <w:t xml:space="preserve">Table 1 shows the estimated conference costs for the fourth meeting of the Conference of the Parties as have been reflected in the proposed operational budget scenarios for the 2020-2021 biennium (documents </w:t>
      </w:r>
      <w:r w:rsidRPr="00FA203F">
        <w:t>UNEP/MC/COP.3/20</w:t>
      </w:r>
      <w:r>
        <w:t xml:space="preserve">, </w:t>
      </w:r>
      <w:r w:rsidRPr="00FA203F">
        <w:t>(UNEP/MC/COP.3/INF/9, UNEP/MC/COP.3/INF/10</w:t>
      </w:r>
      <w:r>
        <w:t>,</w:t>
      </w:r>
      <w:r w:rsidRPr="00FA203F">
        <w:t xml:space="preserve"> UNEP/MC/COP.3/INF/11</w:t>
      </w:r>
      <w:r>
        <w:t xml:space="preserve"> and </w:t>
      </w:r>
      <w:r w:rsidRPr="00FA203F">
        <w:t>UNEP/MC/COP.3/INF/11</w:t>
      </w:r>
      <w:r w:rsidRPr="005416B5">
        <w:t>/Add.1).</w:t>
      </w:r>
      <w:r>
        <w:t xml:space="preserve"> These costs remain the same irrespective of the venue and are to be covered by the general trust fund, which is the core budget of the Convention and which receives contributions on the basis of the indicative scale adopted by the Conference of the Parties and based on the scale of assessments of the United Nations.  </w:t>
      </w:r>
    </w:p>
    <w:p w14:paraId="1CD844B1" w14:textId="77777777" w:rsidR="00CA7F92" w:rsidRDefault="00CA7F92" w:rsidP="001056A5">
      <w:pPr>
        <w:spacing w:after="120"/>
        <w:ind w:left="1247"/>
      </w:pPr>
    </w:p>
    <w:p w14:paraId="63C4FFE5" w14:textId="77777777" w:rsidR="005416B5" w:rsidRDefault="005416B5" w:rsidP="001056A5">
      <w:pPr>
        <w:spacing w:after="120"/>
        <w:ind w:left="1247"/>
      </w:pPr>
    </w:p>
    <w:p w14:paraId="037ECF34" w14:textId="77777777" w:rsidR="005416B5" w:rsidRDefault="005416B5" w:rsidP="001056A5">
      <w:pPr>
        <w:spacing w:after="120"/>
        <w:ind w:left="1247"/>
      </w:pPr>
    </w:p>
    <w:p w14:paraId="545C1D77" w14:textId="420F0379" w:rsidR="00CA7F92" w:rsidRDefault="00CA7F92" w:rsidP="008857C6">
      <w:pPr>
        <w:spacing w:after="120"/>
        <w:ind w:left="1247"/>
      </w:pPr>
      <w:r>
        <w:t>Table 1: Estimated conference costs</w:t>
      </w:r>
    </w:p>
    <w:tbl>
      <w:tblPr>
        <w:tblW w:w="8199" w:type="dxa"/>
        <w:tblInd w:w="1276" w:type="dxa"/>
        <w:tblLook w:val="04A0" w:firstRow="1" w:lastRow="0" w:firstColumn="1" w:lastColumn="0" w:noHBand="0" w:noVBand="1"/>
      </w:tblPr>
      <w:tblGrid>
        <w:gridCol w:w="4035"/>
        <w:gridCol w:w="1602"/>
        <w:gridCol w:w="1309"/>
        <w:gridCol w:w="1253"/>
      </w:tblGrid>
      <w:tr w:rsidR="008C2D37" w:rsidRPr="008C2D37" w14:paraId="564087C6" w14:textId="77777777" w:rsidTr="008C2D37">
        <w:trPr>
          <w:trHeight w:val="458"/>
        </w:trPr>
        <w:tc>
          <w:tcPr>
            <w:tcW w:w="4035" w:type="dxa"/>
            <w:tcBorders>
              <w:top w:val="nil"/>
              <w:left w:val="nil"/>
              <w:bottom w:val="nil"/>
              <w:right w:val="nil"/>
            </w:tcBorders>
            <w:shd w:val="clear" w:color="000000" w:fill="F2B300"/>
            <w:noWrap/>
            <w:vAlign w:val="bottom"/>
            <w:hideMark/>
          </w:tcPr>
          <w:p w14:paraId="307E0FF1" w14:textId="77777777" w:rsidR="008C2D37" w:rsidRPr="008C2D37" w:rsidRDefault="008C2D37" w:rsidP="008C2D37">
            <w:pPr>
              <w:tabs>
                <w:tab w:val="clear" w:pos="1247"/>
                <w:tab w:val="clear" w:pos="1814"/>
                <w:tab w:val="clear" w:pos="2381"/>
                <w:tab w:val="clear" w:pos="2948"/>
                <w:tab w:val="clear" w:pos="3515"/>
              </w:tabs>
              <w:rPr>
                <w:rFonts w:ascii="Calibri" w:hAnsi="Calibri" w:cs="Calibri"/>
                <w:color w:val="000000"/>
                <w:lang w:val="en-US" w:eastAsia="zh-CN"/>
              </w:rPr>
            </w:pPr>
            <w:r w:rsidRPr="008C2D37">
              <w:rPr>
                <w:rFonts w:ascii="Calibri" w:hAnsi="Calibri" w:cs="Calibri"/>
                <w:color w:val="000000"/>
                <w:lang w:val="en-US" w:eastAsia="zh-CN"/>
              </w:rPr>
              <w:t> </w:t>
            </w:r>
          </w:p>
        </w:tc>
        <w:tc>
          <w:tcPr>
            <w:tcW w:w="1602" w:type="dxa"/>
            <w:tcBorders>
              <w:top w:val="nil"/>
              <w:left w:val="nil"/>
              <w:bottom w:val="nil"/>
              <w:right w:val="nil"/>
            </w:tcBorders>
            <w:shd w:val="clear" w:color="000000" w:fill="F2B300"/>
            <w:hideMark/>
          </w:tcPr>
          <w:p w14:paraId="6F364FDD"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SWITZERLAND</w:t>
            </w:r>
            <w:r w:rsidRPr="008C2D37">
              <w:rPr>
                <w:rFonts w:ascii="Calibri" w:hAnsi="Calibri" w:cs="Calibri"/>
                <w:b/>
                <w:bCs/>
                <w:color w:val="000000"/>
                <w:lang w:val="en-US" w:eastAsia="zh-CN"/>
              </w:rPr>
              <w:br/>
              <w:t>(Geneva)</w:t>
            </w:r>
          </w:p>
        </w:tc>
        <w:tc>
          <w:tcPr>
            <w:tcW w:w="1309" w:type="dxa"/>
            <w:tcBorders>
              <w:top w:val="nil"/>
              <w:left w:val="nil"/>
              <w:bottom w:val="nil"/>
              <w:right w:val="nil"/>
            </w:tcBorders>
            <w:shd w:val="clear" w:color="000000" w:fill="F2B300"/>
            <w:hideMark/>
          </w:tcPr>
          <w:p w14:paraId="11A2BDC9"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COLOMBIA</w:t>
            </w:r>
            <w:r w:rsidRPr="008C2D37">
              <w:rPr>
                <w:rFonts w:ascii="Calibri" w:hAnsi="Calibri" w:cs="Calibri"/>
                <w:b/>
                <w:bCs/>
                <w:color w:val="000000"/>
                <w:lang w:val="en-US" w:eastAsia="zh-CN"/>
              </w:rPr>
              <w:br/>
              <w:t>(Cartagena)</w:t>
            </w:r>
          </w:p>
        </w:tc>
        <w:tc>
          <w:tcPr>
            <w:tcW w:w="1253" w:type="dxa"/>
            <w:tcBorders>
              <w:top w:val="nil"/>
              <w:left w:val="nil"/>
              <w:bottom w:val="nil"/>
              <w:right w:val="nil"/>
            </w:tcBorders>
            <w:shd w:val="clear" w:color="000000" w:fill="F2B300"/>
            <w:hideMark/>
          </w:tcPr>
          <w:p w14:paraId="2B577C19"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 xml:space="preserve">INDONESIA </w:t>
            </w:r>
            <w:r w:rsidRPr="008C2D37">
              <w:rPr>
                <w:rFonts w:ascii="Calibri" w:hAnsi="Calibri" w:cs="Calibri"/>
                <w:b/>
                <w:bCs/>
                <w:color w:val="000000"/>
                <w:lang w:val="en-US" w:eastAsia="zh-CN"/>
              </w:rPr>
              <w:br/>
              <w:t>(Bali)</w:t>
            </w:r>
          </w:p>
        </w:tc>
      </w:tr>
      <w:tr w:rsidR="008C2D37" w:rsidRPr="008C2D37" w14:paraId="315648E3" w14:textId="77777777" w:rsidTr="008C2D37">
        <w:trPr>
          <w:trHeight w:val="260"/>
        </w:trPr>
        <w:tc>
          <w:tcPr>
            <w:tcW w:w="4035" w:type="dxa"/>
            <w:tcBorders>
              <w:top w:val="single" w:sz="4" w:space="0" w:color="auto"/>
              <w:left w:val="single" w:sz="4" w:space="0" w:color="auto"/>
              <w:bottom w:val="single" w:sz="4" w:space="0" w:color="auto"/>
              <w:right w:val="single" w:sz="4" w:space="0" w:color="auto"/>
            </w:tcBorders>
            <w:shd w:val="clear" w:color="auto" w:fill="auto"/>
            <w:noWrap/>
            <w:hideMark/>
          </w:tcPr>
          <w:p w14:paraId="04A595B8" w14:textId="77777777" w:rsidR="008C2D37" w:rsidRPr="008C2D37" w:rsidRDefault="008C2D37" w:rsidP="008C2D37">
            <w:pPr>
              <w:tabs>
                <w:tab w:val="clear" w:pos="1247"/>
                <w:tab w:val="clear" w:pos="1814"/>
                <w:tab w:val="clear" w:pos="2381"/>
                <w:tab w:val="clear" w:pos="2948"/>
                <w:tab w:val="clear" w:pos="3515"/>
              </w:tabs>
              <w:rPr>
                <w:rFonts w:ascii="Calibri" w:hAnsi="Calibri" w:cs="Calibri"/>
                <w:b/>
                <w:bCs/>
                <w:color w:val="000000"/>
                <w:lang w:val="en-US" w:eastAsia="zh-CN"/>
              </w:rPr>
            </w:pPr>
            <w:r w:rsidRPr="008C2D37">
              <w:rPr>
                <w:rFonts w:ascii="Calibri" w:hAnsi="Calibri" w:cs="Calibri"/>
                <w:b/>
                <w:bCs/>
                <w:color w:val="000000"/>
                <w:lang w:val="en-US" w:eastAsia="zh-CN"/>
              </w:rPr>
              <w:t>Estimated conference costs (budgeted within the general trust fund) - in USD</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5F6D5EB3" w14:textId="77777777" w:rsidR="008C2D37" w:rsidRPr="008C2D37" w:rsidRDefault="008C2D37" w:rsidP="008C2D37">
            <w:pPr>
              <w:tabs>
                <w:tab w:val="clear" w:pos="1247"/>
                <w:tab w:val="clear" w:pos="1814"/>
                <w:tab w:val="clear" w:pos="2381"/>
                <w:tab w:val="clear" w:pos="2948"/>
                <w:tab w:val="clear" w:pos="3515"/>
              </w:tabs>
              <w:rPr>
                <w:rFonts w:ascii="Calibri" w:hAnsi="Calibri" w:cs="Calibri"/>
                <w:color w:val="000000"/>
                <w:lang w:val="en-US" w:eastAsia="zh-CN"/>
              </w:rPr>
            </w:pPr>
            <w:r w:rsidRPr="008C2D37">
              <w:rPr>
                <w:rFonts w:ascii="Calibri" w:hAnsi="Calibri" w:cs="Calibri"/>
                <w:color w:val="000000"/>
                <w:lang w:val="en-US" w:eastAsia="zh-CN"/>
              </w:rPr>
              <w:t> </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01D6F556" w14:textId="77777777" w:rsidR="008C2D37" w:rsidRPr="008C2D37" w:rsidRDefault="008C2D37" w:rsidP="008C2D37">
            <w:pPr>
              <w:tabs>
                <w:tab w:val="clear" w:pos="1247"/>
                <w:tab w:val="clear" w:pos="1814"/>
                <w:tab w:val="clear" w:pos="2381"/>
                <w:tab w:val="clear" w:pos="2948"/>
                <w:tab w:val="clear" w:pos="3515"/>
              </w:tabs>
              <w:rPr>
                <w:rFonts w:ascii="Calibri" w:hAnsi="Calibri" w:cs="Calibri"/>
                <w:color w:val="000000"/>
                <w:lang w:val="en-US" w:eastAsia="zh-CN"/>
              </w:rPr>
            </w:pPr>
            <w:r w:rsidRPr="008C2D37">
              <w:rPr>
                <w:rFonts w:ascii="Calibri" w:hAnsi="Calibri" w:cs="Calibri"/>
                <w:color w:val="000000"/>
                <w:lang w:val="en-US" w:eastAsia="zh-CN"/>
              </w:rPr>
              <w:t> </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14:paraId="2E8EA4D5" w14:textId="77777777" w:rsidR="008C2D37" w:rsidRPr="008C2D37" w:rsidRDefault="008C2D37" w:rsidP="008C2D37">
            <w:pPr>
              <w:tabs>
                <w:tab w:val="clear" w:pos="1247"/>
                <w:tab w:val="clear" w:pos="1814"/>
                <w:tab w:val="clear" w:pos="2381"/>
                <w:tab w:val="clear" w:pos="2948"/>
                <w:tab w:val="clear" w:pos="3515"/>
              </w:tabs>
              <w:rPr>
                <w:rFonts w:ascii="Calibri" w:hAnsi="Calibri" w:cs="Calibri"/>
                <w:color w:val="000000"/>
                <w:lang w:val="en-US" w:eastAsia="zh-CN"/>
              </w:rPr>
            </w:pPr>
            <w:r w:rsidRPr="008C2D37">
              <w:rPr>
                <w:rFonts w:ascii="Calibri" w:hAnsi="Calibri" w:cs="Calibri"/>
                <w:color w:val="000000"/>
                <w:lang w:val="en-US" w:eastAsia="zh-CN"/>
              </w:rPr>
              <w:t> </w:t>
            </w:r>
          </w:p>
        </w:tc>
      </w:tr>
      <w:tr w:rsidR="008C2D37" w:rsidRPr="008C2D37" w14:paraId="1BAEFA87" w14:textId="77777777" w:rsidTr="008C2D37">
        <w:trPr>
          <w:trHeight w:val="179"/>
        </w:trPr>
        <w:tc>
          <w:tcPr>
            <w:tcW w:w="4035" w:type="dxa"/>
            <w:tcBorders>
              <w:top w:val="nil"/>
              <w:left w:val="single" w:sz="4" w:space="0" w:color="auto"/>
              <w:bottom w:val="single" w:sz="4" w:space="0" w:color="auto"/>
              <w:right w:val="single" w:sz="4" w:space="0" w:color="auto"/>
            </w:tcBorders>
            <w:shd w:val="clear" w:color="auto" w:fill="auto"/>
            <w:vAlign w:val="bottom"/>
            <w:hideMark/>
          </w:tcPr>
          <w:p w14:paraId="5636FE36"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Zero nominal growth scenario and Executive Secretary scenario</w:t>
            </w:r>
          </w:p>
        </w:tc>
        <w:tc>
          <w:tcPr>
            <w:tcW w:w="1602" w:type="dxa"/>
            <w:tcBorders>
              <w:top w:val="nil"/>
              <w:left w:val="nil"/>
              <w:bottom w:val="single" w:sz="4" w:space="0" w:color="auto"/>
              <w:right w:val="single" w:sz="4" w:space="0" w:color="auto"/>
            </w:tcBorders>
            <w:shd w:val="clear" w:color="auto" w:fill="auto"/>
            <w:noWrap/>
            <w:vAlign w:val="bottom"/>
            <w:hideMark/>
          </w:tcPr>
          <w:p w14:paraId="16C33DFA"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1,055,000</w:t>
            </w:r>
          </w:p>
        </w:tc>
        <w:tc>
          <w:tcPr>
            <w:tcW w:w="1309" w:type="dxa"/>
            <w:tcBorders>
              <w:top w:val="nil"/>
              <w:left w:val="nil"/>
              <w:bottom w:val="single" w:sz="4" w:space="0" w:color="auto"/>
              <w:right w:val="single" w:sz="4" w:space="0" w:color="auto"/>
            </w:tcBorders>
            <w:shd w:val="clear" w:color="auto" w:fill="auto"/>
            <w:noWrap/>
            <w:vAlign w:val="bottom"/>
            <w:hideMark/>
          </w:tcPr>
          <w:p w14:paraId="5B2D69EC"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1,055,000</w:t>
            </w:r>
          </w:p>
        </w:tc>
        <w:tc>
          <w:tcPr>
            <w:tcW w:w="1253" w:type="dxa"/>
            <w:tcBorders>
              <w:top w:val="nil"/>
              <w:left w:val="nil"/>
              <w:bottom w:val="single" w:sz="4" w:space="0" w:color="auto"/>
              <w:right w:val="single" w:sz="4" w:space="0" w:color="auto"/>
            </w:tcBorders>
            <w:shd w:val="clear" w:color="auto" w:fill="auto"/>
            <w:noWrap/>
            <w:vAlign w:val="bottom"/>
            <w:hideMark/>
          </w:tcPr>
          <w:p w14:paraId="78457539"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1,055,000</w:t>
            </w:r>
          </w:p>
        </w:tc>
      </w:tr>
      <w:tr w:rsidR="008C2D37" w:rsidRPr="008C2D37" w14:paraId="367B4CCA" w14:textId="77777777" w:rsidTr="008C2D37">
        <w:trPr>
          <w:trHeight w:val="188"/>
        </w:trPr>
        <w:tc>
          <w:tcPr>
            <w:tcW w:w="4035" w:type="dxa"/>
            <w:tcBorders>
              <w:top w:val="nil"/>
              <w:left w:val="single" w:sz="4" w:space="0" w:color="auto"/>
              <w:bottom w:val="single" w:sz="4" w:space="0" w:color="auto"/>
              <w:right w:val="single" w:sz="4" w:space="0" w:color="auto"/>
            </w:tcBorders>
            <w:shd w:val="clear" w:color="auto" w:fill="auto"/>
            <w:vAlign w:val="bottom"/>
            <w:hideMark/>
          </w:tcPr>
          <w:p w14:paraId="22CDD966"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Additional cost for high level segment (Executive Secretary scenario)</w:t>
            </w:r>
          </w:p>
        </w:tc>
        <w:tc>
          <w:tcPr>
            <w:tcW w:w="1602" w:type="dxa"/>
            <w:tcBorders>
              <w:top w:val="nil"/>
              <w:left w:val="nil"/>
              <w:bottom w:val="single" w:sz="4" w:space="0" w:color="auto"/>
              <w:right w:val="single" w:sz="4" w:space="0" w:color="auto"/>
            </w:tcBorders>
            <w:shd w:val="clear" w:color="auto" w:fill="auto"/>
            <w:noWrap/>
            <w:vAlign w:val="bottom"/>
            <w:hideMark/>
          </w:tcPr>
          <w:p w14:paraId="4E19D50D"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55,000</w:t>
            </w:r>
          </w:p>
        </w:tc>
        <w:tc>
          <w:tcPr>
            <w:tcW w:w="1309" w:type="dxa"/>
            <w:tcBorders>
              <w:top w:val="nil"/>
              <w:left w:val="nil"/>
              <w:bottom w:val="single" w:sz="4" w:space="0" w:color="auto"/>
              <w:right w:val="single" w:sz="4" w:space="0" w:color="auto"/>
            </w:tcBorders>
            <w:shd w:val="clear" w:color="auto" w:fill="auto"/>
            <w:noWrap/>
            <w:vAlign w:val="bottom"/>
            <w:hideMark/>
          </w:tcPr>
          <w:p w14:paraId="500F3A00"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55,000</w:t>
            </w:r>
          </w:p>
        </w:tc>
        <w:tc>
          <w:tcPr>
            <w:tcW w:w="1253" w:type="dxa"/>
            <w:tcBorders>
              <w:top w:val="nil"/>
              <w:left w:val="nil"/>
              <w:bottom w:val="single" w:sz="4" w:space="0" w:color="auto"/>
              <w:right w:val="single" w:sz="4" w:space="0" w:color="auto"/>
            </w:tcBorders>
            <w:shd w:val="clear" w:color="auto" w:fill="auto"/>
            <w:noWrap/>
            <w:vAlign w:val="bottom"/>
            <w:hideMark/>
          </w:tcPr>
          <w:p w14:paraId="7330E983"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55,000</w:t>
            </w:r>
          </w:p>
        </w:tc>
      </w:tr>
      <w:tr w:rsidR="008C2D37" w:rsidRPr="008C2D37" w14:paraId="250952D3" w14:textId="77777777" w:rsidTr="008C2D37">
        <w:trPr>
          <w:trHeight w:val="179"/>
        </w:trPr>
        <w:tc>
          <w:tcPr>
            <w:tcW w:w="4035" w:type="dxa"/>
            <w:tcBorders>
              <w:top w:val="nil"/>
              <w:left w:val="single" w:sz="4" w:space="0" w:color="auto"/>
              <w:bottom w:val="single" w:sz="4" w:space="0" w:color="auto"/>
              <w:right w:val="single" w:sz="4" w:space="0" w:color="auto"/>
            </w:tcBorders>
            <w:shd w:val="clear" w:color="000000" w:fill="FFE699"/>
            <w:vAlign w:val="bottom"/>
            <w:hideMark/>
          </w:tcPr>
          <w:p w14:paraId="333DA126"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Total estimated conference costs</w:t>
            </w:r>
          </w:p>
        </w:tc>
        <w:tc>
          <w:tcPr>
            <w:tcW w:w="1602" w:type="dxa"/>
            <w:tcBorders>
              <w:top w:val="nil"/>
              <w:left w:val="nil"/>
              <w:bottom w:val="single" w:sz="4" w:space="0" w:color="auto"/>
              <w:right w:val="single" w:sz="4" w:space="0" w:color="auto"/>
            </w:tcBorders>
            <w:shd w:val="clear" w:color="000000" w:fill="FFE699"/>
            <w:noWrap/>
            <w:vAlign w:val="bottom"/>
            <w:hideMark/>
          </w:tcPr>
          <w:p w14:paraId="5E5BF862"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1,110,000</w:t>
            </w:r>
          </w:p>
        </w:tc>
        <w:tc>
          <w:tcPr>
            <w:tcW w:w="1309" w:type="dxa"/>
            <w:tcBorders>
              <w:top w:val="nil"/>
              <w:left w:val="nil"/>
              <w:bottom w:val="single" w:sz="4" w:space="0" w:color="auto"/>
              <w:right w:val="single" w:sz="4" w:space="0" w:color="auto"/>
            </w:tcBorders>
            <w:shd w:val="clear" w:color="000000" w:fill="FFE699"/>
            <w:noWrap/>
            <w:vAlign w:val="bottom"/>
            <w:hideMark/>
          </w:tcPr>
          <w:p w14:paraId="0954AFAE"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1,110,000</w:t>
            </w:r>
          </w:p>
        </w:tc>
        <w:tc>
          <w:tcPr>
            <w:tcW w:w="1253" w:type="dxa"/>
            <w:tcBorders>
              <w:top w:val="nil"/>
              <w:left w:val="nil"/>
              <w:bottom w:val="single" w:sz="4" w:space="0" w:color="auto"/>
              <w:right w:val="single" w:sz="4" w:space="0" w:color="auto"/>
            </w:tcBorders>
            <w:shd w:val="clear" w:color="000000" w:fill="FFE699"/>
            <w:noWrap/>
            <w:vAlign w:val="bottom"/>
            <w:hideMark/>
          </w:tcPr>
          <w:p w14:paraId="10E46527"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1,110,000</w:t>
            </w:r>
          </w:p>
        </w:tc>
      </w:tr>
    </w:tbl>
    <w:p w14:paraId="6CE346AE" w14:textId="77777777" w:rsidR="00CA7F92" w:rsidRDefault="00CA7F92" w:rsidP="001056A5">
      <w:pPr>
        <w:spacing w:after="120"/>
        <w:ind w:left="1247"/>
      </w:pPr>
    </w:p>
    <w:p w14:paraId="661B62FE" w14:textId="77777777" w:rsidR="00CA7F92" w:rsidRDefault="00CA7F92" w:rsidP="002D24D3">
      <w:pPr>
        <w:pStyle w:val="Normalnumber"/>
        <w:tabs>
          <w:tab w:val="clear" w:pos="1134"/>
          <w:tab w:val="left" w:pos="1247"/>
          <w:tab w:val="left" w:pos="1871"/>
        </w:tabs>
      </w:pPr>
      <w:r>
        <w:t xml:space="preserve">Table 2 shows the estimated additional costs, to be borne by the host country, if the Conference of the Parties is held outside of Geneva, Switzerland. These costs are to be entirely paid for by the country hosting the conference and are made up of the additional costs of travelling </w:t>
      </w:r>
      <w:proofErr w:type="spellStart"/>
      <w:r>
        <w:t>Minamata</w:t>
      </w:r>
      <w:proofErr w:type="spellEnd"/>
      <w:r>
        <w:t xml:space="preserve"> secretariat staff, conference services staff as well UN Security staff to the venues proposed for the fourth Conference of the Parties.</w:t>
      </w:r>
    </w:p>
    <w:p w14:paraId="43B185C3" w14:textId="77777777" w:rsidR="00CA7F92" w:rsidRDefault="00CA7F92" w:rsidP="002D24D3">
      <w:pPr>
        <w:pStyle w:val="Normalnumber"/>
        <w:tabs>
          <w:tab w:val="clear" w:pos="1134"/>
          <w:tab w:val="left" w:pos="1247"/>
          <w:tab w:val="left" w:pos="1871"/>
        </w:tabs>
      </w:pPr>
      <w:r>
        <w:t xml:space="preserve">The estimated costs are calculated using the November 2019 daily subsistence allowance (DSA) rates, as per circular ICSC/CIRC/DSA/534 issued by the International Civil Service Commission. The DSA rate for Cartagena, Colombia, is USD 144. For Bali, Indonesia, the Denpasar rate of USD </w:t>
      </w:r>
      <w:proofErr w:type="gramStart"/>
      <w:r>
        <w:t>131  is</w:t>
      </w:r>
      <w:proofErr w:type="gramEnd"/>
      <w:r>
        <w:t xml:space="preserve"> the rate which, in consultation with the UN Travel Unit, is to be used  as Denpasar is the geographically closest location to Nusa </w:t>
      </w:r>
      <w:proofErr w:type="spellStart"/>
      <w:r>
        <w:t>Dua</w:t>
      </w:r>
      <w:proofErr w:type="spellEnd"/>
      <w:r>
        <w:t xml:space="preserve"> with a standard DSA rate, considering that the proposed venue is not associated to any of the hotels for which special DSA rates have been determined and there is no standard DSA for Nusa </w:t>
      </w:r>
      <w:proofErr w:type="spellStart"/>
      <w:r>
        <w:t>Dua</w:t>
      </w:r>
      <w:proofErr w:type="spellEnd"/>
      <w:r>
        <w:t xml:space="preserve">. It is to be noted that the Conference of the Parties may otherwise recommend any of the special DSA rates associated to the hotels in Nusa </w:t>
      </w:r>
      <w:proofErr w:type="spellStart"/>
      <w:r>
        <w:t>Dua</w:t>
      </w:r>
      <w:proofErr w:type="spellEnd"/>
      <w:r>
        <w:t xml:space="preserve">, Bali. Flight costs are based on estimates from the official UN travel tool. </w:t>
      </w:r>
    </w:p>
    <w:p w14:paraId="0C655B5E" w14:textId="77777777" w:rsidR="00CA7F92" w:rsidRDefault="00CA7F92" w:rsidP="001056A5">
      <w:pPr>
        <w:spacing w:after="120"/>
        <w:ind w:left="1247"/>
      </w:pPr>
    </w:p>
    <w:p w14:paraId="60515CA0" w14:textId="55051199" w:rsidR="00CA7F92" w:rsidRDefault="00CA7F92" w:rsidP="008857C6">
      <w:pPr>
        <w:spacing w:after="120"/>
        <w:ind w:left="1247"/>
      </w:pPr>
      <w:r>
        <w:t xml:space="preserve">Table 2: Estimated main additional costs if meeting is held outside of Geneva </w:t>
      </w:r>
    </w:p>
    <w:tbl>
      <w:tblPr>
        <w:tblW w:w="8199" w:type="dxa"/>
        <w:tblInd w:w="1276" w:type="dxa"/>
        <w:tblLook w:val="04A0" w:firstRow="1" w:lastRow="0" w:firstColumn="1" w:lastColumn="0" w:noHBand="0" w:noVBand="1"/>
      </w:tblPr>
      <w:tblGrid>
        <w:gridCol w:w="3805"/>
        <w:gridCol w:w="1500"/>
        <w:gridCol w:w="1417"/>
        <w:gridCol w:w="1477"/>
      </w:tblGrid>
      <w:tr w:rsidR="008C2D37" w:rsidRPr="008C2D37" w14:paraId="024C303C" w14:textId="77777777" w:rsidTr="008C2D37">
        <w:trPr>
          <w:trHeight w:val="578"/>
        </w:trPr>
        <w:tc>
          <w:tcPr>
            <w:tcW w:w="3805" w:type="dxa"/>
            <w:tcBorders>
              <w:top w:val="nil"/>
              <w:left w:val="nil"/>
              <w:bottom w:val="nil"/>
              <w:right w:val="nil"/>
            </w:tcBorders>
            <w:shd w:val="clear" w:color="000000" w:fill="F2B300"/>
            <w:noWrap/>
            <w:vAlign w:val="bottom"/>
            <w:hideMark/>
          </w:tcPr>
          <w:p w14:paraId="7E40B84B" w14:textId="77777777" w:rsidR="008C2D37" w:rsidRPr="008C2D37" w:rsidRDefault="008C2D37" w:rsidP="008C2D37">
            <w:pPr>
              <w:tabs>
                <w:tab w:val="clear" w:pos="1247"/>
                <w:tab w:val="clear" w:pos="1814"/>
                <w:tab w:val="clear" w:pos="2381"/>
                <w:tab w:val="clear" w:pos="2948"/>
                <w:tab w:val="clear" w:pos="3515"/>
              </w:tabs>
              <w:rPr>
                <w:rFonts w:ascii="Calibri" w:hAnsi="Calibri" w:cs="Calibri"/>
                <w:color w:val="000000"/>
                <w:lang w:val="en-US" w:eastAsia="zh-CN"/>
              </w:rPr>
            </w:pPr>
            <w:r w:rsidRPr="008C2D37">
              <w:rPr>
                <w:rFonts w:ascii="Calibri" w:hAnsi="Calibri" w:cs="Calibri"/>
                <w:color w:val="000000"/>
                <w:lang w:val="en-US" w:eastAsia="zh-CN"/>
              </w:rPr>
              <w:t> </w:t>
            </w:r>
          </w:p>
        </w:tc>
        <w:tc>
          <w:tcPr>
            <w:tcW w:w="1500" w:type="dxa"/>
            <w:tcBorders>
              <w:top w:val="nil"/>
              <w:left w:val="nil"/>
              <w:bottom w:val="nil"/>
              <w:right w:val="nil"/>
            </w:tcBorders>
            <w:shd w:val="clear" w:color="000000" w:fill="F2B300"/>
            <w:hideMark/>
          </w:tcPr>
          <w:p w14:paraId="13EB0A23"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SWITZERLAND</w:t>
            </w:r>
            <w:r w:rsidRPr="008C2D37">
              <w:rPr>
                <w:rFonts w:ascii="Calibri" w:hAnsi="Calibri" w:cs="Calibri"/>
                <w:b/>
                <w:bCs/>
                <w:color w:val="000000"/>
                <w:lang w:val="en-US" w:eastAsia="zh-CN"/>
              </w:rPr>
              <w:br/>
              <w:t>(Geneva)</w:t>
            </w:r>
          </w:p>
        </w:tc>
        <w:tc>
          <w:tcPr>
            <w:tcW w:w="1417" w:type="dxa"/>
            <w:tcBorders>
              <w:top w:val="nil"/>
              <w:left w:val="nil"/>
              <w:bottom w:val="nil"/>
              <w:right w:val="nil"/>
            </w:tcBorders>
            <w:shd w:val="clear" w:color="000000" w:fill="F2B300"/>
            <w:hideMark/>
          </w:tcPr>
          <w:p w14:paraId="3AF0A1FA"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COLOMBIA</w:t>
            </w:r>
            <w:r w:rsidRPr="008C2D37">
              <w:rPr>
                <w:rFonts w:ascii="Calibri" w:hAnsi="Calibri" w:cs="Calibri"/>
                <w:b/>
                <w:bCs/>
                <w:color w:val="000000"/>
                <w:lang w:val="en-US" w:eastAsia="zh-CN"/>
              </w:rPr>
              <w:br/>
              <w:t>(Cartagena)</w:t>
            </w:r>
          </w:p>
        </w:tc>
        <w:tc>
          <w:tcPr>
            <w:tcW w:w="1477" w:type="dxa"/>
            <w:tcBorders>
              <w:top w:val="nil"/>
              <w:left w:val="nil"/>
              <w:bottom w:val="nil"/>
              <w:right w:val="nil"/>
            </w:tcBorders>
            <w:shd w:val="clear" w:color="000000" w:fill="F2B300"/>
            <w:hideMark/>
          </w:tcPr>
          <w:p w14:paraId="3C82D5AD"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 xml:space="preserve">INDONESIA </w:t>
            </w:r>
            <w:r w:rsidRPr="008C2D37">
              <w:rPr>
                <w:rFonts w:ascii="Calibri" w:hAnsi="Calibri" w:cs="Calibri"/>
                <w:b/>
                <w:bCs/>
                <w:color w:val="000000"/>
                <w:lang w:val="en-US" w:eastAsia="zh-CN"/>
              </w:rPr>
              <w:br/>
              <w:t>(Bali)</w:t>
            </w:r>
          </w:p>
        </w:tc>
      </w:tr>
      <w:tr w:rsidR="008C2D37" w:rsidRPr="008C2D37" w14:paraId="109CBAB7" w14:textId="77777777" w:rsidTr="008C2D37">
        <w:trPr>
          <w:trHeight w:val="443"/>
        </w:trPr>
        <w:tc>
          <w:tcPr>
            <w:tcW w:w="3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30DDE" w14:textId="77777777" w:rsidR="008C2D37" w:rsidRPr="008C2D37" w:rsidRDefault="008C2D37" w:rsidP="008C2D37">
            <w:pPr>
              <w:tabs>
                <w:tab w:val="clear" w:pos="1247"/>
                <w:tab w:val="clear" w:pos="1814"/>
                <w:tab w:val="clear" w:pos="2381"/>
                <w:tab w:val="clear" w:pos="2948"/>
                <w:tab w:val="clear" w:pos="3515"/>
              </w:tabs>
              <w:rPr>
                <w:rFonts w:ascii="Calibri" w:hAnsi="Calibri" w:cs="Calibri"/>
                <w:b/>
                <w:bCs/>
                <w:color w:val="000000"/>
                <w:lang w:val="en-US" w:eastAsia="zh-CN"/>
              </w:rPr>
            </w:pPr>
            <w:r w:rsidRPr="008C2D37">
              <w:rPr>
                <w:rFonts w:ascii="Calibri" w:hAnsi="Calibri" w:cs="Calibri"/>
                <w:b/>
                <w:bCs/>
                <w:color w:val="000000"/>
                <w:lang w:val="en-US" w:eastAsia="zh-CN"/>
              </w:rPr>
              <w:t>Main additional costs, to be borne by host country (estimated) - in USD</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0497CD9A"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EB75028"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698AE5BF"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 </w:t>
            </w:r>
          </w:p>
        </w:tc>
      </w:tr>
      <w:tr w:rsidR="008C2D37" w:rsidRPr="008C2D37" w14:paraId="70B5A41D" w14:textId="77777777" w:rsidTr="008C2D37">
        <w:trPr>
          <w:trHeight w:val="443"/>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14:paraId="67B3A84A"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proofErr w:type="spellStart"/>
            <w:r w:rsidRPr="008C2D37">
              <w:rPr>
                <w:rFonts w:ascii="Calibri" w:hAnsi="Calibri" w:cs="Calibri"/>
                <w:color w:val="000000"/>
                <w:lang w:val="en-US" w:eastAsia="zh-CN"/>
              </w:rPr>
              <w:t>Minamata</w:t>
            </w:r>
            <w:proofErr w:type="spellEnd"/>
            <w:r w:rsidRPr="008C2D37">
              <w:rPr>
                <w:rFonts w:ascii="Calibri" w:hAnsi="Calibri" w:cs="Calibri"/>
                <w:color w:val="000000"/>
                <w:lang w:val="en-US" w:eastAsia="zh-CN"/>
              </w:rPr>
              <w:t xml:space="preserve"> Secretariat staff travel</w:t>
            </w:r>
          </w:p>
        </w:tc>
        <w:tc>
          <w:tcPr>
            <w:tcW w:w="1500" w:type="dxa"/>
            <w:tcBorders>
              <w:top w:val="nil"/>
              <w:left w:val="nil"/>
              <w:bottom w:val="single" w:sz="4" w:space="0" w:color="auto"/>
              <w:right w:val="single" w:sz="4" w:space="0" w:color="auto"/>
            </w:tcBorders>
            <w:shd w:val="clear" w:color="auto" w:fill="auto"/>
            <w:noWrap/>
            <w:vAlign w:val="bottom"/>
            <w:hideMark/>
          </w:tcPr>
          <w:p w14:paraId="724C065B"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0</w:t>
            </w:r>
          </w:p>
        </w:tc>
        <w:tc>
          <w:tcPr>
            <w:tcW w:w="1417" w:type="dxa"/>
            <w:tcBorders>
              <w:top w:val="nil"/>
              <w:left w:val="nil"/>
              <w:bottom w:val="single" w:sz="4" w:space="0" w:color="auto"/>
              <w:right w:val="single" w:sz="4" w:space="0" w:color="auto"/>
            </w:tcBorders>
            <w:shd w:val="clear" w:color="auto" w:fill="auto"/>
            <w:noWrap/>
            <w:vAlign w:val="bottom"/>
            <w:hideMark/>
          </w:tcPr>
          <w:p w14:paraId="699CCB57"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97,128</w:t>
            </w:r>
          </w:p>
        </w:tc>
        <w:tc>
          <w:tcPr>
            <w:tcW w:w="1477" w:type="dxa"/>
            <w:tcBorders>
              <w:top w:val="nil"/>
              <w:left w:val="nil"/>
              <w:bottom w:val="single" w:sz="4" w:space="0" w:color="auto"/>
              <w:right w:val="single" w:sz="4" w:space="0" w:color="auto"/>
            </w:tcBorders>
            <w:shd w:val="clear" w:color="auto" w:fill="auto"/>
            <w:noWrap/>
            <w:vAlign w:val="bottom"/>
            <w:hideMark/>
          </w:tcPr>
          <w:p w14:paraId="3F31B33B"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104,490</w:t>
            </w:r>
          </w:p>
        </w:tc>
      </w:tr>
      <w:tr w:rsidR="008C2D37" w:rsidRPr="008C2D37" w14:paraId="1E56F82F" w14:textId="77777777" w:rsidTr="008C2D37">
        <w:trPr>
          <w:trHeight w:val="443"/>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14:paraId="0365E9E5"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Conference Services staff travel</w:t>
            </w:r>
          </w:p>
        </w:tc>
        <w:tc>
          <w:tcPr>
            <w:tcW w:w="1500" w:type="dxa"/>
            <w:tcBorders>
              <w:top w:val="nil"/>
              <w:left w:val="nil"/>
              <w:bottom w:val="single" w:sz="4" w:space="0" w:color="auto"/>
              <w:right w:val="single" w:sz="4" w:space="0" w:color="auto"/>
            </w:tcBorders>
            <w:shd w:val="clear" w:color="auto" w:fill="auto"/>
            <w:noWrap/>
            <w:vAlign w:val="bottom"/>
            <w:hideMark/>
          </w:tcPr>
          <w:p w14:paraId="77CAA551"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0</w:t>
            </w:r>
          </w:p>
        </w:tc>
        <w:tc>
          <w:tcPr>
            <w:tcW w:w="1417" w:type="dxa"/>
            <w:tcBorders>
              <w:top w:val="nil"/>
              <w:left w:val="nil"/>
              <w:bottom w:val="single" w:sz="4" w:space="0" w:color="auto"/>
              <w:right w:val="single" w:sz="4" w:space="0" w:color="auto"/>
            </w:tcBorders>
            <w:shd w:val="clear" w:color="auto" w:fill="auto"/>
            <w:noWrap/>
            <w:vAlign w:val="bottom"/>
            <w:hideMark/>
          </w:tcPr>
          <w:p w14:paraId="34351E4B"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73,381</w:t>
            </w:r>
          </w:p>
        </w:tc>
        <w:tc>
          <w:tcPr>
            <w:tcW w:w="1477" w:type="dxa"/>
            <w:tcBorders>
              <w:top w:val="nil"/>
              <w:left w:val="nil"/>
              <w:bottom w:val="single" w:sz="4" w:space="0" w:color="auto"/>
              <w:right w:val="single" w:sz="4" w:space="0" w:color="auto"/>
            </w:tcBorders>
            <w:shd w:val="clear" w:color="auto" w:fill="auto"/>
            <w:noWrap/>
            <w:vAlign w:val="bottom"/>
            <w:hideMark/>
          </w:tcPr>
          <w:p w14:paraId="74D80579"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146,408</w:t>
            </w:r>
          </w:p>
        </w:tc>
      </w:tr>
      <w:tr w:rsidR="008C2D37" w:rsidRPr="008C2D37" w14:paraId="7D533F60" w14:textId="77777777" w:rsidTr="008C2D37">
        <w:trPr>
          <w:trHeight w:val="443"/>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14:paraId="097BD50E"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Additional Conference Services costs if high level segment takes place</w:t>
            </w:r>
          </w:p>
        </w:tc>
        <w:tc>
          <w:tcPr>
            <w:tcW w:w="1500" w:type="dxa"/>
            <w:tcBorders>
              <w:top w:val="nil"/>
              <w:left w:val="nil"/>
              <w:bottom w:val="single" w:sz="4" w:space="0" w:color="auto"/>
              <w:right w:val="single" w:sz="4" w:space="0" w:color="auto"/>
            </w:tcBorders>
            <w:shd w:val="clear" w:color="auto" w:fill="auto"/>
            <w:noWrap/>
            <w:vAlign w:val="bottom"/>
            <w:hideMark/>
          </w:tcPr>
          <w:p w14:paraId="6EA9337A"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0</w:t>
            </w:r>
          </w:p>
        </w:tc>
        <w:tc>
          <w:tcPr>
            <w:tcW w:w="1417" w:type="dxa"/>
            <w:tcBorders>
              <w:top w:val="nil"/>
              <w:left w:val="nil"/>
              <w:bottom w:val="single" w:sz="4" w:space="0" w:color="auto"/>
              <w:right w:val="single" w:sz="4" w:space="0" w:color="auto"/>
            </w:tcBorders>
            <w:shd w:val="clear" w:color="auto" w:fill="auto"/>
            <w:noWrap/>
            <w:vAlign w:val="bottom"/>
            <w:hideMark/>
          </w:tcPr>
          <w:p w14:paraId="6C28D4C4"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7,356</w:t>
            </w:r>
          </w:p>
        </w:tc>
        <w:tc>
          <w:tcPr>
            <w:tcW w:w="1477" w:type="dxa"/>
            <w:tcBorders>
              <w:top w:val="nil"/>
              <w:left w:val="nil"/>
              <w:bottom w:val="single" w:sz="4" w:space="0" w:color="auto"/>
              <w:right w:val="single" w:sz="4" w:space="0" w:color="auto"/>
            </w:tcBorders>
            <w:shd w:val="clear" w:color="auto" w:fill="auto"/>
            <w:noWrap/>
            <w:vAlign w:val="bottom"/>
            <w:hideMark/>
          </w:tcPr>
          <w:p w14:paraId="7577505F"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14,641</w:t>
            </w:r>
          </w:p>
        </w:tc>
      </w:tr>
      <w:tr w:rsidR="008C2D37" w:rsidRPr="008C2D37" w14:paraId="4C4B6A8A" w14:textId="77777777" w:rsidTr="008C2D37">
        <w:trPr>
          <w:trHeight w:val="443"/>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14:paraId="7DB3313E"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Security staff travel and other security costs</w:t>
            </w:r>
          </w:p>
        </w:tc>
        <w:tc>
          <w:tcPr>
            <w:tcW w:w="1500" w:type="dxa"/>
            <w:tcBorders>
              <w:top w:val="nil"/>
              <w:left w:val="nil"/>
              <w:bottom w:val="single" w:sz="4" w:space="0" w:color="auto"/>
              <w:right w:val="single" w:sz="4" w:space="0" w:color="auto"/>
            </w:tcBorders>
            <w:shd w:val="clear" w:color="auto" w:fill="auto"/>
            <w:noWrap/>
            <w:vAlign w:val="bottom"/>
            <w:hideMark/>
          </w:tcPr>
          <w:p w14:paraId="5E7522F7"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0</w:t>
            </w:r>
          </w:p>
        </w:tc>
        <w:tc>
          <w:tcPr>
            <w:tcW w:w="1417" w:type="dxa"/>
            <w:tcBorders>
              <w:top w:val="nil"/>
              <w:left w:val="nil"/>
              <w:bottom w:val="single" w:sz="4" w:space="0" w:color="auto"/>
              <w:right w:val="single" w:sz="4" w:space="0" w:color="auto"/>
            </w:tcBorders>
            <w:shd w:val="clear" w:color="auto" w:fill="auto"/>
            <w:noWrap/>
            <w:vAlign w:val="bottom"/>
            <w:hideMark/>
          </w:tcPr>
          <w:p w14:paraId="4ECB38EB"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19,712</w:t>
            </w:r>
          </w:p>
        </w:tc>
        <w:tc>
          <w:tcPr>
            <w:tcW w:w="1477" w:type="dxa"/>
            <w:tcBorders>
              <w:top w:val="nil"/>
              <w:left w:val="nil"/>
              <w:bottom w:val="single" w:sz="4" w:space="0" w:color="auto"/>
              <w:right w:val="single" w:sz="4" w:space="0" w:color="auto"/>
            </w:tcBorders>
            <w:shd w:val="clear" w:color="auto" w:fill="auto"/>
            <w:noWrap/>
            <w:vAlign w:val="bottom"/>
            <w:hideMark/>
          </w:tcPr>
          <w:p w14:paraId="65536B62"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20,688</w:t>
            </w:r>
          </w:p>
        </w:tc>
      </w:tr>
      <w:tr w:rsidR="008C2D37" w:rsidRPr="008C2D37" w14:paraId="78DBF312" w14:textId="77777777" w:rsidTr="008C2D37">
        <w:trPr>
          <w:trHeight w:val="443"/>
        </w:trPr>
        <w:tc>
          <w:tcPr>
            <w:tcW w:w="3805" w:type="dxa"/>
            <w:tcBorders>
              <w:top w:val="nil"/>
              <w:left w:val="single" w:sz="4" w:space="0" w:color="auto"/>
              <w:bottom w:val="single" w:sz="4" w:space="0" w:color="auto"/>
              <w:right w:val="single" w:sz="4" w:space="0" w:color="auto"/>
            </w:tcBorders>
            <w:shd w:val="clear" w:color="000000" w:fill="FFE699"/>
            <w:noWrap/>
            <w:vAlign w:val="bottom"/>
            <w:hideMark/>
          </w:tcPr>
          <w:p w14:paraId="0443051B"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Total estimated additional costs to be borne by the host country</w:t>
            </w:r>
          </w:p>
        </w:tc>
        <w:tc>
          <w:tcPr>
            <w:tcW w:w="1500" w:type="dxa"/>
            <w:tcBorders>
              <w:top w:val="nil"/>
              <w:left w:val="nil"/>
              <w:bottom w:val="single" w:sz="4" w:space="0" w:color="auto"/>
              <w:right w:val="single" w:sz="4" w:space="0" w:color="auto"/>
            </w:tcBorders>
            <w:shd w:val="clear" w:color="000000" w:fill="FFE699"/>
            <w:noWrap/>
            <w:vAlign w:val="bottom"/>
            <w:hideMark/>
          </w:tcPr>
          <w:p w14:paraId="1A278F8A"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0</w:t>
            </w:r>
          </w:p>
        </w:tc>
        <w:tc>
          <w:tcPr>
            <w:tcW w:w="1417" w:type="dxa"/>
            <w:tcBorders>
              <w:top w:val="nil"/>
              <w:left w:val="nil"/>
              <w:bottom w:val="single" w:sz="4" w:space="0" w:color="auto"/>
              <w:right w:val="single" w:sz="4" w:space="0" w:color="auto"/>
            </w:tcBorders>
            <w:shd w:val="clear" w:color="000000" w:fill="FFE699"/>
            <w:noWrap/>
            <w:vAlign w:val="bottom"/>
            <w:hideMark/>
          </w:tcPr>
          <w:p w14:paraId="7ABA537B"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197,577</w:t>
            </w:r>
          </w:p>
        </w:tc>
        <w:tc>
          <w:tcPr>
            <w:tcW w:w="1477" w:type="dxa"/>
            <w:tcBorders>
              <w:top w:val="nil"/>
              <w:left w:val="nil"/>
              <w:bottom w:val="single" w:sz="4" w:space="0" w:color="auto"/>
              <w:right w:val="single" w:sz="4" w:space="0" w:color="auto"/>
            </w:tcBorders>
            <w:shd w:val="clear" w:color="000000" w:fill="FFE699"/>
            <w:noWrap/>
            <w:vAlign w:val="bottom"/>
            <w:hideMark/>
          </w:tcPr>
          <w:p w14:paraId="59219848"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286,226</w:t>
            </w:r>
          </w:p>
        </w:tc>
      </w:tr>
    </w:tbl>
    <w:p w14:paraId="2C5B577E" w14:textId="77777777" w:rsidR="00CA7F92" w:rsidRDefault="00CA7F92" w:rsidP="001056A5">
      <w:pPr>
        <w:spacing w:after="120"/>
        <w:ind w:left="1247"/>
      </w:pPr>
    </w:p>
    <w:p w14:paraId="47384FCB" w14:textId="77777777" w:rsidR="00CA7F92" w:rsidRDefault="00CA7F92" w:rsidP="002D24D3">
      <w:pPr>
        <w:pStyle w:val="Normalnumber"/>
        <w:tabs>
          <w:tab w:val="clear" w:pos="1134"/>
          <w:tab w:val="left" w:pos="1247"/>
          <w:tab w:val="left" w:pos="1871"/>
        </w:tabs>
      </w:pPr>
      <w:r>
        <w:t xml:space="preserve">Table 3 shows the estimated travel costs of eligible sponsored delegates to the fourth Conference of the Parties.  As mentioned above, these estimated costs are covered by the special trust fund, which collects 40% of the CHF 1,000,000 host country annual contribution from Switzerland as well as voluntary contributions fundraised and collected from donors. </w:t>
      </w:r>
    </w:p>
    <w:p w14:paraId="565A027A" w14:textId="27F5E239" w:rsidR="00CA7F92" w:rsidRDefault="00CA7F92" w:rsidP="002D24D3">
      <w:pPr>
        <w:pStyle w:val="Normalnumber"/>
        <w:tabs>
          <w:tab w:val="clear" w:pos="1134"/>
          <w:tab w:val="left" w:pos="1247"/>
          <w:tab w:val="left" w:pos="1871"/>
        </w:tabs>
      </w:pPr>
      <w:r>
        <w:lastRenderedPageBreak/>
        <w:t xml:space="preserve">The estimated costs are calculated using the November 2019 daily subsistence allowance (DSA) rates, as per circular ICSC/CIRC/DSA/534, issued by the International Civil Service Commission. The DSA rate for Cartagena, Colombia, is USD 144. For Bali, Indonesia, the Denpasar rate of USD 131 is the rate which, in consultation with the UN Travel Unit, is to be used as Denpasar is the geographically closest location to Nusa </w:t>
      </w:r>
      <w:proofErr w:type="spellStart"/>
      <w:r>
        <w:t>Dua</w:t>
      </w:r>
      <w:proofErr w:type="spellEnd"/>
      <w:r>
        <w:t xml:space="preserve"> with a standard DSA rate, considering that the proposed venue is not associated to any of the hotels for </w:t>
      </w:r>
      <w:proofErr w:type="gramStart"/>
      <w:r>
        <w:t>which  special</w:t>
      </w:r>
      <w:proofErr w:type="gramEnd"/>
      <w:r>
        <w:t xml:space="preserve"> DSA rates have been determined and there is no standard DSA for Nusa </w:t>
      </w:r>
      <w:proofErr w:type="spellStart"/>
      <w:r>
        <w:t>Dua</w:t>
      </w:r>
      <w:proofErr w:type="spellEnd"/>
      <w:r>
        <w:t xml:space="preserve">. It is to be noted that the Conference of the Parties may otherwise recommend any of the special DSA rates associated to the hotels in Nusa </w:t>
      </w:r>
      <w:proofErr w:type="spellStart"/>
      <w:r>
        <w:t>Dua</w:t>
      </w:r>
      <w:proofErr w:type="spellEnd"/>
      <w:r>
        <w:t>, Bali.</w:t>
      </w:r>
      <w:r w:rsidR="00EB2789">
        <w:t xml:space="preserve"> </w:t>
      </w:r>
      <w:r>
        <w:t xml:space="preserve">Flight costs are based on estimates received from the UN Travel Unit. </w:t>
      </w:r>
    </w:p>
    <w:p w14:paraId="51381237" w14:textId="77777777" w:rsidR="00CA7F92" w:rsidRDefault="00CA7F92" w:rsidP="002D24D3">
      <w:pPr>
        <w:pStyle w:val="Normalnumber"/>
        <w:tabs>
          <w:tab w:val="clear" w:pos="1134"/>
          <w:tab w:val="left" w:pos="1247"/>
          <w:tab w:val="left" w:pos="1871"/>
        </w:tabs>
      </w:pPr>
      <w:r>
        <w:t xml:space="preserve">The estimates are based on the assumption that the estimated number of eligible sponsored delegates would be 105 and that the estimated number of sponsored ministers -in case the Conference of the Parties decides for a high-level segment to take place- would be 40. </w:t>
      </w:r>
    </w:p>
    <w:p w14:paraId="41E3BF99" w14:textId="737E4CCB" w:rsidR="00CA7F92" w:rsidRDefault="00CA7F92" w:rsidP="008857C6">
      <w:pPr>
        <w:spacing w:after="120"/>
        <w:ind w:left="1247"/>
      </w:pPr>
      <w:r>
        <w:t xml:space="preserve">Table 3: Estimated travel costs of sponsored delegates </w:t>
      </w:r>
    </w:p>
    <w:tbl>
      <w:tblPr>
        <w:tblW w:w="8199" w:type="dxa"/>
        <w:tblInd w:w="1276" w:type="dxa"/>
        <w:tblLook w:val="04A0" w:firstRow="1" w:lastRow="0" w:firstColumn="1" w:lastColumn="0" w:noHBand="0" w:noVBand="1"/>
      </w:tblPr>
      <w:tblGrid>
        <w:gridCol w:w="4118"/>
        <w:gridCol w:w="1549"/>
        <w:gridCol w:w="1279"/>
        <w:gridCol w:w="1253"/>
      </w:tblGrid>
      <w:tr w:rsidR="008857C6" w:rsidRPr="008857C6" w14:paraId="757EF0D4" w14:textId="77777777" w:rsidTr="008857C6">
        <w:trPr>
          <w:trHeight w:val="657"/>
        </w:trPr>
        <w:tc>
          <w:tcPr>
            <w:tcW w:w="4118" w:type="dxa"/>
            <w:tcBorders>
              <w:top w:val="nil"/>
              <w:left w:val="nil"/>
              <w:bottom w:val="nil"/>
              <w:right w:val="nil"/>
            </w:tcBorders>
            <w:shd w:val="clear" w:color="000000" w:fill="F2B300"/>
            <w:noWrap/>
            <w:vAlign w:val="bottom"/>
            <w:hideMark/>
          </w:tcPr>
          <w:p w14:paraId="65A61AB2" w14:textId="77777777" w:rsidR="008C2D37" w:rsidRPr="008C2D37" w:rsidRDefault="008C2D37" w:rsidP="008C2D37">
            <w:pPr>
              <w:tabs>
                <w:tab w:val="clear" w:pos="1247"/>
                <w:tab w:val="clear" w:pos="1814"/>
                <w:tab w:val="clear" w:pos="2381"/>
                <w:tab w:val="clear" w:pos="2948"/>
                <w:tab w:val="clear" w:pos="3515"/>
              </w:tabs>
              <w:rPr>
                <w:rFonts w:ascii="Calibri" w:hAnsi="Calibri" w:cs="Calibri"/>
                <w:color w:val="000000"/>
                <w:lang w:val="en-US" w:eastAsia="zh-CN"/>
              </w:rPr>
            </w:pPr>
            <w:r w:rsidRPr="008C2D37">
              <w:rPr>
                <w:rFonts w:ascii="Calibri" w:hAnsi="Calibri" w:cs="Calibri"/>
                <w:color w:val="000000"/>
                <w:lang w:val="en-US" w:eastAsia="zh-CN"/>
              </w:rPr>
              <w:t> </w:t>
            </w:r>
          </w:p>
        </w:tc>
        <w:tc>
          <w:tcPr>
            <w:tcW w:w="1549" w:type="dxa"/>
            <w:tcBorders>
              <w:top w:val="nil"/>
              <w:left w:val="nil"/>
              <w:bottom w:val="nil"/>
              <w:right w:val="nil"/>
            </w:tcBorders>
            <w:shd w:val="clear" w:color="000000" w:fill="F2B300"/>
            <w:hideMark/>
          </w:tcPr>
          <w:p w14:paraId="305B1128"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SWITZERLAND</w:t>
            </w:r>
            <w:r w:rsidRPr="008C2D37">
              <w:rPr>
                <w:rFonts w:ascii="Calibri" w:hAnsi="Calibri" w:cs="Calibri"/>
                <w:b/>
                <w:bCs/>
                <w:color w:val="000000"/>
                <w:lang w:val="en-US" w:eastAsia="zh-CN"/>
              </w:rPr>
              <w:br/>
              <w:t>(Geneva)</w:t>
            </w:r>
          </w:p>
        </w:tc>
        <w:tc>
          <w:tcPr>
            <w:tcW w:w="1279" w:type="dxa"/>
            <w:tcBorders>
              <w:top w:val="nil"/>
              <w:left w:val="nil"/>
              <w:bottom w:val="nil"/>
              <w:right w:val="nil"/>
            </w:tcBorders>
            <w:shd w:val="clear" w:color="000000" w:fill="F2B300"/>
            <w:hideMark/>
          </w:tcPr>
          <w:p w14:paraId="30ADF3FD"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COLOMBIA</w:t>
            </w:r>
            <w:r w:rsidRPr="008C2D37">
              <w:rPr>
                <w:rFonts w:ascii="Calibri" w:hAnsi="Calibri" w:cs="Calibri"/>
                <w:b/>
                <w:bCs/>
                <w:color w:val="000000"/>
                <w:lang w:val="en-US" w:eastAsia="zh-CN"/>
              </w:rPr>
              <w:br/>
              <w:t>(Cartagena)</w:t>
            </w:r>
          </w:p>
        </w:tc>
        <w:tc>
          <w:tcPr>
            <w:tcW w:w="1253" w:type="dxa"/>
            <w:tcBorders>
              <w:top w:val="nil"/>
              <w:left w:val="nil"/>
              <w:bottom w:val="nil"/>
              <w:right w:val="nil"/>
            </w:tcBorders>
            <w:shd w:val="clear" w:color="000000" w:fill="F2B300"/>
            <w:hideMark/>
          </w:tcPr>
          <w:p w14:paraId="1C75FD31" w14:textId="77777777" w:rsidR="008C2D37" w:rsidRPr="008C2D37" w:rsidRDefault="008C2D37" w:rsidP="008C2D37">
            <w:pPr>
              <w:tabs>
                <w:tab w:val="clear" w:pos="1247"/>
                <w:tab w:val="clear" w:pos="1814"/>
                <w:tab w:val="clear" w:pos="2381"/>
                <w:tab w:val="clear" w:pos="2948"/>
                <w:tab w:val="clear" w:pos="3515"/>
              </w:tabs>
              <w:jc w:val="center"/>
              <w:rPr>
                <w:rFonts w:ascii="Calibri" w:hAnsi="Calibri" w:cs="Calibri"/>
                <w:b/>
                <w:bCs/>
                <w:color w:val="000000"/>
                <w:lang w:val="en-US" w:eastAsia="zh-CN"/>
              </w:rPr>
            </w:pPr>
            <w:r w:rsidRPr="008C2D37">
              <w:rPr>
                <w:rFonts w:ascii="Calibri" w:hAnsi="Calibri" w:cs="Calibri"/>
                <w:b/>
                <w:bCs/>
                <w:color w:val="000000"/>
                <w:lang w:val="en-US" w:eastAsia="zh-CN"/>
              </w:rPr>
              <w:t xml:space="preserve">INDONESIA </w:t>
            </w:r>
            <w:r w:rsidRPr="008C2D37">
              <w:rPr>
                <w:rFonts w:ascii="Calibri" w:hAnsi="Calibri" w:cs="Calibri"/>
                <w:b/>
                <w:bCs/>
                <w:color w:val="000000"/>
                <w:lang w:val="en-US" w:eastAsia="zh-CN"/>
              </w:rPr>
              <w:br/>
              <w:t>(Bali)</w:t>
            </w:r>
          </w:p>
        </w:tc>
      </w:tr>
      <w:tr w:rsidR="008857C6" w:rsidRPr="008857C6" w14:paraId="6C2A3909" w14:textId="77777777" w:rsidTr="008857C6">
        <w:trPr>
          <w:trHeight w:val="257"/>
        </w:trPr>
        <w:tc>
          <w:tcPr>
            <w:tcW w:w="4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DF6A" w14:textId="77777777" w:rsidR="008C2D37" w:rsidRPr="008C2D37" w:rsidRDefault="008C2D37" w:rsidP="008C2D37">
            <w:pPr>
              <w:tabs>
                <w:tab w:val="clear" w:pos="1247"/>
                <w:tab w:val="clear" w:pos="1814"/>
                <w:tab w:val="clear" w:pos="2381"/>
                <w:tab w:val="clear" w:pos="2948"/>
                <w:tab w:val="clear" w:pos="3515"/>
              </w:tabs>
              <w:rPr>
                <w:rFonts w:ascii="Calibri" w:hAnsi="Calibri" w:cs="Calibri"/>
                <w:b/>
                <w:bCs/>
                <w:color w:val="000000"/>
                <w:lang w:val="en-US" w:eastAsia="zh-CN"/>
              </w:rPr>
            </w:pPr>
            <w:r w:rsidRPr="008C2D37">
              <w:rPr>
                <w:rFonts w:ascii="Calibri" w:hAnsi="Calibri" w:cs="Calibri"/>
                <w:b/>
                <w:bCs/>
                <w:color w:val="000000"/>
                <w:lang w:val="en-US" w:eastAsia="zh-CN"/>
              </w:rPr>
              <w:t>Estimated travel costs of sponsored delegates (to be covered by the special trust fund) - in USD</w:t>
            </w:r>
          </w:p>
        </w:tc>
        <w:tc>
          <w:tcPr>
            <w:tcW w:w="1549" w:type="dxa"/>
            <w:tcBorders>
              <w:top w:val="single" w:sz="4" w:space="0" w:color="auto"/>
              <w:left w:val="nil"/>
              <w:bottom w:val="single" w:sz="4" w:space="0" w:color="auto"/>
              <w:right w:val="single" w:sz="4" w:space="0" w:color="auto"/>
            </w:tcBorders>
            <w:shd w:val="clear" w:color="auto" w:fill="auto"/>
            <w:noWrap/>
            <w:vAlign w:val="bottom"/>
            <w:hideMark/>
          </w:tcPr>
          <w:p w14:paraId="242CBCA7"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 </w:t>
            </w:r>
          </w:p>
        </w:tc>
        <w:tc>
          <w:tcPr>
            <w:tcW w:w="1279" w:type="dxa"/>
            <w:tcBorders>
              <w:top w:val="single" w:sz="4" w:space="0" w:color="auto"/>
              <w:left w:val="nil"/>
              <w:bottom w:val="single" w:sz="4" w:space="0" w:color="auto"/>
              <w:right w:val="single" w:sz="4" w:space="0" w:color="auto"/>
            </w:tcBorders>
            <w:shd w:val="clear" w:color="auto" w:fill="auto"/>
            <w:noWrap/>
            <w:vAlign w:val="bottom"/>
            <w:hideMark/>
          </w:tcPr>
          <w:p w14:paraId="634E0FA8"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 </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14:paraId="44BB9AB0"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 </w:t>
            </w:r>
          </w:p>
        </w:tc>
      </w:tr>
      <w:tr w:rsidR="008857C6" w:rsidRPr="008857C6" w14:paraId="52CF32E1" w14:textId="77777777" w:rsidTr="008857C6">
        <w:trPr>
          <w:trHeight w:val="257"/>
        </w:trPr>
        <w:tc>
          <w:tcPr>
            <w:tcW w:w="4118" w:type="dxa"/>
            <w:tcBorders>
              <w:top w:val="nil"/>
              <w:left w:val="single" w:sz="4" w:space="0" w:color="auto"/>
              <w:bottom w:val="single" w:sz="4" w:space="0" w:color="auto"/>
              <w:right w:val="single" w:sz="4" w:space="0" w:color="auto"/>
            </w:tcBorders>
            <w:shd w:val="clear" w:color="auto" w:fill="auto"/>
            <w:noWrap/>
            <w:vAlign w:val="bottom"/>
            <w:hideMark/>
          </w:tcPr>
          <w:p w14:paraId="2ADB0C13"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Costs of sponsored delegates</w:t>
            </w:r>
          </w:p>
        </w:tc>
        <w:tc>
          <w:tcPr>
            <w:tcW w:w="1549" w:type="dxa"/>
            <w:tcBorders>
              <w:top w:val="nil"/>
              <w:left w:val="nil"/>
              <w:bottom w:val="single" w:sz="4" w:space="0" w:color="auto"/>
              <w:right w:val="single" w:sz="4" w:space="0" w:color="auto"/>
            </w:tcBorders>
            <w:shd w:val="clear" w:color="auto" w:fill="auto"/>
            <w:noWrap/>
            <w:vAlign w:val="bottom"/>
            <w:hideMark/>
          </w:tcPr>
          <w:p w14:paraId="306B0DD8"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425,000</w:t>
            </w:r>
          </w:p>
        </w:tc>
        <w:tc>
          <w:tcPr>
            <w:tcW w:w="1279" w:type="dxa"/>
            <w:tcBorders>
              <w:top w:val="nil"/>
              <w:left w:val="nil"/>
              <w:bottom w:val="single" w:sz="4" w:space="0" w:color="auto"/>
              <w:right w:val="single" w:sz="4" w:space="0" w:color="auto"/>
            </w:tcBorders>
            <w:shd w:val="clear" w:color="auto" w:fill="auto"/>
            <w:noWrap/>
            <w:vAlign w:val="bottom"/>
            <w:hideMark/>
          </w:tcPr>
          <w:p w14:paraId="15FEE240"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461,082</w:t>
            </w:r>
          </w:p>
        </w:tc>
        <w:tc>
          <w:tcPr>
            <w:tcW w:w="1253" w:type="dxa"/>
            <w:tcBorders>
              <w:top w:val="nil"/>
              <w:left w:val="nil"/>
              <w:bottom w:val="single" w:sz="4" w:space="0" w:color="auto"/>
              <w:right w:val="single" w:sz="4" w:space="0" w:color="auto"/>
            </w:tcBorders>
            <w:shd w:val="clear" w:color="auto" w:fill="auto"/>
            <w:noWrap/>
            <w:vAlign w:val="bottom"/>
            <w:hideMark/>
          </w:tcPr>
          <w:p w14:paraId="6E3A6F5D"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349,618</w:t>
            </w:r>
          </w:p>
        </w:tc>
      </w:tr>
      <w:tr w:rsidR="008857C6" w:rsidRPr="008857C6" w14:paraId="100F6821" w14:textId="77777777" w:rsidTr="008857C6">
        <w:trPr>
          <w:trHeight w:val="257"/>
        </w:trPr>
        <w:tc>
          <w:tcPr>
            <w:tcW w:w="4118" w:type="dxa"/>
            <w:tcBorders>
              <w:top w:val="nil"/>
              <w:left w:val="single" w:sz="4" w:space="0" w:color="auto"/>
              <w:bottom w:val="single" w:sz="4" w:space="0" w:color="auto"/>
              <w:right w:val="single" w:sz="4" w:space="0" w:color="auto"/>
            </w:tcBorders>
            <w:shd w:val="clear" w:color="auto" w:fill="auto"/>
            <w:noWrap/>
            <w:vAlign w:val="bottom"/>
            <w:hideMark/>
          </w:tcPr>
          <w:p w14:paraId="71DFB162"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 xml:space="preserve">Additional travel costs for high level segment </w:t>
            </w:r>
          </w:p>
        </w:tc>
        <w:tc>
          <w:tcPr>
            <w:tcW w:w="1549" w:type="dxa"/>
            <w:tcBorders>
              <w:top w:val="nil"/>
              <w:left w:val="nil"/>
              <w:bottom w:val="single" w:sz="4" w:space="0" w:color="auto"/>
              <w:right w:val="single" w:sz="4" w:space="0" w:color="auto"/>
            </w:tcBorders>
            <w:shd w:val="clear" w:color="auto" w:fill="auto"/>
            <w:noWrap/>
            <w:vAlign w:val="bottom"/>
            <w:hideMark/>
          </w:tcPr>
          <w:p w14:paraId="2DA50007"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161,905</w:t>
            </w:r>
          </w:p>
        </w:tc>
        <w:tc>
          <w:tcPr>
            <w:tcW w:w="1279" w:type="dxa"/>
            <w:tcBorders>
              <w:top w:val="nil"/>
              <w:left w:val="nil"/>
              <w:bottom w:val="single" w:sz="4" w:space="0" w:color="auto"/>
              <w:right w:val="single" w:sz="4" w:space="0" w:color="auto"/>
            </w:tcBorders>
            <w:shd w:val="clear" w:color="auto" w:fill="auto"/>
            <w:noWrap/>
            <w:vAlign w:val="bottom"/>
            <w:hideMark/>
          </w:tcPr>
          <w:p w14:paraId="2DFED719"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175,650</w:t>
            </w:r>
          </w:p>
        </w:tc>
        <w:tc>
          <w:tcPr>
            <w:tcW w:w="1253" w:type="dxa"/>
            <w:tcBorders>
              <w:top w:val="nil"/>
              <w:left w:val="nil"/>
              <w:bottom w:val="single" w:sz="4" w:space="0" w:color="auto"/>
              <w:right w:val="single" w:sz="4" w:space="0" w:color="auto"/>
            </w:tcBorders>
            <w:shd w:val="clear" w:color="auto" w:fill="auto"/>
            <w:noWrap/>
            <w:vAlign w:val="bottom"/>
            <w:hideMark/>
          </w:tcPr>
          <w:p w14:paraId="248EA9A8"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color w:val="000000"/>
                <w:lang w:val="en-US" w:eastAsia="zh-CN"/>
              </w:rPr>
            </w:pPr>
            <w:r w:rsidRPr="008C2D37">
              <w:rPr>
                <w:rFonts w:ascii="Calibri" w:hAnsi="Calibri" w:cs="Calibri"/>
                <w:color w:val="000000"/>
                <w:lang w:val="en-US" w:eastAsia="zh-CN"/>
              </w:rPr>
              <w:t>133,188</w:t>
            </w:r>
          </w:p>
        </w:tc>
      </w:tr>
      <w:tr w:rsidR="008857C6" w:rsidRPr="008857C6" w14:paraId="5B738521" w14:textId="77777777" w:rsidTr="008857C6">
        <w:trPr>
          <w:trHeight w:val="257"/>
        </w:trPr>
        <w:tc>
          <w:tcPr>
            <w:tcW w:w="4118" w:type="dxa"/>
            <w:tcBorders>
              <w:top w:val="nil"/>
              <w:left w:val="single" w:sz="4" w:space="0" w:color="auto"/>
              <w:bottom w:val="single" w:sz="4" w:space="0" w:color="auto"/>
              <w:right w:val="single" w:sz="4" w:space="0" w:color="auto"/>
            </w:tcBorders>
            <w:shd w:val="clear" w:color="000000" w:fill="FFE699"/>
            <w:noWrap/>
            <w:vAlign w:val="bottom"/>
            <w:hideMark/>
          </w:tcPr>
          <w:p w14:paraId="3A1A6227"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Total estimated travel costs of sponsored delegates</w:t>
            </w:r>
          </w:p>
        </w:tc>
        <w:tc>
          <w:tcPr>
            <w:tcW w:w="1549" w:type="dxa"/>
            <w:tcBorders>
              <w:top w:val="nil"/>
              <w:left w:val="nil"/>
              <w:bottom w:val="single" w:sz="4" w:space="0" w:color="auto"/>
              <w:right w:val="single" w:sz="4" w:space="0" w:color="auto"/>
            </w:tcBorders>
            <w:shd w:val="clear" w:color="000000" w:fill="FFE699"/>
            <w:noWrap/>
            <w:vAlign w:val="bottom"/>
            <w:hideMark/>
          </w:tcPr>
          <w:p w14:paraId="2134336F"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586,905</w:t>
            </w:r>
          </w:p>
        </w:tc>
        <w:tc>
          <w:tcPr>
            <w:tcW w:w="1279" w:type="dxa"/>
            <w:tcBorders>
              <w:top w:val="nil"/>
              <w:left w:val="nil"/>
              <w:bottom w:val="single" w:sz="4" w:space="0" w:color="auto"/>
              <w:right w:val="single" w:sz="4" w:space="0" w:color="auto"/>
            </w:tcBorders>
            <w:shd w:val="clear" w:color="000000" w:fill="FFE699"/>
            <w:noWrap/>
            <w:vAlign w:val="bottom"/>
            <w:hideMark/>
          </w:tcPr>
          <w:p w14:paraId="6AA5E4D1"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636,732</w:t>
            </w:r>
          </w:p>
        </w:tc>
        <w:tc>
          <w:tcPr>
            <w:tcW w:w="1253" w:type="dxa"/>
            <w:tcBorders>
              <w:top w:val="nil"/>
              <w:left w:val="nil"/>
              <w:bottom w:val="single" w:sz="4" w:space="0" w:color="auto"/>
              <w:right w:val="single" w:sz="4" w:space="0" w:color="auto"/>
            </w:tcBorders>
            <w:shd w:val="clear" w:color="000000" w:fill="FFE699"/>
            <w:noWrap/>
            <w:vAlign w:val="bottom"/>
            <w:hideMark/>
          </w:tcPr>
          <w:p w14:paraId="7948084E" w14:textId="77777777" w:rsidR="008C2D37" w:rsidRPr="008C2D37" w:rsidRDefault="008C2D37" w:rsidP="008C2D37">
            <w:pPr>
              <w:tabs>
                <w:tab w:val="clear" w:pos="1247"/>
                <w:tab w:val="clear" w:pos="1814"/>
                <w:tab w:val="clear" w:pos="2381"/>
                <w:tab w:val="clear" w:pos="2948"/>
                <w:tab w:val="clear" w:pos="3515"/>
              </w:tabs>
              <w:jc w:val="right"/>
              <w:rPr>
                <w:rFonts w:ascii="Calibri" w:hAnsi="Calibri" w:cs="Calibri"/>
                <w:b/>
                <w:bCs/>
                <w:color w:val="000000"/>
                <w:lang w:val="en-US" w:eastAsia="zh-CN"/>
              </w:rPr>
            </w:pPr>
            <w:r w:rsidRPr="008C2D37">
              <w:rPr>
                <w:rFonts w:ascii="Calibri" w:hAnsi="Calibri" w:cs="Calibri"/>
                <w:b/>
                <w:bCs/>
                <w:color w:val="000000"/>
                <w:lang w:val="en-US" w:eastAsia="zh-CN"/>
              </w:rPr>
              <w:t>482,806</w:t>
            </w:r>
          </w:p>
        </w:tc>
      </w:tr>
    </w:tbl>
    <w:p w14:paraId="593A2327" w14:textId="77777777" w:rsidR="00CA7F92" w:rsidRDefault="00CA7F92" w:rsidP="001056A5">
      <w:pPr>
        <w:spacing w:after="120"/>
        <w:ind w:left="1247"/>
      </w:pPr>
    </w:p>
    <w:p w14:paraId="02053112" w14:textId="5389BDE1" w:rsidR="00B35A8B" w:rsidRDefault="00CA7F92" w:rsidP="002D24D3">
      <w:pPr>
        <w:pStyle w:val="Normalnumber"/>
        <w:tabs>
          <w:tab w:val="clear" w:pos="1134"/>
          <w:tab w:val="left" w:pos="1247"/>
          <w:tab w:val="left" w:pos="1871"/>
        </w:tabs>
      </w:pPr>
      <w:r>
        <w:t xml:space="preserve">The Secretariat would like to draw the attention of Parties to the fact that the fourth meeting of the Conference of the Parties will only take place in about two years and therefore, the Secretariat cannot anticipate the actual costs as costs are subject to change at any time. For example, the DSA rate for Cartagena has remained the same since August 2019 whereas the special DSA rates for Nusa </w:t>
      </w:r>
      <w:proofErr w:type="spellStart"/>
      <w:r>
        <w:t>Dua</w:t>
      </w:r>
      <w:proofErr w:type="spellEnd"/>
      <w:r>
        <w:t xml:space="preserve"> in effect since October 2018 have changed considerably as of 1 November 2019, the date of the latest survey undertaken by the International Civil Service Commission, on basis of which the DSA rates are determined. Furthermore, both Conference Services and UN Security shall make a definitive determination closer to the meeting regarding which UN staff would be deployed from which duty station, and UN Security will only be able to determine the actual needs in accordance with UN Security requirements following a verification mission.</w:t>
      </w:r>
    </w:p>
    <w:sectPr w:rsidR="00B35A8B" w:rsidSect="00D52EE8">
      <w:headerReference w:type="even" r:id="rId13"/>
      <w:headerReference w:type="default" r:id="rId14"/>
      <w:footerReference w:type="even" r:id="rId15"/>
      <w:footerReference w:type="default" r:id="rId16"/>
      <w:headerReference w:type="first" r:id="rId17"/>
      <w:footerReference w:type="first" r:id="rId18"/>
      <w:pgSz w:w="12240" w:h="15840"/>
      <w:pgMar w:top="1440" w:right="1325"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84C3B" w14:textId="77777777" w:rsidR="00B51077" w:rsidRDefault="00B51077" w:rsidP="00CA7F92">
      <w:r>
        <w:separator/>
      </w:r>
    </w:p>
  </w:endnote>
  <w:endnote w:type="continuationSeparator" w:id="0">
    <w:p w14:paraId="1AE96C51" w14:textId="77777777" w:rsidR="00B51077" w:rsidRDefault="00B51077" w:rsidP="00CA7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Roboto">
    <w:altName w:val="Times New Roman"/>
    <w:charset w:val="00"/>
    <w:family w:val="auto"/>
    <w:pitch w:val="variable"/>
    <w:sig w:usb0="E00002EF" w:usb1="5000205B" w:usb2="0000002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6761" w14:textId="31F22DE5" w:rsidR="00CA7F92" w:rsidRPr="001F5DBC" w:rsidRDefault="00CA7F92" w:rsidP="001F5DBC">
    <w:pPr>
      <w:pStyle w:val="Footer-pool"/>
    </w:pPr>
    <w:r w:rsidRPr="001F5DBC">
      <w:rPr>
        <w:rStyle w:val="PageNumber"/>
        <w:b/>
      </w:rPr>
      <w:fldChar w:fldCharType="begin"/>
    </w:r>
    <w:r w:rsidRPr="001F5DBC">
      <w:rPr>
        <w:rStyle w:val="PageNumber"/>
        <w:b/>
      </w:rPr>
      <w:instrText xml:space="preserve"> PAGE </w:instrText>
    </w:r>
    <w:r w:rsidRPr="001F5DBC">
      <w:rPr>
        <w:rStyle w:val="PageNumber"/>
        <w:b/>
      </w:rPr>
      <w:fldChar w:fldCharType="separate"/>
    </w:r>
    <w:r w:rsidR="008E623A">
      <w:rPr>
        <w:rStyle w:val="PageNumber"/>
        <w:b/>
        <w:noProof/>
      </w:rPr>
      <w:t>4</w:t>
    </w:r>
    <w:r w:rsidRPr="001F5DBC">
      <w:rPr>
        <w:rStyle w:val="PageNumber"/>
        <w: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31CE" w14:textId="133A5044" w:rsidR="00CA7F92" w:rsidRPr="001F5DBC" w:rsidRDefault="00CA7F92" w:rsidP="001F5DBC">
    <w:pPr>
      <w:pStyle w:val="Footer-pool"/>
      <w:jc w:val="right"/>
    </w:pPr>
    <w:r w:rsidRPr="001F5DBC">
      <w:rPr>
        <w:rStyle w:val="PageNumber"/>
        <w:b/>
      </w:rPr>
      <w:fldChar w:fldCharType="begin"/>
    </w:r>
    <w:r w:rsidRPr="001F5DBC">
      <w:rPr>
        <w:rStyle w:val="PageNumber"/>
        <w:b/>
      </w:rPr>
      <w:instrText xml:space="preserve"> PAGE </w:instrText>
    </w:r>
    <w:r w:rsidRPr="001F5DBC">
      <w:rPr>
        <w:rStyle w:val="PageNumber"/>
        <w:b/>
      </w:rPr>
      <w:fldChar w:fldCharType="separate"/>
    </w:r>
    <w:r w:rsidR="008E623A">
      <w:rPr>
        <w:rStyle w:val="PageNumber"/>
        <w:b/>
        <w:noProof/>
      </w:rPr>
      <w:t>3</w:t>
    </w:r>
    <w:r w:rsidRPr="001F5DBC">
      <w:rPr>
        <w:rStyle w:val="PageNumber"/>
        <w: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17960" w14:textId="2CBC323E" w:rsidR="00CA7F92" w:rsidRPr="00AA6123" w:rsidRDefault="00CA7F92" w:rsidP="008A7B83">
    <w:pPr>
      <w:pStyle w:val="Footer-pool"/>
    </w:pPr>
    <w:r w:rsidRPr="00AA6123">
      <w:rPr>
        <w:b w:val="0"/>
      </w:rPr>
      <w:t>K</w:t>
    </w:r>
    <w:r>
      <w:rPr>
        <w:b w:val="0"/>
      </w:rPr>
      <w:t>19</w:t>
    </w:r>
    <w:r w:rsidR="00596A8A">
      <w:rPr>
        <w:b w:val="0"/>
      </w:rPr>
      <w:t>0</w:t>
    </w:r>
    <w:r w:rsidR="00DC6EDE">
      <w:rPr>
        <w:b w:val="0"/>
      </w:rPr>
      <w:t>4</w:t>
    </w:r>
    <w:r w:rsidR="00596A8A">
      <w:rPr>
        <w:b w:val="0"/>
      </w:rPr>
      <w:t>835</w:t>
    </w:r>
    <w:r>
      <w:rPr>
        <w:b w:val="0"/>
      </w:rPr>
      <w:tab/>
    </w:r>
    <w:r w:rsidR="0092648E">
      <w:rPr>
        <w:b w:val="0"/>
      </w:rPr>
      <w:t>24</w:t>
    </w:r>
    <w:r w:rsidR="002D24D3">
      <w:rPr>
        <w:b w:val="0"/>
      </w:rPr>
      <w:t>11</w:t>
    </w:r>
    <w:r w:rsidRPr="00AA6123">
      <w:rPr>
        <w:b w:val="0"/>
      </w:rPr>
      <w:t>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2EFCE" w14:textId="77777777" w:rsidR="00B51077" w:rsidRDefault="00B51077" w:rsidP="00CA7F92">
      <w:r>
        <w:separator/>
      </w:r>
    </w:p>
  </w:footnote>
  <w:footnote w:type="continuationSeparator" w:id="0">
    <w:p w14:paraId="544BB5D1" w14:textId="77777777" w:rsidR="00B51077" w:rsidRDefault="00B51077" w:rsidP="00CA7F92">
      <w:r>
        <w:continuationSeparator/>
      </w:r>
    </w:p>
  </w:footnote>
  <w:footnote w:id="1">
    <w:p w14:paraId="5206B7DB" w14:textId="77777777" w:rsidR="00CA7F92" w:rsidRPr="0031459F" w:rsidRDefault="00CA7F92" w:rsidP="00CA7F92">
      <w:pPr>
        <w:tabs>
          <w:tab w:val="left" w:pos="624"/>
        </w:tabs>
        <w:spacing w:before="20" w:after="40"/>
        <w:ind w:left="1247"/>
        <w:rPr>
          <w:sz w:val="18"/>
          <w:szCs w:val="18"/>
        </w:rPr>
      </w:pPr>
      <w:r w:rsidRPr="0031459F">
        <w:rPr>
          <w:sz w:val="18"/>
          <w:szCs w:val="18"/>
        </w:rPr>
        <w:t>* UNEP/MC/COP.3/1.</w:t>
      </w:r>
    </w:p>
  </w:footnote>
  <w:footnote w:id="2">
    <w:p w14:paraId="69152180" w14:textId="1E454875" w:rsidR="00596A8A" w:rsidRPr="0092648E" w:rsidRDefault="00596A8A">
      <w:pPr>
        <w:pStyle w:val="FootnoteText"/>
        <w:rPr>
          <w:lang w:val="en-US"/>
        </w:rPr>
      </w:pPr>
      <w:r w:rsidRPr="0092648E">
        <w:rPr>
          <w:rStyle w:val="FootnoteReference"/>
          <w:vertAlign w:val="baseline"/>
        </w:rPr>
        <w:t>**</w:t>
      </w:r>
      <w:r>
        <w:t xml:space="preserve"> </w:t>
      </w:r>
      <w:r>
        <w:rPr>
          <w:lang w:val="en-US"/>
        </w:rPr>
        <w:t>This present document has not been formally edited.</w:t>
      </w:r>
    </w:p>
  </w:footnote>
  <w:footnote w:id="3">
    <w:p w14:paraId="66C82665" w14:textId="77777777" w:rsidR="00CA7F92" w:rsidRPr="0031459F" w:rsidRDefault="00CA7F92" w:rsidP="00CA7F92">
      <w:pPr>
        <w:pStyle w:val="FootnoteText"/>
        <w:rPr>
          <w:szCs w:val="18"/>
          <w:lang w:val="en-US"/>
        </w:rPr>
      </w:pPr>
      <w:r w:rsidRPr="0031459F">
        <w:rPr>
          <w:rStyle w:val="FootnoteReference"/>
        </w:rPr>
        <w:footnoteRef/>
      </w:r>
      <w:r w:rsidRPr="0031459F">
        <w:rPr>
          <w:szCs w:val="18"/>
          <w:lang w:val="en-US"/>
        </w:rPr>
        <w:t xml:space="preserve"> </w:t>
      </w:r>
      <w:r>
        <w:rPr>
          <w:szCs w:val="18"/>
          <w:lang w:val="en-US"/>
        </w:rPr>
        <w:t xml:space="preserve">Available at </w:t>
      </w:r>
      <w:r w:rsidRPr="0031459F">
        <w:rPr>
          <w:szCs w:val="18"/>
          <w:lang w:val="en-US"/>
        </w:rPr>
        <w:t>https://hr.un.org/content/guidelines-preparation-host-government-agreement-falling-under-general-assembly-resolution</w:t>
      </w:r>
      <w:r>
        <w:rPr>
          <w:szCs w:val="18"/>
          <w:lang w:val="en-US"/>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0EED2" w14:textId="59A11C73" w:rsidR="00CA7F92" w:rsidRPr="00CA5CA9" w:rsidRDefault="00CA7F92" w:rsidP="001224E5">
    <w:pPr>
      <w:pStyle w:val="Header-pool"/>
    </w:pPr>
    <w:r w:rsidRPr="00CA5CA9">
      <w:rPr>
        <w:bCs/>
      </w:rPr>
      <w:t>UNEP</w:t>
    </w:r>
    <w:r w:rsidRPr="00CA5CA9">
      <w:t>/</w:t>
    </w:r>
    <w:r>
      <w:t>MC</w:t>
    </w:r>
    <w:r w:rsidRPr="00CA5CA9">
      <w:t>/</w:t>
    </w:r>
    <w:r>
      <w:t>COP</w:t>
    </w:r>
    <w:r w:rsidRPr="007064E6">
      <w:t>.3/</w:t>
    </w:r>
    <w:r w:rsidRPr="007529DC">
      <w:t>INF/2</w:t>
    </w:r>
    <w:r>
      <w:t>3</w:t>
    </w:r>
    <w:r w:rsidR="00D52EE8">
      <w:t>/Rev.1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36EC3" w14:textId="4AB3BBFF" w:rsidR="00CA7F92" w:rsidRPr="00CA5CA9" w:rsidRDefault="00CA7F9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Pr="007064E6">
      <w:rPr>
        <w:szCs w:val="18"/>
      </w:rPr>
      <w:t>.3/</w:t>
    </w:r>
    <w:r w:rsidRPr="007529DC">
      <w:rPr>
        <w:szCs w:val="18"/>
      </w:rPr>
      <w:t>INF/2</w:t>
    </w:r>
    <w:r>
      <w:rPr>
        <w:szCs w:val="18"/>
      </w:rPr>
      <w:t>3</w:t>
    </w:r>
    <w:r w:rsidR="00D52EE8">
      <w:rPr>
        <w:szCs w:val="18"/>
      </w:rPr>
      <w:t>/Rev.1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890F6" w14:textId="77777777" w:rsidR="00CA7F92" w:rsidRDefault="00CA7F9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8005F"/>
    <w:multiLevelType w:val="hybridMultilevel"/>
    <w:tmpl w:val="7B50354A"/>
    <w:lvl w:ilvl="0" w:tplc="44B65F2E">
      <w:start w:val="1"/>
      <w:numFmt w:val="decimal"/>
      <w:lvlText w:val="%1."/>
      <w:lvlJc w:val="left"/>
      <w:pPr>
        <w:ind w:left="1890" w:hanging="360"/>
      </w:pPr>
      <w:rPr>
        <w:rFonts w:asciiTheme="majorBidi" w:hAnsiTheme="majorBidi" w:cstheme="majorBidi"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5EB05DF8"/>
    <w:multiLevelType w:val="hybridMultilevel"/>
    <w:tmpl w:val="89B20002"/>
    <w:lvl w:ilvl="0" w:tplc="B7BE97DA">
      <w:start w:val="1"/>
      <w:numFmt w:val="decimal"/>
      <w:lvlText w:val="%1."/>
      <w:lvlJc w:val="left"/>
      <w:pPr>
        <w:ind w:left="1607" w:hanging="360"/>
      </w:pPr>
      <w:rPr>
        <w:rFonts w:asciiTheme="majorBidi" w:hAnsiTheme="majorBidi" w:cstheme="majorBidi" w:hint="default"/>
      </w:rPr>
    </w:lvl>
    <w:lvl w:ilvl="1" w:tplc="04090019">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61C21A12"/>
    <w:multiLevelType w:val="hybridMultilevel"/>
    <w:tmpl w:val="D772BFC0"/>
    <w:lvl w:ilvl="0" w:tplc="44B65F2E">
      <w:start w:val="1"/>
      <w:numFmt w:val="decimal"/>
      <w:lvlText w:val="%1."/>
      <w:lvlJc w:val="left"/>
      <w:pPr>
        <w:ind w:left="1890" w:hanging="360"/>
      </w:pPr>
      <w:rPr>
        <w:rFonts w:asciiTheme="majorBidi" w:hAnsiTheme="majorBidi" w:cstheme="majorBidi"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624"/>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F92"/>
    <w:rsid w:val="00001522"/>
    <w:rsid w:val="000D2F66"/>
    <w:rsid w:val="001056A5"/>
    <w:rsid w:val="002D24D3"/>
    <w:rsid w:val="0034544A"/>
    <w:rsid w:val="003D4509"/>
    <w:rsid w:val="005416B5"/>
    <w:rsid w:val="00596A8A"/>
    <w:rsid w:val="0069119E"/>
    <w:rsid w:val="008616F9"/>
    <w:rsid w:val="008857C6"/>
    <w:rsid w:val="008C2D37"/>
    <w:rsid w:val="008E623A"/>
    <w:rsid w:val="0092648E"/>
    <w:rsid w:val="0094716F"/>
    <w:rsid w:val="00965BE5"/>
    <w:rsid w:val="00A11D44"/>
    <w:rsid w:val="00B007CE"/>
    <w:rsid w:val="00B35A8B"/>
    <w:rsid w:val="00B46855"/>
    <w:rsid w:val="00B51077"/>
    <w:rsid w:val="00BE58A0"/>
    <w:rsid w:val="00C25E3A"/>
    <w:rsid w:val="00C34A84"/>
    <w:rsid w:val="00CA7F92"/>
    <w:rsid w:val="00D172FC"/>
    <w:rsid w:val="00D52EE8"/>
    <w:rsid w:val="00DC6EDE"/>
    <w:rsid w:val="00EB2789"/>
    <w:rsid w:val="00F007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A246B"/>
  <w15:chartTrackingRefBased/>
  <w15:docId w15:val="{2E609E31-A34A-4BB8-9377-E88314C06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F92"/>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7F92"/>
    <w:rPr>
      <w:rFonts w:ascii="Times New Roman" w:hAnsi="Times New Roman"/>
      <w:b/>
      <w:sz w:val="18"/>
    </w:rPr>
  </w:style>
  <w:style w:type="paragraph" w:customStyle="1" w:styleId="CH2">
    <w:name w:val="CH2"/>
    <w:basedOn w:val="Normal"/>
    <w:next w:val="Normalnumber"/>
    <w:link w:val="CH2Char"/>
    <w:rsid w:val="00CA7F92"/>
    <w:pPr>
      <w:keepNext/>
      <w:keepLines/>
      <w:tabs>
        <w:tab w:val="right" w:pos="851"/>
        <w:tab w:val="left" w:pos="4082"/>
      </w:tabs>
      <w:suppressAutoHyphens/>
      <w:spacing w:before="240" w:after="120"/>
      <w:ind w:left="1247" w:right="284" w:hanging="1247"/>
    </w:pPr>
    <w:rPr>
      <w:b/>
      <w:sz w:val="24"/>
      <w:szCs w:val="24"/>
    </w:rPr>
  </w:style>
  <w:style w:type="paragraph" w:customStyle="1" w:styleId="Footer-pool">
    <w:name w:val="Footer-pool"/>
    <w:basedOn w:val="Normal-pool"/>
    <w:next w:val="Normal-pool"/>
    <w:rsid w:val="00CA7F92"/>
    <w:pPr>
      <w:tabs>
        <w:tab w:val="left" w:pos="4321"/>
        <w:tab w:val="right" w:pos="8641"/>
      </w:tabs>
      <w:spacing w:before="60" w:after="120"/>
    </w:pPr>
    <w:rPr>
      <w:b/>
      <w:sz w:val="18"/>
    </w:rPr>
  </w:style>
  <w:style w:type="paragraph" w:customStyle="1" w:styleId="Header-pool">
    <w:name w:val="Header-pool"/>
    <w:basedOn w:val="Normal-pool"/>
    <w:next w:val="Normal-pool"/>
    <w:rsid w:val="00CA7F92"/>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CA7F92"/>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
    <w:uiPriority w:val="99"/>
    <w:rsid w:val="00CA7F92"/>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rsid w:val="00CA7F92"/>
    <w:pPr>
      <w:tabs>
        <w:tab w:val="left" w:pos="4082"/>
      </w:tabs>
      <w:spacing w:before="20" w:after="40"/>
      <w:ind w:left="1247"/>
    </w:pPr>
    <w:rPr>
      <w:sz w:val="18"/>
      <w:lang w:val="fr-FR"/>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CA7F92"/>
    <w:rPr>
      <w:rFonts w:ascii="Times New Roman" w:eastAsia="Times New Roman" w:hAnsi="Times New Roman" w:cs="Times New Roman"/>
      <w:sz w:val="18"/>
      <w:szCs w:val="20"/>
      <w:lang w:val="fr-FR" w:eastAsia="en-US"/>
    </w:rPr>
  </w:style>
  <w:style w:type="paragraph" w:styleId="ListParagraph">
    <w:name w:val="List Paragraph"/>
    <w:basedOn w:val="Normal"/>
    <w:uiPriority w:val="34"/>
    <w:qFormat/>
    <w:rsid w:val="00CA7F92"/>
    <w:pPr>
      <w:ind w:left="720"/>
    </w:pPr>
  </w:style>
  <w:style w:type="paragraph" w:customStyle="1" w:styleId="AATitle">
    <w:name w:val="AA_Title"/>
    <w:basedOn w:val="Normal"/>
    <w:rsid w:val="00CA7F92"/>
    <w:pPr>
      <w:keepNext/>
      <w:keepLines/>
      <w:tabs>
        <w:tab w:val="left" w:pos="4082"/>
      </w:tabs>
      <w:suppressAutoHyphens/>
      <w:ind w:right="5103"/>
    </w:pPr>
    <w:rPr>
      <w:b/>
    </w:rPr>
  </w:style>
  <w:style w:type="paragraph" w:customStyle="1" w:styleId="AATitle2">
    <w:name w:val="AA_Title2"/>
    <w:basedOn w:val="AATitle"/>
    <w:rsid w:val="00CA7F92"/>
    <w:pPr>
      <w:tabs>
        <w:tab w:val="clear" w:pos="4082"/>
      </w:tabs>
      <w:spacing w:before="60"/>
      <w:ind w:right="4536"/>
    </w:pPr>
  </w:style>
  <w:style w:type="paragraph" w:customStyle="1" w:styleId="BBTitle">
    <w:name w:val="BB_Title"/>
    <w:basedOn w:val="Normal"/>
    <w:link w:val="BBTitleChar"/>
    <w:rsid w:val="00CA7F92"/>
    <w:pPr>
      <w:keepNext/>
      <w:keepLines/>
      <w:tabs>
        <w:tab w:val="left" w:pos="4082"/>
      </w:tabs>
      <w:suppressAutoHyphens/>
      <w:spacing w:before="320" w:after="240"/>
      <w:ind w:left="1247" w:right="567"/>
    </w:pPr>
    <w:rPr>
      <w:b/>
      <w:sz w:val="28"/>
      <w:szCs w:val="28"/>
    </w:rPr>
  </w:style>
  <w:style w:type="paragraph" w:styleId="Header">
    <w:name w:val="header"/>
    <w:basedOn w:val="Normal"/>
    <w:link w:val="HeaderChar"/>
    <w:semiHidden/>
    <w:rsid w:val="00CA7F92"/>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semiHidden/>
    <w:rsid w:val="00CA7F92"/>
    <w:rPr>
      <w:rFonts w:ascii="Times New Roman" w:eastAsia="Times New Roman" w:hAnsi="Times New Roman" w:cs="Times New Roman"/>
      <w:b/>
      <w:sz w:val="18"/>
      <w:szCs w:val="20"/>
      <w:lang w:val="en-GB" w:eastAsia="en-US"/>
    </w:rPr>
  </w:style>
  <w:style w:type="numbering" w:customStyle="1" w:styleId="Normallist">
    <w:name w:val="Normal_list"/>
    <w:basedOn w:val="NoList"/>
    <w:rsid w:val="00CA7F92"/>
    <w:pPr>
      <w:numPr>
        <w:numId w:val="1"/>
      </w:numPr>
    </w:pPr>
  </w:style>
  <w:style w:type="paragraph" w:customStyle="1" w:styleId="Normalnumber">
    <w:name w:val="Normal_number"/>
    <w:basedOn w:val="Normal"/>
    <w:link w:val="NormalnumberChar"/>
    <w:rsid w:val="00CA7F92"/>
    <w:pPr>
      <w:numPr>
        <w:numId w:val="1"/>
      </w:numPr>
      <w:tabs>
        <w:tab w:val="clear" w:pos="1247"/>
        <w:tab w:val="clear" w:pos="1814"/>
        <w:tab w:val="clear" w:pos="2381"/>
        <w:tab w:val="clear" w:pos="2948"/>
        <w:tab w:val="clear" w:pos="3515"/>
        <w:tab w:val="left" w:pos="624"/>
      </w:tabs>
      <w:spacing w:after="120"/>
    </w:pPr>
  </w:style>
  <w:style w:type="character" w:customStyle="1" w:styleId="BBTitleChar">
    <w:name w:val="BB_Title Char"/>
    <w:link w:val="BBTitle"/>
    <w:rsid w:val="00CA7F92"/>
    <w:rPr>
      <w:rFonts w:ascii="Times New Roman" w:eastAsia="Times New Roman" w:hAnsi="Times New Roman" w:cs="Times New Roman"/>
      <w:b/>
      <w:sz w:val="28"/>
      <w:szCs w:val="28"/>
      <w:lang w:val="en-GB" w:eastAsia="en-US"/>
    </w:rPr>
  </w:style>
  <w:style w:type="character" w:customStyle="1" w:styleId="CH2Char">
    <w:name w:val="CH2 Char"/>
    <w:link w:val="CH2"/>
    <w:rsid w:val="00CA7F92"/>
    <w:rPr>
      <w:rFonts w:ascii="Times New Roman" w:eastAsia="Times New Roman" w:hAnsi="Times New Roman" w:cs="Times New Roman"/>
      <w:b/>
      <w:sz w:val="24"/>
      <w:szCs w:val="24"/>
      <w:lang w:val="en-GB" w:eastAsia="en-US"/>
    </w:rPr>
  </w:style>
  <w:style w:type="character" w:customStyle="1" w:styleId="NormalnumberChar">
    <w:name w:val="Normal_number Char"/>
    <w:link w:val="Normalnumber"/>
    <w:locked/>
    <w:rsid w:val="00CA7F92"/>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CA7F92"/>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iPriority w:val="99"/>
    <w:semiHidden/>
    <w:unhideWhenUsed/>
    <w:rsid w:val="00CA7F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F92"/>
    <w:rPr>
      <w:rFonts w:ascii="Segoe UI" w:eastAsia="Times New Roman"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03461">
      <w:bodyDiv w:val="1"/>
      <w:marLeft w:val="0"/>
      <w:marRight w:val="0"/>
      <w:marTop w:val="0"/>
      <w:marBottom w:val="0"/>
      <w:divBdr>
        <w:top w:val="none" w:sz="0" w:space="0" w:color="auto"/>
        <w:left w:val="none" w:sz="0" w:space="0" w:color="auto"/>
        <w:bottom w:val="none" w:sz="0" w:space="0" w:color="auto"/>
        <w:right w:val="none" w:sz="0" w:space="0" w:color="auto"/>
      </w:divBdr>
    </w:div>
    <w:div w:id="844246580">
      <w:bodyDiv w:val="1"/>
      <w:marLeft w:val="0"/>
      <w:marRight w:val="0"/>
      <w:marTop w:val="0"/>
      <w:marBottom w:val="0"/>
      <w:divBdr>
        <w:top w:val="none" w:sz="0" w:space="0" w:color="auto"/>
        <w:left w:val="none" w:sz="0" w:space="0" w:color="auto"/>
        <w:bottom w:val="none" w:sz="0" w:space="0" w:color="auto"/>
        <w:right w:val="none" w:sz="0" w:space="0" w:color="auto"/>
      </w:divBdr>
    </w:div>
    <w:div w:id="207389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9D2B48D0DAA548A0AAE2775B2DD740" ma:contentTypeVersion="10" ma:contentTypeDescription="Create a new document." ma:contentTypeScope="" ma:versionID="7ffe59c308ef4df6cb7eba34134f2d98">
  <xsd:schema xmlns:xsd="http://www.w3.org/2001/XMLSchema" xmlns:xs="http://www.w3.org/2001/XMLSchema" xmlns:p="http://schemas.microsoft.com/office/2006/metadata/properties" xmlns:ns3="43cb8df9-f927-4f3d-851a-f299b11c6a21" xmlns:ns4="45086d35-8c75-448c-9768-fc102d8752f9" targetNamespace="http://schemas.microsoft.com/office/2006/metadata/properties" ma:root="true" ma:fieldsID="0ce30220e6c323c5859c665323bf171a" ns3:_="" ns4:_="">
    <xsd:import namespace="43cb8df9-f927-4f3d-851a-f299b11c6a21"/>
    <xsd:import namespace="45086d35-8c75-448c-9768-fc102d8752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b8df9-f927-4f3d-851a-f299b11c6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086d35-8c75-448c-9768-fc102d8752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9082E9-48F1-4A9C-8084-B3B0AD7806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783DF4-C529-442C-A5B0-796172C5A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b8df9-f927-4f3d-851a-f299b11c6a21"/>
    <ds:schemaRef ds:uri="45086d35-8c75-448c-9768-fc102d875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11EA4-76FA-4F72-B3C3-053F70CA33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1705</Words>
  <Characters>9721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Ruecker</dc:creator>
  <cp:keywords/>
  <dc:description/>
  <cp:lastModifiedBy>Badi Mohamed</cp:lastModifiedBy>
  <cp:revision>2</cp:revision>
  <dcterms:created xsi:type="dcterms:W3CDTF">2019-11-24T16:00:00Z</dcterms:created>
  <dcterms:modified xsi:type="dcterms:W3CDTF">2019-11-24T16:00:00Z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0x0101009E9D2B48D0DAA548A0AAE2775B2DD740</vt:lpwstr>
  </property>
</Properties>
</file>