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D25175" w14:paraId="4B9F0F9B" w14:textId="77777777" w:rsidTr="00CB007D">
        <w:trPr>
          <w:cantSplit/>
          <w:trHeight w:val="850"/>
          <w:jc w:val="right"/>
        </w:trPr>
        <w:tc>
          <w:tcPr>
            <w:tcW w:w="1550" w:type="dxa"/>
          </w:tcPr>
          <w:p w14:paraId="2A9B9F9D" w14:textId="5E7D4162" w:rsidR="00032E4E" w:rsidRPr="00B8400F" w:rsidRDefault="00032E4E" w:rsidP="00B8400F">
            <w:pPr>
              <w:pStyle w:val="Normal-pool"/>
              <w:rPr>
                <w:rFonts w:ascii="Arial" w:hAnsi="Arial" w:cs="Arial"/>
                <w:b/>
                <w:noProof/>
                <w:sz w:val="27"/>
                <w:szCs w:val="27"/>
              </w:rPr>
            </w:pPr>
            <w:r w:rsidRPr="00B8400F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 w:rsidR="00F96F7E" w:rsidRPr="00B8400F">
              <w:rPr>
                <w:rFonts w:ascii="Arial" w:hAnsi="Arial" w:cs="Arial"/>
                <w:b/>
                <w:noProof/>
                <w:sz w:val="27"/>
                <w:szCs w:val="27"/>
              </w:rPr>
              <w:t xml:space="preserve"> </w:t>
            </w:r>
            <w:r w:rsidRPr="00B8400F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4751" w:type="dxa"/>
          </w:tcPr>
          <w:p w14:paraId="2F47229A" w14:textId="77777777" w:rsidR="00032E4E" w:rsidRPr="00B8400F" w:rsidRDefault="00032E4E" w:rsidP="00B8400F">
            <w:pPr>
              <w:pStyle w:val="Normal-pool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411" w:type="dxa"/>
          </w:tcPr>
          <w:p w14:paraId="57073C3F" w14:textId="77777777" w:rsidR="00032E4E" w:rsidRPr="00B8400F" w:rsidRDefault="00787688" w:rsidP="00B8400F">
            <w:pPr>
              <w:pStyle w:val="Normal-pool"/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B8400F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D25175" w14:paraId="0DEAC680" w14:textId="77777777" w:rsidTr="00CB007D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30269B88" w14:textId="77777777" w:rsidR="00032E4E" w:rsidRPr="00D25175" w:rsidRDefault="00032E4E" w:rsidP="00B8400F">
            <w:pPr>
              <w:pStyle w:val="Normal-pool"/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54296B4D" w14:textId="77777777" w:rsidR="00032E4E" w:rsidRPr="00D25175" w:rsidRDefault="00032E4E" w:rsidP="00B8400F">
            <w:pPr>
              <w:pStyle w:val="Normal-pool"/>
              <w:rPr>
                <w:rFonts w:ascii="Univers" w:hAnsi="Univers"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540639F8" w14:textId="3CF952E5" w:rsidR="00032E4E" w:rsidRPr="00D25175" w:rsidRDefault="00032E4E" w:rsidP="00B8400F">
            <w:pPr>
              <w:pStyle w:val="Normal-pool"/>
              <w:rPr>
                <w:noProof/>
                <w:sz w:val="18"/>
                <w:szCs w:val="18"/>
              </w:rPr>
            </w:pPr>
            <w:r w:rsidRPr="00B8400F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B8400F">
              <w:rPr>
                <w:bCs/>
              </w:rPr>
              <w:t>/</w:t>
            </w:r>
            <w:r w:rsidR="00787688" w:rsidRPr="00D25175">
              <w:t>MC</w:t>
            </w:r>
            <w:r w:rsidRPr="00D25175">
              <w:t>/</w:t>
            </w:r>
            <w:bookmarkEnd w:id="0"/>
            <w:bookmarkEnd w:id="1"/>
            <w:r w:rsidR="00787688" w:rsidRPr="00D25175">
              <w:t>COP.</w:t>
            </w:r>
            <w:r w:rsidR="000A7C0C">
              <w:t>3</w:t>
            </w:r>
            <w:r w:rsidRPr="00D25175">
              <w:t>/</w:t>
            </w:r>
            <w:r w:rsidR="005B25C1">
              <w:t>INF/2</w:t>
            </w:r>
            <w:r w:rsidR="00D90444">
              <w:t>2</w:t>
            </w:r>
          </w:p>
        </w:tc>
      </w:tr>
      <w:bookmarkStart w:id="2" w:name="_MON_1021710482"/>
      <w:bookmarkEnd w:id="2"/>
      <w:bookmarkStart w:id="3" w:name="_MON_1021710510"/>
      <w:bookmarkEnd w:id="3"/>
      <w:tr w:rsidR="00032E4E" w:rsidRPr="00D25175" w14:paraId="34AA74B4" w14:textId="77777777" w:rsidTr="00CB007D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D25175" w:rsidRDefault="00032E4E" w:rsidP="00B8400F">
            <w:pPr>
              <w:pStyle w:val="Normal-pool"/>
              <w:rPr>
                <w:noProof/>
              </w:rPr>
            </w:pPr>
            <w:r w:rsidRPr="00D25175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pt;height:61pt" o:ole="" fillcolor="window">
                  <v:imagedata r:id="rId11" o:title=""/>
                </v:shape>
                <o:OLEObject Type="Embed" ProgID="Word.Picture.8" ShapeID="_x0000_i1025" DrawAspect="Content" ObjectID="_1631687261" r:id="rId12"/>
              </w:object>
            </w:r>
            <w:r w:rsidR="00011A16" w:rsidRPr="00D25175">
              <w:rPr>
                <w:noProof/>
                <w:lang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507BE10F" w:rsidR="00032E4E" w:rsidRPr="00B8400F" w:rsidRDefault="00032E4E" w:rsidP="00B8400F">
            <w:pPr>
              <w:pStyle w:val="Normal-pool"/>
              <w:spacing w:before="1200"/>
              <w:rPr>
                <w:rFonts w:ascii="Arial" w:hAnsi="Arial" w:cs="Arial"/>
                <w:b/>
                <w:sz w:val="28"/>
              </w:rPr>
            </w:pPr>
            <w:r w:rsidRPr="00B8400F">
              <w:rPr>
                <w:rFonts w:ascii="Arial" w:hAnsi="Arial" w:cs="Arial"/>
                <w:b/>
                <w:sz w:val="32"/>
                <w:szCs w:val="32"/>
              </w:rPr>
              <w:t>United Nations</w:t>
            </w:r>
            <w:r w:rsidR="005B2DF4" w:rsidRPr="00B8400F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B8400F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Environment</w:t>
            </w:r>
            <w:r w:rsidR="005B2DF4" w:rsidRPr="00B8400F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B8400F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624B34CE" w:rsidR="00032E4E" w:rsidRPr="00D25175" w:rsidRDefault="00032E4E" w:rsidP="00B8400F">
            <w:pPr>
              <w:pStyle w:val="Normal-pool"/>
              <w:spacing w:before="120"/>
            </w:pPr>
            <w:r w:rsidRPr="00D25175">
              <w:t>Distr.: General</w:t>
            </w:r>
            <w:r w:rsidR="005B2DF4">
              <w:t xml:space="preserve"> </w:t>
            </w:r>
            <w:r w:rsidR="00F96F7E">
              <w:br/>
            </w:r>
            <w:r w:rsidR="007C78EE">
              <w:t xml:space="preserve">27 </w:t>
            </w:r>
            <w:r w:rsidR="00AA6123">
              <w:t>September</w:t>
            </w:r>
            <w:r w:rsidR="007C78EE">
              <w:t xml:space="preserve"> </w:t>
            </w:r>
            <w:r w:rsidR="0042266F" w:rsidRPr="00D25175">
              <w:t>201</w:t>
            </w:r>
            <w:r w:rsidR="000A7C0C">
              <w:t>9</w:t>
            </w:r>
          </w:p>
          <w:p w14:paraId="1A75CF9D" w14:textId="4C8BCBC9" w:rsidR="00032E4E" w:rsidRPr="00D25175" w:rsidRDefault="00032E4E" w:rsidP="00B8400F">
            <w:pPr>
              <w:pStyle w:val="Normal-pool"/>
              <w:spacing w:before="120"/>
            </w:pPr>
            <w:r w:rsidRPr="00D25175">
              <w:t>English</w:t>
            </w:r>
            <w:r w:rsidR="007064E6">
              <w:t xml:space="preserve"> only</w:t>
            </w:r>
          </w:p>
        </w:tc>
      </w:tr>
    </w:tbl>
    <w:p w14:paraId="0A4BFFDA" w14:textId="30575E0E" w:rsidR="00E976AB" w:rsidRPr="00D25175" w:rsidRDefault="00CB007D" w:rsidP="00E976AB">
      <w:pPr>
        <w:pStyle w:val="AATitle"/>
        <w:keepNext w:val="0"/>
        <w:keepLines w:val="0"/>
      </w:pPr>
      <w:r w:rsidRPr="00D25175">
        <w:t>Conference of the Parties</w:t>
      </w:r>
      <w:r>
        <w:t xml:space="preserve"> to the</w:t>
      </w:r>
      <w:r w:rsidR="005B2DF4">
        <w:t xml:space="preserve"> </w:t>
      </w:r>
      <w:r w:rsidR="005B2DF4">
        <w:br/>
      </w:r>
      <w:proofErr w:type="spellStart"/>
      <w:r w:rsidR="00787688" w:rsidRPr="00D25175">
        <w:t>Minamata</w:t>
      </w:r>
      <w:proofErr w:type="spellEnd"/>
      <w:r w:rsidR="00787688" w:rsidRPr="00D25175">
        <w:t xml:space="preserve"> Convention on Mercury</w:t>
      </w:r>
    </w:p>
    <w:p w14:paraId="26A6CAA0" w14:textId="65393398" w:rsidR="00E976AB" w:rsidRPr="00D25175" w:rsidRDefault="00F96F7E" w:rsidP="00E976AB">
      <w:pPr>
        <w:pStyle w:val="AATitle"/>
        <w:keepNext w:val="0"/>
        <w:keepLines w:val="0"/>
      </w:pPr>
      <w:r>
        <w:t>Third</w:t>
      </w:r>
      <w:r w:rsidR="00787688" w:rsidRPr="00D25175">
        <w:t xml:space="preserve"> meeting</w:t>
      </w:r>
    </w:p>
    <w:p w14:paraId="67B82F12" w14:textId="15AA025C" w:rsidR="00787688" w:rsidRDefault="00787688" w:rsidP="00434321">
      <w:pPr>
        <w:pStyle w:val="AATitle"/>
        <w:rPr>
          <w:b w:val="0"/>
        </w:rPr>
      </w:pPr>
      <w:r w:rsidRPr="00D25175">
        <w:rPr>
          <w:b w:val="0"/>
        </w:rPr>
        <w:t>Geneva</w:t>
      </w:r>
      <w:r w:rsidR="00E976AB" w:rsidRPr="00D25175">
        <w:rPr>
          <w:b w:val="0"/>
        </w:rPr>
        <w:t xml:space="preserve">, </w:t>
      </w:r>
      <w:r w:rsidR="000A7C0C">
        <w:rPr>
          <w:b w:val="0"/>
        </w:rPr>
        <w:t>25</w:t>
      </w:r>
      <w:r w:rsidR="00325D38" w:rsidRPr="00D25175">
        <w:rPr>
          <w:b w:val="0"/>
        </w:rPr>
        <w:t>–</w:t>
      </w:r>
      <w:r w:rsidR="000A7C0C">
        <w:rPr>
          <w:b w:val="0"/>
        </w:rPr>
        <w:t>29</w:t>
      </w:r>
      <w:r w:rsidR="00325D38" w:rsidRPr="00D25175">
        <w:rPr>
          <w:b w:val="0"/>
        </w:rPr>
        <w:t xml:space="preserve"> </w:t>
      </w:r>
      <w:r w:rsidR="00434321">
        <w:rPr>
          <w:b w:val="0"/>
        </w:rPr>
        <w:t>November 201</w:t>
      </w:r>
      <w:r w:rsidR="000A7C0C">
        <w:rPr>
          <w:b w:val="0"/>
        </w:rPr>
        <w:t>9</w:t>
      </w:r>
    </w:p>
    <w:p w14:paraId="2CC43E18" w14:textId="77777777" w:rsidR="005B25C1" w:rsidRPr="006511BA" w:rsidRDefault="005B25C1" w:rsidP="005B25C1">
      <w:pPr>
        <w:pStyle w:val="AATitle"/>
        <w:rPr>
          <w:b w:val="0"/>
          <w:lang w:val="en-US"/>
        </w:rPr>
      </w:pPr>
      <w:r w:rsidRPr="006511BA">
        <w:rPr>
          <w:b w:val="0"/>
          <w:lang w:val="en-US"/>
        </w:rPr>
        <w:t>Item</w:t>
      </w:r>
      <w:r>
        <w:rPr>
          <w:b w:val="0"/>
          <w:lang w:val="en-US"/>
        </w:rPr>
        <w:t xml:space="preserve"> 8</w:t>
      </w:r>
      <w:r w:rsidRPr="006511BA">
        <w:rPr>
          <w:b w:val="0"/>
          <w:lang w:val="en-US"/>
        </w:rPr>
        <w:t xml:space="preserve"> of the provisional agenda</w:t>
      </w:r>
      <w:r w:rsidRPr="006511BA">
        <w:rPr>
          <w:b w:val="0"/>
          <w:lang w:val="en-US"/>
        </w:rPr>
        <w:footnoteReference w:customMarkFollows="1" w:id="1"/>
        <w:t>*</w:t>
      </w:r>
    </w:p>
    <w:p w14:paraId="7F8EF7F4" w14:textId="798C1E60" w:rsidR="005B25C1" w:rsidRPr="00D25175" w:rsidRDefault="005B25C1" w:rsidP="005B25C1">
      <w:pPr>
        <w:pStyle w:val="AATitle2"/>
      </w:pPr>
      <w:r>
        <w:t xml:space="preserve">Venue and date of the fourth meeting of the </w:t>
      </w:r>
      <w:r w:rsidR="001F5DBC">
        <w:br/>
      </w:r>
      <w:r>
        <w:t>Conference of the Parties</w:t>
      </w:r>
    </w:p>
    <w:p w14:paraId="2ACB58A8" w14:textId="6B966747" w:rsidR="005B25C1" w:rsidRDefault="005B25C1" w:rsidP="005B25C1">
      <w:pPr>
        <w:pStyle w:val="BBTitle"/>
      </w:pPr>
      <w:r>
        <w:t>Venue and date of the fourth meeting of the Conference of the Parties</w:t>
      </w:r>
    </w:p>
    <w:p w14:paraId="5614F92D" w14:textId="77777777" w:rsidR="005B25C1" w:rsidRPr="004C2AB4" w:rsidRDefault="005B25C1" w:rsidP="005B25C1">
      <w:pPr>
        <w:pStyle w:val="CH2"/>
      </w:pPr>
      <w:r>
        <w:tab/>
      </w:r>
      <w:r>
        <w:tab/>
      </w:r>
      <w:r w:rsidRPr="00035ED3">
        <w:t>Note by the secretariat</w:t>
      </w:r>
    </w:p>
    <w:p w14:paraId="7DA80C82" w14:textId="4F616B57" w:rsidR="005B25C1" w:rsidRPr="004935D5" w:rsidRDefault="005B25C1" w:rsidP="008A7B83">
      <w:pPr>
        <w:pStyle w:val="NormalNonumber"/>
        <w:rPr>
          <w:lang w:val="en-AU"/>
        </w:rPr>
      </w:pPr>
      <w:r w:rsidRPr="004935D5">
        <w:rPr>
          <w:lang w:val="en-US"/>
        </w:rPr>
        <w:t xml:space="preserve">The </w:t>
      </w:r>
      <w:r w:rsidR="0064343F" w:rsidRPr="004935D5">
        <w:rPr>
          <w:lang w:val="en-US"/>
        </w:rPr>
        <w:t xml:space="preserve">annexes to the </w:t>
      </w:r>
      <w:r w:rsidRPr="004935D5">
        <w:rPr>
          <w:lang w:val="en-US"/>
        </w:rPr>
        <w:t xml:space="preserve">present note </w:t>
      </w:r>
      <w:r w:rsidR="0064343F" w:rsidRPr="004935D5">
        <w:rPr>
          <w:lang w:val="en-US"/>
        </w:rPr>
        <w:t xml:space="preserve">provide </w:t>
      </w:r>
      <w:r w:rsidR="00991671">
        <w:rPr>
          <w:lang w:val="en-US"/>
        </w:rPr>
        <w:t>additional</w:t>
      </w:r>
      <w:r w:rsidR="00991671" w:rsidRPr="004935D5">
        <w:rPr>
          <w:lang w:val="en-US"/>
        </w:rPr>
        <w:t xml:space="preserve"> </w:t>
      </w:r>
      <w:r w:rsidR="0064343F" w:rsidRPr="004935D5">
        <w:rPr>
          <w:lang w:val="en-US"/>
        </w:rPr>
        <w:t xml:space="preserve">information on the offer by the Government of </w:t>
      </w:r>
      <w:r w:rsidR="00F31CB1" w:rsidRPr="004935D5">
        <w:rPr>
          <w:lang w:val="en-US"/>
        </w:rPr>
        <w:t xml:space="preserve">Colombia </w:t>
      </w:r>
      <w:r w:rsidR="0064343F" w:rsidRPr="004935D5">
        <w:rPr>
          <w:lang w:val="en-US"/>
        </w:rPr>
        <w:t xml:space="preserve">to host the fourth meeting of the Conference of the Parties to the </w:t>
      </w:r>
      <w:proofErr w:type="spellStart"/>
      <w:r w:rsidR="0064343F" w:rsidRPr="004935D5">
        <w:rPr>
          <w:lang w:val="en-US"/>
        </w:rPr>
        <w:t>Minamata</w:t>
      </w:r>
      <w:proofErr w:type="spellEnd"/>
      <w:r w:rsidR="0064343F" w:rsidRPr="004935D5">
        <w:rPr>
          <w:lang w:val="en-US"/>
        </w:rPr>
        <w:t xml:space="preserve"> Convention</w:t>
      </w:r>
      <w:r w:rsidR="00973288" w:rsidRPr="004935D5">
        <w:rPr>
          <w:lang w:val="en-US"/>
        </w:rPr>
        <w:t xml:space="preserve"> (see document UNEP/MC/COP.3/22)</w:t>
      </w:r>
      <w:r w:rsidR="0064343F" w:rsidRPr="004935D5">
        <w:rPr>
          <w:lang w:val="en-US"/>
        </w:rPr>
        <w:t xml:space="preserve">. </w:t>
      </w:r>
      <w:r w:rsidR="00973288" w:rsidRPr="004935D5">
        <w:rPr>
          <w:lang w:val="en-US"/>
        </w:rPr>
        <w:t>A</w:t>
      </w:r>
      <w:r w:rsidR="0064343F" w:rsidRPr="004935D5">
        <w:rPr>
          <w:lang w:val="en-US"/>
        </w:rPr>
        <w:t xml:space="preserve"> note </w:t>
      </w:r>
      <w:proofErr w:type="spellStart"/>
      <w:r w:rsidR="0064343F" w:rsidRPr="004935D5">
        <w:rPr>
          <w:lang w:val="en-US"/>
        </w:rPr>
        <w:t>verbale</w:t>
      </w:r>
      <w:proofErr w:type="spellEnd"/>
      <w:r w:rsidR="0064343F" w:rsidRPr="004935D5">
        <w:rPr>
          <w:lang w:val="en-US"/>
        </w:rPr>
        <w:t xml:space="preserve"> dated 2</w:t>
      </w:r>
      <w:r w:rsidR="00F31CB1" w:rsidRPr="004935D5">
        <w:rPr>
          <w:lang w:val="en-US"/>
        </w:rPr>
        <w:t>3</w:t>
      </w:r>
      <w:r w:rsidR="0064343F" w:rsidRPr="004935D5">
        <w:rPr>
          <w:lang w:val="en-US"/>
        </w:rPr>
        <w:t xml:space="preserve"> September 2019 </w:t>
      </w:r>
      <w:r w:rsidR="00142322" w:rsidRPr="004935D5">
        <w:rPr>
          <w:lang w:val="en-US"/>
        </w:rPr>
        <w:t xml:space="preserve">from the Permanent Mission of </w:t>
      </w:r>
      <w:r w:rsidR="00F31CB1" w:rsidRPr="004935D5">
        <w:rPr>
          <w:lang w:val="en-US"/>
        </w:rPr>
        <w:t>Colombia</w:t>
      </w:r>
      <w:r w:rsidR="00142322" w:rsidRPr="004935D5">
        <w:rPr>
          <w:lang w:val="en-US"/>
        </w:rPr>
        <w:t xml:space="preserve"> to the United Nations</w:t>
      </w:r>
      <w:r w:rsidR="00142322" w:rsidRPr="004935D5" w:rsidDel="0064343F">
        <w:rPr>
          <w:lang w:val="en-US"/>
        </w:rPr>
        <w:t xml:space="preserve"> </w:t>
      </w:r>
      <w:r w:rsidR="00142322" w:rsidRPr="004935D5">
        <w:rPr>
          <w:lang w:val="en-US"/>
        </w:rPr>
        <w:t>in Geneva</w:t>
      </w:r>
      <w:r w:rsidR="00541552">
        <w:rPr>
          <w:lang w:val="en-US"/>
        </w:rPr>
        <w:t>,</w:t>
      </w:r>
      <w:r w:rsidR="00142322" w:rsidRPr="004935D5">
        <w:rPr>
          <w:lang w:val="en-US"/>
        </w:rPr>
        <w:t xml:space="preserve"> </w:t>
      </w:r>
      <w:r w:rsidR="00973288" w:rsidRPr="004935D5">
        <w:rPr>
          <w:lang w:val="en-US"/>
        </w:rPr>
        <w:t xml:space="preserve">and a letter </w:t>
      </w:r>
      <w:r w:rsidR="00354D5A" w:rsidRPr="004935D5">
        <w:rPr>
          <w:lang w:val="en-US"/>
        </w:rPr>
        <w:t xml:space="preserve">dated </w:t>
      </w:r>
      <w:r w:rsidR="00F31CB1" w:rsidRPr="004935D5">
        <w:rPr>
          <w:lang w:val="en-US"/>
        </w:rPr>
        <w:t>20 September</w:t>
      </w:r>
      <w:r w:rsidR="00142322" w:rsidRPr="004935D5">
        <w:rPr>
          <w:lang w:val="en-US"/>
        </w:rPr>
        <w:t xml:space="preserve"> 2019 </w:t>
      </w:r>
      <w:r w:rsidR="00973288" w:rsidRPr="004935D5">
        <w:rPr>
          <w:lang w:val="en-US"/>
        </w:rPr>
        <w:t>from Ms.</w:t>
      </w:r>
      <w:r w:rsidR="00354D5A" w:rsidRPr="004935D5">
        <w:rPr>
          <w:lang w:val="en-US"/>
        </w:rPr>
        <w:t> </w:t>
      </w:r>
      <w:r w:rsidR="00F31CB1" w:rsidRPr="004935D5">
        <w:rPr>
          <w:lang w:val="en-US"/>
        </w:rPr>
        <w:t>Adriana Mejia Hernandez</w:t>
      </w:r>
      <w:r w:rsidRPr="004935D5">
        <w:rPr>
          <w:lang w:val="en-US"/>
        </w:rPr>
        <w:t xml:space="preserve">, </w:t>
      </w:r>
      <w:r w:rsidR="00F31CB1" w:rsidRPr="004935D5">
        <w:rPr>
          <w:lang w:val="en-US"/>
        </w:rPr>
        <w:t>Vice</w:t>
      </w:r>
      <w:r w:rsidR="00991671">
        <w:rPr>
          <w:lang w:val="en-US"/>
        </w:rPr>
        <w:t>-</w:t>
      </w:r>
      <w:r w:rsidR="00F31CB1" w:rsidRPr="004935D5">
        <w:rPr>
          <w:lang w:val="en-US"/>
        </w:rPr>
        <w:t xml:space="preserve">Minister for Multilateral Affairs and Acting Minister </w:t>
      </w:r>
      <w:r w:rsidR="00991671">
        <w:rPr>
          <w:lang w:val="en-US"/>
        </w:rPr>
        <w:t>for</w:t>
      </w:r>
      <w:r w:rsidR="00991671" w:rsidRPr="004935D5">
        <w:rPr>
          <w:lang w:val="en-US"/>
        </w:rPr>
        <w:t xml:space="preserve"> </w:t>
      </w:r>
      <w:r w:rsidR="00F31CB1" w:rsidRPr="004935D5">
        <w:rPr>
          <w:lang w:val="en-US"/>
        </w:rPr>
        <w:t xml:space="preserve">Foreign </w:t>
      </w:r>
      <w:r w:rsidR="00A5632C" w:rsidRPr="004935D5">
        <w:rPr>
          <w:lang w:val="en-US"/>
        </w:rPr>
        <w:t>Affairs of</w:t>
      </w:r>
      <w:r w:rsidR="00142322" w:rsidRPr="004935D5">
        <w:rPr>
          <w:lang w:val="en-US"/>
        </w:rPr>
        <w:t xml:space="preserve"> </w:t>
      </w:r>
      <w:r w:rsidR="00F31CB1" w:rsidRPr="004935D5">
        <w:rPr>
          <w:lang w:val="en-US"/>
        </w:rPr>
        <w:t>Colombia</w:t>
      </w:r>
      <w:r w:rsidR="00142322" w:rsidRPr="004935D5">
        <w:rPr>
          <w:lang w:val="en-US"/>
        </w:rPr>
        <w:t xml:space="preserve">, </w:t>
      </w:r>
      <w:r w:rsidRPr="004935D5">
        <w:rPr>
          <w:lang w:val="en-AU"/>
        </w:rPr>
        <w:t xml:space="preserve">regarding </w:t>
      </w:r>
      <w:r w:rsidR="00973288" w:rsidRPr="004935D5">
        <w:rPr>
          <w:lang w:val="en-AU"/>
        </w:rPr>
        <w:t xml:space="preserve">the </w:t>
      </w:r>
      <w:r w:rsidRPr="004935D5">
        <w:rPr>
          <w:lang w:val="en-AU"/>
        </w:rPr>
        <w:t>offer</w:t>
      </w:r>
      <w:r w:rsidR="00354D5A" w:rsidRPr="004935D5">
        <w:rPr>
          <w:lang w:val="en-AU"/>
        </w:rPr>
        <w:t>, are set out in annex </w:t>
      </w:r>
      <w:r w:rsidR="00142322" w:rsidRPr="004935D5">
        <w:rPr>
          <w:lang w:val="en-AU"/>
        </w:rPr>
        <w:t>I</w:t>
      </w:r>
      <w:r w:rsidRPr="004935D5">
        <w:rPr>
          <w:lang w:val="en-AU"/>
        </w:rPr>
        <w:t xml:space="preserve">. </w:t>
      </w:r>
      <w:r w:rsidR="00F31CB1" w:rsidRPr="004935D5">
        <w:rPr>
          <w:lang w:val="en-AU"/>
        </w:rPr>
        <w:t xml:space="preserve">A </w:t>
      </w:r>
      <w:r w:rsidR="00F31CB1" w:rsidRPr="004935D5">
        <w:rPr>
          <w:lang w:val="en-US"/>
        </w:rPr>
        <w:t xml:space="preserve">translation of the </w:t>
      </w:r>
      <w:r w:rsidR="00A5632C" w:rsidRPr="004935D5">
        <w:rPr>
          <w:lang w:val="en-US"/>
        </w:rPr>
        <w:t>same letter</w:t>
      </w:r>
      <w:r w:rsidR="00354D5A" w:rsidRPr="004935D5">
        <w:rPr>
          <w:lang w:val="en-US"/>
        </w:rPr>
        <w:t xml:space="preserve"> received by the secretariat from the Permanent Mission of </w:t>
      </w:r>
      <w:r w:rsidR="00A5632C" w:rsidRPr="004935D5">
        <w:rPr>
          <w:lang w:val="en-US"/>
        </w:rPr>
        <w:t>Colombia</w:t>
      </w:r>
      <w:r w:rsidR="00142322" w:rsidRPr="004935D5">
        <w:rPr>
          <w:lang w:val="en-US"/>
        </w:rPr>
        <w:t xml:space="preserve"> is set out in annex II. </w:t>
      </w:r>
      <w:r w:rsidRPr="004935D5">
        <w:rPr>
          <w:lang w:val="en-US"/>
        </w:rPr>
        <w:t xml:space="preserve">The annexes </w:t>
      </w:r>
      <w:r w:rsidR="00973288" w:rsidRPr="004935D5">
        <w:rPr>
          <w:lang w:val="en-US"/>
        </w:rPr>
        <w:t xml:space="preserve">are reproduced </w:t>
      </w:r>
      <w:r w:rsidRPr="004935D5">
        <w:rPr>
          <w:lang w:val="en-US"/>
        </w:rPr>
        <w:t>as received</w:t>
      </w:r>
      <w:r w:rsidR="00973288" w:rsidRPr="004935D5">
        <w:rPr>
          <w:lang w:val="en-US"/>
        </w:rPr>
        <w:t>,</w:t>
      </w:r>
      <w:r w:rsidRPr="004935D5">
        <w:rPr>
          <w:lang w:val="en-US"/>
        </w:rPr>
        <w:t xml:space="preserve"> without</w:t>
      </w:r>
      <w:r w:rsidR="00973288" w:rsidRPr="004935D5">
        <w:rPr>
          <w:lang w:val="en-US"/>
        </w:rPr>
        <w:t xml:space="preserve"> formal</w:t>
      </w:r>
      <w:r w:rsidRPr="004935D5">
        <w:rPr>
          <w:lang w:val="en-US"/>
        </w:rPr>
        <w:t xml:space="preserve"> editing. </w:t>
      </w:r>
    </w:p>
    <w:p w14:paraId="32F4DD46" w14:textId="77777777" w:rsidR="005B25C1" w:rsidRPr="004935D5" w:rsidRDefault="005B25C1" w:rsidP="005B25C1">
      <w:pPr>
        <w:pStyle w:val="Normalnumber"/>
        <w:numPr>
          <w:ilvl w:val="0"/>
          <w:numId w:val="1"/>
        </w:numPr>
        <w:tabs>
          <w:tab w:val="clear" w:pos="624"/>
          <w:tab w:val="left" w:pos="4082"/>
        </w:tabs>
        <w:rPr>
          <w:bCs/>
          <w:lang w:val="en-US"/>
        </w:rPr>
      </w:pPr>
      <w:r w:rsidRPr="004935D5">
        <w:rPr>
          <w:bCs/>
          <w:lang w:val="en-US"/>
        </w:rPr>
        <w:br w:type="page"/>
      </w:r>
    </w:p>
    <w:p w14:paraId="76D99E9E" w14:textId="77777777" w:rsidR="005B25C1" w:rsidRPr="00407870" w:rsidRDefault="005B25C1" w:rsidP="00407870">
      <w:pPr>
        <w:pStyle w:val="ZZAnxheader"/>
      </w:pPr>
      <w:r w:rsidRPr="00AA0C59">
        <w:lastRenderedPageBreak/>
        <w:t xml:space="preserve">Annex </w:t>
      </w:r>
      <w:r>
        <w:t>I</w:t>
      </w:r>
    </w:p>
    <w:p w14:paraId="1B53041E" w14:textId="77777777" w:rsidR="00A5632C" w:rsidRPr="00740F8C" w:rsidRDefault="00A5632C" w:rsidP="00A5632C">
      <w:pPr>
        <w:pStyle w:val="ZZAnxtitle"/>
        <w:rPr>
          <w:lang w:val="en-US"/>
        </w:rPr>
      </w:pPr>
      <w:r w:rsidRPr="00740F8C">
        <w:rPr>
          <w:lang w:val="en-US"/>
        </w:rPr>
        <w:t xml:space="preserve">Note </w:t>
      </w:r>
      <w:proofErr w:type="spellStart"/>
      <w:r w:rsidRPr="00740F8C">
        <w:rPr>
          <w:lang w:val="en-US"/>
        </w:rPr>
        <w:t>verbale</w:t>
      </w:r>
      <w:proofErr w:type="spellEnd"/>
      <w:r w:rsidRPr="00740F8C">
        <w:rPr>
          <w:lang w:val="en-US"/>
        </w:rPr>
        <w:t xml:space="preserve"> dated 2</w:t>
      </w:r>
      <w:r w:rsidRPr="00740F8C">
        <w:rPr>
          <w:bCs w:val="0"/>
          <w:lang w:val="en-US"/>
        </w:rPr>
        <w:t>3</w:t>
      </w:r>
      <w:r w:rsidRPr="00740F8C">
        <w:rPr>
          <w:lang w:val="en-US"/>
        </w:rPr>
        <w:t xml:space="preserve"> September 2019 from the Permanent Mission of </w:t>
      </w:r>
      <w:r w:rsidRPr="00740F8C">
        <w:rPr>
          <w:bCs w:val="0"/>
          <w:lang w:val="en-US"/>
        </w:rPr>
        <w:t>Colombia</w:t>
      </w:r>
      <w:r w:rsidRPr="00740F8C">
        <w:rPr>
          <w:lang w:val="en-US"/>
        </w:rPr>
        <w:t xml:space="preserve"> to the United Nations</w:t>
      </w:r>
      <w:r w:rsidRPr="00740F8C" w:rsidDel="0064343F">
        <w:rPr>
          <w:lang w:val="en-US"/>
        </w:rPr>
        <w:t xml:space="preserve"> </w:t>
      </w:r>
      <w:r w:rsidRPr="00740F8C">
        <w:rPr>
          <w:lang w:val="en-US"/>
        </w:rPr>
        <w:t xml:space="preserve">in Geneva and a letter dated </w:t>
      </w:r>
      <w:r w:rsidRPr="00740F8C">
        <w:rPr>
          <w:bCs w:val="0"/>
          <w:lang w:val="en-US"/>
        </w:rPr>
        <w:t>20 September</w:t>
      </w:r>
      <w:r w:rsidRPr="00740F8C">
        <w:rPr>
          <w:lang w:val="en-US"/>
        </w:rPr>
        <w:t xml:space="preserve"> 2019 from the Vice Minister for Multilateral Affairs and Acting Minister of Foreign </w:t>
      </w:r>
      <w:r w:rsidRPr="00740F8C">
        <w:rPr>
          <w:bCs w:val="0"/>
          <w:lang w:val="en-US"/>
        </w:rPr>
        <w:t>Affairs of</w:t>
      </w:r>
      <w:r w:rsidRPr="00740F8C">
        <w:rPr>
          <w:lang w:val="en-US"/>
        </w:rPr>
        <w:t xml:space="preserve"> Colombia</w:t>
      </w:r>
    </w:p>
    <w:p w14:paraId="64002DB0" w14:textId="1BA70A1B" w:rsidR="00A5632C" w:rsidRDefault="00A5632C" w:rsidP="008A7B83">
      <w:pPr>
        <w:pStyle w:val="NormalNonumber"/>
        <w:rPr>
          <w:lang w:val="en-US"/>
        </w:rPr>
      </w:pPr>
      <w:r w:rsidRPr="00740F8C">
        <w:rPr>
          <w:lang w:val="en-US"/>
        </w:rPr>
        <w:t>(Original in Spanish)</w:t>
      </w:r>
    </w:p>
    <w:p w14:paraId="2AF0587B" w14:textId="116D3339" w:rsidR="00D90444" w:rsidRDefault="00EF391E" w:rsidP="00EF391E">
      <w:pPr>
        <w:pStyle w:val="Normal-pool"/>
        <w:jc w:val="center"/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054079FE" wp14:editId="1594AA11">
            <wp:extent cx="4752975" cy="7658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0727C" w14:textId="0BE53414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noProof/>
          <w:lang w:eastAsia="en-GB"/>
        </w:rPr>
      </w:pPr>
    </w:p>
    <w:p w14:paraId="730B96F7" w14:textId="741D2732" w:rsidR="001E2F82" w:rsidRDefault="001E2F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1D75979C" wp14:editId="43460B9F">
            <wp:extent cx="6000750" cy="80486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80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D37FF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3C6980E4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5292AC9C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55FE0160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5C7D3501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3A145309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4CF54D22" w14:textId="1FB1A9CA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7DCB7C0D" w14:textId="7DDFD61A" w:rsidR="001E2F82" w:rsidRDefault="001E2F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0F25AA2B" w14:textId="77777777" w:rsidR="001E2F82" w:rsidRDefault="001E2F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4CD2D185" w14:textId="68A4EB09" w:rsidR="00EF391E" w:rsidRDefault="001E2F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19D9B52D" wp14:editId="5447943F">
            <wp:extent cx="6029960" cy="7664450"/>
            <wp:effectExtent l="0" t="0" r="889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766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6C63C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073DDCF2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7DE343EC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32C45B90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76796A2B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2C086DC4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693B46EB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1EB0D5ED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602B0E9E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36DB8BF3" w14:textId="055480FF" w:rsidR="00EF391E" w:rsidRDefault="001E2F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15E561A6" wp14:editId="1BDFDAD3">
            <wp:extent cx="5972175" cy="78390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5B19EF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204FA97B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6F2F48A7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228B1C0D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7604AF76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5ACBF30E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61B69B2F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70596B85" w14:textId="77777777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</w:p>
    <w:p w14:paraId="3601E6E0" w14:textId="4A3391A8" w:rsidR="00EF391E" w:rsidRDefault="001E2F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3767C747" wp14:editId="1D76C554">
            <wp:extent cx="6029960" cy="4610735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461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90CA9" w14:textId="78976C62" w:rsidR="00D90444" w:rsidRDefault="00D90444" w:rsidP="00AA6123">
      <w:pPr>
        <w:pStyle w:val="Normal-pool"/>
        <w:rPr>
          <w:lang w:val="en-US"/>
        </w:rPr>
      </w:pPr>
    </w:p>
    <w:p w14:paraId="6425E642" w14:textId="62237F70" w:rsidR="00EF391E" w:rsidRDefault="00EF39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n-US"/>
        </w:rPr>
      </w:pPr>
      <w:r>
        <w:rPr>
          <w:lang w:val="en-US"/>
        </w:rPr>
        <w:br w:type="page"/>
      </w:r>
    </w:p>
    <w:p w14:paraId="4FA94CF9" w14:textId="18AD264B" w:rsidR="005B25C1" w:rsidRPr="00AA0C59" w:rsidRDefault="005B25C1" w:rsidP="001D7916">
      <w:pPr>
        <w:pStyle w:val="ZZAnxheader"/>
      </w:pPr>
      <w:r w:rsidRPr="00AA0C59">
        <w:lastRenderedPageBreak/>
        <w:t xml:space="preserve">Annex </w:t>
      </w:r>
      <w:r>
        <w:t>II</w:t>
      </w:r>
    </w:p>
    <w:p w14:paraId="0D86389D" w14:textId="1A5FD6B9" w:rsidR="00A5632C" w:rsidRDefault="00A5632C" w:rsidP="00A5632C">
      <w:pPr>
        <w:pStyle w:val="ZZAnxtitle"/>
        <w:rPr>
          <w:lang w:val="en-US"/>
        </w:rPr>
      </w:pPr>
      <w:r w:rsidRPr="007855EC">
        <w:rPr>
          <w:lang w:val="en-US"/>
        </w:rPr>
        <w:t xml:space="preserve">Courtesy translation of the letter dated </w:t>
      </w:r>
      <w:r w:rsidRPr="007855EC">
        <w:rPr>
          <w:bCs w:val="0"/>
          <w:lang w:val="en-US"/>
        </w:rPr>
        <w:t>20 September</w:t>
      </w:r>
      <w:r w:rsidRPr="007855EC">
        <w:rPr>
          <w:lang w:val="en-US"/>
        </w:rPr>
        <w:t xml:space="preserve"> 2019 from the Vice Minister for Multilateral Affairs and Acting Minister of Foreign </w:t>
      </w:r>
      <w:r w:rsidRPr="007855EC">
        <w:rPr>
          <w:bCs w:val="0"/>
          <w:lang w:val="en-US"/>
        </w:rPr>
        <w:t>Affairs of</w:t>
      </w:r>
      <w:r w:rsidRPr="007855EC">
        <w:rPr>
          <w:lang w:val="en-US"/>
        </w:rPr>
        <w:t xml:space="preserve"> Colombia received by the secretariat from the Permanent Mission of Colombia</w:t>
      </w:r>
    </w:p>
    <w:p w14:paraId="69BD2D61" w14:textId="0C7E7D58" w:rsidR="001E2F82" w:rsidRDefault="001E2F82" w:rsidP="001E2F82">
      <w:pPr>
        <w:pStyle w:val="Normal-pool"/>
        <w:rPr>
          <w:lang w:val="en-US"/>
        </w:rPr>
      </w:pPr>
    </w:p>
    <w:p w14:paraId="6B9B4DF1" w14:textId="5207ABB2" w:rsidR="001E2F82" w:rsidRDefault="001E2F82" w:rsidP="001E2F82">
      <w:pPr>
        <w:pStyle w:val="Normal-pool"/>
        <w:rPr>
          <w:lang w:val="en-US"/>
        </w:rPr>
      </w:pPr>
    </w:p>
    <w:p w14:paraId="0B52B252" w14:textId="77777777" w:rsidR="001E2F82" w:rsidRPr="002466C5" w:rsidRDefault="001E2F82" w:rsidP="001E2F82">
      <w:pPr>
        <w:pStyle w:val="Normal-pool"/>
        <w:rPr>
          <w:lang w:val="en-US"/>
        </w:rPr>
      </w:pPr>
    </w:p>
    <w:p w14:paraId="5C31811F" w14:textId="77777777" w:rsidR="001E2F82" w:rsidRPr="00601BBD" w:rsidRDefault="001E2F82" w:rsidP="001E2F82">
      <w:pPr>
        <w:spacing w:line="360" w:lineRule="auto"/>
        <w:rPr>
          <w:rFonts w:ascii="Arial" w:hAnsi="Arial" w:cs="Arial"/>
          <w:sz w:val="24"/>
          <w:lang w:val="en-US"/>
        </w:rPr>
      </w:pPr>
      <w:r w:rsidRPr="00601BBD">
        <w:rPr>
          <w:rFonts w:ascii="Arial" w:hAnsi="Arial" w:cs="Arial"/>
          <w:sz w:val="24"/>
          <w:lang w:val="en-US"/>
        </w:rPr>
        <w:t>S-DVAM-1</w:t>
      </w:r>
      <w:r>
        <w:rPr>
          <w:rFonts w:ascii="Arial" w:hAnsi="Arial" w:cs="Arial"/>
          <w:sz w:val="24"/>
          <w:lang w:val="en-US"/>
        </w:rPr>
        <w:t>9-041784</w:t>
      </w:r>
    </w:p>
    <w:p w14:paraId="72337BF1" w14:textId="77777777" w:rsidR="001E2F82" w:rsidRDefault="001E2F82" w:rsidP="001E2F82">
      <w:pPr>
        <w:spacing w:line="360" w:lineRule="auto"/>
        <w:jc w:val="right"/>
        <w:rPr>
          <w:rFonts w:ascii="Arial" w:hAnsi="Arial" w:cs="Arial"/>
          <w:sz w:val="24"/>
          <w:lang w:val="en-US"/>
        </w:rPr>
      </w:pPr>
      <w:r w:rsidRPr="00601BBD">
        <w:rPr>
          <w:rFonts w:ascii="Arial" w:hAnsi="Arial" w:cs="Arial"/>
          <w:sz w:val="24"/>
          <w:lang w:val="en-US"/>
        </w:rPr>
        <w:t>Bogota, D. C. September 20th, 20</w:t>
      </w:r>
      <w:r>
        <w:rPr>
          <w:rFonts w:ascii="Arial" w:hAnsi="Arial" w:cs="Arial"/>
          <w:sz w:val="24"/>
          <w:lang w:val="en-US"/>
        </w:rPr>
        <w:t>19</w:t>
      </w:r>
    </w:p>
    <w:p w14:paraId="3C26CC27" w14:textId="77777777" w:rsidR="001E2F82" w:rsidRDefault="001E2F82" w:rsidP="00E83C35">
      <w:pPr>
        <w:spacing w:after="120" w:line="360" w:lineRule="auto"/>
        <w:rPr>
          <w:rFonts w:ascii="Arial" w:hAnsi="Arial" w:cs="Arial"/>
          <w:sz w:val="24"/>
          <w:szCs w:val="24"/>
          <w:lang w:val="en-US"/>
        </w:rPr>
      </w:pPr>
      <w:r w:rsidRPr="45182C01">
        <w:rPr>
          <w:rFonts w:ascii="Arial" w:hAnsi="Arial" w:cs="Arial"/>
          <w:sz w:val="24"/>
          <w:szCs w:val="24"/>
          <w:lang w:val="en-US"/>
        </w:rPr>
        <w:t>Honorable Executive Secretary:</w:t>
      </w:r>
    </w:p>
    <w:p w14:paraId="3772DAE5" w14:textId="77777777" w:rsidR="001E2F82" w:rsidRDefault="001E2F82" w:rsidP="00E83C35">
      <w:pPr>
        <w:spacing w:after="120" w:line="360" w:lineRule="auto"/>
        <w:ind w:firstLine="851"/>
        <w:jc w:val="both"/>
        <w:rPr>
          <w:rFonts w:ascii="Arial" w:hAnsi="Arial" w:cs="Arial"/>
          <w:sz w:val="24"/>
          <w:lang w:val="en-US"/>
        </w:rPr>
      </w:pPr>
      <w:r w:rsidRPr="00D260A5">
        <w:rPr>
          <w:rFonts w:ascii="Arial" w:hAnsi="Arial" w:cs="Arial"/>
          <w:sz w:val="24"/>
          <w:lang w:val="en-US"/>
        </w:rPr>
        <w:t xml:space="preserve">I </w:t>
      </w:r>
      <w:r>
        <w:rPr>
          <w:rFonts w:ascii="Arial" w:hAnsi="Arial" w:cs="Arial"/>
          <w:sz w:val="24"/>
          <w:lang w:val="en-US"/>
        </w:rPr>
        <w:t>have the privilege</w:t>
      </w:r>
      <w:r w:rsidRPr="00D260A5">
        <w:rPr>
          <w:rFonts w:ascii="Arial" w:hAnsi="Arial" w:cs="Arial"/>
          <w:sz w:val="24"/>
          <w:lang w:val="en-US"/>
        </w:rPr>
        <w:t xml:space="preserve"> to </w:t>
      </w:r>
      <w:r>
        <w:rPr>
          <w:rFonts w:ascii="Arial" w:hAnsi="Arial" w:cs="Arial"/>
          <w:sz w:val="24"/>
          <w:lang w:val="en-US"/>
        </w:rPr>
        <w:t xml:space="preserve">address you and </w:t>
      </w:r>
      <w:r w:rsidRPr="00D260A5">
        <w:rPr>
          <w:rFonts w:ascii="Arial" w:hAnsi="Arial" w:cs="Arial"/>
          <w:sz w:val="24"/>
          <w:lang w:val="en-US"/>
        </w:rPr>
        <w:t xml:space="preserve">follow up </w:t>
      </w:r>
      <w:r>
        <w:rPr>
          <w:rFonts w:ascii="Arial" w:hAnsi="Arial" w:cs="Arial"/>
          <w:sz w:val="24"/>
          <w:lang w:val="en-US"/>
        </w:rPr>
        <w:t xml:space="preserve">on the note sent the </w:t>
      </w:r>
      <w:r w:rsidRPr="00D260A5">
        <w:rPr>
          <w:rFonts w:ascii="Arial" w:hAnsi="Arial" w:cs="Arial"/>
          <w:sz w:val="24"/>
          <w:lang w:val="en-US"/>
        </w:rPr>
        <w:t>28</w:t>
      </w:r>
      <w:r w:rsidRPr="00940D32">
        <w:rPr>
          <w:rFonts w:ascii="Arial" w:hAnsi="Arial" w:cs="Arial"/>
          <w:sz w:val="24"/>
          <w:vertAlign w:val="superscript"/>
          <w:lang w:val="en-US"/>
        </w:rPr>
        <w:t>th</w:t>
      </w:r>
      <w:r>
        <w:rPr>
          <w:rFonts w:ascii="Arial" w:hAnsi="Arial" w:cs="Arial"/>
          <w:sz w:val="24"/>
          <w:lang w:val="en-US"/>
        </w:rPr>
        <w:t xml:space="preserve"> of May </w:t>
      </w:r>
      <w:r w:rsidRPr="00D260A5">
        <w:rPr>
          <w:rFonts w:ascii="Arial" w:hAnsi="Arial" w:cs="Arial"/>
          <w:sz w:val="24"/>
          <w:lang w:val="en-US"/>
        </w:rPr>
        <w:t>2019, s</w:t>
      </w:r>
      <w:r>
        <w:rPr>
          <w:rFonts w:ascii="Arial" w:hAnsi="Arial" w:cs="Arial"/>
          <w:sz w:val="24"/>
          <w:lang w:val="en-US"/>
        </w:rPr>
        <w:t xml:space="preserve">igned by the </w:t>
      </w:r>
      <w:r w:rsidRPr="00D260A5">
        <w:rPr>
          <w:rFonts w:ascii="Arial" w:hAnsi="Arial" w:cs="Arial"/>
          <w:sz w:val="24"/>
          <w:lang w:val="en-US"/>
        </w:rPr>
        <w:t>Minist</w:t>
      </w:r>
      <w:r>
        <w:rPr>
          <w:rFonts w:ascii="Arial" w:hAnsi="Arial" w:cs="Arial"/>
          <w:sz w:val="24"/>
          <w:lang w:val="en-US"/>
        </w:rPr>
        <w:t>er</w:t>
      </w:r>
      <w:r w:rsidRPr="00D260A5">
        <w:rPr>
          <w:rFonts w:ascii="Arial" w:hAnsi="Arial" w:cs="Arial"/>
          <w:sz w:val="24"/>
          <w:lang w:val="en-US"/>
        </w:rPr>
        <w:t xml:space="preserve"> of Foreign Affairs</w:t>
      </w:r>
      <w:r>
        <w:rPr>
          <w:rFonts w:ascii="Arial" w:hAnsi="Arial" w:cs="Arial"/>
          <w:sz w:val="24"/>
          <w:lang w:val="en-US"/>
        </w:rPr>
        <w:t xml:space="preserve"> of Colombia</w:t>
      </w:r>
      <w:r w:rsidRPr="00D260A5">
        <w:rPr>
          <w:rFonts w:ascii="Arial" w:hAnsi="Arial" w:cs="Arial"/>
          <w:sz w:val="24"/>
          <w:lang w:val="en-US"/>
        </w:rPr>
        <w:t xml:space="preserve">, Carlos Holmes Trujillo Garcia, </w:t>
      </w:r>
      <w:r>
        <w:rPr>
          <w:rFonts w:ascii="Arial" w:hAnsi="Arial" w:cs="Arial"/>
          <w:sz w:val="24"/>
          <w:lang w:val="en-US"/>
        </w:rPr>
        <w:t>related to</w:t>
      </w:r>
      <w:r w:rsidRPr="00D260A5">
        <w:rPr>
          <w:rFonts w:ascii="Arial" w:hAnsi="Arial" w:cs="Arial"/>
          <w:sz w:val="24"/>
          <w:lang w:val="en-US"/>
        </w:rPr>
        <w:t xml:space="preserve"> the </w:t>
      </w:r>
      <w:r>
        <w:rPr>
          <w:rFonts w:ascii="Arial" w:hAnsi="Arial" w:cs="Arial"/>
          <w:sz w:val="24"/>
          <w:lang w:val="en-US"/>
        </w:rPr>
        <w:t>nomination</w:t>
      </w:r>
      <w:r w:rsidRPr="00D260A5">
        <w:rPr>
          <w:rFonts w:ascii="Arial" w:hAnsi="Arial" w:cs="Arial"/>
          <w:sz w:val="24"/>
          <w:lang w:val="en-US"/>
        </w:rPr>
        <w:t xml:space="preserve"> of Colombia to host the </w:t>
      </w:r>
      <w:r>
        <w:rPr>
          <w:rFonts w:ascii="Arial" w:hAnsi="Arial" w:cs="Arial"/>
          <w:sz w:val="24"/>
          <w:lang w:val="en-US"/>
        </w:rPr>
        <w:t>4</w:t>
      </w:r>
      <w:r w:rsidRPr="00E46E70">
        <w:rPr>
          <w:rFonts w:ascii="Arial" w:hAnsi="Arial" w:cs="Arial"/>
          <w:sz w:val="24"/>
          <w:vertAlign w:val="superscript"/>
          <w:lang w:val="en-US"/>
        </w:rPr>
        <w:t>th</w:t>
      </w:r>
      <w:r>
        <w:rPr>
          <w:rFonts w:ascii="Arial" w:hAnsi="Arial" w:cs="Arial"/>
          <w:sz w:val="24"/>
          <w:lang w:val="en-US"/>
        </w:rPr>
        <w:t xml:space="preserve"> Conference of the Parties</w:t>
      </w:r>
      <w:r w:rsidRPr="00D260A5"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 xml:space="preserve">(COP4) </w:t>
      </w:r>
      <w:r w:rsidRPr="00D260A5">
        <w:rPr>
          <w:rFonts w:ascii="Arial" w:hAnsi="Arial" w:cs="Arial"/>
          <w:sz w:val="24"/>
          <w:lang w:val="en-US"/>
        </w:rPr>
        <w:t>of</w:t>
      </w:r>
      <w:r>
        <w:rPr>
          <w:rFonts w:ascii="Arial" w:hAnsi="Arial" w:cs="Arial"/>
          <w:sz w:val="24"/>
          <w:lang w:val="en-US"/>
        </w:rPr>
        <w:t xml:space="preserve"> the</w:t>
      </w:r>
      <w:r w:rsidRPr="00D260A5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D260A5">
        <w:rPr>
          <w:rFonts w:ascii="Arial" w:hAnsi="Arial" w:cs="Arial"/>
          <w:sz w:val="24"/>
          <w:lang w:val="en-US"/>
        </w:rPr>
        <w:t>Minamata</w:t>
      </w:r>
      <w:proofErr w:type="spellEnd"/>
      <w:r w:rsidRPr="00D260A5">
        <w:rPr>
          <w:rFonts w:ascii="Arial" w:hAnsi="Arial" w:cs="Arial"/>
          <w:sz w:val="24"/>
          <w:lang w:val="en-US"/>
        </w:rPr>
        <w:t xml:space="preserve"> Convention </w:t>
      </w:r>
      <w:r>
        <w:rPr>
          <w:rFonts w:ascii="Arial" w:hAnsi="Arial" w:cs="Arial"/>
          <w:sz w:val="24"/>
          <w:lang w:val="en-US"/>
        </w:rPr>
        <w:t xml:space="preserve">on Mercury </w:t>
      </w:r>
      <w:r w:rsidRPr="00D260A5">
        <w:rPr>
          <w:rFonts w:ascii="Arial" w:hAnsi="Arial" w:cs="Arial"/>
          <w:sz w:val="24"/>
          <w:lang w:val="en-US"/>
        </w:rPr>
        <w:t xml:space="preserve">in 2021. </w:t>
      </w:r>
      <w:r>
        <w:rPr>
          <w:rFonts w:ascii="Arial" w:hAnsi="Arial" w:cs="Arial"/>
          <w:sz w:val="24"/>
          <w:lang w:val="en-US"/>
        </w:rPr>
        <w:t>In that respect</w:t>
      </w:r>
      <w:r w:rsidRPr="00D260A5">
        <w:rPr>
          <w:rFonts w:ascii="Arial" w:hAnsi="Arial" w:cs="Arial"/>
          <w:sz w:val="24"/>
          <w:lang w:val="en-US"/>
        </w:rPr>
        <w:t xml:space="preserve">, </w:t>
      </w:r>
      <w:r>
        <w:rPr>
          <w:rFonts w:ascii="Arial" w:hAnsi="Arial" w:cs="Arial"/>
          <w:sz w:val="24"/>
          <w:lang w:val="en-US"/>
        </w:rPr>
        <w:t>I would</w:t>
      </w:r>
      <w:r w:rsidRPr="00D260A5"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 xml:space="preserve">like to </w:t>
      </w:r>
      <w:r w:rsidRPr="00D260A5">
        <w:rPr>
          <w:rFonts w:ascii="Arial" w:hAnsi="Arial" w:cs="Arial"/>
          <w:sz w:val="24"/>
          <w:lang w:val="en-US"/>
        </w:rPr>
        <w:t xml:space="preserve">present our main motivations </w:t>
      </w:r>
      <w:r>
        <w:rPr>
          <w:rFonts w:ascii="Arial" w:hAnsi="Arial" w:cs="Arial"/>
          <w:sz w:val="24"/>
          <w:lang w:val="en-US"/>
        </w:rPr>
        <w:t>for this offer</w:t>
      </w:r>
      <w:r w:rsidRPr="00D260A5">
        <w:rPr>
          <w:rFonts w:ascii="Arial" w:hAnsi="Arial" w:cs="Arial"/>
          <w:sz w:val="24"/>
          <w:lang w:val="en-US"/>
        </w:rPr>
        <w:t xml:space="preserve">, </w:t>
      </w:r>
      <w:r>
        <w:rPr>
          <w:rFonts w:ascii="Arial" w:hAnsi="Arial" w:cs="Arial"/>
          <w:sz w:val="24"/>
          <w:lang w:val="en-US"/>
        </w:rPr>
        <w:t>for</w:t>
      </w:r>
      <w:r w:rsidRPr="00D260A5">
        <w:rPr>
          <w:rFonts w:ascii="Arial" w:hAnsi="Arial" w:cs="Arial"/>
          <w:sz w:val="24"/>
          <w:lang w:val="en-US"/>
        </w:rPr>
        <w:t xml:space="preserve"> consider</w:t>
      </w:r>
      <w:r>
        <w:rPr>
          <w:rFonts w:ascii="Arial" w:hAnsi="Arial" w:cs="Arial"/>
          <w:sz w:val="24"/>
          <w:lang w:val="en-US"/>
        </w:rPr>
        <w:t xml:space="preserve">ation of </w:t>
      </w:r>
      <w:r w:rsidRPr="00D260A5">
        <w:rPr>
          <w:rFonts w:ascii="Arial" w:hAnsi="Arial" w:cs="Arial"/>
          <w:sz w:val="24"/>
          <w:lang w:val="en-US"/>
        </w:rPr>
        <w:t>the</w:t>
      </w:r>
      <w:r>
        <w:rPr>
          <w:rFonts w:ascii="Arial" w:hAnsi="Arial" w:cs="Arial"/>
          <w:sz w:val="24"/>
          <w:lang w:val="en-US"/>
        </w:rPr>
        <w:t xml:space="preserve"> Parties</w:t>
      </w:r>
      <w:r w:rsidRPr="00D260A5">
        <w:rPr>
          <w:rFonts w:ascii="Arial" w:hAnsi="Arial" w:cs="Arial"/>
          <w:sz w:val="24"/>
          <w:lang w:val="en-US"/>
        </w:rPr>
        <w:t xml:space="preserve"> in the </w:t>
      </w:r>
      <w:r>
        <w:rPr>
          <w:rFonts w:ascii="Arial" w:hAnsi="Arial" w:cs="Arial"/>
          <w:sz w:val="24"/>
          <w:lang w:val="en-US"/>
        </w:rPr>
        <w:t>3</w:t>
      </w:r>
      <w:r w:rsidRPr="00E46E70">
        <w:rPr>
          <w:rFonts w:ascii="Arial" w:hAnsi="Arial" w:cs="Arial"/>
          <w:sz w:val="24"/>
          <w:vertAlign w:val="superscript"/>
          <w:lang w:val="en-US"/>
        </w:rPr>
        <w:t>rd</w:t>
      </w:r>
      <w:r>
        <w:rPr>
          <w:rFonts w:ascii="Arial" w:hAnsi="Arial" w:cs="Arial"/>
          <w:sz w:val="24"/>
          <w:lang w:val="en-US"/>
        </w:rPr>
        <w:t xml:space="preserve"> Conference of the Parties (COP3) </w:t>
      </w:r>
      <w:r w:rsidRPr="00D260A5">
        <w:rPr>
          <w:rFonts w:ascii="Arial" w:hAnsi="Arial" w:cs="Arial"/>
          <w:sz w:val="24"/>
          <w:lang w:val="en-US"/>
        </w:rPr>
        <w:t>to be held in November 2019.</w:t>
      </w:r>
    </w:p>
    <w:p w14:paraId="4C445E27" w14:textId="77777777" w:rsidR="001E2F82" w:rsidRDefault="001E2F82" w:rsidP="00E83C35">
      <w:pPr>
        <w:spacing w:after="120" w:line="36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 w:rsidRPr="45182C01">
        <w:rPr>
          <w:rFonts w:ascii="Arial" w:hAnsi="Arial" w:cs="Arial"/>
          <w:sz w:val="24"/>
          <w:szCs w:val="24"/>
          <w:lang w:val="en-US"/>
        </w:rPr>
        <w:t xml:space="preserve">The Government of Colombia established on its National Development Plan 2018-2022, denominated </w:t>
      </w:r>
      <w:r>
        <w:rPr>
          <w:rFonts w:ascii="Arial" w:hAnsi="Arial" w:cs="Arial"/>
          <w:sz w:val="24"/>
          <w:szCs w:val="24"/>
          <w:lang w:val="en-US"/>
        </w:rPr>
        <w:t>“</w:t>
      </w:r>
      <w:r w:rsidRPr="45182C01">
        <w:rPr>
          <w:rFonts w:ascii="Arial" w:hAnsi="Arial" w:cs="Arial"/>
          <w:i/>
          <w:iCs/>
          <w:sz w:val="24"/>
          <w:szCs w:val="24"/>
          <w:lang w:val="en-US"/>
        </w:rPr>
        <w:t>Pact for Colombia, Pact for the equity</w:t>
      </w:r>
      <w:r>
        <w:rPr>
          <w:rFonts w:ascii="Arial" w:hAnsi="Arial" w:cs="Arial"/>
          <w:i/>
          <w:iCs/>
          <w:sz w:val="24"/>
          <w:szCs w:val="24"/>
          <w:lang w:val="en-US"/>
        </w:rPr>
        <w:t>”</w:t>
      </w:r>
      <w:r w:rsidRPr="45182C01">
        <w:rPr>
          <w:rFonts w:ascii="Arial" w:hAnsi="Arial" w:cs="Arial"/>
          <w:i/>
          <w:iCs/>
          <w:sz w:val="24"/>
          <w:szCs w:val="24"/>
          <w:lang w:val="en-US"/>
        </w:rPr>
        <w:t>,</w:t>
      </w:r>
      <w:r w:rsidRPr="45182C01">
        <w:rPr>
          <w:rFonts w:ascii="Arial" w:hAnsi="Arial" w:cs="Arial"/>
          <w:sz w:val="24"/>
          <w:szCs w:val="24"/>
          <w:lang w:val="en-US"/>
        </w:rPr>
        <w:t xml:space="preserve"> biodiversity, water and environment as prevalent </w:t>
      </w:r>
      <w:r>
        <w:rPr>
          <w:rFonts w:ascii="Arial" w:hAnsi="Arial" w:cs="Arial"/>
          <w:sz w:val="24"/>
          <w:szCs w:val="24"/>
          <w:lang w:val="en-US"/>
        </w:rPr>
        <w:t>interests of</w:t>
      </w:r>
      <w:r w:rsidRPr="45182C01">
        <w:rPr>
          <w:rFonts w:ascii="Arial" w:hAnsi="Arial" w:cs="Arial"/>
          <w:sz w:val="24"/>
          <w:szCs w:val="24"/>
          <w:lang w:val="en-US"/>
        </w:rPr>
        <w:t xml:space="preserve"> the nation. </w:t>
      </w:r>
      <w:r>
        <w:rPr>
          <w:rFonts w:ascii="Arial" w:hAnsi="Arial" w:cs="Arial"/>
          <w:sz w:val="24"/>
          <w:szCs w:val="24"/>
          <w:lang w:val="en-US"/>
        </w:rPr>
        <w:t>Furthermore</w:t>
      </w:r>
      <w:r w:rsidRPr="45182C01">
        <w:rPr>
          <w:rFonts w:ascii="Arial" w:hAnsi="Arial" w:cs="Arial"/>
          <w:sz w:val="24"/>
          <w:szCs w:val="24"/>
          <w:lang w:val="en-US"/>
        </w:rPr>
        <w:t xml:space="preserve">, recognizing that environmental problems require global solutions, </w:t>
      </w:r>
      <w:r>
        <w:rPr>
          <w:rFonts w:ascii="Arial" w:hAnsi="Arial" w:cs="Arial"/>
          <w:sz w:val="24"/>
          <w:szCs w:val="24"/>
          <w:lang w:val="en-US"/>
        </w:rPr>
        <w:t>Colombia</w:t>
      </w:r>
      <w:r w:rsidRPr="45182C01">
        <w:rPr>
          <w:rFonts w:ascii="Arial" w:hAnsi="Arial" w:cs="Arial"/>
          <w:sz w:val="24"/>
          <w:szCs w:val="24"/>
          <w:lang w:val="en-US"/>
        </w:rPr>
        <w:t xml:space="preserve"> is actively promoting an environmental diplomacy for sustainable development, focused on encouraging consumption and production practices that care about the environment and human health. </w:t>
      </w:r>
    </w:p>
    <w:p w14:paraId="75DCEBA3" w14:textId="77777777" w:rsidR="001E2F82" w:rsidRDefault="001E2F82" w:rsidP="001E2F82">
      <w:pPr>
        <w:spacing w:line="360" w:lineRule="auto"/>
        <w:ind w:firstLine="851"/>
        <w:jc w:val="both"/>
        <w:rPr>
          <w:rFonts w:ascii="Arial" w:hAnsi="Arial" w:cs="Arial"/>
          <w:sz w:val="24"/>
          <w:lang w:val="en-US"/>
        </w:rPr>
      </w:pPr>
    </w:p>
    <w:p w14:paraId="3748B484" w14:textId="77777777" w:rsidR="001E2F82" w:rsidRDefault="001E2F82" w:rsidP="001E2F82">
      <w:pPr>
        <w:spacing w:line="360" w:lineRule="auto"/>
        <w:ind w:firstLine="851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To the Honorable</w:t>
      </w:r>
    </w:p>
    <w:p w14:paraId="7B41FFCB" w14:textId="77777777" w:rsidR="001E2F82" w:rsidRPr="0061367A" w:rsidRDefault="001E2F82" w:rsidP="001E2F82">
      <w:pPr>
        <w:spacing w:line="360" w:lineRule="auto"/>
        <w:ind w:firstLine="851"/>
        <w:rPr>
          <w:rFonts w:ascii="Arial" w:hAnsi="Arial" w:cs="Arial"/>
          <w:b/>
          <w:sz w:val="24"/>
          <w:lang w:val="en-US"/>
        </w:rPr>
      </w:pPr>
      <w:r w:rsidRPr="0061367A">
        <w:rPr>
          <w:rFonts w:ascii="Arial" w:hAnsi="Arial" w:cs="Arial"/>
          <w:b/>
          <w:sz w:val="24"/>
          <w:lang w:val="en-US"/>
        </w:rPr>
        <w:t>ROSANNA SILVA REPETO</w:t>
      </w:r>
    </w:p>
    <w:p w14:paraId="2DFF18C4" w14:textId="77777777" w:rsidR="001E2F82" w:rsidRDefault="001E2F82" w:rsidP="001E2F82">
      <w:pPr>
        <w:spacing w:line="360" w:lineRule="auto"/>
        <w:ind w:firstLine="851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Secretary Executive</w:t>
      </w:r>
    </w:p>
    <w:p w14:paraId="2E65E129" w14:textId="77777777" w:rsidR="001E2F82" w:rsidRDefault="001E2F82" w:rsidP="001E2F82">
      <w:pPr>
        <w:spacing w:line="360" w:lineRule="auto"/>
        <w:ind w:firstLine="851"/>
        <w:rPr>
          <w:rFonts w:ascii="Arial" w:hAnsi="Arial" w:cs="Arial"/>
          <w:sz w:val="24"/>
          <w:lang w:val="en-US"/>
        </w:rPr>
      </w:pPr>
      <w:proofErr w:type="spellStart"/>
      <w:r>
        <w:rPr>
          <w:rFonts w:ascii="Arial" w:hAnsi="Arial" w:cs="Arial"/>
          <w:sz w:val="24"/>
          <w:lang w:val="en-US"/>
        </w:rPr>
        <w:t>Minamata</w:t>
      </w:r>
      <w:proofErr w:type="spellEnd"/>
      <w:r>
        <w:rPr>
          <w:rFonts w:ascii="Arial" w:hAnsi="Arial" w:cs="Arial"/>
          <w:sz w:val="24"/>
          <w:lang w:val="en-US"/>
        </w:rPr>
        <w:t xml:space="preserve"> Convention</w:t>
      </w:r>
    </w:p>
    <w:p w14:paraId="157BA017" w14:textId="77777777" w:rsidR="001E2F82" w:rsidRDefault="001E2F82" w:rsidP="001E2F82">
      <w:pPr>
        <w:spacing w:line="360" w:lineRule="auto"/>
        <w:ind w:firstLine="851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Geneva, Switzerland </w:t>
      </w:r>
    </w:p>
    <w:p w14:paraId="42B93CB1" w14:textId="0CD5156C" w:rsidR="00E83C35" w:rsidRDefault="00E83C3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br w:type="page"/>
      </w:r>
    </w:p>
    <w:p w14:paraId="3EF1474F" w14:textId="77777777" w:rsidR="00E83C35" w:rsidRPr="00D260A5" w:rsidRDefault="00E83C35" w:rsidP="001E2F82">
      <w:pPr>
        <w:spacing w:line="360" w:lineRule="auto"/>
        <w:ind w:firstLine="851"/>
        <w:jc w:val="both"/>
        <w:rPr>
          <w:rFonts w:ascii="Arial" w:hAnsi="Arial" w:cs="Arial"/>
          <w:sz w:val="24"/>
          <w:lang w:val="en-US"/>
        </w:rPr>
      </w:pPr>
    </w:p>
    <w:p w14:paraId="575A1DD4" w14:textId="77777777" w:rsidR="001E2F82" w:rsidRPr="00D260A5" w:rsidRDefault="001E2F82" w:rsidP="00E83C35">
      <w:pPr>
        <w:spacing w:after="120" w:line="360" w:lineRule="auto"/>
        <w:ind w:firstLine="851"/>
        <w:jc w:val="both"/>
        <w:rPr>
          <w:rFonts w:ascii="Arial" w:hAnsi="Arial" w:cs="Arial"/>
          <w:sz w:val="24"/>
          <w:lang w:val="en-US"/>
        </w:rPr>
      </w:pPr>
      <w:r w:rsidRPr="00D260A5">
        <w:rPr>
          <w:rFonts w:ascii="Arial" w:hAnsi="Arial" w:cs="Arial"/>
          <w:sz w:val="24"/>
          <w:lang w:val="en-US"/>
        </w:rPr>
        <w:t xml:space="preserve">As a </w:t>
      </w:r>
      <w:r>
        <w:rPr>
          <w:rFonts w:ascii="Arial" w:hAnsi="Arial" w:cs="Arial"/>
          <w:sz w:val="24"/>
          <w:lang w:val="en-US"/>
        </w:rPr>
        <w:t>country that is seriously</w:t>
      </w:r>
      <w:r w:rsidRPr="00D260A5">
        <w:rPr>
          <w:rFonts w:ascii="Arial" w:hAnsi="Arial" w:cs="Arial"/>
          <w:sz w:val="24"/>
          <w:lang w:val="en-US"/>
        </w:rPr>
        <w:t xml:space="preserve"> affected with mercury contamination, Colombia has </w:t>
      </w:r>
      <w:r>
        <w:rPr>
          <w:rFonts w:ascii="Arial" w:hAnsi="Arial" w:cs="Arial"/>
          <w:sz w:val="24"/>
          <w:lang w:val="en-US"/>
        </w:rPr>
        <w:t>undertaken</w:t>
      </w:r>
      <w:r w:rsidRPr="00D260A5">
        <w:rPr>
          <w:rFonts w:ascii="Arial" w:hAnsi="Arial" w:cs="Arial"/>
          <w:sz w:val="24"/>
          <w:lang w:val="en-US"/>
        </w:rPr>
        <w:t xml:space="preserve"> numerous actions to reduce the use of this substance, including the early implementation of the </w:t>
      </w:r>
      <w:proofErr w:type="spellStart"/>
      <w:r w:rsidRPr="00D260A5">
        <w:rPr>
          <w:rFonts w:ascii="Arial" w:hAnsi="Arial" w:cs="Arial"/>
          <w:sz w:val="24"/>
          <w:lang w:val="en-US"/>
        </w:rPr>
        <w:t>Minamata</w:t>
      </w:r>
      <w:proofErr w:type="spellEnd"/>
      <w:r w:rsidRPr="00D260A5">
        <w:rPr>
          <w:rFonts w:ascii="Arial" w:hAnsi="Arial" w:cs="Arial"/>
          <w:sz w:val="24"/>
          <w:lang w:val="en-US"/>
        </w:rPr>
        <w:t xml:space="preserve"> Convention and the approval of the Law 1658 of 2013, </w:t>
      </w:r>
      <w:r>
        <w:rPr>
          <w:rFonts w:ascii="Arial" w:hAnsi="Arial" w:cs="Arial"/>
          <w:sz w:val="24"/>
          <w:lang w:val="en-US"/>
        </w:rPr>
        <w:t>that established</w:t>
      </w:r>
      <w:r w:rsidRPr="00D260A5">
        <w:rPr>
          <w:rFonts w:ascii="Arial" w:hAnsi="Arial" w:cs="Arial"/>
          <w:sz w:val="24"/>
          <w:lang w:val="en-US"/>
        </w:rPr>
        <w:t xml:space="preserve"> measures on </w:t>
      </w:r>
      <w:r>
        <w:rPr>
          <w:rFonts w:ascii="Arial" w:hAnsi="Arial" w:cs="Arial"/>
          <w:sz w:val="24"/>
          <w:lang w:val="en-US"/>
        </w:rPr>
        <w:t xml:space="preserve">the </w:t>
      </w:r>
      <w:r w:rsidRPr="00D260A5">
        <w:rPr>
          <w:rFonts w:ascii="Arial" w:hAnsi="Arial" w:cs="Arial"/>
          <w:sz w:val="24"/>
          <w:lang w:val="en-US"/>
        </w:rPr>
        <w:t xml:space="preserve">use and </w:t>
      </w:r>
      <w:r>
        <w:rPr>
          <w:rFonts w:ascii="Arial" w:hAnsi="Arial" w:cs="Arial"/>
          <w:sz w:val="24"/>
          <w:lang w:val="en-US"/>
        </w:rPr>
        <w:t>trade</w:t>
      </w:r>
      <w:r w:rsidRPr="00D260A5">
        <w:rPr>
          <w:rFonts w:ascii="Arial" w:hAnsi="Arial" w:cs="Arial"/>
          <w:sz w:val="24"/>
          <w:lang w:val="en-US"/>
        </w:rPr>
        <w:t xml:space="preserve"> of </w:t>
      </w:r>
      <w:r>
        <w:rPr>
          <w:rFonts w:ascii="Arial" w:hAnsi="Arial" w:cs="Arial"/>
          <w:sz w:val="24"/>
          <w:lang w:val="en-US"/>
        </w:rPr>
        <w:t>mercury</w:t>
      </w:r>
      <w:r w:rsidRPr="00D260A5">
        <w:rPr>
          <w:rFonts w:ascii="Arial" w:hAnsi="Arial" w:cs="Arial"/>
          <w:sz w:val="24"/>
          <w:lang w:val="en-US"/>
        </w:rPr>
        <w:t xml:space="preserve"> as well as the elimination of its use in</w:t>
      </w:r>
      <w:r>
        <w:rPr>
          <w:rFonts w:ascii="Arial" w:hAnsi="Arial" w:cs="Arial"/>
          <w:sz w:val="24"/>
          <w:lang w:val="en-US"/>
        </w:rPr>
        <w:t xml:space="preserve"> the</w:t>
      </w:r>
      <w:r w:rsidRPr="00D260A5">
        <w:rPr>
          <w:rFonts w:ascii="Arial" w:hAnsi="Arial" w:cs="Arial"/>
          <w:sz w:val="24"/>
          <w:lang w:val="en-US"/>
        </w:rPr>
        <w:t xml:space="preserve"> mining</w:t>
      </w:r>
      <w:r>
        <w:rPr>
          <w:rFonts w:ascii="Arial" w:hAnsi="Arial" w:cs="Arial"/>
          <w:sz w:val="24"/>
          <w:lang w:val="en-US"/>
        </w:rPr>
        <w:t xml:space="preserve"> sector</w:t>
      </w:r>
      <w:r w:rsidRPr="00D260A5">
        <w:rPr>
          <w:rFonts w:ascii="Arial" w:hAnsi="Arial" w:cs="Arial"/>
          <w:sz w:val="24"/>
          <w:lang w:val="en-US"/>
        </w:rPr>
        <w:t xml:space="preserve"> by 20</w:t>
      </w:r>
      <w:r>
        <w:rPr>
          <w:rFonts w:ascii="Arial" w:hAnsi="Arial" w:cs="Arial"/>
          <w:sz w:val="24"/>
          <w:lang w:val="en-US"/>
        </w:rPr>
        <w:t>18 and in the industry by 2023</w:t>
      </w:r>
      <w:r w:rsidRPr="00D260A5">
        <w:rPr>
          <w:rFonts w:ascii="Arial" w:hAnsi="Arial" w:cs="Arial"/>
          <w:sz w:val="24"/>
          <w:lang w:val="en-US"/>
        </w:rPr>
        <w:t xml:space="preserve">. </w:t>
      </w:r>
      <w:r>
        <w:rPr>
          <w:rFonts w:ascii="Arial" w:hAnsi="Arial" w:cs="Arial"/>
          <w:sz w:val="24"/>
          <w:lang w:val="en-US"/>
        </w:rPr>
        <w:t>Colombia also</w:t>
      </w:r>
      <w:r w:rsidRPr="00D260A5">
        <w:rPr>
          <w:rFonts w:ascii="Arial" w:hAnsi="Arial" w:cs="Arial"/>
          <w:sz w:val="24"/>
          <w:lang w:val="en-US"/>
        </w:rPr>
        <w:t xml:space="preserve"> formulated a National Mercury Plan, with specific sector planning, as well as </w:t>
      </w:r>
      <w:r>
        <w:rPr>
          <w:rFonts w:ascii="Arial" w:hAnsi="Arial" w:cs="Arial"/>
          <w:sz w:val="24"/>
          <w:lang w:val="en-US"/>
        </w:rPr>
        <w:t>trade</w:t>
      </w:r>
      <w:r w:rsidRPr="00D260A5">
        <w:rPr>
          <w:rFonts w:ascii="Arial" w:hAnsi="Arial" w:cs="Arial"/>
          <w:sz w:val="24"/>
          <w:lang w:val="en-US"/>
        </w:rPr>
        <w:t xml:space="preserve"> control</w:t>
      </w:r>
      <w:r>
        <w:rPr>
          <w:rFonts w:ascii="Arial" w:hAnsi="Arial" w:cs="Arial"/>
          <w:sz w:val="24"/>
          <w:lang w:val="en-US"/>
        </w:rPr>
        <w:t>s</w:t>
      </w:r>
      <w:r w:rsidRPr="00D260A5">
        <w:rPr>
          <w:rFonts w:ascii="Arial" w:hAnsi="Arial" w:cs="Arial"/>
          <w:sz w:val="24"/>
          <w:lang w:val="en-US"/>
        </w:rPr>
        <w:t xml:space="preserve"> on mercury and mercury added products, defined by </w:t>
      </w:r>
      <w:r>
        <w:rPr>
          <w:rFonts w:ascii="Arial" w:hAnsi="Arial" w:cs="Arial"/>
          <w:sz w:val="24"/>
          <w:lang w:val="en-US"/>
        </w:rPr>
        <w:t>the</w:t>
      </w:r>
      <w:r w:rsidRPr="00D260A5">
        <w:rPr>
          <w:rFonts w:ascii="Arial" w:hAnsi="Arial" w:cs="Arial"/>
          <w:sz w:val="24"/>
          <w:lang w:val="en-US"/>
        </w:rPr>
        <w:t xml:space="preserve"> Decree 2133 of 2016. </w:t>
      </w:r>
      <w:r>
        <w:rPr>
          <w:rFonts w:ascii="Arial" w:hAnsi="Arial" w:cs="Arial"/>
          <w:sz w:val="24"/>
          <w:lang w:val="en-US"/>
        </w:rPr>
        <w:t>The country</w:t>
      </w:r>
      <w:r w:rsidRPr="00D260A5">
        <w:rPr>
          <w:rFonts w:ascii="Arial" w:hAnsi="Arial" w:cs="Arial"/>
          <w:sz w:val="24"/>
          <w:lang w:val="en-US"/>
        </w:rPr>
        <w:t xml:space="preserve"> deposited </w:t>
      </w:r>
      <w:r>
        <w:rPr>
          <w:rFonts w:ascii="Arial" w:hAnsi="Arial" w:cs="Arial"/>
          <w:sz w:val="24"/>
          <w:lang w:val="en-US"/>
        </w:rPr>
        <w:t xml:space="preserve">the instrument to ratify the </w:t>
      </w:r>
      <w:r w:rsidRPr="00D260A5">
        <w:rPr>
          <w:rFonts w:ascii="Arial" w:hAnsi="Arial" w:cs="Arial"/>
          <w:sz w:val="24"/>
          <w:lang w:val="en-US"/>
        </w:rPr>
        <w:t xml:space="preserve">Convention </w:t>
      </w:r>
      <w:r>
        <w:rPr>
          <w:rFonts w:ascii="Arial" w:hAnsi="Arial" w:cs="Arial"/>
          <w:sz w:val="24"/>
          <w:lang w:val="en-US"/>
        </w:rPr>
        <w:t>the 26</w:t>
      </w:r>
      <w:r w:rsidRPr="00940D32">
        <w:rPr>
          <w:rFonts w:ascii="Arial" w:hAnsi="Arial" w:cs="Arial"/>
          <w:sz w:val="24"/>
          <w:vertAlign w:val="superscript"/>
          <w:lang w:val="en-US"/>
        </w:rPr>
        <w:t>th</w:t>
      </w:r>
      <w:r>
        <w:rPr>
          <w:rFonts w:ascii="Arial" w:hAnsi="Arial" w:cs="Arial"/>
          <w:sz w:val="24"/>
          <w:lang w:val="en-US"/>
        </w:rPr>
        <w:t xml:space="preserve"> of August</w:t>
      </w:r>
      <w:r w:rsidRPr="00D260A5">
        <w:rPr>
          <w:rFonts w:ascii="Arial" w:hAnsi="Arial" w:cs="Arial"/>
          <w:sz w:val="24"/>
          <w:lang w:val="en-US"/>
        </w:rPr>
        <w:t xml:space="preserve"> 2019, </w:t>
      </w:r>
      <w:r>
        <w:rPr>
          <w:rFonts w:ascii="Arial" w:hAnsi="Arial" w:cs="Arial"/>
          <w:sz w:val="24"/>
          <w:lang w:val="en-US"/>
        </w:rPr>
        <w:t>to become a Party from COP3 on</w:t>
      </w:r>
      <w:r w:rsidRPr="00D260A5">
        <w:rPr>
          <w:rFonts w:ascii="Arial" w:hAnsi="Arial" w:cs="Arial"/>
          <w:sz w:val="24"/>
          <w:lang w:val="en-US"/>
        </w:rPr>
        <w:t xml:space="preserve">, reaffirming its compromise with </w:t>
      </w:r>
      <w:proofErr w:type="spellStart"/>
      <w:r w:rsidRPr="00D260A5">
        <w:rPr>
          <w:rFonts w:ascii="Arial" w:hAnsi="Arial" w:cs="Arial"/>
          <w:sz w:val="24"/>
          <w:lang w:val="en-US"/>
        </w:rPr>
        <w:t>Minamata</w:t>
      </w:r>
      <w:proofErr w:type="spellEnd"/>
      <w:r w:rsidRPr="00D260A5">
        <w:rPr>
          <w:rFonts w:ascii="Arial" w:hAnsi="Arial" w:cs="Arial"/>
          <w:sz w:val="24"/>
          <w:lang w:val="en-US"/>
        </w:rPr>
        <w:t xml:space="preserve">. </w:t>
      </w:r>
    </w:p>
    <w:p w14:paraId="37372B74" w14:textId="77777777" w:rsidR="001E2F82" w:rsidRDefault="001E2F82" w:rsidP="00E83C35">
      <w:pPr>
        <w:spacing w:after="120" w:line="360" w:lineRule="auto"/>
        <w:ind w:firstLine="851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In this context</w:t>
      </w:r>
      <w:r w:rsidRPr="00D260A5">
        <w:rPr>
          <w:rFonts w:ascii="Arial" w:hAnsi="Arial" w:cs="Arial"/>
          <w:sz w:val="24"/>
          <w:lang w:val="en-US"/>
        </w:rPr>
        <w:t>, Colombia present</w:t>
      </w:r>
      <w:r>
        <w:rPr>
          <w:rFonts w:ascii="Arial" w:hAnsi="Arial" w:cs="Arial"/>
          <w:sz w:val="24"/>
          <w:lang w:val="en-US"/>
        </w:rPr>
        <w:t>ed</w:t>
      </w:r>
      <w:r w:rsidRPr="00D260A5">
        <w:rPr>
          <w:rFonts w:ascii="Arial" w:hAnsi="Arial" w:cs="Arial"/>
          <w:sz w:val="24"/>
          <w:lang w:val="en-US"/>
        </w:rPr>
        <w:t xml:space="preserve"> its </w:t>
      </w:r>
      <w:r>
        <w:rPr>
          <w:rFonts w:ascii="Arial" w:hAnsi="Arial" w:cs="Arial"/>
          <w:sz w:val="24"/>
          <w:lang w:val="en-US"/>
        </w:rPr>
        <w:t>nomination to host the COP4 in 2021, with a view to strengthen</w:t>
      </w:r>
      <w:r w:rsidRPr="00D260A5">
        <w:rPr>
          <w:rFonts w:ascii="Arial" w:hAnsi="Arial" w:cs="Arial"/>
          <w:sz w:val="24"/>
          <w:lang w:val="en-US"/>
        </w:rPr>
        <w:t xml:space="preserve"> national and international efforts to implement the</w:t>
      </w:r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Minamata</w:t>
      </w:r>
      <w:proofErr w:type="spellEnd"/>
      <w:r w:rsidRPr="00D260A5">
        <w:rPr>
          <w:rFonts w:ascii="Arial" w:hAnsi="Arial" w:cs="Arial"/>
          <w:sz w:val="24"/>
          <w:lang w:val="en-US"/>
        </w:rPr>
        <w:t xml:space="preserve"> Convention and </w:t>
      </w:r>
      <w:r>
        <w:rPr>
          <w:rFonts w:ascii="Arial" w:hAnsi="Arial" w:cs="Arial"/>
          <w:sz w:val="24"/>
          <w:lang w:val="en-US"/>
        </w:rPr>
        <w:t>advance towards a mercury-free world.</w:t>
      </w:r>
      <w:r w:rsidRPr="00D260A5">
        <w:rPr>
          <w:rFonts w:ascii="Arial" w:hAnsi="Arial" w:cs="Arial"/>
          <w:sz w:val="24"/>
          <w:lang w:val="en-US"/>
        </w:rPr>
        <w:t xml:space="preserve"> </w:t>
      </w:r>
    </w:p>
    <w:p w14:paraId="5A8AC806" w14:textId="77777777" w:rsidR="001E2F82" w:rsidRDefault="001E2F82" w:rsidP="00E83C35">
      <w:pPr>
        <w:spacing w:after="120" w:line="360" w:lineRule="auto"/>
        <w:ind w:firstLine="851"/>
        <w:jc w:val="both"/>
        <w:rPr>
          <w:rFonts w:ascii="Arial" w:hAnsi="Arial" w:cs="Arial"/>
          <w:i/>
          <w:sz w:val="24"/>
          <w:lang w:val="en-US"/>
        </w:rPr>
      </w:pPr>
      <w:r w:rsidRPr="00D260A5">
        <w:rPr>
          <w:rFonts w:ascii="Arial" w:hAnsi="Arial" w:cs="Arial"/>
          <w:sz w:val="24"/>
          <w:lang w:val="en-US"/>
        </w:rPr>
        <w:t xml:space="preserve">Colombia is prepared to </w:t>
      </w:r>
      <w:r>
        <w:rPr>
          <w:rFonts w:ascii="Arial" w:hAnsi="Arial" w:cs="Arial"/>
          <w:sz w:val="24"/>
          <w:lang w:val="en-US"/>
        </w:rPr>
        <w:t>host this COP</w:t>
      </w:r>
      <w:r w:rsidRPr="00D260A5">
        <w:rPr>
          <w:rFonts w:ascii="Arial" w:hAnsi="Arial" w:cs="Arial"/>
          <w:sz w:val="24"/>
          <w:lang w:val="en-US"/>
        </w:rPr>
        <w:t xml:space="preserve">, </w:t>
      </w:r>
      <w:r>
        <w:rPr>
          <w:rFonts w:ascii="Arial" w:hAnsi="Arial" w:cs="Arial"/>
          <w:sz w:val="24"/>
          <w:lang w:val="en-US"/>
        </w:rPr>
        <w:t>considering</w:t>
      </w:r>
      <w:r w:rsidRPr="00D260A5"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 xml:space="preserve">its </w:t>
      </w:r>
      <w:r w:rsidRPr="00D260A5">
        <w:rPr>
          <w:rFonts w:ascii="Arial" w:hAnsi="Arial" w:cs="Arial"/>
          <w:sz w:val="24"/>
          <w:lang w:val="en-US"/>
        </w:rPr>
        <w:t xml:space="preserve">experience as venue and organizer of important presidential </w:t>
      </w:r>
      <w:r>
        <w:rPr>
          <w:rFonts w:ascii="Arial" w:hAnsi="Arial" w:cs="Arial"/>
          <w:sz w:val="24"/>
          <w:lang w:val="en-US"/>
        </w:rPr>
        <w:t xml:space="preserve">and ministerial </w:t>
      </w:r>
      <w:r w:rsidRPr="00D260A5">
        <w:rPr>
          <w:rFonts w:ascii="Arial" w:hAnsi="Arial" w:cs="Arial"/>
          <w:sz w:val="24"/>
          <w:lang w:val="en-US"/>
        </w:rPr>
        <w:t xml:space="preserve">summits </w:t>
      </w:r>
      <w:r>
        <w:rPr>
          <w:rFonts w:ascii="Arial" w:hAnsi="Arial" w:cs="Arial"/>
          <w:sz w:val="24"/>
          <w:lang w:val="en-US"/>
        </w:rPr>
        <w:t xml:space="preserve">and </w:t>
      </w:r>
      <w:r w:rsidRPr="00D260A5">
        <w:rPr>
          <w:rFonts w:ascii="Arial" w:hAnsi="Arial" w:cs="Arial"/>
          <w:sz w:val="24"/>
          <w:lang w:val="en-US"/>
        </w:rPr>
        <w:t xml:space="preserve">meetings of international organizations </w:t>
      </w:r>
      <w:r>
        <w:rPr>
          <w:rFonts w:ascii="Arial" w:hAnsi="Arial" w:cs="Arial"/>
          <w:sz w:val="24"/>
          <w:lang w:val="en-US"/>
        </w:rPr>
        <w:t>at</w:t>
      </w:r>
      <w:r w:rsidRPr="00D260A5"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>its</w:t>
      </w:r>
      <w:r w:rsidRPr="00D260A5">
        <w:rPr>
          <w:rFonts w:ascii="Arial" w:hAnsi="Arial" w:cs="Arial"/>
          <w:sz w:val="24"/>
          <w:lang w:val="en-US"/>
        </w:rPr>
        <w:t xml:space="preserve"> main cities. </w:t>
      </w:r>
      <w:r>
        <w:rPr>
          <w:rFonts w:ascii="Arial" w:hAnsi="Arial" w:cs="Arial"/>
          <w:sz w:val="24"/>
          <w:lang w:val="en-US"/>
        </w:rPr>
        <w:t>Some</w:t>
      </w:r>
      <w:r w:rsidRPr="00D260A5">
        <w:rPr>
          <w:rFonts w:ascii="Arial" w:hAnsi="Arial" w:cs="Arial"/>
          <w:sz w:val="24"/>
          <w:lang w:val="en-US"/>
        </w:rPr>
        <w:t xml:space="preserve"> recent events hosted by </w:t>
      </w:r>
      <w:r>
        <w:rPr>
          <w:rFonts w:ascii="Arial" w:hAnsi="Arial" w:cs="Arial"/>
          <w:sz w:val="24"/>
          <w:lang w:val="en-US"/>
        </w:rPr>
        <w:t>the</w:t>
      </w:r>
      <w:r w:rsidRPr="00D260A5">
        <w:rPr>
          <w:rFonts w:ascii="Arial" w:hAnsi="Arial" w:cs="Arial"/>
          <w:sz w:val="24"/>
          <w:lang w:val="en-US"/>
        </w:rPr>
        <w:t xml:space="preserve"> country include </w:t>
      </w:r>
      <w:r w:rsidRPr="00940D32">
        <w:rPr>
          <w:rFonts w:ascii="Arial" w:hAnsi="Arial" w:cs="Arial"/>
          <w:sz w:val="24"/>
          <w:lang w:val="en-US"/>
        </w:rPr>
        <w:t xml:space="preserve">the </w:t>
      </w:r>
      <w:r>
        <w:rPr>
          <w:rFonts w:ascii="Arial" w:hAnsi="Arial" w:cs="Arial"/>
          <w:i/>
          <w:sz w:val="24"/>
          <w:lang w:val="en-US"/>
        </w:rPr>
        <w:t>10</w:t>
      </w:r>
      <w:r w:rsidRPr="005E1AA6">
        <w:rPr>
          <w:rFonts w:ascii="Arial" w:hAnsi="Arial" w:cs="Arial"/>
          <w:i/>
          <w:sz w:val="24"/>
          <w:vertAlign w:val="superscript"/>
          <w:lang w:val="en-US"/>
        </w:rPr>
        <w:t>th</w:t>
      </w:r>
      <w:r>
        <w:rPr>
          <w:rFonts w:ascii="Arial" w:hAnsi="Arial" w:cs="Arial"/>
          <w:i/>
          <w:sz w:val="24"/>
          <w:lang w:val="en-US"/>
        </w:rPr>
        <w:t xml:space="preserve"> COP</w:t>
      </w:r>
      <w:r w:rsidRPr="00D260A5">
        <w:rPr>
          <w:rFonts w:ascii="Arial" w:hAnsi="Arial" w:cs="Arial"/>
          <w:i/>
          <w:sz w:val="24"/>
          <w:lang w:val="en-US"/>
        </w:rPr>
        <w:t xml:space="preserve"> of </w:t>
      </w:r>
      <w:r>
        <w:rPr>
          <w:rFonts w:ascii="Arial" w:hAnsi="Arial" w:cs="Arial"/>
          <w:i/>
          <w:sz w:val="24"/>
          <w:lang w:val="en-US"/>
        </w:rPr>
        <w:t>the Basel</w:t>
      </w:r>
      <w:r w:rsidRPr="00D260A5">
        <w:rPr>
          <w:rFonts w:ascii="Arial" w:hAnsi="Arial" w:cs="Arial"/>
          <w:i/>
          <w:sz w:val="24"/>
          <w:lang w:val="en-US"/>
        </w:rPr>
        <w:t xml:space="preserve"> Convention (Cartagena, October 2011), </w:t>
      </w:r>
      <w:r w:rsidRPr="00940D32">
        <w:rPr>
          <w:rFonts w:ascii="Arial" w:hAnsi="Arial" w:cs="Arial"/>
          <w:sz w:val="24"/>
          <w:lang w:val="en-US"/>
        </w:rPr>
        <w:t>the</w:t>
      </w:r>
      <w:r>
        <w:rPr>
          <w:rFonts w:ascii="Arial" w:hAnsi="Arial" w:cs="Arial"/>
          <w:i/>
          <w:sz w:val="24"/>
          <w:lang w:val="en-US"/>
        </w:rPr>
        <w:t xml:space="preserve"> 6</w:t>
      </w:r>
      <w:r w:rsidRPr="005E1AA6">
        <w:rPr>
          <w:rFonts w:ascii="Arial" w:hAnsi="Arial" w:cs="Arial"/>
          <w:i/>
          <w:sz w:val="24"/>
          <w:vertAlign w:val="superscript"/>
          <w:lang w:val="en-US"/>
        </w:rPr>
        <w:t>th</w:t>
      </w:r>
      <w:r>
        <w:rPr>
          <w:rFonts w:ascii="Arial" w:hAnsi="Arial" w:cs="Arial"/>
          <w:i/>
          <w:sz w:val="24"/>
          <w:lang w:val="en-US"/>
        </w:rPr>
        <w:t xml:space="preserve"> </w:t>
      </w:r>
      <w:r w:rsidRPr="00D260A5">
        <w:rPr>
          <w:rFonts w:ascii="Arial" w:hAnsi="Arial" w:cs="Arial"/>
          <w:i/>
          <w:sz w:val="24"/>
          <w:lang w:val="en-US"/>
        </w:rPr>
        <w:t>Americas Summit (Cartagena, April 2012),</w:t>
      </w:r>
      <w:r w:rsidRPr="00940D32">
        <w:rPr>
          <w:rFonts w:ascii="Arial" w:hAnsi="Arial" w:cs="Arial"/>
          <w:sz w:val="24"/>
          <w:lang w:val="en-US"/>
        </w:rPr>
        <w:t xml:space="preserve"> the</w:t>
      </w:r>
      <w:r>
        <w:rPr>
          <w:rFonts w:ascii="Arial" w:hAnsi="Arial" w:cs="Arial"/>
          <w:i/>
          <w:sz w:val="24"/>
          <w:lang w:val="en-US"/>
        </w:rPr>
        <w:t xml:space="preserve"> 20</w:t>
      </w:r>
      <w:r w:rsidRPr="00A33609">
        <w:rPr>
          <w:rFonts w:ascii="Arial" w:hAnsi="Arial" w:cs="Arial"/>
          <w:i/>
          <w:sz w:val="24"/>
          <w:vertAlign w:val="superscript"/>
          <w:lang w:val="en-US"/>
        </w:rPr>
        <w:t>th</w:t>
      </w:r>
      <w:r>
        <w:rPr>
          <w:rFonts w:ascii="Arial" w:hAnsi="Arial" w:cs="Arial"/>
          <w:i/>
          <w:sz w:val="24"/>
          <w:lang w:val="en-US"/>
        </w:rPr>
        <w:t xml:space="preserve"> </w:t>
      </w:r>
      <w:r w:rsidRPr="00D260A5">
        <w:rPr>
          <w:rFonts w:ascii="Arial" w:hAnsi="Arial" w:cs="Arial"/>
          <w:i/>
          <w:sz w:val="24"/>
          <w:lang w:val="en-US"/>
        </w:rPr>
        <w:t>Forum of</w:t>
      </w:r>
      <w:r>
        <w:rPr>
          <w:rFonts w:ascii="Arial" w:hAnsi="Arial" w:cs="Arial"/>
          <w:i/>
          <w:sz w:val="24"/>
          <w:lang w:val="en-US"/>
        </w:rPr>
        <w:t xml:space="preserve"> Ministers of Environment</w:t>
      </w:r>
      <w:r w:rsidRPr="00D260A5">
        <w:rPr>
          <w:rFonts w:ascii="Arial" w:hAnsi="Arial" w:cs="Arial"/>
          <w:i/>
          <w:sz w:val="24"/>
          <w:lang w:val="en-US"/>
        </w:rPr>
        <w:t xml:space="preserve"> </w:t>
      </w:r>
      <w:r>
        <w:rPr>
          <w:rFonts w:ascii="Arial" w:hAnsi="Arial" w:cs="Arial"/>
          <w:i/>
          <w:sz w:val="24"/>
          <w:lang w:val="en-US"/>
        </w:rPr>
        <w:t xml:space="preserve">of </w:t>
      </w:r>
      <w:r w:rsidRPr="00D260A5">
        <w:rPr>
          <w:rFonts w:ascii="Arial" w:hAnsi="Arial" w:cs="Arial"/>
          <w:i/>
          <w:sz w:val="24"/>
          <w:lang w:val="en-US"/>
        </w:rPr>
        <w:t xml:space="preserve">Latin America and </w:t>
      </w:r>
      <w:r>
        <w:rPr>
          <w:rFonts w:ascii="Arial" w:hAnsi="Arial" w:cs="Arial"/>
          <w:i/>
          <w:sz w:val="24"/>
          <w:lang w:val="en-US"/>
        </w:rPr>
        <w:t>t</w:t>
      </w:r>
      <w:r w:rsidRPr="00D260A5">
        <w:rPr>
          <w:rFonts w:ascii="Arial" w:hAnsi="Arial" w:cs="Arial"/>
          <w:i/>
          <w:sz w:val="24"/>
          <w:lang w:val="en-US"/>
        </w:rPr>
        <w:t>he Caribbean (Cartagena, March 2016),</w:t>
      </w:r>
      <w:r>
        <w:rPr>
          <w:rFonts w:ascii="Arial" w:hAnsi="Arial" w:cs="Arial"/>
          <w:i/>
          <w:sz w:val="24"/>
          <w:lang w:val="en-US"/>
        </w:rPr>
        <w:t xml:space="preserve"> </w:t>
      </w:r>
      <w:r w:rsidRPr="00940D32">
        <w:rPr>
          <w:rFonts w:ascii="Arial" w:hAnsi="Arial" w:cs="Arial"/>
          <w:sz w:val="24"/>
          <w:lang w:val="en-US"/>
        </w:rPr>
        <w:t>the</w:t>
      </w:r>
      <w:r w:rsidRPr="00D260A5">
        <w:rPr>
          <w:rFonts w:ascii="Arial" w:hAnsi="Arial" w:cs="Arial"/>
          <w:i/>
          <w:sz w:val="24"/>
          <w:lang w:val="en-US"/>
        </w:rPr>
        <w:t xml:space="preserve"> </w:t>
      </w:r>
      <w:r>
        <w:rPr>
          <w:rFonts w:ascii="Arial" w:hAnsi="Arial" w:cs="Arial"/>
          <w:i/>
          <w:sz w:val="24"/>
          <w:lang w:val="en-US"/>
        </w:rPr>
        <w:t>6</w:t>
      </w:r>
      <w:r w:rsidRPr="00A33609">
        <w:rPr>
          <w:rFonts w:ascii="Arial" w:hAnsi="Arial" w:cs="Arial"/>
          <w:i/>
          <w:sz w:val="24"/>
          <w:vertAlign w:val="superscript"/>
          <w:lang w:val="en-US"/>
        </w:rPr>
        <w:t>th</w:t>
      </w:r>
      <w:r w:rsidRPr="00D260A5">
        <w:rPr>
          <w:rFonts w:ascii="Arial" w:hAnsi="Arial" w:cs="Arial"/>
          <w:i/>
          <w:sz w:val="24"/>
          <w:lang w:val="en-US"/>
        </w:rPr>
        <w:t xml:space="preserve"> IP</w:t>
      </w:r>
      <w:r>
        <w:rPr>
          <w:rFonts w:ascii="Arial" w:hAnsi="Arial" w:cs="Arial"/>
          <w:i/>
          <w:sz w:val="24"/>
          <w:lang w:val="en-US"/>
        </w:rPr>
        <w:t>BES Plenary Session (Medellin, M</w:t>
      </w:r>
      <w:r w:rsidRPr="00D260A5">
        <w:rPr>
          <w:rFonts w:ascii="Arial" w:hAnsi="Arial" w:cs="Arial"/>
          <w:i/>
          <w:sz w:val="24"/>
          <w:lang w:val="en-US"/>
        </w:rPr>
        <w:t xml:space="preserve">arch 2018), </w:t>
      </w:r>
      <w:r w:rsidRPr="00940D32">
        <w:rPr>
          <w:rFonts w:ascii="Arial" w:hAnsi="Arial" w:cs="Arial"/>
          <w:sz w:val="24"/>
          <w:lang w:val="en-US"/>
        </w:rPr>
        <w:t>the</w:t>
      </w:r>
      <w:r>
        <w:rPr>
          <w:rFonts w:ascii="Arial" w:hAnsi="Arial" w:cs="Arial"/>
          <w:i/>
          <w:sz w:val="24"/>
          <w:lang w:val="en-US"/>
        </w:rPr>
        <w:t xml:space="preserve"> </w:t>
      </w:r>
      <w:r w:rsidRPr="00D260A5">
        <w:rPr>
          <w:rFonts w:ascii="Arial" w:hAnsi="Arial" w:cs="Arial"/>
          <w:i/>
          <w:sz w:val="24"/>
          <w:lang w:val="en-US"/>
        </w:rPr>
        <w:t>49</w:t>
      </w:r>
      <w:r w:rsidRPr="00D260A5">
        <w:rPr>
          <w:rFonts w:ascii="Arial" w:hAnsi="Arial" w:cs="Arial"/>
          <w:i/>
          <w:sz w:val="24"/>
          <w:vertAlign w:val="superscript"/>
          <w:lang w:val="en-US"/>
        </w:rPr>
        <w:t>th</w:t>
      </w:r>
      <w:r w:rsidRPr="00D260A5">
        <w:rPr>
          <w:rFonts w:ascii="Arial" w:hAnsi="Arial" w:cs="Arial"/>
          <w:i/>
          <w:sz w:val="24"/>
          <w:lang w:val="en-US"/>
        </w:rPr>
        <w:t xml:space="preserve"> General Assembly of the O</w:t>
      </w:r>
      <w:r>
        <w:rPr>
          <w:rFonts w:ascii="Arial" w:hAnsi="Arial" w:cs="Arial"/>
          <w:i/>
          <w:sz w:val="24"/>
          <w:lang w:val="en-US"/>
        </w:rPr>
        <w:t xml:space="preserve">rganization of </w:t>
      </w:r>
      <w:r w:rsidRPr="00D260A5">
        <w:rPr>
          <w:rFonts w:ascii="Arial" w:hAnsi="Arial" w:cs="Arial"/>
          <w:i/>
          <w:sz w:val="24"/>
          <w:lang w:val="en-US"/>
        </w:rPr>
        <w:t>A</w:t>
      </w:r>
      <w:r>
        <w:rPr>
          <w:rFonts w:ascii="Arial" w:hAnsi="Arial" w:cs="Arial"/>
          <w:i/>
          <w:sz w:val="24"/>
          <w:lang w:val="en-US"/>
        </w:rPr>
        <w:t xml:space="preserve">merican </w:t>
      </w:r>
      <w:r w:rsidRPr="00D260A5">
        <w:rPr>
          <w:rFonts w:ascii="Arial" w:hAnsi="Arial" w:cs="Arial"/>
          <w:i/>
          <w:sz w:val="24"/>
          <w:lang w:val="en-US"/>
        </w:rPr>
        <w:t>S</w:t>
      </w:r>
      <w:r>
        <w:rPr>
          <w:rFonts w:ascii="Arial" w:hAnsi="Arial" w:cs="Arial"/>
          <w:i/>
          <w:sz w:val="24"/>
          <w:lang w:val="en-US"/>
        </w:rPr>
        <w:t>tates</w:t>
      </w:r>
      <w:r w:rsidRPr="00D260A5">
        <w:rPr>
          <w:rFonts w:ascii="Arial" w:hAnsi="Arial" w:cs="Arial"/>
          <w:i/>
          <w:sz w:val="24"/>
          <w:lang w:val="en-US"/>
        </w:rPr>
        <w:t xml:space="preserve"> (Medellin, June 2019) </w:t>
      </w:r>
      <w:r w:rsidRPr="00D260A5">
        <w:rPr>
          <w:rFonts w:ascii="Arial" w:hAnsi="Arial" w:cs="Arial"/>
          <w:sz w:val="24"/>
          <w:lang w:val="en-US"/>
        </w:rPr>
        <w:t>and the</w:t>
      </w:r>
      <w:r w:rsidRPr="00D260A5">
        <w:rPr>
          <w:rFonts w:ascii="Arial" w:hAnsi="Arial" w:cs="Arial"/>
          <w:i/>
          <w:sz w:val="24"/>
          <w:lang w:val="en-US"/>
        </w:rPr>
        <w:t xml:space="preserve"> </w:t>
      </w:r>
      <w:r>
        <w:rPr>
          <w:rFonts w:ascii="Arial" w:hAnsi="Arial" w:cs="Arial"/>
          <w:i/>
          <w:sz w:val="24"/>
          <w:lang w:val="en-US"/>
        </w:rPr>
        <w:t>1</w:t>
      </w:r>
      <w:r w:rsidRPr="005E1AA6">
        <w:rPr>
          <w:rFonts w:ascii="Arial" w:hAnsi="Arial" w:cs="Arial"/>
          <w:i/>
          <w:sz w:val="24"/>
          <w:vertAlign w:val="superscript"/>
          <w:lang w:val="en-US"/>
        </w:rPr>
        <w:t>st</w:t>
      </w:r>
      <w:r>
        <w:rPr>
          <w:rFonts w:ascii="Arial" w:hAnsi="Arial" w:cs="Arial"/>
          <w:i/>
          <w:sz w:val="24"/>
          <w:lang w:val="en-US"/>
        </w:rPr>
        <w:t xml:space="preserve"> </w:t>
      </w:r>
      <w:r w:rsidRPr="00D260A5">
        <w:rPr>
          <w:rFonts w:ascii="Arial" w:hAnsi="Arial" w:cs="Arial"/>
          <w:i/>
          <w:sz w:val="24"/>
          <w:lang w:val="en-US"/>
        </w:rPr>
        <w:t>Orange Economy Summit (Medellin, September 2019).</w:t>
      </w:r>
    </w:p>
    <w:p w14:paraId="19286194" w14:textId="77777777" w:rsidR="001E2F82" w:rsidRDefault="001E2F82" w:rsidP="00E83C35">
      <w:pPr>
        <w:spacing w:after="120" w:line="360" w:lineRule="auto"/>
        <w:ind w:firstLine="851"/>
        <w:jc w:val="both"/>
        <w:rPr>
          <w:rFonts w:ascii="Arial" w:hAnsi="Arial" w:cs="Arial"/>
          <w:sz w:val="24"/>
          <w:lang w:val="en-US"/>
        </w:rPr>
      </w:pPr>
      <w:r w:rsidRPr="00D260A5">
        <w:rPr>
          <w:rFonts w:ascii="Arial" w:hAnsi="Arial" w:cs="Arial"/>
          <w:sz w:val="24"/>
          <w:lang w:val="en-US"/>
        </w:rPr>
        <w:t xml:space="preserve">The Government of Colombia is ready to </w:t>
      </w:r>
      <w:r>
        <w:rPr>
          <w:rFonts w:ascii="Arial" w:hAnsi="Arial" w:cs="Arial"/>
          <w:sz w:val="24"/>
          <w:lang w:val="en-US"/>
        </w:rPr>
        <w:t xml:space="preserve">host COP4 at </w:t>
      </w:r>
      <w:r w:rsidRPr="00D260A5">
        <w:rPr>
          <w:rFonts w:ascii="Arial" w:hAnsi="Arial" w:cs="Arial"/>
          <w:sz w:val="24"/>
          <w:lang w:val="en-US"/>
        </w:rPr>
        <w:t xml:space="preserve">the Cartagena de </w:t>
      </w:r>
      <w:proofErr w:type="spellStart"/>
      <w:r w:rsidRPr="00D260A5">
        <w:rPr>
          <w:rFonts w:ascii="Arial" w:hAnsi="Arial" w:cs="Arial"/>
          <w:sz w:val="24"/>
          <w:lang w:val="en-US"/>
        </w:rPr>
        <w:t>Indias</w:t>
      </w:r>
      <w:proofErr w:type="spellEnd"/>
      <w:r w:rsidRPr="00D260A5">
        <w:rPr>
          <w:rFonts w:ascii="Arial" w:hAnsi="Arial" w:cs="Arial"/>
          <w:sz w:val="24"/>
          <w:lang w:val="en-US"/>
        </w:rPr>
        <w:t xml:space="preserve"> Convention Center in November 2021, </w:t>
      </w:r>
      <w:r>
        <w:rPr>
          <w:rFonts w:ascii="Arial" w:hAnsi="Arial" w:cs="Arial"/>
          <w:sz w:val="24"/>
          <w:lang w:val="en-US"/>
        </w:rPr>
        <w:t>with all</w:t>
      </w:r>
      <w:r w:rsidRPr="00D260A5">
        <w:rPr>
          <w:rFonts w:ascii="Arial" w:hAnsi="Arial" w:cs="Arial"/>
          <w:sz w:val="24"/>
          <w:lang w:val="en-US"/>
        </w:rPr>
        <w:t xml:space="preserve"> the necessary requirements for its successful making, including </w:t>
      </w:r>
      <w:r>
        <w:rPr>
          <w:rFonts w:ascii="Arial" w:hAnsi="Arial" w:cs="Arial"/>
          <w:sz w:val="24"/>
          <w:lang w:val="en-US"/>
        </w:rPr>
        <w:t>in terms of s</w:t>
      </w:r>
      <w:r w:rsidRPr="00D260A5">
        <w:rPr>
          <w:rFonts w:ascii="Arial" w:hAnsi="Arial" w:cs="Arial"/>
          <w:sz w:val="24"/>
          <w:lang w:val="en-US"/>
        </w:rPr>
        <w:t>ecurity, logistics, thematic support a</w:t>
      </w:r>
      <w:r>
        <w:rPr>
          <w:rFonts w:ascii="Arial" w:hAnsi="Arial" w:cs="Arial"/>
          <w:sz w:val="24"/>
          <w:lang w:val="en-US"/>
        </w:rPr>
        <w:t>nd courtesies for</w:t>
      </w:r>
      <w:r w:rsidRPr="00D260A5">
        <w:rPr>
          <w:rFonts w:ascii="Arial" w:hAnsi="Arial" w:cs="Arial"/>
          <w:sz w:val="24"/>
          <w:lang w:val="en-US"/>
        </w:rPr>
        <w:t xml:space="preserve"> participants, subject to the agreements between the </w:t>
      </w:r>
      <w:r>
        <w:rPr>
          <w:rFonts w:ascii="Arial" w:hAnsi="Arial" w:cs="Arial"/>
          <w:sz w:val="24"/>
          <w:lang w:val="en-US"/>
        </w:rPr>
        <w:t>C</w:t>
      </w:r>
      <w:r w:rsidRPr="00D260A5">
        <w:rPr>
          <w:rFonts w:ascii="Arial" w:hAnsi="Arial" w:cs="Arial"/>
          <w:sz w:val="24"/>
          <w:lang w:val="en-US"/>
        </w:rPr>
        <w:t>ountry and the Convention Secretariat.</w:t>
      </w:r>
    </w:p>
    <w:p w14:paraId="3D34249C" w14:textId="77777777" w:rsidR="001E2F82" w:rsidRDefault="001E2F82" w:rsidP="00E83C35">
      <w:pPr>
        <w:spacing w:after="120" w:line="360" w:lineRule="auto"/>
        <w:ind w:firstLine="851"/>
        <w:jc w:val="both"/>
        <w:rPr>
          <w:rFonts w:ascii="Arial" w:hAnsi="Arial" w:cs="Arial"/>
          <w:sz w:val="24"/>
          <w:lang w:val="en-US"/>
        </w:rPr>
      </w:pPr>
      <w:r w:rsidRPr="00D260A5">
        <w:rPr>
          <w:rFonts w:ascii="Arial" w:hAnsi="Arial" w:cs="Arial"/>
          <w:sz w:val="24"/>
          <w:lang w:val="en-US"/>
        </w:rPr>
        <w:t xml:space="preserve">Cartagena de </w:t>
      </w:r>
      <w:proofErr w:type="spellStart"/>
      <w:r w:rsidRPr="00D260A5">
        <w:rPr>
          <w:rFonts w:ascii="Arial" w:hAnsi="Arial" w:cs="Arial"/>
          <w:sz w:val="24"/>
          <w:lang w:val="en-US"/>
        </w:rPr>
        <w:t>In</w:t>
      </w:r>
      <w:r>
        <w:rPr>
          <w:rFonts w:ascii="Arial" w:hAnsi="Arial" w:cs="Arial"/>
          <w:sz w:val="24"/>
          <w:lang w:val="en-US"/>
        </w:rPr>
        <w:t>dias</w:t>
      </w:r>
      <w:proofErr w:type="spellEnd"/>
      <w:r>
        <w:rPr>
          <w:rFonts w:ascii="Arial" w:hAnsi="Arial" w:cs="Arial"/>
          <w:sz w:val="24"/>
          <w:lang w:val="en-US"/>
        </w:rPr>
        <w:t xml:space="preserve"> is one of the main cities of the C</w:t>
      </w:r>
      <w:r w:rsidRPr="00D260A5">
        <w:rPr>
          <w:rFonts w:ascii="Arial" w:hAnsi="Arial" w:cs="Arial"/>
          <w:sz w:val="24"/>
          <w:lang w:val="en-US"/>
        </w:rPr>
        <w:t xml:space="preserve">aribbean region and it provides a </w:t>
      </w:r>
      <w:r>
        <w:rPr>
          <w:rFonts w:ascii="Arial" w:hAnsi="Arial" w:cs="Arial"/>
          <w:sz w:val="24"/>
          <w:lang w:val="en-US"/>
        </w:rPr>
        <w:t>wide offer of hotels</w:t>
      </w:r>
      <w:r w:rsidRPr="00D260A5">
        <w:rPr>
          <w:rFonts w:ascii="Arial" w:hAnsi="Arial" w:cs="Arial"/>
          <w:sz w:val="24"/>
          <w:lang w:val="en-US"/>
        </w:rPr>
        <w:t xml:space="preserve"> and convention centers, all of them equipped with the best technologies and high-quality services infrastructure. </w:t>
      </w:r>
      <w:r>
        <w:rPr>
          <w:rFonts w:ascii="Arial" w:hAnsi="Arial" w:cs="Arial"/>
          <w:sz w:val="24"/>
          <w:lang w:val="en-US"/>
        </w:rPr>
        <w:t>The</w:t>
      </w:r>
      <w:r w:rsidRPr="00D260A5">
        <w:rPr>
          <w:rFonts w:ascii="Arial" w:hAnsi="Arial" w:cs="Arial"/>
          <w:sz w:val="24"/>
          <w:lang w:val="en-US"/>
        </w:rPr>
        <w:t xml:space="preserve"> city has an International Airport located </w:t>
      </w:r>
      <w:r>
        <w:rPr>
          <w:rFonts w:ascii="Arial" w:hAnsi="Arial" w:cs="Arial"/>
          <w:sz w:val="24"/>
          <w:lang w:val="en-US"/>
        </w:rPr>
        <w:t>only</w:t>
      </w:r>
      <w:r w:rsidRPr="00D260A5">
        <w:rPr>
          <w:rFonts w:ascii="Arial" w:hAnsi="Arial" w:cs="Arial"/>
          <w:sz w:val="24"/>
          <w:lang w:val="en-US"/>
        </w:rPr>
        <w:t xml:space="preserve"> 15 minutes away from the touristic zone, </w:t>
      </w:r>
      <w:r>
        <w:rPr>
          <w:rFonts w:ascii="Arial" w:hAnsi="Arial" w:cs="Arial"/>
          <w:sz w:val="24"/>
          <w:lang w:val="en-US"/>
        </w:rPr>
        <w:t>that</w:t>
      </w:r>
      <w:r w:rsidRPr="00D260A5">
        <w:rPr>
          <w:rFonts w:ascii="Arial" w:hAnsi="Arial" w:cs="Arial"/>
          <w:sz w:val="24"/>
          <w:lang w:val="en-US"/>
        </w:rPr>
        <w:t xml:space="preserve"> receiv</w:t>
      </w:r>
      <w:r>
        <w:rPr>
          <w:rFonts w:ascii="Arial" w:hAnsi="Arial" w:cs="Arial"/>
          <w:sz w:val="24"/>
          <w:lang w:val="en-US"/>
        </w:rPr>
        <w:t>es</w:t>
      </w:r>
      <w:r w:rsidRPr="00D260A5">
        <w:rPr>
          <w:rFonts w:ascii="Arial" w:hAnsi="Arial" w:cs="Arial"/>
          <w:sz w:val="24"/>
          <w:lang w:val="en-US"/>
        </w:rPr>
        <w:t xml:space="preserve"> around 300 direct flights every week, including national and international </w:t>
      </w:r>
      <w:r>
        <w:rPr>
          <w:rFonts w:ascii="Arial" w:hAnsi="Arial" w:cs="Arial"/>
          <w:sz w:val="24"/>
          <w:lang w:val="en-US"/>
        </w:rPr>
        <w:t>one</w:t>
      </w:r>
      <w:r w:rsidRPr="00D260A5">
        <w:rPr>
          <w:rFonts w:ascii="Arial" w:hAnsi="Arial" w:cs="Arial"/>
          <w:sz w:val="24"/>
          <w:lang w:val="en-US"/>
        </w:rPr>
        <w:t xml:space="preserve">s. </w:t>
      </w:r>
      <w:r>
        <w:rPr>
          <w:rFonts w:ascii="Arial" w:hAnsi="Arial" w:cs="Arial"/>
          <w:sz w:val="24"/>
          <w:lang w:val="en-US"/>
        </w:rPr>
        <w:t>Cartagena</w:t>
      </w:r>
      <w:r w:rsidRPr="00D260A5">
        <w:rPr>
          <w:rFonts w:ascii="Arial" w:hAnsi="Arial" w:cs="Arial"/>
          <w:sz w:val="24"/>
          <w:lang w:val="en-US"/>
        </w:rPr>
        <w:t xml:space="preserve"> is </w:t>
      </w:r>
      <w:r>
        <w:rPr>
          <w:rFonts w:ascii="Arial" w:hAnsi="Arial" w:cs="Arial"/>
          <w:sz w:val="24"/>
          <w:lang w:val="en-US"/>
        </w:rPr>
        <w:t>well known</w:t>
      </w:r>
      <w:r w:rsidRPr="00D260A5">
        <w:rPr>
          <w:rFonts w:ascii="Arial" w:hAnsi="Arial" w:cs="Arial"/>
          <w:sz w:val="24"/>
          <w:lang w:val="en-US"/>
        </w:rPr>
        <w:t xml:space="preserve"> for its historic center architecture</w:t>
      </w:r>
      <w:r>
        <w:rPr>
          <w:rFonts w:ascii="Arial" w:hAnsi="Arial" w:cs="Arial"/>
          <w:sz w:val="24"/>
          <w:lang w:val="en-US"/>
        </w:rPr>
        <w:t xml:space="preserve"> and</w:t>
      </w:r>
      <w:r w:rsidRPr="00D260A5"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 xml:space="preserve">for being a World Heritage Site, as declared </w:t>
      </w:r>
      <w:r w:rsidRPr="00D260A5">
        <w:rPr>
          <w:rFonts w:ascii="Arial" w:hAnsi="Arial" w:cs="Arial"/>
          <w:sz w:val="24"/>
          <w:lang w:val="en-US"/>
        </w:rPr>
        <w:t>by UNESCO in 1984.</w:t>
      </w:r>
    </w:p>
    <w:p w14:paraId="146D5735" w14:textId="77777777" w:rsidR="001E2F82" w:rsidRDefault="001E2F82" w:rsidP="001E2F82">
      <w:pPr>
        <w:spacing w:line="360" w:lineRule="auto"/>
        <w:ind w:firstLine="851"/>
        <w:jc w:val="both"/>
        <w:rPr>
          <w:rFonts w:ascii="Arial" w:hAnsi="Arial" w:cs="Arial"/>
          <w:sz w:val="24"/>
          <w:lang w:val="en-US"/>
        </w:rPr>
      </w:pPr>
      <w:r w:rsidRPr="00D260A5">
        <w:rPr>
          <w:rFonts w:ascii="Arial" w:hAnsi="Arial" w:cs="Arial"/>
          <w:sz w:val="24"/>
          <w:lang w:val="en-US"/>
        </w:rPr>
        <w:lastRenderedPageBreak/>
        <w:t xml:space="preserve">The Government of Colombia is convinced </w:t>
      </w:r>
      <w:r>
        <w:rPr>
          <w:rFonts w:ascii="Arial" w:hAnsi="Arial" w:cs="Arial"/>
          <w:sz w:val="24"/>
          <w:lang w:val="en-US"/>
        </w:rPr>
        <w:t>of</w:t>
      </w:r>
      <w:r w:rsidRPr="00D260A5">
        <w:rPr>
          <w:rFonts w:ascii="Arial" w:hAnsi="Arial" w:cs="Arial"/>
          <w:sz w:val="24"/>
          <w:lang w:val="en-US"/>
        </w:rPr>
        <w:t xml:space="preserve"> the importance of the </w:t>
      </w:r>
      <w:proofErr w:type="spellStart"/>
      <w:r w:rsidRPr="00D260A5">
        <w:rPr>
          <w:rFonts w:ascii="Arial" w:hAnsi="Arial" w:cs="Arial"/>
          <w:sz w:val="24"/>
          <w:lang w:val="en-US"/>
        </w:rPr>
        <w:t>Minamata</w:t>
      </w:r>
      <w:proofErr w:type="spellEnd"/>
      <w:r>
        <w:rPr>
          <w:rFonts w:ascii="Arial" w:hAnsi="Arial" w:cs="Arial"/>
          <w:sz w:val="24"/>
          <w:lang w:val="en-US"/>
        </w:rPr>
        <w:t xml:space="preserve"> Convention and in this sense, h</w:t>
      </w:r>
      <w:r w:rsidRPr="00D260A5">
        <w:rPr>
          <w:rFonts w:ascii="Arial" w:hAnsi="Arial" w:cs="Arial"/>
          <w:sz w:val="24"/>
          <w:lang w:val="en-US"/>
        </w:rPr>
        <w:t xml:space="preserve">osting </w:t>
      </w:r>
      <w:r>
        <w:rPr>
          <w:rFonts w:ascii="Arial" w:hAnsi="Arial" w:cs="Arial"/>
          <w:sz w:val="24"/>
          <w:lang w:val="en-US"/>
        </w:rPr>
        <w:t>COP4</w:t>
      </w:r>
      <w:r w:rsidRPr="00D260A5">
        <w:rPr>
          <w:rFonts w:ascii="Arial" w:hAnsi="Arial" w:cs="Arial"/>
          <w:sz w:val="24"/>
          <w:lang w:val="en-US"/>
        </w:rPr>
        <w:t xml:space="preserve"> in our country would </w:t>
      </w:r>
      <w:r>
        <w:rPr>
          <w:rFonts w:ascii="Arial" w:hAnsi="Arial" w:cs="Arial"/>
          <w:sz w:val="24"/>
          <w:lang w:val="en-US"/>
        </w:rPr>
        <w:t>support</w:t>
      </w:r>
      <w:r w:rsidRPr="00D260A5">
        <w:rPr>
          <w:rFonts w:ascii="Arial" w:hAnsi="Arial" w:cs="Arial"/>
          <w:sz w:val="24"/>
          <w:lang w:val="en-US"/>
        </w:rPr>
        <w:t xml:space="preserve"> our compromise on implementing actions to e</w:t>
      </w:r>
      <w:r>
        <w:rPr>
          <w:rFonts w:ascii="Arial" w:hAnsi="Arial" w:cs="Arial"/>
          <w:sz w:val="24"/>
          <w:lang w:val="en-US"/>
        </w:rPr>
        <w:t>radicate</w:t>
      </w:r>
      <w:r w:rsidRPr="00D260A5">
        <w:rPr>
          <w:rFonts w:ascii="Arial" w:hAnsi="Arial" w:cs="Arial"/>
          <w:sz w:val="24"/>
          <w:lang w:val="en-US"/>
        </w:rPr>
        <w:t xml:space="preserve"> the use of mercury, </w:t>
      </w:r>
      <w:r>
        <w:rPr>
          <w:rFonts w:ascii="Arial" w:hAnsi="Arial" w:cs="Arial"/>
          <w:sz w:val="24"/>
          <w:lang w:val="en-US"/>
        </w:rPr>
        <w:t>e</w:t>
      </w:r>
      <w:r w:rsidRPr="00D260A5">
        <w:rPr>
          <w:rFonts w:ascii="Arial" w:hAnsi="Arial" w:cs="Arial"/>
          <w:sz w:val="24"/>
          <w:lang w:val="en-US"/>
        </w:rPr>
        <w:t>specia</w:t>
      </w:r>
      <w:r>
        <w:rPr>
          <w:rFonts w:ascii="Arial" w:hAnsi="Arial" w:cs="Arial"/>
          <w:sz w:val="24"/>
          <w:lang w:val="en-US"/>
        </w:rPr>
        <w:t>l</w:t>
      </w:r>
      <w:r w:rsidRPr="00D260A5">
        <w:rPr>
          <w:rFonts w:ascii="Arial" w:hAnsi="Arial" w:cs="Arial"/>
          <w:sz w:val="24"/>
          <w:lang w:val="en-US"/>
        </w:rPr>
        <w:t>l</w:t>
      </w:r>
      <w:r>
        <w:rPr>
          <w:rFonts w:ascii="Arial" w:hAnsi="Arial" w:cs="Arial"/>
          <w:sz w:val="24"/>
          <w:lang w:val="en-US"/>
        </w:rPr>
        <w:t>y</w:t>
      </w:r>
      <w:r w:rsidRPr="00D260A5">
        <w:rPr>
          <w:rFonts w:ascii="Arial" w:hAnsi="Arial" w:cs="Arial"/>
          <w:sz w:val="24"/>
          <w:lang w:val="en-US"/>
        </w:rPr>
        <w:t xml:space="preserve"> from </w:t>
      </w:r>
      <w:r>
        <w:rPr>
          <w:rFonts w:ascii="Arial" w:hAnsi="Arial" w:cs="Arial"/>
          <w:sz w:val="24"/>
          <w:lang w:val="en-US"/>
        </w:rPr>
        <w:t xml:space="preserve">the </w:t>
      </w:r>
      <w:r w:rsidRPr="00D260A5">
        <w:rPr>
          <w:rFonts w:ascii="Arial" w:hAnsi="Arial" w:cs="Arial"/>
          <w:sz w:val="24"/>
          <w:lang w:val="en-US"/>
        </w:rPr>
        <w:t>mining</w:t>
      </w:r>
      <w:r>
        <w:rPr>
          <w:rFonts w:ascii="Arial" w:hAnsi="Arial" w:cs="Arial"/>
          <w:sz w:val="24"/>
          <w:lang w:val="en-US"/>
        </w:rPr>
        <w:t xml:space="preserve"> sector</w:t>
      </w:r>
      <w:r w:rsidRPr="00D260A5">
        <w:rPr>
          <w:rFonts w:ascii="Arial" w:hAnsi="Arial" w:cs="Arial"/>
          <w:sz w:val="24"/>
          <w:lang w:val="en-US"/>
        </w:rPr>
        <w:t xml:space="preserve">, </w:t>
      </w:r>
      <w:r>
        <w:rPr>
          <w:rFonts w:ascii="Arial" w:hAnsi="Arial" w:cs="Arial"/>
          <w:sz w:val="24"/>
          <w:lang w:val="en-US"/>
        </w:rPr>
        <w:t>in order</w:t>
      </w:r>
      <w:r w:rsidRPr="00D260A5">
        <w:rPr>
          <w:rFonts w:ascii="Arial" w:hAnsi="Arial" w:cs="Arial"/>
          <w:sz w:val="24"/>
          <w:lang w:val="en-US"/>
        </w:rPr>
        <w:t xml:space="preserve"> to achieve a Colombia 100% free of mercury in 2023.</w:t>
      </w:r>
    </w:p>
    <w:p w14:paraId="41B73A43" w14:textId="77777777" w:rsidR="001E2F82" w:rsidRPr="00D260A5" w:rsidRDefault="001E2F82" w:rsidP="001E2F82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 w:rsidRPr="45182C01">
        <w:rPr>
          <w:rFonts w:ascii="Arial" w:hAnsi="Arial" w:cs="Arial"/>
          <w:sz w:val="24"/>
          <w:szCs w:val="24"/>
          <w:lang w:val="en-US"/>
        </w:rPr>
        <w:t xml:space="preserve">I avail itself this opportunity to renew to the Honorable Secretary the assurances of my highest consideration. </w:t>
      </w:r>
    </w:p>
    <w:p w14:paraId="2D42E40C" w14:textId="77777777" w:rsidR="001E2F82" w:rsidRDefault="001E2F82" w:rsidP="001E2F82">
      <w:pPr>
        <w:jc w:val="center"/>
        <w:rPr>
          <w:rFonts w:ascii="Arial" w:hAnsi="Arial" w:cs="Arial"/>
          <w:sz w:val="24"/>
          <w:lang w:val="en-US"/>
        </w:rPr>
      </w:pPr>
    </w:p>
    <w:p w14:paraId="7A3373AD" w14:textId="77777777" w:rsidR="001E2F82" w:rsidRDefault="001E2F82" w:rsidP="001E2F82">
      <w:pPr>
        <w:jc w:val="center"/>
        <w:rPr>
          <w:rFonts w:ascii="Arial" w:hAnsi="Arial" w:cs="Arial"/>
          <w:sz w:val="24"/>
          <w:lang w:val="en-US"/>
        </w:rPr>
      </w:pPr>
    </w:p>
    <w:p w14:paraId="22E9B374" w14:textId="77777777" w:rsidR="001E2F82" w:rsidRPr="00F23449" w:rsidRDefault="001E2F82" w:rsidP="001E2F82">
      <w:pPr>
        <w:jc w:val="center"/>
        <w:rPr>
          <w:rFonts w:ascii="Arial" w:hAnsi="Arial" w:cs="Arial"/>
          <w:sz w:val="24"/>
          <w:lang w:val="en-US"/>
        </w:rPr>
      </w:pPr>
    </w:p>
    <w:p w14:paraId="7A962980" w14:textId="77777777" w:rsidR="001E2F82" w:rsidRDefault="001E2F82" w:rsidP="001E2F82">
      <w:pPr>
        <w:jc w:val="center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(Signed)</w:t>
      </w:r>
    </w:p>
    <w:p w14:paraId="6DC314D3" w14:textId="77777777" w:rsidR="001E2F82" w:rsidRPr="00AB7087" w:rsidRDefault="001E2F82" w:rsidP="001E2F82">
      <w:pPr>
        <w:jc w:val="center"/>
        <w:rPr>
          <w:rFonts w:ascii="Arial" w:hAnsi="Arial" w:cs="Arial"/>
          <w:b/>
          <w:sz w:val="24"/>
          <w:lang w:val="en-US"/>
        </w:rPr>
      </w:pPr>
      <w:r w:rsidRPr="00AB7087">
        <w:rPr>
          <w:rFonts w:ascii="Arial" w:hAnsi="Arial" w:cs="Arial"/>
          <w:b/>
          <w:sz w:val="24"/>
          <w:lang w:val="en-US"/>
        </w:rPr>
        <w:t>Adriana Mejia Hernandez</w:t>
      </w:r>
    </w:p>
    <w:p w14:paraId="7002D045" w14:textId="77777777" w:rsidR="001E2F82" w:rsidRDefault="001E2F82" w:rsidP="001E2F82">
      <w:pPr>
        <w:jc w:val="center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Vice Minister for Multilateral Affairs, </w:t>
      </w:r>
    </w:p>
    <w:p w14:paraId="36FCDD61" w14:textId="77777777" w:rsidR="001E2F82" w:rsidRDefault="001E2F82" w:rsidP="001E2F82">
      <w:pPr>
        <w:jc w:val="center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Acting Minister of Foreign Affairs</w:t>
      </w:r>
    </w:p>
    <w:p w14:paraId="1DC5A4E3" w14:textId="77777777" w:rsidR="001E2F82" w:rsidRPr="00F23449" w:rsidRDefault="001E2F82" w:rsidP="001E2F82">
      <w:pPr>
        <w:jc w:val="center"/>
        <w:rPr>
          <w:rFonts w:ascii="Arial" w:hAnsi="Arial" w:cs="Arial"/>
          <w:sz w:val="24"/>
          <w:lang w:val="en-US"/>
        </w:rPr>
      </w:pPr>
    </w:p>
    <w:p w14:paraId="725A22DA" w14:textId="06F7F36B" w:rsidR="00A5632C" w:rsidRPr="00E83C35" w:rsidRDefault="00A5632C" w:rsidP="008A7B83">
      <w:pPr>
        <w:pStyle w:val="Normal-pool"/>
      </w:pPr>
    </w:p>
    <w:p w14:paraId="4233F8F7" w14:textId="77777777" w:rsidR="000656E9" w:rsidRPr="00B80AC2" w:rsidRDefault="000656E9" w:rsidP="001224E5">
      <w:pPr>
        <w:pStyle w:val="Normal-pool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98"/>
        <w:gridCol w:w="1899"/>
        <w:gridCol w:w="1899"/>
        <w:gridCol w:w="1900"/>
        <w:gridCol w:w="1900"/>
      </w:tblGrid>
      <w:tr w:rsidR="00E976AB" w:rsidRPr="00D25175" w14:paraId="6DB0CABC" w14:textId="77777777" w:rsidTr="00283A56">
        <w:tc>
          <w:tcPr>
            <w:tcW w:w="1898" w:type="dxa"/>
            <w:shd w:val="clear" w:color="auto" w:fill="auto"/>
          </w:tcPr>
          <w:p w14:paraId="6D3F7C2C" w14:textId="77777777" w:rsidR="00E976AB" w:rsidRPr="00D25175" w:rsidRDefault="00E976AB" w:rsidP="008939D4">
            <w:pPr>
              <w:pStyle w:val="Normal-pool"/>
              <w:spacing w:before="520"/>
            </w:pPr>
          </w:p>
        </w:tc>
        <w:tc>
          <w:tcPr>
            <w:tcW w:w="1899" w:type="dxa"/>
            <w:shd w:val="clear" w:color="auto" w:fill="auto"/>
          </w:tcPr>
          <w:p w14:paraId="378BA037" w14:textId="77777777" w:rsidR="00E976AB" w:rsidRPr="00D25175" w:rsidRDefault="00E976AB" w:rsidP="008939D4">
            <w:pPr>
              <w:pStyle w:val="Normal-pool"/>
              <w:spacing w:before="520"/>
            </w:pP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D25175" w:rsidRDefault="00E976AB" w:rsidP="008939D4">
            <w:pPr>
              <w:pStyle w:val="Normal-pool"/>
              <w:spacing w:before="520"/>
            </w:pPr>
          </w:p>
        </w:tc>
        <w:tc>
          <w:tcPr>
            <w:tcW w:w="1900" w:type="dxa"/>
            <w:shd w:val="clear" w:color="auto" w:fill="auto"/>
          </w:tcPr>
          <w:p w14:paraId="25F1BA19" w14:textId="77777777" w:rsidR="00E976AB" w:rsidRPr="00D25175" w:rsidRDefault="00E976AB" w:rsidP="008939D4">
            <w:pPr>
              <w:pStyle w:val="Normal-pool"/>
              <w:spacing w:before="520"/>
            </w:pPr>
          </w:p>
        </w:tc>
        <w:tc>
          <w:tcPr>
            <w:tcW w:w="1900" w:type="dxa"/>
            <w:shd w:val="clear" w:color="auto" w:fill="auto"/>
          </w:tcPr>
          <w:p w14:paraId="457D2993" w14:textId="77777777" w:rsidR="00E976AB" w:rsidRPr="00D25175" w:rsidRDefault="00E976AB" w:rsidP="008939D4">
            <w:pPr>
              <w:pStyle w:val="Normal-pool"/>
              <w:spacing w:before="520"/>
            </w:pPr>
          </w:p>
        </w:tc>
      </w:tr>
    </w:tbl>
    <w:p w14:paraId="325E8270" w14:textId="77777777" w:rsidR="00032E4E" w:rsidRPr="00D25175" w:rsidRDefault="00032E4E" w:rsidP="00D013F5">
      <w:pPr>
        <w:pStyle w:val="Normal-pool"/>
      </w:pPr>
    </w:p>
    <w:sectPr w:rsidR="00032E4E" w:rsidRPr="00D25175" w:rsidSect="00C771A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F7E58" w14:textId="77777777" w:rsidR="004F5D88" w:rsidRDefault="004F5D88">
      <w:r>
        <w:separator/>
      </w:r>
    </w:p>
  </w:endnote>
  <w:endnote w:type="continuationSeparator" w:id="0">
    <w:p w14:paraId="40566C63" w14:textId="77777777" w:rsidR="004F5D88" w:rsidRDefault="004F5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AA827" w14:textId="09B1A75A" w:rsidR="00670FAE" w:rsidRPr="001F5DBC" w:rsidRDefault="00670FAE" w:rsidP="001F5DBC">
    <w:pPr>
      <w:pStyle w:val="Footer-pool"/>
    </w:pPr>
    <w:r w:rsidRPr="001F5DBC">
      <w:rPr>
        <w:rStyle w:val="PageNumber"/>
        <w:b/>
      </w:rPr>
      <w:fldChar w:fldCharType="begin"/>
    </w:r>
    <w:r w:rsidRPr="001F5DBC">
      <w:rPr>
        <w:rStyle w:val="PageNumber"/>
        <w:b/>
      </w:rPr>
      <w:instrText xml:space="preserve"> PAGE </w:instrText>
    </w:r>
    <w:r w:rsidRPr="001F5DBC">
      <w:rPr>
        <w:rStyle w:val="PageNumber"/>
        <w:b/>
      </w:rPr>
      <w:fldChar w:fldCharType="separate"/>
    </w:r>
    <w:r w:rsidR="008A7B83">
      <w:rPr>
        <w:rStyle w:val="PageNumber"/>
        <w:b/>
        <w:noProof/>
      </w:rPr>
      <w:t>8</w:t>
    </w:r>
    <w:r w:rsidRPr="001F5DBC"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D48B7" w14:textId="33B1E1D7" w:rsidR="00670FAE" w:rsidRPr="001F5DBC" w:rsidRDefault="00670FAE" w:rsidP="001F5DBC">
    <w:pPr>
      <w:pStyle w:val="Footer-pool"/>
      <w:jc w:val="right"/>
    </w:pPr>
    <w:r w:rsidRPr="001F5DBC">
      <w:rPr>
        <w:rStyle w:val="PageNumber"/>
        <w:b/>
      </w:rPr>
      <w:fldChar w:fldCharType="begin"/>
    </w:r>
    <w:r w:rsidRPr="001F5DBC">
      <w:rPr>
        <w:rStyle w:val="PageNumber"/>
        <w:b/>
      </w:rPr>
      <w:instrText xml:space="preserve"> PAGE </w:instrText>
    </w:r>
    <w:r w:rsidRPr="001F5DBC">
      <w:rPr>
        <w:rStyle w:val="PageNumber"/>
        <w:b/>
      </w:rPr>
      <w:fldChar w:fldCharType="separate"/>
    </w:r>
    <w:r w:rsidR="008A7B83">
      <w:rPr>
        <w:rStyle w:val="PageNumber"/>
        <w:b/>
        <w:noProof/>
      </w:rPr>
      <w:t>9</w:t>
    </w:r>
    <w:r w:rsidRPr="001F5DBC">
      <w:rPr>
        <w:rStyle w:val="PageNumber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19D75" w14:textId="29190C52" w:rsidR="00AA6123" w:rsidRPr="00AA6123" w:rsidRDefault="00AA6123" w:rsidP="008A7B83">
    <w:pPr>
      <w:pStyle w:val="Footer-pool"/>
    </w:pPr>
    <w:r w:rsidRPr="00AA6123">
      <w:rPr>
        <w:b w:val="0"/>
      </w:rPr>
      <w:t>K</w:t>
    </w:r>
    <w:r w:rsidR="008A7B83">
      <w:rPr>
        <w:b w:val="0"/>
      </w:rPr>
      <w:t>1904182</w:t>
    </w:r>
    <w:r w:rsidR="008A7B83">
      <w:rPr>
        <w:b w:val="0"/>
      </w:rPr>
      <w:tab/>
      <w:t>0410</w:t>
    </w:r>
    <w:r w:rsidRPr="00AA6123">
      <w:rPr>
        <w:b w:val="0"/>
      </w:rPr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8FEDC" w14:textId="77777777" w:rsidR="004F5D88" w:rsidRDefault="004F5D88" w:rsidP="00D92DE0">
      <w:pPr>
        <w:ind w:left="624"/>
      </w:pPr>
      <w:r>
        <w:separator/>
      </w:r>
    </w:p>
  </w:footnote>
  <w:footnote w:type="continuationSeparator" w:id="0">
    <w:p w14:paraId="33704AB0" w14:textId="77777777" w:rsidR="004F5D88" w:rsidRDefault="004F5D88">
      <w:r>
        <w:continuationSeparator/>
      </w:r>
    </w:p>
  </w:footnote>
  <w:footnote w:id="1">
    <w:p w14:paraId="6D1A38CF" w14:textId="77777777" w:rsidR="005B25C1" w:rsidRPr="001F5DBC" w:rsidRDefault="005B25C1" w:rsidP="005B25C1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 w:rsidRPr="001F5DBC">
        <w:rPr>
          <w:sz w:val="18"/>
          <w:szCs w:val="18"/>
        </w:rPr>
        <w:t xml:space="preserve">* </w:t>
      </w:r>
      <w:bookmarkStart w:id="4" w:name="_GoBack"/>
      <w:bookmarkEnd w:id="4"/>
      <w:r w:rsidRPr="001F5DBC">
        <w:rPr>
          <w:sz w:val="18"/>
          <w:szCs w:val="18"/>
        </w:rPr>
        <w:t>UNEP/MC/COP.3/1.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F4E3A" w14:textId="08FD5598" w:rsidR="00670FAE" w:rsidRPr="00CA5CA9" w:rsidRDefault="00670FAE" w:rsidP="001224E5">
    <w:pPr>
      <w:pStyle w:val="Header-pool"/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>
      <w:t>COP</w:t>
    </w:r>
    <w:r w:rsidRPr="007064E6">
      <w:t>.</w:t>
    </w:r>
    <w:r w:rsidR="000A7C0C" w:rsidRPr="007064E6">
      <w:t>3</w:t>
    </w:r>
    <w:r w:rsidRPr="007064E6">
      <w:t>/</w:t>
    </w:r>
    <w:r w:rsidR="007064E6" w:rsidRPr="007529DC">
      <w:t>INF/2</w:t>
    </w:r>
    <w:r w:rsidR="00D90444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91C51" w14:textId="3C065664" w:rsidR="00670FAE" w:rsidRPr="00CA5CA9" w:rsidRDefault="00670FAE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</w:t>
    </w:r>
    <w:r w:rsidRPr="007064E6">
      <w:rPr>
        <w:szCs w:val="18"/>
      </w:rPr>
      <w:t>.</w:t>
    </w:r>
    <w:r w:rsidR="000A7C0C" w:rsidRPr="007064E6">
      <w:rPr>
        <w:szCs w:val="18"/>
      </w:rPr>
      <w:t>3</w:t>
    </w:r>
    <w:r w:rsidRPr="007064E6">
      <w:rPr>
        <w:szCs w:val="18"/>
      </w:rPr>
      <w:t>/</w:t>
    </w:r>
    <w:r w:rsidR="007064E6" w:rsidRPr="007529DC">
      <w:rPr>
        <w:szCs w:val="18"/>
      </w:rPr>
      <w:t>INF/2</w:t>
    </w:r>
    <w:r w:rsidR="00D90444">
      <w:rPr>
        <w:szCs w:val="1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28784" w14:textId="7C64E8EA" w:rsidR="00670FAE" w:rsidRDefault="00670FA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5613C"/>
    <w:multiLevelType w:val="hybridMultilevel"/>
    <w:tmpl w:val="EC40DDFC"/>
    <w:lvl w:ilvl="0" w:tplc="8A5AFE70">
      <w:start w:val="2"/>
      <w:numFmt w:val="decimal"/>
      <w:lvlText w:val="%1."/>
      <w:lvlJc w:val="left"/>
      <w:pPr>
        <w:ind w:left="1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04BCF8">
      <w:start w:val="1"/>
      <w:numFmt w:val="lowerLetter"/>
      <w:lvlText w:val="%2"/>
      <w:lvlJc w:val="left"/>
      <w:pPr>
        <w:ind w:left="1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6CAAD4">
      <w:start w:val="1"/>
      <w:numFmt w:val="lowerRoman"/>
      <w:lvlText w:val="%3"/>
      <w:lvlJc w:val="left"/>
      <w:pPr>
        <w:ind w:left="2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302856">
      <w:start w:val="1"/>
      <w:numFmt w:val="decimal"/>
      <w:lvlText w:val="%4"/>
      <w:lvlJc w:val="left"/>
      <w:pPr>
        <w:ind w:left="2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9A1AF2">
      <w:start w:val="1"/>
      <w:numFmt w:val="lowerLetter"/>
      <w:lvlText w:val="%5"/>
      <w:lvlJc w:val="left"/>
      <w:pPr>
        <w:ind w:left="3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30B58A">
      <w:start w:val="1"/>
      <w:numFmt w:val="lowerRoman"/>
      <w:lvlText w:val="%6"/>
      <w:lvlJc w:val="left"/>
      <w:pPr>
        <w:ind w:left="4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2ED564">
      <w:start w:val="1"/>
      <w:numFmt w:val="decimal"/>
      <w:lvlText w:val="%7"/>
      <w:lvlJc w:val="left"/>
      <w:pPr>
        <w:ind w:left="4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144392">
      <w:start w:val="1"/>
      <w:numFmt w:val="lowerLetter"/>
      <w:lvlText w:val="%8"/>
      <w:lvlJc w:val="left"/>
      <w:pPr>
        <w:ind w:left="5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1C7F3E">
      <w:start w:val="1"/>
      <w:numFmt w:val="lowerRoman"/>
      <w:lvlText w:val="%9"/>
      <w:lvlJc w:val="left"/>
      <w:pPr>
        <w:ind w:left="6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5" w15:restartNumberingAfterBreak="0">
    <w:nsid w:val="60753F71"/>
    <w:multiLevelType w:val="hybridMultilevel"/>
    <w:tmpl w:val="32D0B526"/>
    <w:lvl w:ilvl="0" w:tplc="F282EBA4">
      <w:start w:val="1"/>
      <w:numFmt w:val="decimal"/>
      <w:lvlText w:val="%1."/>
      <w:lvlJc w:val="left"/>
      <w:pPr>
        <w:ind w:left="69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52B744">
      <w:start w:val="1"/>
      <w:numFmt w:val="lowerLetter"/>
      <w:lvlText w:val="%2"/>
      <w:lvlJc w:val="left"/>
      <w:pPr>
        <w:ind w:left="1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9ACDBA">
      <w:start w:val="1"/>
      <w:numFmt w:val="lowerRoman"/>
      <w:lvlText w:val="%3"/>
      <w:lvlJc w:val="left"/>
      <w:pPr>
        <w:ind w:left="2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3E5E64">
      <w:start w:val="1"/>
      <w:numFmt w:val="decimal"/>
      <w:lvlText w:val="%4"/>
      <w:lvlJc w:val="left"/>
      <w:pPr>
        <w:ind w:left="2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40E484">
      <w:start w:val="1"/>
      <w:numFmt w:val="lowerLetter"/>
      <w:lvlText w:val="%5"/>
      <w:lvlJc w:val="left"/>
      <w:pPr>
        <w:ind w:left="3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C63B14">
      <w:start w:val="1"/>
      <w:numFmt w:val="lowerRoman"/>
      <w:lvlText w:val="%6"/>
      <w:lvlJc w:val="left"/>
      <w:pPr>
        <w:ind w:left="4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C4BDE">
      <w:start w:val="1"/>
      <w:numFmt w:val="decimal"/>
      <w:lvlText w:val="%7"/>
      <w:lvlJc w:val="left"/>
      <w:pPr>
        <w:ind w:left="4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E01A6E">
      <w:start w:val="1"/>
      <w:numFmt w:val="lowerLetter"/>
      <w:lvlText w:val="%8"/>
      <w:lvlJc w:val="left"/>
      <w:pPr>
        <w:ind w:left="5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5E240A">
      <w:start w:val="1"/>
      <w:numFmt w:val="lowerRoman"/>
      <w:lvlText w:val="%9"/>
      <w:lvlJc w:val="left"/>
      <w:pPr>
        <w:ind w:left="6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840005B"/>
    <w:multiLevelType w:val="hybridMultilevel"/>
    <w:tmpl w:val="AFC6C21E"/>
    <w:lvl w:ilvl="0" w:tplc="0809000F">
      <w:start w:val="1"/>
      <w:numFmt w:val="decimal"/>
      <w:lvlText w:val="%1."/>
      <w:lvlJc w:val="left"/>
      <w:pPr>
        <w:ind w:left="1519" w:hanging="360"/>
      </w:pPr>
    </w:lvl>
    <w:lvl w:ilvl="1" w:tplc="08090019" w:tentative="1">
      <w:start w:val="1"/>
      <w:numFmt w:val="lowerLetter"/>
      <w:lvlText w:val="%2."/>
      <w:lvlJc w:val="left"/>
      <w:pPr>
        <w:ind w:left="2239" w:hanging="360"/>
      </w:pPr>
    </w:lvl>
    <w:lvl w:ilvl="2" w:tplc="0809001B" w:tentative="1">
      <w:start w:val="1"/>
      <w:numFmt w:val="lowerRoman"/>
      <w:lvlText w:val="%3."/>
      <w:lvlJc w:val="right"/>
      <w:pPr>
        <w:ind w:left="2959" w:hanging="180"/>
      </w:pPr>
    </w:lvl>
    <w:lvl w:ilvl="3" w:tplc="0809000F" w:tentative="1">
      <w:start w:val="1"/>
      <w:numFmt w:val="decimal"/>
      <w:lvlText w:val="%4."/>
      <w:lvlJc w:val="left"/>
      <w:pPr>
        <w:ind w:left="3679" w:hanging="360"/>
      </w:pPr>
    </w:lvl>
    <w:lvl w:ilvl="4" w:tplc="08090019" w:tentative="1">
      <w:start w:val="1"/>
      <w:numFmt w:val="lowerLetter"/>
      <w:lvlText w:val="%5."/>
      <w:lvlJc w:val="left"/>
      <w:pPr>
        <w:ind w:left="4399" w:hanging="360"/>
      </w:pPr>
    </w:lvl>
    <w:lvl w:ilvl="5" w:tplc="0809001B" w:tentative="1">
      <w:start w:val="1"/>
      <w:numFmt w:val="lowerRoman"/>
      <w:lvlText w:val="%6."/>
      <w:lvlJc w:val="right"/>
      <w:pPr>
        <w:ind w:left="5119" w:hanging="180"/>
      </w:pPr>
    </w:lvl>
    <w:lvl w:ilvl="6" w:tplc="0809000F">
      <w:start w:val="1"/>
      <w:numFmt w:val="decimal"/>
      <w:lvlText w:val="%7."/>
      <w:lvlJc w:val="left"/>
      <w:pPr>
        <w:ind w:left="5839" w:hanging="360"/>
      </w:pPr>
    </w:lvl>
    <w:lvl w:ilvl="7" w:tplc="08090019" w:tentative="1">
      <w:start w:val="1"/>
      <w:numFmt w:val="lowerLetter"/>
      <w:lvlText w:val="%8."/>
      <w:lvlJc w:val="left"/>
      <w:pPr>
        <w:ind w:left="6559" w:hanging="360"/>
      </w:pPr>
    </w:lvl>
    <w:lvl w:ilvl="8" w:tplc="0809001B" w:tentative="1">
      <w:start w:val="1"/>
      <w:numFmt w:val="lowerRoman"/>
      <w:lvlText w:val="%9."/>
      <w:lvlJc w:val="right"/>
      <w:pPr>
        <w:ind w:left="727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4"/>
  </w:num>
  <w:num w:numId="5">
    <w:abstractNumId w:val="4"/>
  </w:num>
  <w:num w:numId="6">
    <w:abstractNumId w:val="2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0"/>
  </w:num>
  <w:num w:numId="23">
    <w:abstractNumId w:val="5"/>
  </w:num>
  <w:num w:numId="2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en-AU" w:vendorID="64" w:dllVersion="0" w:nlCheck="1" w:checkStyle="0"/>
  <w:activeWritingStyle w:appName="MSWord" w:lang="fr-CA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656E9"/>
    <w:rsid w:val="00071886"/>
    <w:rsid w:val="000742BC"/>
    <w:rsid w:val="00076CC6"/>
    <w:rsid w:val="00082A0C"/>
    <w:rsid w:val="00083504"/>
    <w:rsid w:val="0009640C"/>
    <w:rsid w:val="000A7C0C"/>
    <w:rsid w:val="000B22A2"/>
    <w:rsid w:val="000B541B"/>
    <w:rsid w:val="000B73F9"/>
    <w:rsid w:val="000C2A52"/>
    <w:rsid w:val="000C2A88"/>
    <w:rsid w:val="000C2C8E"/>
    <w:rsid w:val="000D33C0"/>
    <w:rsid w:val="000D4CF6"/>
    <w:rsid w:val="000D6941"/>
    <w:rsid w:val="000F4829"/>
    <w:rsid w:val="000F6B21"/>
    <w:rsid w:val="00102EFB"/>
    <w:rsid w:val="001202E3"/>
    <w:rsid w:val="001224E5"/>
    <w:rsid w:val="00123699"/>
    <w:rsid w:val="001241FB"/>
    <w:rsid w:val="0013059D"/>
    <w:rsid w:val="00136187"/>
    <w:rsid w:val="00140E72"/>
    <w:rsid w:val="00141A55"/>
    <w:rsid w:val="00142322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B7D"/>
    <w:rsid w:val="00180C3F"/>
    <w:rsid w:val="00181EC8"/>
    <w:rsid w:val="00184349"/>
    <w:rsid w:val="00194838"/>
    <w:rsid w:val="00195F33"/>
    <w:rsid w:val="001A47E5"/>
    <w:rsid w:val="001B1617"/>
    <w:rsid w:val="001B504B"/>
    <w:rsid w:val="001B5C58"/>
    <w:rsid w:val="001B6F98"/>
    <w:rsid w:val="001C191A"/>
    <w:rsid w:val="001D3874"/>
    <w:rsid w:val="001D7916"/>
    <w:rsid w:val="001D7E75"/>
    <w:rsid w:val="001E0D73"/>
    <w:rsid w:val="001E2F82"/>
    <w:rsid w:val="001E45BD"/>
    <w:rsid w:val="001E56D2"/>
    <w:rsid w:val="001E7D56"/>
    <w:rsid w:val="001F5186"/>
    <w:rsid w:val="001F5DBC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5E44"/>
    <w:rsid w:val="00234E78"/>
    <w:rsid w:val="00243D36"/>
    <w:rsid w:val="00246151"/>
    <w:rsid w:val="00247707"/>
    <w:rsid w:val="00252456"/>
    <w:rsid w:val="0026018E"/>
    <w:rsid w:val="00277CB8"/>
    <w:rsid w:val="00283A56"/>
    <w:rsid w:val="00286740"/>
    <w:rsid w:val="00291EAE"/>
    <w:rsid w:val="002929D8"/>
    <w:rsid w:val="002A0F65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3052B"/>
    <w:rsid w:val="0035277E"/>
    <w:rsid w:val="00354D5A"/>
    <w:rsid w:val="00355EA9"/>
    <w:rsid w:val="003578DE"/>
    <w:rsid w:val="00361688"/>
    <w:rsid w:val="00380921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407870"/>
    <w:rsid w:val="00410C55"/>
    <w:rsid w:val="00416854"/>
    <w:rsid w:val="00417725"/>
    <w:rsid w:val="0042266F"/>
    <w:rsid w:val="00425350"/>
    <w:rsid w:val="00434321"/>
    <w:rsid w:val="00437F26"/>
    <w:rsid w:val="00444097"/>
    <w:rsid w:val="00445487"/>
    <w:rsid w:val="00447E0D"/>
    <w:rsid w:val="00453EA8"/>
    <w:rsid w:val="00454769"/>
    <w:rsid w:val="00455092"/>
    <w:rsid w:val="00466991"/>
    <w:rsid w:val="0047064C"/>
    <w:rsid w:val="004822B7"/>
    <w:rsid w:val="004935D5"/>
    <w:rsid w:val="0049469E"/>
    <w:rsid w:val="004A2217"/>
    <w:rsid w:val="004A24F9"/>
    <w:rsid w:val="004A3894"/>
    <w:rsid w:val="004A42E1"/>
    <w:rsid w:val="004B162C"/>
    <w:rsid w:val="004B2ABE"/>
    <w:rsid w:val="004C3DBE"/>
    <w:rsid w:val="004C5C96"/>
    <w:rsid w:val="004D061D"/>
    <w:rsid w:val="004D06A4"/>
    <w:rsid w:val="004F1A81"/>
    <w:rsid w:val="004F5D88"/>
    <w:rsid w:val="00501354"/>
    <w:rsid w:val="005050D2"/>
    <w:rsid w:val="005218D9"/>
    <w:rsid w:val="00536186"/>
    <w:rsid w:val="00541552"/>
    <w:rsid w:val="00544CBB"/>
    <w:rsid w:val="00551B65"/>
    <w:rsid w:val="00556704"/>
    <w:rsid w:val="005656D7"/>
    <w:rsid w:val="0057315F"/>
    <w:rsid w:val="00573FA0"/>
    <w:rsid w:val="00576104"/>
    <w:rsid w:val="00586418"/>
    <w:rsid w:val="00592B21"/>
    <w:rsid w:val="005B25C1"/>
    <w:rsid w:val="005B2DF4"/>
    <w:rsid w:val="005B44BF"/>
    <w:rsid w:val="005C67C8"/>
    <w:rsid w:val="005D0249"/>
    <w:rsid w:val="005D18FA"/>
    <w:rsid w:val="005D4FD4"/>
    <w:rsid w:val="005D6E8C"/>
    <w:rsid w:val="005E3004"/>
    <w:rsid w:val="005F100C"/>
    <w:rsid w:val="005F68DA"/>
    <w:rsid w:val="005F7419"/>
    <w:rsid w:val="00601BC9"/>
    <w:rsid w:val="0060773B"/>
    <w:rsid w:val="00613FD6"/>
    <w:rsid w:val="006157B5"/>
    <w:rsid w:val="00617224"/>
    <w:rsid w:val="00620FFE"/>
    <w:rsid w:val="00626FC6"/>
    <w:rsid w:val="006303B4"/>
    <w:rsid w:val="00630ADC"/>
    <w:rsid w:val="00633D3D"/>
    <w:rsid w:val="00641703"/>
    <w:rsid w:val="006431A6"/>
    <w:rsid w:val="0064343F"/>
    <w:rsid w:val="00643E3A"/>
    <w:rsid w:val="006459F6"/>
    <w:rsid w:val="006501AD"/>
    <w:rsid w:val="00651BFA"/>
    <w:rsid w:val="00654475"/>
    <w:rsid w:val="00656DF0"/>
    <w:rsid w:val="00665A4B"/>
    <w:rsid w:val="00670FAE"/>
    <w:rsid w:val="00691694"/>
    <w:rsid w:val="00692E2A"/>
    <w:rsid w:val="0069496A"/>
    <w:rsid w:val="00696C1C"/>
    <w:rsid w:val="006A76F2"/>
    <w:rsid w:val="006B7D29"/>
    <w:rsid w:val="006D19D4"/>
    <w:rsid w:val="006D5644"/>
    <w:rsid w:val="006D7EFB"/>
    <w:rsid w:val="006E6672"/>
    <w:rsid w:val="006E6722"/>
    <w:rsid w:val="006F7AFF"/>
    <w:rsid w:val="007027B9"/>
    <w:rsid w:val="007064E6"/>
    <w:rsid w:val="007066B5"/>
    <w:rsid w:val="007145DA"/>
    <w:rsid w:val="00715E88"/>
    <w:rsid w:val="00716D8B"/>
    <w:rsid w:val="00731576"/>
    <w:rsid w:val="00734CAA"/>
    <w:rsid w:val="00740EE2"/>
    <w:rsid w:val="00740F8C"/>
    <w:rsid w:val="00742680"/>
    <w:rsid w:val="007529DC"/>
    <w:rsid w:val="0075533C"/>
    <w:rsid w:val="00755A18"/>
    <w:rsid w:val="00757581"/>
    <w:rsid w:val="007602F5"/>
    <w:rsid w:val="00760D36"/>
    <w:rsid w:val="007611A0"/>
    <w:rsid w:val="00772574"/>
    <w:rsid w:val="00773E54"/>
    <w:rsid w:val="007855EC"/>
    <w:rsid w:val="00787688"/>
    <w:rsid w:val="007935E6"/>
    <w:rsid w:val="00796D3F"/>
    <w:rsid w:val="007A1683"/>
    <w:rsid w:val="007A5C12"/>
    <w:rsid w:val="007A7CB0"/>
    <w:rsid w:val="007B68A3"/>
    <w:rsid w:val="007C2541"/>
    <w:rsid w:val="007C78EE"/>
    <w:rsid w:val="007D66A8"/>
    <w:rsid w:val="007E003F"/>
    <w:rsid w:val="007F0CF8"/>
    <w:rsid w:val="007F5E1B"/>
    <w:rsid w:val="007F62CB"/>
    <w:rsid w:val="008142EC"/>
    <w:rsid w:val="00815B9E"/>
    <w:rsid w:val="008164F2"/>
    <w:rsid w:val="00821395"/>
    <w:rsid w:val="008302E4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645DE"/>
    <w:rsid w:val="00867BFF"/>
    <w:rsid w:val="00871542"/>
    <w:rsid w:val="00872BF6"/>
    <w:rsid w:val="0088480A"/>
    <w:rsid w:val="0088757A"/>
    <w:rsid w:val="008939D4"/>
    <w:rsid w:val="0089431B"/>
    <w:rsid w:val="00895668"/>
    <w:rsid w:val="008957DD"/>
    <w:rsid w:val="00897D98"/>
    <w:rsid w:val="008A6DF2"/>
    <w:rsid w:val="008A7807"/>
    <w:rsid w:val="008A7B83"/>
    <w:rsid w:val="008B4CC9"/>
    <w:rsid w:val="008C0B15"/>
    <w:rsid w:val="008D75E4"/>
    <w:rsid w:val="008D772C"/>
    <w:rsid w:val="008D7C99"/>
    <w:rsid w:val="008E0FCB"/>
    <w:rsid w:val="008E49FE"/>
    <w:rsid w:val="008F6DFE"/>
    <w:rsid w:val="0090529F"/>
    <w:rsid w:val="00914451"/>
    <w:rsid w:val="0092178C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73288"/>
    <w:rsid w:val="00973E35"/>
    <w:rsid w:val="009863CD"/>
    <w:rsid w:val="009907B9"/>
    <w:rsid w:val="00990918"/>
    <w:rsid w:val="00991671"/>
    <w:rsid w:val="009A3A83"/>
    <w:rsid w:val="009B4A0F"/>
    <w:rsid w:val="009C11D2"/>
    <w:rsid w:val="009C6C70"/>
    <w:rsid w:val="009C7B0A"/>
    <w:rsid w:val="009D0B63"/>
    <w:rsid w:val="009D5CB8"/>
    <w:rsid w:val="009E307E"/>
    <w:rsid w:val="009F1E05"/>
    <w:rsid w:val="00A07870"/>
    <w:rsid w:val="00A07C54"/>
    <w:rsid w:val="00A07F19"/>
    <w:rsid w:val="00A10ABB"/>
    <w:rsid w:val="00A1348D"/>
    <w:rsid w:val="00A13C99"/>
    <w:rsid w:val="00A232EE"/>
    <w:rsid w:val="00A4175F"/>
    <w:rsid w:val="00A44411"/>
    <w:rsid w:val="00A469FA"/>
    <w:rsid w:val="00A53662"/>
    <w:rsid w:val="00A55B01"/>
    <w:rsid w:val="00A5632C"/>
    <w:rsid w:val="00A56B5B"/>
    <w:rsid w:val="00A603FF"/>
    <w:rsid w:val="00A619B6"/>
    <w:rsid w:val="00A648CA"/>
    <w:rsid w:val="00A657DD"/>
    <w:rsid w:val="00A666A6"/>
    <w:rsid w:val="00A675FD"/>
    <w:rsid w:val="00A72437"/>
    <w:rsid w:val="00A75601"/>
    <w:rsid w:val="00A8048B"/>
    <w:rsid w:val="00A80611"/>
    <w:rsid w:val="00AA5BF4"/>
    <w:rsid w:val="00AA6123"/>
    <w:rsid w:val="00AB5340"/>
    <w:rsid w:val="00AC0A89"/>
    <w:rsid w:val="00AC7C96"/>
    <w:rsid w:val="00AD3593"/>
    <w:rsid w:val="00AE0812"/>
    <w:rsid w:val="00AE237D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2C93"/>
    <w:rsid w:val="00B27589"/>
    <w:rsid w:val="00B3331E"/>
    <w:rsid w:val="00B405B7"/>
    <w:rsid w:val="00B468C0"/>
    <w:rsid w:val="00B52222"/>
    <w:rsid w:val="00B531DA"/>
    <w:rsid w:val="00B54895"/>
    <w:rsid w:val="00B54FE7"/>
    <w:rsid w:val="00B626AE"/>
    <w:rsid w:val="00B647C6"/>
    <w:rsid w:val="00B655F9"/>
    <w:rsid w:val="00B66901"/>
    <w:rsid w:val="00B66F60"/>
    <w:rsid w:val="00B71E6D"/>
    <w:rsid w:val="00B72070"/>
    <w:rsid w:val="00B76C1D"/>
    <w:rsid w:val="00B779E1"/>
    <w:rsid w:val="00B80AC2"/>
    <w:rsid w:val="00B81E3A"/>
    <w:rsid w:val="00B8400F"/>
    <w:rsid w:val="00B85CFB"/>
    <w:rsid w:val="00B914E9"/>
    <w:rsid w:val="00B91EE1"/>
    <w:rsid w:val="00B94602"/>
    <w:rsid w:val="00BA0090"/>
    <w:rsid w:val="00BA1A67"/>
    <w:rsid w:val="00BA6A80"/>
    <w:rsid w:val="00BB4ABB"/>
    <w:rsid w:val="00BC62BA"/>
    <w:rsid w:val="00BE5B5F"/>
    <w:rsid w:val="00BE7993"/>
    <w:rsid w:val="00C11971"/>
    <w:rsid w:val="00C179DE"/>
    <w:rsid w:val="00C26F55"/>
    <w:rsid w:val="00C30C63"/>
    <w:rsid w:val="00C30FF3"/>
    <w:rsid w:val="00C34D5C"/>
    <w:rsid w:val="00C36B8B"/>
    <w:rsid w:val="00C415C1"/>
    <w:rsid w:val="00C47DBF"/>
    <w:rsid w:val="00C552FF"/>
    <w:rsid w:val="00C558DA"/>
    <w:rsid w:val="00C55AF3"/>
    <w:rsid w:val="00C771A9"/>
    <w:rsid w:val="00C82943"/>
    <w:rsid w:val="00C84759"/>
    <w:rsid w:val="00C93096"/>
    <w:rsid w:val="00CA5CA9"/>
    <w:rsid w:val="00CA6C7F"/>
    <w:rsid w:val="00CB007D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0BE5"/>
    <w:rsid w:val="00D1352A"/>
    <w:rsid w:val="00D1638E"/>
    <w:rsid w:val="00D169AF"/>
    <w:rsid w:val="00D200EF"/>
    <w:rsid w:val="00D25175"/>
    <w:rsid w:val="00D25249"/>
    <w:rsid w:val="00D26854"/>
    <w:rsid w:val="00D44172"/>
    <w:rsid w:val="00D47BE3"/>
    <w:rsid w:val="00D55040"/>
    <w:rsid w:val="00D63B8C"/>
    <w:rsid w:val="00D739CC"/>
    <w:rsid w:val="00D806F9"/>
    <w:rsid w:val="00D8093D"/>
    <w:rsid w:val="00D8108C"/>
    <w:rsid w:val="00D842AE"/>
    <w:rsid w:val="00D90444"/>
    <w:rsid w:val="00D9211C"/>
    <w:rsid w:val="00D92DE0"/>
    <w:rsid w:val="00D92FEF"/>
    <w:rsid w:val="00D931F9"/>
    <w:rsid w:val="00D93A0F"/>
    <w:rsid w:val="00DA0C7B"/>
    <w:rsid w:val="00DA1BCA"/>
    <w:rsid w:val="00DA3663"/>
    <w:rsid w:val="00DC274A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521"/>
    <w:rsid w:val="00E13B48"/>
    <w:rsid w:val="00E1404F"/>
    <w:rsid w:val="00E21C83"/>
    <w:rsid w:val="00E24ADA"/>
    <w:rsid w:val="00E32F59"/>
    <w:rsid w:val="00E41908"/>
    <w:rsid w:val="00E46D9A"/>
    <w:rsid w:val="00E565FF"/>
    <w:rsid w:val="00E65388"/>
    <w:rsid w:val="00E7741D"/>
    <w:rsid w:val="00E808CD"/>
    <w:rsid w:val="00E8348F"/>
    <w:rsid w:val="00E83C35"/>
    <w:rsid w:val="00E85B7D"/>
    <w:rsid w:val="00E9121B"/>
    <w:rsid w:val="00E9302E"/>
    <w:rsid w:val="00E976AB"/>
    <w:rsid w:val="00EA0AE2"/>
    <w:rsid w:val="00EA39E5"/>
    <w:rsid w:val="00EA57A3"/>
    <w:rsid w:val="00EC2813"/>
    <w:rsid w:val="00EC5A46"/>
    <w:rsid w:val="00EC63E2"/>
    <w:rsid w:val="00ED0225"/>
    <w:rsid w:val="00ED366A"/>
    <w:rsid w:val="00ED6BB7"/>
    <w:rsid w:val="00EF22B3"/>
    <w:rsid w:val="00EF391E"/>
    <w:rsid w:val="00F03B69"/>
    <w:rsid w:val="00F07A50"/>
    <w:rsid w:val="00F113DA"/>
    <w:rsid w:val="00F266FC"/>
    <w:rsid w:val="00F3037A"/>
    <w:rsid w:val="00F31CB1"/>
    <w:rsid w:val="00F3465A"/>
    <w:rsid w:val="00F37DC8"/>
    <w:rsid w:val="00F439B3"/>
    <w:rsid w:val="00F650C3"/>
    <w:rsid w:val="00F65D85"/>
    <w:rsid w:val="00F6700B"/>
    <w:rsid w:val="00F7137B"/>
    <w:rsid w:val="00F7692B"/>
    <w:rsid w:val="00F8091E"/>
    <w:rsid w:val="00F8615C"/>
    <w:rsid w:val="00F969E5"/>
    <w:rsid w:val="00F96F7E"/>
    <w:rsid w:val="00FA4972"/>
    <w:rsid w:val="00FA6BB0"/>
    <w:rsid w:val="00FB2DBD"/>
    <w:rsid w:val="00FD48DF"/>
    <w:rsid w:val="00FD5860"/>
    <w:rsid w:val="00FE352D"/>
    <w:rsid w:val="00FE40EB"/>
    <w:rsid w:val="00FE4D02"/>
    <w:rsid w:val="00FE7D62"/>
    <w:rsid w:val="00FF0DA0"/>
    <w:rsid w:val="00FF3819"/>
    <w:rsid w:val="00FF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64406B4B"/>
  <w15:docId w15:val="{88933E7C-0AB0-4F52-A3DE-78B5D534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link w:val="Heading1Char"/>
    <w:uiPriority w:val="9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uiPriority w:val="9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0656E9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B3331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B3331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B3331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B3331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B8400F"/>
    <w:pPr>
      <w:tabs>
        <w:tab w:val="clear" w:pos="4082"/>
      </w:tabs>
      <w:spacing w:before="60"/>
      <w:ind w:right="4536"/>
    </w:pPr>
  </w:style>
  <w:style w:type="paragraph" w:customStyle="1" w:styleId="BBTitle">
    <w:name w:val="BB_Title"/>
    <w:basedOn w:val="Normalpool"/>
    <w:link w:val="BBTitleChar"/>
    <w:rsid w:val="000656E9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0656E9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D55040"/>
    <w:pPr>
      <w:numPr>
        <w:numId w:val="5"/>
      </w:numPr>
      <w:tabs>
        <w:tab w:val="clear" w:pos="1134"/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5B25C1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5B25C1"/>
    <w:rPr>
      <w:b/>
      <w:sz w:val="24"/>
      <w:szCs w:val="24"/>
      <w:lang w:eastAsia="en-US"/>
    </w:rPr>
  </w:style>
  <w:style w:type="character" w:customStyle="1" w:styleId="ZZAnxheaderChar">
    <w:name w:val="ZZ_Anx_header Char"/>
    <w:link w:val="ZZAnxheader"/>
    <w:rsid w:val="005B25C1"/>
    <w:rPr>
      <w:b/>
      <w:bCs/>
      <w:sz w:val="28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9863CD"/>
    <w:rPr>
      <w:b/>
      <w:sz w:val="24"/>
      <w:szCs w:val="24"/>
      <w:lang w:eastAsia="en-US"/>
    </w:rPr>
  </w:style>
  <w:style w:type="character" w:customStyle="1" w:styleId="Heading1Char">
    <w:name w:val="Heading 1 Char"/>
    <w:link w:val="Heading1"/>
    <w:uiPriority w:val="9"/>
    <w:rsid w:val="009863CD"/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1454BBBC1CDE42AB175907F3F7B4C8" ma:contentTypeVersion="11" ma:contentTypeDescription="Create a new document." ma:contentTypeScope="" ma:versionID="0992cbdc4f5bbcb8e361be6395f03726">
  <xsd:schema xmlns:xsd="http://www.w3.org/2001/XMLSchema" xmlns:xs="http://www.w3.org/2001/XMLSchema" xmlns:p="http://schemas.microsoft.com/office/2006/metadata/properties" xmlns:ns3="d18b2cca-499f-4557-a4e9-65dcf311f482" xmlns:ns4="f500b1e4-de7e-4e77-a903-0925b28ae6a4" targetNamespace="http://schemas.microsoft.com/office/2006/metadata/properties" ma:root="true" ma:fieldsID="d6551fd0daded6097ec55b1000056b70" ns3:_="" ns4:_="">
    <xsd:import namespace="d18b2cca-499f-4557-a4e9-65dcf311f482"/>
    <xsd:import namespace="f500b1e4-de7e-4e77-a903-0925b28ae6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b2cca-499f-4557-a4e9-65dcf311f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0b1e4-de7e-4e77-a903-0925b28ae6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8BE1C-BC48-4A2B-A154-15B9CE2490DF}">
  <ds:schemaRefs>
    <ds:schemaRef ds:uri="http://schemas.microsoft.com/office/2006/metadata/properties"/>
    <ds:schemaRef ds:uri="d18b2cca-499f-4557-a4e9-65dcf311f48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f500b1e4-de7e-4e77-a903-0925b28ae6a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2D47FA-FC4B-4E4C-B117-05D9F494C1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DD8F16-F966-422D-A8EA-789F5B02D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8b2cca-499f-4557-a4e9-65dcf311f482"/>
    <ds:schemaRef ds:uri="f500b1e4-de7e-4e77-a903-0925b28ae6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B0A228-2FE6-4470-BCA6-B4775DFED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Veronica Gathu</cp:lastModifiedBy>
  <cp:revision>6</cp:revision>
  <cp:lastPrinted>2019-09-11T04:42:00Z</cp:lastPrinted>
  <dcterms:created xsi:type="dcterms:W3CDTF">2019-10-03T13:11:00Z</dcterms:created>
  <dcterms:modified xsi:type="dcterms:W3CDTF">2019-10-04T06:41:00Z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0x0101009B1454BBBC1CDE42AB175907F3F7B4C8</vt:lpwstr>
  </property>
</Properties>
</file>