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8"/>
        <w:gridCol w:w="4643"/>
        <w:gridCol w:w="3335"/>
      </w:tblGrid>
      <w:tr w:rsidR="00032E4E" w:rsidRPr="00E01544" w14:paraId="4B9F0F9B" w14:textId="77777777" w:rsidTr="00562DD3">
        <w:trPr>
          <w:cantSplit/>
          <w:trHeight w:val="57"/>
          <w:jc w:val="right"/>
        </w:trPr>
        <w:tc>
          <w:tcPr>
            <w:tcW w:w="1550" w:type="dxa"/>
          </w:tcPr>
          <w:p w14:paraId="2A9B9F9D" w14:textId="5E7D4162" w:rsidR="00032E4E" w:rsidRPr="00E01544" w:rsidRDefault="00032E4E" w:rsidP="00023DA9">
            <w:pPr>
              <w:rPr>
                <w:rFonts w:ascii="Univers" w:hAnsi="Univers"/>
                <w:b/>
                <w:noProof/>
                <w:sz w:val="27"/>
                <w:szCs w:val="27"/>
              </w:rPr>
            </w:pPr>
            <w:r w:rsidRPr="00E01544">
              <w:rPr>
                <w:rFonts w:ascii="Arial" w:hAnsi="Arial" w:cs="Arial"/>
                <w:b/>
                <w:noProof/>
                <w:sz w:val="27"/>
                <w:szCs w:val="27"/>
              </w:rPr>
              <w:t>UNITED</w:t>
            </w:r>
            <w:r w:rsidR="00F96F7E" w:rsidRPr="00E01544">
              <w:rPr>
                <w:rFonts w:ascii="Arial" w:hAnsi="Arial" w:cs="Arial"/>
                <w:b/>
                <w:noProof/>
                <w:sz w:val="27"/>
                <w:szCs w:val="27"/>
              </w:rPr>
              <w:t xml:space="preserve"> </w:t>
            </w:r>
            <w:r w:rsidRPr="00E01544">
              <w:rPr>
                <w:rFonts w:ascii="Arial" w:hAnsi="Arial" w:cs="Arial"/>
                <w:b/>
                <w:noProof/>
                <w:sz w:val="27"/>
                <w:szCs w:val="27"/>
              </w:rPr>
              <w:br/>
              <w:t>NATIONS</w:t>
            </w:r>
          </w:p>
        </w:tc>
        <w:tc>
          <w:tcPr>
            <w:tcW w:w="4751" w:type="dxa"/>
          </w:tcPr>
          <w:p w14:paraId="2F47229A" w14:textId="77777777" w:rsidR="00032E4E" w:rsidRPr="00E01544" w:rsidRDefault="00032E4E" w:rsidP="00023DA9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411" w:type="dxa"/>
          </w:tcPr>
          <w:p w14:paraId="57073C3F" w14:textId="77777777" w:rsidR="00032E4E" w:rsidRPr="00E01544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E01544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032E4E" w:rsidRPr="00E01544" w14:paraId="0DEAC680" w14:textId="77777777" w:rsidTr="00562DD3">
        <w:trPr>
          <w:cantSplit/>
          <w:trHeight w:val="57"/>
          <w:jc w:val="right"/>
        </w:trPr>
        <w:tc>
          <w:tcPr>
            <w:tcW w:w="1550" w:type="dxa"/>
            <w:tcBorders>
              <w:bottom w:val="single" w:sz="4" w:space="0" w:color="auto"/>
            </w:tcBorders>
          </w:tcPr>
          <w:p w14:paraId="30269B88" w14:textId="77777777" w:rsidR="00032E4E" w:rsidRPr="00E01544" w:rsidRDefault="00032E4E" w:rsidP="00023DA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4751" w:type="dxa"/>
            <w:tcBorders>
              <w:bottom w:val="single" w:sz="4" w:space="0" w:color="auto"/>
            </w:tcBorders>
          </w:tcPr>
          <w:p w14:paraId="54296B4D" w14:textId="77777777" w:rsidR="00032E4E" w:rsidRPr="00E01544" w:rsidRDefault="00032E4E" w:rsidP="00023DA9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540639F8" w14:textId="419F546C" w:rsidR="00032E4E" w:rsidRPr="00E01544" w:rsidRDefault="00032E4E" w:rsidP="00434321">
            <w:pPr>
              <w:rPr>
                <w:noProof/>
                <w:sz w:val="18"/>
                <w:szCs w:val="18"/>
              </w:rPr>
            </w:pPr>
            <w:r w:rsidRPr="00E01544">
              <w:rPr>
                <w:b/>
                <w:bCs/>
                <w:sz w:val="28"/>
              </w:rPr>
              <w:t>UNEP</w:t>
            </w:r>
            <w:bookmarkStart w:id="0" w:name="OLE_LINK1"/>
            <w:bookmarkStart w:id="1" w:name="OLE_LINK2"/>
            <w:r w:rsidR="00787688" w:rsidRPr="000637FB">
              <w:rPr>
                <w:bCs/>
              </w:rPr>
              <w:t>/</w:t>
            </w:r>
            <w:r w:rsidR="00787688" w:rsidRPr="00E01544">
              <w:t>MC</w:t>
            </w:r>
            <w:r w:rsidRPr="00E01544">
              <w:t>/</w:t>
            </w:r>
            <w:bookmarkEnd w:id="0"/>
            <w:bookmarkEnd w:id="1"/>
            <w:r w:rsidR="00787688" w:rsidRPr="00E01544">
              <w:t>COP.</w:t>
            </w:r>
            <w:r w:rsidR="000A7C0C" w:rsidRPr="00E01544">
              <w:t>3</w:t>
            </w:r>
            <w:r w:rsidRPr="00E01544">
              <w:t>/</w:t>
            </w:r>
            <w:r w:rsidR="00562DD3" w:rsidRPr="00E01544">
              <w:t>INF/11</w:t>
            </w:r>
            <w:r w:rsidR="0088208B">
              <w:t>/Add.1</w:t>
            </w:r>
          </w:p>
        </w:tc>
      </w:tr>
      <w:bookmarkStart w:id="2" w:name="_MON_1021710482"/>
      <w:bookmarkEnd w:id="2"/>
      <w:bookmarkStart w:id="3" w:name="_MON_1021710510"/>
      <w:bookmarkEnd w:id="3"/>
      <w:tr w:rsidR="00032E4E" w:rsidRPr="00E01544" w14:paraId="34AA74B4" w14:textId="77777777" w:rsidTr="00562DD3">
        <w:trPr>
          <w:cantSplit/>
          <w:trHeight w:val="57"/>
          <w:jc w:val="right"/>
        </w:trPr>
        <w:tc>
          <w:tcPr>
            <w:tcW w:w="1550" w:type="dxa"/>
            <w:tcBorders>
              <w:top w:val="single" w:sz="4" w:space="0" w:color="auto"/>
              <w:bottom w:val="single" w:sz="24" w:space="0" w:color="auto"/>
            </w:tcBorders>
          </w:tcPr>
          <w:p w14:paraId="02CDC318" w14:textId="77777777" w:rsidR="00032E4E" w:rsidRPr="00E01544" w:rsidRDefault="008361A8" w:rsidP="00023DA9">
            <w:pPr>
              <w:rPr>
                <w:noProof/>
              </w:rPr>
            </w:pPr>
            <w:r w:rsidRPr="00E01544">
              <w:rPr>
                <w:noProof/>
              </w:rPr>
              <w:object w:dxaOrig="1831" w:dyaOrig="1726" w14:anchorId="6DEA663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65.85pt;height:56.85pt;mso-width-percent:0;mso-height-percent:0;mso-width-percent:0;mso-height-percent:0" o:ole="" fillcolor="window">
                  <v:imagedata r:id="rId11" o:title=""/>
                </v:shape>
                <o:OLEObject Type="Embed" ProgID="Word.Picture.8" ShapeID="_x0000_i1025" DrawAspect="Content" ObjectID="_1634972553" r:id="rId12"/>
              </w:object>
            </w:r>
            <w:r w:rsidR="00011A16" w:rsidRPr="00E01544">
              <w:rPr>
                <w:noProof/>
                <w:lang w:eastAsia="en-GB"/>
              </w:rPr>
              <w:drawing>
                <wp:inline distT="0" distB="0" distL="0" distR="0" wp14:anchorId="288416B8" wp14:editId="6E686762">
                  <wp:extent cx="723900" cy="76962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1" w:type="dxa"/>
            <w:tcBorders>
              <w:top w:val="single" w:sz="4" w:space="0" w:color="auto"/>
              <w:bottom w:val="single" w:sz="24" w:space="0" w:color="auto"/>
            </w:tcBorders>
          </w:tcPr>
          <w:p w14:paraId="2AC211BD" w14:textId="507BE10F" w:rsidR="00032E4E" w:rsidRPr="00E01544" w:rsidRDefault="00032E4E" w:rsidP="00023DA9">
            <w:pPr>
              <w:spacing w:before="1200"/>
              <w:rPr>
                <w:rFonts w:ascii="Arial" w:hAnsi="Arial" w:cs="Arial"/>
                <w:b/>
                <w:sz w:val="28"/>
              </w:rPr>
            </w:pPr>
            <w:r w:rsidRPr="00E01544">
              <w:rPr>
                <w:rFonts w:ascii="Arial" w:hAnsi="Arial" w:cs="Arial"/>
                <w:b/>
                <w:sz w:val="32"/>
                <w:szCs w:val="32"/>
              </w:rPr>
              <w:t>United Nations</w:t>
            </w:r>
            <w:r w:rsidR="005B2DF4" w:rsidRPr="00E01544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Pr="00E01544">
              <w:rPr>
                <w:rFonts w:ascii="Arial" w:hAnsi="Arial" w:cs="Arial"/>
                <w:b/>
                <w:sz w:val="32"/>
                <w:szCs w:val="32"/>
              </w:rPr>
              <w:br w:type="textWrapping" w:clear="all"/>
              <w:t>Environment</w:t>
            </w:r>
            <w:r w:rsidR="005B2DF4" w:rsidRPr="00E01544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Pr="00E01544">
              <w:rPr>
                <w:rFonts w:ascii="Arial" w:hAnsi="Arial" w:cs="Arial"/>
                <w:b/>
                <w:sz w:val="32"/>
                <w:szCs w:val="32"/>
              </w:rPr>
              <w:br w:type="textWrapping" w:clear="all"/>
              <w:t>Programme</w:t>
            </w:r>
          </w:p>
        </w:tc>
        <w:tc>
          <w:tcPr>
            <w:tcW w:w="3411" w:type="dxa"/>
            <w:tcBorders>
              <w:top w:val="single" w:sz="4" w:space="0" w:color="auto"/>
              <w:bottom w:val="single" w:sz="24" w:space="0" w:color="auto"/>
            </w:tcBorders>
          </w:tcPr>
          <w:p w14:paraId="722F44F8" w14:textId="5105C2F7" w:rsidR="00032E4E" w:rsidRPr="00E01544" w:rsidRDefault="00032E4E" w:rsidP="00562DD3">
            <w:pPr>
              <w:spacing w:before="120"/>
            </w:pPr>
            <w:r w:rsidRPr="00E01544">
              <w:t>Distr.: General</w:t>
            </w:r>
            <w:r w:rsidR="005B2DF4" w:rsidRPr="00E01544">
              <w:t xml:space="preserve"> </w:t>
            </w:r>
            <w:r w:rsidR="00F96F7E" w:rsidRPr="00E01544">
              <w:br/>
            </w:r>
            <w:r w:rsidR="00113A62">
              <w:t>3</w:t>
            </w:r>
            <w:r w:rsidR="0030449F">
              <w:t>0</w:t>
            </w:r>
            <w:r w:rsidR="00113A62">
              <w:t xml:space="preserve"> October</w:t>
            </w:r>
            <w:r w:rsidR="000A7C0C" w:rsidRPr="00E01544">
              <w:t xml:space="preserve"> </w:t>
            </w:r>
            <w:r w:rsidR="0042266F" w:rsidRPr="00E01544">
              <w:t>201</w:t>
            </w:r>
            <w:r w:rsidR="000A7C0C" w:rsidRPr="00E01544">
              <w:t>9</w:t>
            </w:r>
          </w:p>
          <w:p w14:paraId="1A75CF9D" w14:textId="4F207142" w:rsidR="00032E4E" w:rsidRPr="00E01544" w:rsidRDefault="00032E4E" w:rsidP="00562DD3">
            <w:pPr>
              <w:spacing w:before="120"/>
            </w:pPr>
            <w:r w:rsidRPr="00E01544">
              <w:t>English</w:t>
            </w:r>
            <w:r w:rsidR="004D1FF4">
              <w:t xml:space="preserve"> only</w:t>
            </w:r>
          </w:p>
        </w:tc>
      </w:tr>
    </w:tbl>
    <w:p w14:paraId="0A4BFFDA" w14:textId="30575E0E" w:rsidR="00E976AB" w:rsidRPr="00E01544" w:rsidRDefault="00CB007D" w:rsidP="00E976AB">
      <w:pPr>
        <w:pStyle w:val="AATitle"/>
        <w:keepNext w:val="0"/>
        <w:keepLines w:val="0"/>
      </w:pPr>
      <w:r w:rsidRPr="00E01544">
        <w:t>Conference of the Parties to the</w:t>
      </w:r>
      <w:r w:rsidR="005B2DF4" w:rsidRPr="00E01544">
        <w:t xml:space="preserve"> </w:t>
      </w:r>
      <w:r w:rsidR="005B2DF4" w:rsidRPr="00E01544">
        <w:br/>
      </w:r>
      <w:r w:rsidR="00787688" w:rsidRPr="00E01544">
        <w:t>Minamata Convention on Mercury</w:t>
      </w:r>
    </w:p>
    <w:p w14:paraId="26A6CAA0" w14:textId="65393398" w:rsidR="00E976AB" w:rsidRPr="00E01544" w:rsidRDefault="00F96F7E" w:rsidP="00E976AB">
      <w:pPr>
        <w:pStyle w:val="AATitle"/>
        <w:keepNext w:val="0"/>
        <w:keepLines w:val="0"/>
      </w:pPr>
      <w:r w:rsidRPr="00E01544">
        <w:t>Third</w:t>
      </w:r>
      <w:r w:rsidR="00787688" w:rsidRPr="00E01544">
        <w:t xml:space="preserve"> meeting</w:t>
      </w:r>
    </w:p>
    <w:p w14:paraId="67B82F12" w14:textId="613AD200" w:rsidR="00787688" w:rsidRPr="00E01544" w:rsidRDefault="00787688" w:rsidP="00434321">
      <w:pPr>
        <w:pStyle w:val="AATitle"/>
      </w:pPr>
      <w:r w:rsidRPr="00E01544">
        <w:rPr>
          <w:b w:val="0"/>
        </w:rPr>
        <w:t>Geneva</w:t>
      </w:r>
      <w:r w:rsidR="00E976AB" w:rsidRPr="00E01544">
        <w:rPr>
          <w:b w:val="0"/>
        </w:rPr>
        <w:t xml:space="preserve">, </w:t>
      </w:r>
      <w:r w:rsidR="000A7C0C" w:rsidRPr="00E01544">
        <w:rPr>
          <w:b w:val="0"/>
        </w:rPr>
        <w:t>25</w:t>
      </w:r>
      <w:r w:rsidR="00325D38" w:rsidRPr="00E01544">
        <w:rPr>
          <w:b w:val="0"/>
        </w:rPr>
        <w:t>–</w:t>
      </w:r>
      <w:r w:rsidR="000A7C0C" w:rsidRPr="00E01544">
        <w:rPr>
          <w:b w:val="0"/>
        </w:rPr>
        <w:t>29</w:t>
      </w:r>
      <w:r w:rsidR="00325D38" w:rsidRPr="00E01544">
        <w:rPr>
          <w:b w:val="0"/>
        </w:rPr>
        <w:t xml:space="preserve"> </w:t>
      </w:r>
      <w:r w:rsidR="00434321" w:rsidRPr="00E01544">
        <w:rPr>
          <w:b w:val="0"/>
        </w:rPr>
        <w:t>November 201</w:t>
      </w:r>
      <w:r w:rsidR="000A7C0C" w:rsidRPr="00E01544">
        <w:rPr>
          <w:b w:val="0"/>
        </w:rPr>
        <w:t>9</w:t>
      </w:r>
    </w:p>
    <w:p w14:paraId="448C54B0" w14:textId="728B6B8B" w:rsidR="00562DD3" w:rsidRDefault="00562DD3" w:rsidP="006F5C4E">
      <w:pPr>
        <w:tabs>
          <w:tab w:val="left" w:pos="4082"/>
        </w:tabs>
        <w:suppressAutoHyphens/>
        <w:ind w:right="5098"/>
        <w:rPr>
          <w:rFonts w:eastAsia="SimSun"/>
        </w:rPr>
      </w:pPr>
      <w:r w:rsidRPr="00E01544">
        <w:rPr>
          <w:rFonts w:eastAsia="SimSun"/>
        </w:rPr>
        <w:t>Item 7 of the provisional agenda</w:t>
      </w:r>
      <w:r w:rsidRPr="00E01544">
        <w:rPr>
          <w:rFonts w:eastAsia="SimSun"/>
        </w:rPr>
        <w:footnoteReference w:customMarkFollows="1" w:id="1"/>
        <w:t>*</w:t>
      </w:r>
    </w:p>
    <w:p w14:paraId="69A9A4EF" w14:textId="4925156C" w:rsidR="004D1FF4" w:rsidRPr="004D1FF4" w:rsidRDefault="004D1FF4" w:rsidP="00113A62">
      <w:pPr>
        <w:pStyle w:val="AATitle2"/>
        <w:rPr>
          <w:rFonts w:eastAsia="SimSun"/>
        </w:rPr>
      </w:pPr>
      <w:r w:rsidRPr="004D1FF4">
        <w:rPr>
          <w:rFonts w:eastAsia="SimSun"/>
        </w:rPr>
        <w:t>Programme of work and budget</w:t>
      </w:r>
    </w:p>
    <w:p w14:paraId="64FAF6FA" w14:textId="1FA052A4" w:rsidR="00562DD3" w:rsidRPr="00E01544" w:rsidRDefault="00562DD3" w:rsidP="00BC4784">
      <w:pPr>
        <w:pStyle w:val="BBTitle"/>
        <w:rPr>
          <w:rFonts w:eastAsia="SimSun"/>
        </w:rPr>
      </w:pPr>
      <w:r w:rsidRPr="00AC4C1D">
        <w:rPr>
          <w:rFonts w:eastAsia="SimSun"/>
        </w:rPr>
        <w:t>Programme of work and budget</w:t>
      </w:r>
      <w:r w:rsidR="004D1FF4">
        <w:rPr>
          <w:rFonts w:eastAsia="SimSun"/>
        </w:rPr>
        <w:t>: p</w:t>
      </w:r>
      <w:r w:rsidRPr="00E01544">
        <w:rPr>
          <w:rFonts w:eastAsia="SimSun"/>
        </w:rPr>
        <w:t>roposed operational budgets for the two funding scenarios</w:t>
      </w:r>
    </w:p>
    <w:p w14:paraId="0AE1CA89" w14:textId="68EAAC34" w:rsidR="00562DD3" w:rsidRPr="003D05F3" w:rsidRDefault="00562DD3" w:rsidP="00AC4C1D">
      <w:pPr>
        <w:pStyle w:val="CH2"/>
        <w:rPr>
          <w:rFonts w:eastAsia="SimSun"/>
        </w:rPr>
      </w:pPr>
      <w:r w:rsidRPr="00AC4C1D">
        <w:rPr>
          <w:rFonts w:eastAsia="SimSun"/>
        </w:rPr>
        <w:tab/>
      </w:r>
      <w:r w:rsidRPr="00AC4C1D">
        <w:rPr>
          <w:rFonts w:eastAsia="SimSun"/>
        </w:rPr>
        <w:tab/>
      </w:r>
      <w:r w:rsidR="0060153B">
        <w:rPr>
          <w:rFonts w:eastAsia="SimSun"/>
        </w:rPr>
        <w:t>N</w:t>
      </w:r>
      <w:r w:rsidRPr="00AC4C1D">
        <w:rPr>
          <w:rFonts w:eastAsia="SimSun"/>
        </w:rPr>
        <w:t xml:space="preserve">ote </w:t>
      </w:r>
      <w:r w:rsidRPr="003D05F3">
        <w:rPr>
          <w:rFonts w:eastAsia="SimSun"/>
        </w:rPr>
        <w:t>by the secretariat</w:t>
      </w:r>
    </w:p>
    <w:p w14:paraId="456404B2" w14:textId="24D3B1E1" w:rsidR="00AA16F8" w:rsidRPr="003D05F3" w:rsidRDefault="00BB1696" w:rsidP="00BB1696">
      <w:pPr>
        <w:pStyle w:val="CH2"/>
        <w:rPr>
          <w:rFonts w:eastAsia="SimSun"/>
        </w:rPr>
      </w:pPr>
      <w:r>
        <w:rPr>
          <w:rFonts w:eastAsia="SimSun"/>
        </w:rPr>
        <w:tab/>
      </w:r>
      <w:r>
        <w:rPr>
          <w:rFonts w:eastAsia="SimSun"/>
        </w:rPr>
        <w:tab/>
      </w:r>
      <w:r w:rsidR="00AA16F8" w:rsidRPr="003D05F3">
        <w:rPr>
          <w:rFonts w:eastAsia="SimSun"/>
        </w:rPr>
        <w:t>Addendum</w:t>
      </w:r>
      <w:r w:rsidR="00FF4BCC">
        <w:rPr>
          <w:rFonts w:eastAsia="SimSun"/>
        </w:rPr>
        <w:t xml:space="preserve"> </w:t>
      </w:r>
      <w:bookmarkStart w:id="4" w:name="_GoBack"/>
      <w:bookmarkEnd w:id="4"/>
    </w:p>
    <w:p w14:paraId="73B7271E" w14:textId="7C705BB9" w:rsidR="00A82AE8" w:rsidRPr="003D05F3" w:rsidRDefault="00562DD3" w:rsidP="00BB1696">
      <w:pPr>
        <w:pStyle w:val="Normalnumber"/>
        <w:tabs>
          <w:tab w:val="clear" w:pos="1134"/>
          <w:tab w:val="left" w:pos="624"/>
        </w:tabs>
        <w:rPr>
          <w:rFonts w:eastAsia="SimSun"/>
        </w:rPr>
      </w:pPr>
      <w:r w:rsidRPr="003D05F3">
        <w:rPr>
          <w:rFonts w:eastAsia="SimSun"/>
        </w:rPr>
        <w:t xml:space="preserve">The </w:t>
      </w:r>
      <w:r w:rsidR="0000227D" w:rsidRPr="00D304B7">
        <w:rPr>
          <w:rFonts w:eastAsia="SimSun"/>
        </w:rPr>
        <w:t xml:space="preserve">present </w:t>
      </w:r>
      <w:r w:rsidR="00521B9B" w:rsidRPr="003D05F3">
        <w:rPr>
          <w:rFonts w:eastAsia="SimSun"/>
        </w:rPr>
        <w:t>addendum to</w:t>
      </w:r>
      <w:r w:rsidR="0000227D" w:rsidRPr="003D05F3">
        <w:rPr>
          <w:rFonts w:eastAsia="SimSun"/>
        </w:rPr>
        <w:t xml:space="preserve"> document</w:t>
      </w:r>
      <w:r w:rsidR="00521B9B" w:rsidRPr="003D05F3">
        <w:rPr>
          <w:rFonts w:eastAsia="SimSun"/>
        </w:rPr>
        <w:t xml:space="preserve"> UNEP/</w:t>
      </w:r>
      <w:r w:rsidR="006C0EE1" w:rsidRPr="003D05F3">
        <w:rPr>
          <w:rFonts w:eastAsia="SimSun"/>
        </w:rPr>
        <w:t xml:space="preserve">MC/COP.3/INF/11 </w:t>
      </w:r>
      <w:r w:rsidR="00AA16F8" w:rsidRPr="003D05F3">
        <w:rPr>
          <w:rFonts w:eastAsia="SimSun"/>
        </w:rPr>
        <w:t>is being</w:t>
      </w:r>
      <w:r w:rsidR="00BF09BD" w:rsidRPr="003D05F3">
        <w:rPr>
          <w:rFonts w:eastAsia="SimSun"/>
        </w:rPr>
        <w:t xml:space="preserve"> issued to </w:t>
      </w:r>
      <w:r w:rsidR="004557F1" w:rsidRPr="003D05F3">
        <w:rPr>
          <w:rFonts w:eastAsia="SimSun"/>
        </w:rPr>
        <w:t>provide additional information</w:t>
      </w:r>
      <w:r w:rsidR="00A82AE8" w:rsidRPr="003D05F3">
        <w:rPr>
          <w:rFonts w:eastAsia="SimSun"/>
        </w:rPr>
        <w:t xml:space="preserve"> on the proposed operational budgets for the two funding scenarios</w:t>
      </w:r>
      <w:r w:rsidR="005E5BCE" w:rsidRPr="003D05F3">
        <w:rPr>
          <w:rFonts w:eastAsia="SimSun"/>
        </w:rPr>
        <w:t xml:space="preserve"> </w:t>
      </w:r>
      <w:r w:rsidR="00AA16F8" w:rsidRPr="003D05F3">
        <w:rPr>
          <w:rFonts w:eastAsia="SimSun"/>
        </w:rPr>
        <w:t>(see annex)</w:t>
      </w:r>
      <w:r w:rsidR="00A82AE8" w:rsidRPr="003D05F3">
        <w:rPr>
          <w:rFonts w:eastAsia="SimSun"/>
        </w:rPr>
        <w:t>.</w:t>
      </w:r>
      <w:r w:rsidR="00B57E8C" w:rsidRPr="003D05F3">
        <w:rPr>
          <w:rStyle w:val="FootnoteReference"/>
          <w:rFonts w:eastAsia="SimSun"/>
        </w:rPr>
        <w:footnoteReference w:id="2"/>
      </w:r>
      <w:r w:rsidR="00A82AE8" w:rsidRPr="003D05F3">
        <w:rPr>
          <w:rFonts w:eastAsia="SimSun"/>
        </w:rPr>
        <w:t xml:space="preserve"> </w:t>
      </w:r>
    </w:p>
    <w:p w14:paraId="37526EB5" w14:textId="42B86183" w:rsidR="00DD1F6A" w:rsidRPr="003D05F3" w:rsidRDefault="00A82AE8" w:rsidP="00BB1696">
      <w:pPr>
        <w:pStyle w:val="Normalnumber"/>
        <w:tabs>
          <w:tab w:val="clear" w:pos="1134"/>
          <w:tab w:val="left" w:pos="624"/>
        </w:tabs>
        <w:rPr>
          <w:rFonts w:eastAsia="SimSun"/>
        </w:rPr>
      </w:pPr>
      <w:r w:rsidRPr="003D05F3">
        <w:rPr>
          <w:rFonts w:eastAsia="SimSun"/>
        </w:rPr>
        <w:t xml:space="preserve">Table 1 </w:t>
      </w:r>
      <w:r w:rsidR="00096A7A" w:rsidRPr="003D05F3">
        <w:rPr>
          <w:rFonts w:eastAsia="SimSun"/>
        </w:rPr>
        <w:t xml:space="preserve">of the annex </w:t>
      </w:r>
      <w:r w:rsidR="0000227D" w:rsidRPr="003D05F3">
        <w:rPr>
          <w:rFonts w:eastAsia="SimSun"/>
        </w:rPr>
        <w:t xml:space="preserve">sets out </w:t>
      </w:r>
      <w:r w:rsidR="00105108" w:rsidRPr="00D304B7">
        <w:rPr>
          <w:rFonts w:eastAsia="SimSun"/>
        </w:rPr>
        <w:t>a</w:t>
      </w:r>
      <w:r w:rsidR="00105108" w:rsidRPr="003D05F3">
        <w:rPr>
          <w:rFonts w:eastAsia="SimSun"/>
        </w:rPr>
        <w:t xml:space="preserve"> </w:t>
      </w:r>
      <w:r w:rsidR="0000227D" w:rsidRPr="003D05F3">
        <w:rPr>
          <w:rFonts w:eastAsia="SimSun"/>
        </w:rPr>
        <w:t xml:space="preserve">year-by-year </w:t>
      </w:r>
      <w:r w:rsidR="00105108" w:rsidRPr="003D05F3">
        <w:rPr>
          <w:rFonts w:eastAsia="SimSun"/>
        </w:rPr>
        <w:t xml:space="preserve">overview </w:t>
      </w:r>
      <w:r w:rsidR="0000227D" w:rsidRPr="003D05F3">
        <w:rPr>
          <w:rFonts w:eastAsia="SimSun"/>
        </w:rPr>
        <w:t>of</w:t>
      </w:r>
      <w:r w:rsidR="00105108" w:rsidRPr="003D05F3">
        <w:rPr>
          <w:rFonts w:eastAsia="SimSun"/>
        </w:rPr>
        <w:t xml:space="preserve"> </w:t>
      </w:r>
      <w:r w:rsidR="009728C7" w:rsidRPr="003D05F3">
        <w:rPr>
          <w:rFonts w:eastAsia="SimSun"/>
        </w:rPr>
        <w:t xml:space="preserve">the </w:t>
      </w:r>
      <w:r w:rsidR="00E42D12" w:rsidRPr="003D05F3">
        <w:rPr>
          <w:rFonts w:eastAsia="SimSun"/>
        </w:rPr>
        <w:t>operational budget scenarios</w:t>
      </w:r>
      <w:r w:rsidR="00A37047" w:rsidRPr="003D05F3">
        <w:rPr>
          <w:rFonts w:eastAsia="SimSun"/>
        </w:rPr>
        <w:t xml:space="preserve"> for </w:t>
      </w:r>
      <w:r w:rsidR="00B45C54" w:rsidRPr="003D05F3">
        <w:rPr>
          <w:rFonts w:eastAsia="SimSun"/>
        </w:rPr>
        <w:t>the general trust fund and the special trust fund</w:t>
      </w:r>
      <w:r w:rsidR="009728C7" w:rsidRPr="003D05F3">
        <w:rPr>
          <w:rFonts w:eastAsia="SimSun"/>
        </w:rPr>
        <w:t xml:space="preserve"> for the biennium 2020–2021</w:t>
      </w:r>
      <w:r w:rsidR="00A37047" w:rsidRPr="003D05F3">
        <w:rPr>
          <w:rFonts w:eastAsia="SimSun"/>
        </w:rPr>
        <w:t>.</w:t>
      </w:r>
      <w:r w:rsidR="004F488A" w:rsidRPr="003D05F3">
        <w:rPr>
          <w:rFonts w:eastAsia="SimSun"/>
        </w:rPr>
        <w:t xml:space="preserve"> </w:t>
      </w:r>
      <w:r w:rsidR="0000227D" w:rsidRPr="003D05F3">
        <w:rPr>
          <w:rFonts w:eastAsia="SimSun"/>
        </w:rPr>
        <w:t xml:space="preserve">Additional information is provided in the footnote </w:t>
      </w:r>
      <w:r w:rsidR="0046399F" w:rsidRPr="003D05F3">
        <w:rPr>
          <w:rFonts w:eastAsia="SimSun"/>
        </w:rPr>
        <w:t>to</w:t>
      </w:r>
      <w:r w:rsidR="0000227D" w:rsidRPr="003D05F3">
        <w:rPr>
          <w:rFonts w:eastAsia="SimSun"/>
        </w:rPr>
        <w:t xml:space="preserve"> t</w:t>
      </w:r>
      <w:r w:rsidR="004F488A" w:rsidRPr="003D05F3">
        <w:rPr>
          <w:rFonts w:eastAsia="SimSun"/>
        </w:rPr>
        <w:t xml:space="preserve">he table on </w:t>
      </w:r>
      <w:r w:rsidR="00376495" w:rsidRPr="003D05F3">
        <w:rPr>
          <w:rFonts w:eastAsia="SimSun"/>
        </w:rPr>
        <w:t xml:space="preserve">the </w:t>
      </w:r>
      <w:r w:rsidR="0046399F" w:rsidRPr="003D05F3">
        <w:rPr>
          <w:rFonts w:eastAsia="SimSun"/>
        </w:rPr>
        <w:t xml:space="preserve">proposed </w:t>
      </w:r>
      <w:r w:rsidR="00376495" w:rsidRPr="003D05F3">
        <w:rPr>
          <w:rFonts w:eastAsia="SimSun"/>
        </w:rPr>
        <w:t>budget for the effectiveness</w:t>
      </w:r>
      <w:r w:rsidR="00DD1F6A" w:rsidRPr="003D05F3">
        <w:rPr>
          <w:rFonts w:eastAsia="SimSun"/>
        </w:rPr>
        <w:t xml:space="preserve"> evaluation</w:t>
      </w:r>
      <w:r w:rsidR="00BA7FF9" w:rsidRPr="003D05F3">
        <w:rPr>
          <w:rFonts w:eastAsia="SimSun"/>
        </w:rPr>
        <w:t>.</w:t>
      </w:r>
      <w:r w:rsidR="00DD1F6A" w:rsidRPr="003D05F3">
        <w:rPr>
          <w:rFonts w:eastAsia="SimSun"/>
        </w:rPr>
        <w:t xml:space="preserve"> </w:t>
      </w:r>
    </w:p>
    <w:p w14:paraId="29A2D017" w14:textId="038E3395" w:rsidR="00113A62" w:rsidRDefault="00DD1BC0" w:rsidP="00BB1696">
      <w:pPr>
        <w:pStyle w:val="Normalnumber"/>
        <w:tabs>
          <w:tab w:val="clear" w:pos="1134"/>
          <w:tab w:val="left" w:pos="624"/>
        </w:tabs>
        <w:rPr>
          <w:rFonts w:eastAsia="SimSun"/>
        </w:rPr>
      </w:pPr>
      <w:r w:rsidRPr="003D05F3">
        <w:rPr>
          <w:rFonts w:eastAsia="SimSun"/>
        </w:rPr>
        <w:t xml:space="preserve">Table 2 </w:t>
      </w:r>
      <w:r w:rsidR="00096A7A" w:rsidRPr="003D05F3">
        <w:rPr>
          <w:rFonts w:eastAsia="SimSun"/>
        </w:rPr>
        <w:t xml:space="preserve">of the annex </w:t>
      </w:r>
      <w:r w:rsidRPr="003D05F3">
        <w:rPr>
          <w:rFonts w:eastAsia="SimSun"/>
        </w:rPr>
        <w:t xml:space="preserve">provides </w:t>
      </w:r>
      <w:r w:rsidR="009D357D" w:rsidRPr="003D05F3">
        <w:rPr>
          <w:rFonts w:eastAsia="SimSun"/>
        </w:rPr>
        <w:t xml:space="preserve">an overview </w:t>
      </w:r>
      <w:r w:rsidR="0000227D" w:rsidRPr="003D05F3">
        <w:rPr>
          <w:rFonts w:eastAsia="SimSun"/>
        </w:rPr>
        <w:t>of</w:t>
      </w:r>
      <w:r w:rsidR="009D357D" w:rsidRPr="003D05F3">
        <w:rPr>
          <w:rFonts w:eastAsia="SimSun"/>
        </w:rPr>
        <w:t xml:space="preserve"> </w:t>
      </w:r>
      <w:r w:rsidR="0060474F" w:rsidRPr="003D05F3">
        <w:rPr>
          <w:rFonts w:eastAsia="SimSun"/>
        </w:rPr>
        <w:t xml:space="preserve">the estimated </w:t>
      </w:r>
      <w:r w:rsidR="009D357D" w:rsidRPr="003D05F3">
        <w:rPr>
          <w:rFonts w:eastAsia="SimSun"/>
        </w:rPr>
        <w:t xml:space="preserve">cash balance </w:t>
      </w:r>
      <w:r w:rsidR="00943B2D" w:rsidRPr="003D05F3">
        <w:rPr>
          <w:rFonts w:eastAsia="SimSun"/>
        </w:rPr>
        <w:t xml:space="preserve">projection </w:t>
      </w:r>
      <w:r w:rsidR="0000227D" w:rsidRPr="003D05F3">
        <w:rPr>
          <w:rFonts w:eastAsia="SimSun"/>
        </w:rPr>
        <w:t xml:space="preserve">of the general trust fund </w:t>
      </w:r>
      <w:r w:rsidR="00943B2D" w:rsidRPr="003D05F3">
        <w:rPr>
          <w:rFonts w:eastAsia="SimSun"/>
        </w:rPr>
        <w:t xml:space="preserve">as </w:t>
      </w:r>
      <w:r w:rsidR="0046399F" w:rsidRPr="003D05F3">
        <w:rPr>
          <w:rFonts w:eastAsia="SimSun"/>
        </w:rPr>
        <w:t>at</w:t>
      </w:r>
      <w:r w:rsidR="00943B2D" w:rsidRPr="003D05F3">
        <w:rPr>
          <w:rFonts w:eastAsia="SimSun"/>
        </w:rPr>
        <w:t xml:space="preserve"> 31</w:t>
      </w:r>
      <w:r w:rsidR="00943B2D">
        <w:rPr>
          <w:rFonts w:eastAsia="SimSun"/>
        </w:rPr>
        <w:t xml:space="preserve"> December 2019.</w:t>
      </w:r>
      <w:r w:rsidR="003B5E53">
        <w:rPr>
          <w:rFonts w:eastAsia="SimSun"/>
        </w:rPr>
        <w:t xml:space="preserve"> </w:t>
      </w:r>
    </w:p>
    <w:p w14:paraId="6CEA1BA6" w14:textId="77777777" w:rsidR="00113A62" w:rsidRDefault="00113A62" w:rsidP="00113A62">
      <w:pPr>
        <w:pStyle w:val="Normalnumber"/>
        <w:numPr>
          <w:ilvl w:val="0"/>
          <w:numId w:val="0"/>
        </w:numPr>
        <w:tabs>
          <w:tab w:val="left" w:pos="624"/>
        </w:tabs>
        <w:ind w:left="1247"/>
        <w:rPr>
          <w:rFonts w:eastAsia="SimSun"/>
        </w:rPr>
      </w:pPr>
    </w:p>
    <w:p w14:paraId="3741FE68" w14:textId="6615C9C3" w:rsidR="00113A62" w:rsidRDefault="00113A62" w:rsidP="00113A62">
      <w:pPr>
        <w:pStyle w:val="Normalnumber"/>
        <w:numPr>
          <w:ilvl w:val="0"/>
          <w:numId w:val="0"/>
        </w:numPr>
        <w:tabs>
          <w:tab w:val="left" w:pos="624"/>
        </w:tabs>
        <w:ind w:left="1247"/>
        <w:rPr>
          <w:rFonts w:eastAsia="SimSun"/>
        </w:rPr>
        <w:sectPr w:rsidR="00113A62" w:rsidSect="00113A62">
          <w:headerReference w:type="even" r:id="rId14"/>
          <w:headerReference w:type="default" r:id="rId15"/>
          <w:headerReference w:type="first" r:id="rId16"/>
          <w:footerReference w:type="first" r:id="rId17"/>
          <w:pgSz w:w="11906" w:h="16838" w:code="9"/>
          <w:pgMar w:top="907" w:right="992" w:bottom="1418" w:left="1418" w:header="539" w:footer="975" w:gutter="0"/>
          <w:cols w:space="539"/>
          <w:titlePg/>
          <w:docGrid w:linePitch="360"/>
        </w:sectPr>
      </w:pPr>
    </w:p>
    <w:p w14:paraId="43B1CEDB" w14:textId="26513419" w:rsidR="00AA16F8" w:rsidRPr="003855AA" w:rsidRDefault="00AA16F8" w:rsidP="00113A62">
      <w:pPr>
        <w:pStyle w:val="Normal-pool"/>
        <w:spacing w:after="120"/>
        <w:rPr>
          <w:rFonts w:eastAsia="SimSun"/>
          <w:b/>
          <w:sz w:val="28"/>
          <w:szCs w:val="28"/>
        </w:rPr>
      </w:pPr>
      <w:r w:rsidRPr="003855AA">
        <w:rPr>
          <w:rFonts w:eastAsia="SimSun"/>
          <w:b/>
          <w:sz w:val="28"/>
          <w:szCs w:val="28"/>
        </w:rPr>
        <w:lastRenderedPageBreak/>
        <w:t>Annex</w:t>
      </w:r>
    </w:p>
    <w:p w14:paraId="2FEEBC3D" w14:textId="6DCEF944" w:rsidR="00562DD3" w:rsidRDefault="00562DD3" w:rsidP="003855AA">
      <w:pPr>
        <w:pStyle w:val="Titletable"/>
        <w:ind w:left="0"/>
        <w:rPr>
          <w:rFonts w:eastAsia="SimSun"/>
        </w:rPr>
      </w:pPr>
      <w:r w:rsidRPr="003855AA">
        <w:rPr>
          <w:rFonts w:eastAsia="SimSun"/>
          <w:b w:val="0"/>
        </w:rPr>
        <w:t>Table 1</w:t>
      </w:r>
      <w:r w:rsidR="003855AA">
        <w:rPr>
          <w:rFonts w:eastAsia="SimSun"/>
          <w:b w:val="0"/>
        </w:rPr>
        <w:t xml:space="preserve"> </w:t>
      </w:r>
      <w:r w:rsidR="00113A62" w:rsidRPr="003855AA">
        <w:rPr>
          <w:rFonts w:eastAsia="SimSun"/>
          <w:b w:val="0"/>
        </w:rPr>
        <w:br/>
      </w:r>
      <w:r w:rsidRPr="00E01544">
        <w:rPr>
          <w:rFonts w:eastAsia="SimSun"/>
        </w:rPr>
        <w:t>Comparison of the two scenarios for 2020-2021 for the General Trust Fund and the Special Trust Fund</w:t>
      </w:r>
      <w:r w:rsidR="00317B99">
        <w:rPr>
          <w:rFonts w:eastAsia="SimSun"/>
        </w:rPr>
        <w:t xml:space="preserve"> (per year)</w:t>
      </w:r>
      <w:r w:rsidR="00D604AB">
        <w:rPr>
          <w:rFonts w:eastAsia="SimSun"/>
        </w:rPr>
        <w:t xml:space="preserve"> – in USD</w:t>
      </w:r>
    </w:p>
    <w:p w14:paraId="673B74D4" w14:textId="54EF7CCA" w:rsidR="001D0BE1" w:rsidRPr="00E01544" w:rsidRDefault="00AD2A8A" w:rsidP="00562DD3">
      <w:pPr>
        <w:tabs>
          <w:tab w:val="left" w:pos="624"/>
          <w:tab w:val="left" w:pos="4082"/>
        </w:tabs>
        <w:spacing w:after="120"/>
        <w:rPr>
          <w:rFonts w:eastAsia="SimSun"/>
          <w:b/>
          <w:bCs/>
        </w:rPr>
      </w:pPr>
      <w:r w:rsidRPr="00AD2A8A">
        <w:rPr>
          <w:rFonts w:eastAsia="SimSun"/>
          <w:noProof/>
          <w:lang w:eastAsia="en-GB"/>
        </w:rPr>
        <w:drawing>
          <wp:inline distT="0" distB="0" distL="0" distR="0" wp14:anchorId="464C7730" wp14:editId="24D83C08">
            <wp:extent cx="9156700" cy="3084086"/>
            <wp:effectExtent l="0" t="0" r="6350" b="254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1644" cy="3099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428"/>
      </w:tblGrid>
      <w:tr w:rsidR="00113A62" w14:paraId="120B0C51" w14:textId="77777777" w:rsidTr="00BB5DD0">
        <w:trPr>
          <w:trHeight w:val="57"/>
          <w:jc w:val="right"/>
        </w:trPr>
        <w:tc>
          <w:tcPr>
            <w:tcW w:w="14418" w:type="dxa"/>
          </w:tcPr>
          <w:p w14:paraId="4946EF09" w14:textId="77777777" w:rsidR="00113A62" w:rsidRPr="00230D7F" w:rsidRDefault="00113A62" w:rsidP="00BB5DD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asciiTheme="majorBidi" w:hAnsiTheme="majorBidi" w:cstheme="majorBidi"/>
                <w:color w:val="000000"/>
                <w:sz w:val="16"/>
                <w:szCs w:val="16"/>
                <w:u w:val="single"/>
                <w:lang w:val="en-US" w:eastAsia="zh-CN"/>
              </w:rPr>
            </w:pPr>
            <w:r w:rsidRPr="00230D7F">
              <w:rPr>
                <w:rFonts w:asciiTheme="majorBidi" w:hAnsiTheme="majorBidi" w:cstheme="majorBidi"/>
                <w:color w:val="000000"/>
                <w:sz w:val="16"/>
                <w:szCs w:val="16"/>
                <w:lang w:val="en-US" w:eastAsia="zh-CN"/>
              </w:rPr>
              <w:t xml:space="preserve">* </w:t>
            </w:r>
            <w:r w:rsidRPr="00230D7F">
              <w:rPr>
                <w:rFonts w:asciiTheme="majorBidi" w:hAnsiTheme="majorBidi" w:cstheme="majorBidi"/>
                <w:color w:val="000000"/>
                <w:sz w:val="16"/>
                <w:szCs w:val="16"/>
                <w:u w:val="single"/>
                <w:lang w:val="en-US" w:eastAsia="zh-CN"/>
              </w:rPr>
              <w:t xml:space="preserve">For effectiveness evaluation, as this is a newly-costed activity, the following funds are budgeted for the 2020-2021 biennium </w:t>
            </w:r>
          </w:p>
          <w:p w14:paraId="5CDC7F43" w14:textId="66755EBE" w:rsidR="00113A62" w:rsidRDefault="00113A62" w:rsidP="00BB5DD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</w:pPr>
            <w:r w:rsidRPr="006E5BE2">
              <w:rPr>
                <w:rFonts w:asciiTheme="majorBidi" w:hAnsiTheme="majorBidi" w:cstheme="majorBidi"/>
                <w:color w:val="000000"/>
                <w:sz w:val="16"/>
                <w:szCs w:val="16"/>
                <w:lang w:val="en-US" w:eastAsia="zh-CN"/>
              </w:rPr>
              <w:t xml:space="preserve">   </w:t>
            </w:r>
            <w:r w:rsidRPr="00230D7F">
              <w:rPr>
                <w:rFonts w:asciiTheme="majorBidi" w:hAnsiTheme="majorBidi" w:cstheme="majorBidi"/>
                <w:color w:val="000000"/>
                <w:sz w:val="16"/>
                <w:szCs w:val="16"/>
                <w:u w:val="single"/>
                <w:lang w:val="en-US" w:eastAsia="zh-CN"/>
              </w:rPr>
              <w:t xml:space="preserve">(in the general trust fund in the Executive Secretary's </w:t>
            </w:r>
            <w:r>
              <w:rPr>
                <w:rFonts w:asciiTheme="majorBidi" w:hAnsiTheme="majorBidi" w:cstheme="majorBidi"/>
                <w:color w:val="000000"/>
                <w:sz w:val="16"/>
                <w:szCs w:val="16"/>
                <w:u w:val="single"/>
                <w:lang w:val="en-US" w:eastAsia="zh-CN"/>
              </w:rPr>
              <w:t xml:space="preserve">(ES) </w:t>
            </w:r>
            <w:r w:rsidRPr="00230D7F">
              <w:rPr>
                <w:rFonts w:asciiTheme="majorBidi" w:hAnsiTheme="majorBidi" w:cstheme="majorBidi"/>
                <w:color w:val="000000"/>
                <w:sz w:val="16"/>
                <w:szCs w:val="16"/>
                <w:u w:val="single"/>
                <w:lang w:val="en-US" w:eastAsia="zh-CN"/>
              </w:rPr>
              <w:t>scenario and in the special trust fund in the zero nominal growth scenario; unless otherwise stated)</w:t>
            </w:r>
            <w:r w:rsidRPr="00230D7F">
              <w:rPr>
                <w:rFonts w:asciiTheme="majorBidi" w:hAnsiTheme="majorBidi" w:cstheme="majorBidi"/>
                <w:color w:val="000000"/>
                <w:sz w:val="16"/>
                <w:szCs w:val="16"/>
                <w:lang w:val="en-US" w:eastAsia="zh-CN"/>
              </w:rPr>
              <w:t>:</w:t>
            </w:r>
          </w:p>
        </w:tc>
      </w:tr>
      <w:tr w:rsidR="00113A62" w14:paraId="4BB29071" w14:textId="77777777" w:rsidTr="00BB5DD0">
        <w:trPr>
          <w:trHeight w:val="57"/>
          <w:jc w:val="right"/>
        </w:trPr>
        <w:tc>
          <w:tcPr>
            <w:tcW w:w="14418" w:type="dxa"/>
            <w:vAlign w:val="bottom"/>
          </w:tcPr>
          <w:p w14:paraId="6C2CBE8D" w14:textId="311E0430" w:rsidR="00113A62" w:rsidRPr="00230D7F" w:rsidRDefault="00113A62" w:rsidP="00BB5DD0">
            <w:pPr>
              <w:pStyle w:val="ListParagraph"/>
              <w:numPr>
                <w:ilvl w:val="0"/>
                <w:numId w:val="18"/>
              </w:numPr>
              <w:spacing w:before="40" w:after="40"/>
              <w:rPr>
                <w:rFonts w:asciiTheme="majorBidi" w:hAnsiTheme="majorBidi" w:cstheme="majorBidi"/>
                <w:color w:val="000000"/>
                <w:sz w:val="16"/>
                <w:szCs w:val="16"/>
                <w:lang w:val="en-US" w:eastAsia="zh-CN"/>
              </w:rPr>
            </w:pPr>
            <w:r w:rsidRPr="00230D7F">
              <w:rPr>
                <w:rFonts w:asciiTheme="majorBidi" w:hAnsiTheme="majorBidi" w:cstheme="majorBidi"/>
                <w:color w:val="000000"/>
                <w:sz w:val="16"/>
                <w:szCs w:val="16"/>
                <w:lang w:val="en-US" w:eastAsia="zh-CN"/>
              </w:rPr>
              <w:t>USD 350K for the development of a monitoring and modelling report (2 meetings of experts; thereof USD 150K for an agreement with a partner to analyse the monitoring data to be covered by the special trust fund)</w:t>
            </w:r>
            <w:r>
              <w:rPr>
                <w:rFonts w:asciiTheme="majorBidi" w:hAnsiTheme="majorBidi" w:cstheme="majorBidi"/>
                <w:color w:val="000000"/>
                <w:sz w:val="16"/>
                <w:szCs w:val="16"/>
                <w:lang w:val="en-US" w:eastAsia="zh-CN"/>
              </w:rPr>
              <w:t xml:space="preserve"> - the ES scenario</w:t>
            </w:r>
            <w:r w:rsidRPr="00230D7F">
              <w:rPr>
                <w:rFonts w:asciiTheme="majorBidi" w:hAnsiTheme="majorBidi" w:cstheme="majorBidi"/>
                <w:color w:val="000000"/>
                <w:sz w:val="16"/>
                <w:szCs w:val="16"/>
                <w:lang w:val="en-US" w:eastAsia="zh-CN"/>
              </w:rPr>
              <w:t xml:space="preserve">; </w:t>
            </w:r>
          </w:p>
          <w:p w14:paraId="67F20B90" w14:textId="7658A2B7" w:rsidR="00113A62" w:rsidRDefault="00113A62" w:rsidP="00BB5DD0">
            <w:pPr>
              <w:pStyle w:val="ListParagraph"/>
              <w:numPr>
                <w:ilvl w:val="0"/>
                <w:numId w:val="18"/>
              </w:numPr>
              <w:spacing w:before="40" w:after="40"/>
            </w:pPr>
            <w:r>
              <w:rPr>
                <w:rFonts w:asciiTheme="majorBidi" w:hAnsiTheme="majorBidi" w:cstheme="majorBidi"/>
                <w:color w:val="000000"/>
                <w:sz w:val="16"/>
                <w:szCs w:val="16"/>
                <w:lang w:val="en-US" w:eastAsia="zh-CN"/>
              </w:rPr>
              <w:t xml:space="preserve">USD 338K </w:t>
            </w:r>
            <w:r w:rsidRPr="00230D7F">
              <w:rPr>
                <w:rFonts w:asciiTheme="majorBidi" w:hAnsiTheme="majorBidi" w:cstheme="majorBidi"/>
                <w:color w:val="000000"/>
                <w:sz w:val="16"/>
                <w:szCs w:val="16"/>
                <w:lang w:val="en-US" w:eastAsia="zh-CN"/>
              </w:rPr>
              <w:t xml:space="preserve">in </w:t>
            </w:r>
            <w:r>
              <w:rPr>
                <w:rFonts w:asciiTheme="majorBidi" w:hAnsiTheme="majorBidi" w:cstheme="majorBidi"/>
                <w:color w:val="000000"/>
                <w:sz w:val="16"/>
                <w:szCs w:val="16"/>
                <w:lang w:val="en-US" w:eastAsia="zh-CN"/>
              </w:rPr>
              <w:t xml:space="preserve">the </w:t>
            </w:r>
            <w:r w:rsidRPr="00230D7F">
              <w:rPr>
                <w:rFonts w:asciiTheme="majorBidi" w:hAnsiTheme="majorBidi" w:cstheme="majorBidi"/>
                <w:color w:val="000000"/>
                <w:sz w:val="16"/>
                <w:szCs w:val="16"/>
                <w:lang w:val="en-US" w:eastAsia="zh-CN"/>
              </w:rPr>
              <w:t xml:space="preserve">zero nominal growth scenario </w:t>
            </w:r>
            <w:r>
              <w:rPr>
                <w:rFonts w:asciiTheme="majorBidi" w:hAnsiTheme="majorBidi" w:cstheme="majorBidi"/>
                <w:color w:val="000000"/>
                <w:sz w:val="16"/>
                <w:szCs w:val="16"/>
                <w:lang w:val="en-US" w:eastAsia="zh-CN"/>
              </w:rPr>
              <w:t xml:space="preserve">(USD 12K less </w:t>
            </w:r>
            <w:r w:rsidRPr="00230D7F">
              <w:rPr>
                <w:rFonts w:asciiTheme="majorBidi" w:hAnsiTheme="majorBidi" w:cstheme="majorBidi"/>
                <w:color w:val="000000"/>
                <w:sz w:val="16"/>
                <w:szCs w:val="16"/>
                <w:lang w:val="en-US" w:eastAsia="zh-CN"/>
              </w:rPr>
              <w:t>in the general trust fund</w:t>
            </w:r>
            <w:r>
              <w:rPr>
                <w:rFonts w:asciiTheme="majorBidi" w:hAnsiTheme="majorBidi" w:cstheme="majorBidi"/>
                <w:color w:val="000000"/>
                <w:sz w:val="16"/>
                <w:szCs w:val="16"/>
                <w:lang w:val="en-US" w:eastAsia="zh-CN"/>
              </w:rPr>
              <w:t xml:space="preserve"> compared to the ES scenario; of total amount, USD 150K to be covered by the special trust fund)</w:t>
            </w:r>
          </w:p>
        </w:tc>
      </w:tr>
      <w:tr w:rsidR="00113A62" w14:paraId="127C64DE" w14:textId="77777777" w:rsidTr="00BB5DD0">
        <w:trPr>
          <w:trHeight w:val="57"/>
          <w:jc w:val="right"/>
        </w:trPr>
        <w:tc>
          <w:tcPr>
            <w:tcW w:w="14418" w:type="dxa"/>
          </w:tcPr>
          <w:p w14:paraId="1627DE00" w14:textId="6F888013" w:rsidR="00113A62" w:rsidRDefault="00113A62" w:rsidP="00BB5DD0">
            <w:pPr>
              <w:pStyle w:val="ListParagraph"/>
              <w:numPr>
                <w:ilvl w:val="0"/>
                <w:numId w:val="18"/>
              </w:numPr>
              <w:spacing w:before="40" w:after="40"/>
            </w:pPr>
            <w:r w:rsidRPr="00BB5DD0">
              <w:rPr>
                <w:rFonts w:asciiTheme="majorBidi" w:hAnsiTheme="majorBidi" w:cstheme="majorBidi"/>
                <w:color w:val="000000"/>
                <w:sz w:val="16"/>
                <w:szCs w:val="16"/>
                <w:lang w:val="en-US" w:eastAsia="zh-CN"/>
              </w:rPr>
              <w:t>USD 250K for the development of an emission and release report by an agreement with an implementing partner such as AMAP including relevant expert meetings</w:t>
            </w:r>
          </w:p>
        </w:tc>
      </w:tr>
      <w:tr w:rsidR="00113A62" w14:paraId="455FE9CE" w14:textId="77777777" w:rsidTr="00BB5DD0">
        <w:trPr>
          <w:trHeight w:val="57"/>
          <w:jc w:val="right"/>
        </w:trPr>
        <w:tc>
          <w:tcPr>
            <w:tcW w:w="14418" w:type="dxa"/>
            <w:vAlign w:val="bottom"/>
          </w:tcPr>
          <w:p w14:paraId="455ABF0B" w14:textId="62A63BF5" w:rsidR="00113A62" w:rsidRDefault="00113A62" w:rsidP="00BB5DD0">
            <w:pPr>
              <w:pStyle w:val="ListParagraph"/>
              <w:numPr>
                <w:ilvl w:val="0"/>
                <w:numId w:val="18"/>
              </w:numPr>
              <w:spacing w:before="40" w:after="40"/>
            </w:pPr>
            <w:r w:rsidRPr="00BB5DD0">
              <w:rPr>
                <w:rFonts w:asciiTheme="majorBidi" w:hAnsiTheme="majorBidi" w:cstheme="majorBidi"/>
                <w:color w:val="000000"/>
                <w:sz w:val="16"/>
                <w:szCs w:val="16"/>
                <w:lang w:val="en-US" w:eastAsia="zh-CN"/>
              </w:rPr>
              <w:t xml:space="preserve">USD 150K for the development of a supply, demand and trade report by an agreement with experts such as those involved in the UNEP 2017 report </w:t>
            </w:r>
          </w:p>
        </w:tc>
      </w:tr>
      <w:tr w:rsidR="00113A62" w14:paraId="4B5EFCA3" w14:textId="77777777" w:rsidTr="00BB5DD0">
        <w:trPr>
          <w:trHeight w:val="57"/>
          <w:jc w:val="right"/>
        </w:trPr>
        <w:tc>
          <w:tcPr>
            <w:tcW w:w="14418" w:type="dxa"/>
          </w:tcPr>
          <w:p w14:paraId="496636C6" w14:textId="50235A47" w:rsidR="00113A62" w:rsidRPr="00BB5DD0" w:rsidRDefault="00113A62" w:rsidP="00BB5DD0">
            <w:pPr>
              <w:pStyle w:val="ListParagraph"/>
              <w:numPr>
                <w:ilvl w:val="0"/>
                <w:numId w:val="18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asciiTheme="majorBidi" w:hAnsiTheme="majorBidi" w:cstheme="majorBidi"/>
                <w:color w:val="000000"/>
                <w:sz w:val="16"/>
                <w:szCs w:val="16"/>
                <w:lang w:val="en-US" w:eastAsia="zh-CN"/>
              </w:rPr>
            </w:pPr>
            <w:r w:rsidRPr="00BB5DD0">
              <w:rPr>
                <w:rFonts w:asciiTheme="majorBidi" w:hAnsiTheme="majorBidi" w:cstheme="majorBidi"/>
                <w:color w:val="000000"/>
                <w:sz w:val="16"/>
                <w:szCs w:val="16"/>
                <w:lang w:val="en-US" w:eastAsia="zh-CN"/>
              </w:rPr>
              <w:t>USD 30K for the compilation and assessment of party submissions undertaken by an expert in the ES scenario; USD 20K to be covered by the general trust fund in the zero nominal growth scenario</w:t>
            </w:r>
          </w:p>
          <w:p w14:paraId="13D41CBB" w14:textId="1E5704F1" w:rsidR="00113A62" w:rsidRDefault="00113A62" w:rsidP="00BB5DD0">
            <w:pPr>
              <w:pStyle w:val="ListParagraph"/>
              <w:numPr>
                <w:ilvl w:val="0"/>
                <w:numId w:val="18"/>
              </w:numPr>
              <w:spacing w:before="40" w:after="40"/>
            </w:pPr>
            <w:r w:rsidRPr="00BB5DD0">
              <w:rPr>
                <w:rFonts w:asciiTheme="majorBidi" w:hAnsiTheme="majorBidi" w:cstheme="majorBidi"/>
                <w:color w:val="000000"/>
                <w:sz w:val="16"/>
                <w:szCs w:val="16"/>
                <w:lang w:val="en-US" w:eastAsia="zh-CN"/>
              </w:rPr>
              <w:t>USD 30K for the preparation of an integrated report by an expert in the ES scenario; USD 20K to be covered by the general trust fund in the zero nominal growth scenario</w:t>
            </w:r>
          </w:p>
        </w:tc>
      </w:tr>
    </w:tbl>
    <w:p w14:paraId="371DF006" w14:textId="77777777" w:rsidR="00317B99" w:rsidRPr="00E01544" w:rsidRDefault="00317B99" w:rsidP="00562DD3">
      <w:pPr>
        <w:tabs>
          <w:tab w:val="left" w:pos="624"/>
          <w:tab w:val="left" w:pos="4082"/>
        </w:tabs>
        <w:spacing w:after="120"/>
        <w:rPr>
          <w:rFonts w:eastAsia="SimSun"/>
        </w:rPr>
      </w:pPr>
    </w:p>
    <w:p w14:paraId="676A4AC2" w14:textId="77777777" w:rsidR="00562DD3" w:rsidRPr="00E01544" w:rsidRDefault="00562DD3" w:rsidP="00562DD3">
      <w:pPr>
        <w:rPr>
          <w:rFonts w:eastAsia="SimSun"/>
        </w:rPr>
        <w:sectPr w:rsidR="00562DD3" w:rsidRPr="00E01544" w:rsidSect="00113A62">
          <w:headerReference w:type="even" r:id="rId19"/>
          <w:headerReference w:type="default" r:id="rId20"/>
          <w:headerReference w:type="first" r:id="rId21"/>
          <w:footerReference w:type="first" r:id="rId22"/>
          <w:pgSz w:w="16838" w:h="11906" w:orient="landscape" w:code="9"/>
          <w:pgMar w:top="907" w:right="992" w:bottom="1418" w:left="1418" w:header="539" w:footer="975" w:gutter="0"/>
          <w:cols w:space="539"/>
          <w:titlePg/>
          <w:docGrid w:linePitch="360"/>
        </w:sectPr>
      </w:pPr>
    </w:p>
    <w:p w14:paraId="3108CA7C" w14:textId="3C62A0F6" w:rsidR="00562DD3" w:rsidRDefault="00562DD3" w:rsidP="00BB1696">
      <w:pPr>
        <w:pStyle w:val="Titletable"/>
        <w:ind w:left="0"/>
        <w:rPr>
          <w:rFonts w:eastAsia="SimSun"/>
        </w:rPr>
      </w:pPr>
      <w:r w:rsidRPr="00BB1696">
        <w:rPr>
          <w:rFonts w:eastAsia="SimSun"/>
          <w:b w:val="0"/>
        </w:rPr>
        <w:lastRenderedPageBreak/>
        <w:t>Table 2</w:t>
      </w:r>
      <w:r w:rsidR="00BB1696">
        <w:rPr>
          <w:rFonts w:eastAsia="SimSun"/>
        </w:rPr>
        <w:t xml:space="preserve"> </w:t>
      </w:r>
      <w:r w:rsidR="00BB5DD0">
        <w:rPr>
          <w:rFonts w:eastAsia="SimSun"/>
        </w:rPr>
        <w:br/>
      </w:r>
      <w:r w:rsidR="00287B84" w:rsidRPr="00BB5DD0">
        <w:rPr>
          <w:rFonts w:eastAsia="SimSun"/>
        </w:rPr>
        <w:t>Estimated cash balance projection as of 31 December 2019</w:t>
      </w:r>
      <w:r w:rsidR="005E7231" w:rsidRPr="00BB5DD0">
        <w:rPr>
          <w:rFonts w:eastAsia="SimSun"/>
        </w:rPr>
        <w:t xml:space="preserve"> (general trust fund)</w:t>
      </w:r>
      <w:r w:rsidR="00D604AB" w:rsidRPr="00BB5DD0">
        <w:rPr>
          <w:rFonts w:eastAsia="SimSun"/>
        </w:rPr>
        <w:t xml:space="preserve"> – in USD</w:t>
      </w:r>
    </w:p>
    <w:tbl>
      <w:tblPr>
        <w:tblW w:w="5000" w:type="pct"/>
        <w:jc w:val="right"/>
        <w:tblLook w:val="04A0" w:firstRow="1" w:lastRow="0" w:firstColumn="1" w:lastColumn="0" w:noHBand="0" w:noVBand="1"/>
      </w:tblPr>
      <w:tblGrid>
        <w:gridCol w:w="7732"/>
        <w:gridCol w:w="1754"/>
      </w:tblGrid>
      <w:tr w:rsidR="00BB5DD0" w:rsidRPr="000C0E38" w14:paraId="71D4B8A5" w14:textId="77777777" w:rsidTr="00BB5DD0">
        <w:trPr>
          <w:trHeight w:val="57"/>
          <w:jc w:val="right"/>
        </w:trPr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B731"/>
            <w:noWrap/>
            <w:vAlign w:val="bottom"/>
            <w:hideMark/>
          </w:tcPr>
          <w:p w14:paraId="4CFCE75D" w14:textId="77777777" w:rsidR="00BB5DD0" w:rsidRPr="00BB5DD0" w:rsidRDefault="00BB5DD0" w:rsidP="00BB5DD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BB5DD0"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  <w:t>Cash Balance as at 1 January 2019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B731"/>
            <w:noWrap/>
            <w:vAlign w:val="bottom"/>
            <w:hideMark/>
          </w:tcPr>
          <w:p w14:paraId="1D44C20A" w14:textId="77777777" w:rsidR="00BB5DD0" w:rsidRPr="00BB5DD0" w:rsidRDefault="00BB5DD0" w:rsidP="00BB5DD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BB5DD0"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  <w:t>2,288,091</w:t>
            </w:r>
          </w:p>
        </w:tc>
      </w:tr>
      <w:tr w:rsidR="00BB5DD0" w:rsidRPr="000C0E38" w14:paraId="308EBC60" w14:textId="77777777" w:rsidTr="00BB5DD0">
        <w:trPr>
          <w:trHeight w:val="57"/>
          <w:jc w:val="right"/>
        </w:trPr>
        <w:tc>
          <w:tcPr>
            <w:tcW w:w="7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C88EE" w14:textId="77777777" w:rsidR="00BB5DD0" w:rsidRPr="00BB5DD0" w:rsidRDefault="00BB5DD0" w:rsidP="00BB5DD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US" w:eastAsia="zh-CN"/>
              </w:rPr>
            </w:pPr>
            <w:r w:rsidRPr="00BB5DD0">
              <w:rPr>
                <w:color w:val="000000"/>
                <w:sz w:val="18"/>
                <w:szCs w:val="18"/>
                <w:lang w:val="en-US" w:eastAsia="zh-CN"/>
              </w:rPr>
              <w:t>Add Estimated cash receipts for 2019*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DD705" w14:textId="77777777" w:rsidR="00BB5DD0" w:rsidRPr="00BB5DD0" w:rsidRDefault="00BB5DD0" w:rsidP="00BB5DD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 w:eastAsia="zh-CN"/>
              </w:rPr>
            </w:pPr>
            <w:r w:rsidRPr="00BB5DD0">
              <w:rPr>
                <w:color w:val="000000"/>
                <w:sz w:val="18"/>
                <w:szCs w:val="18"/>
                <w:lang w:val="en-US" w:eastAsia="zh-CN"/>
              </w:rPr>
              <w:t>3,583,151</w:t>
            </w:r>
          </w:p>
        </w:tc>
      </w:tr>
      <w:tr w:rsidR="00BB5DD0" w:rsidRPr="000C0E38" w14:paraId="604647C4" w14:textId="77777777" w:rsidTr="00BB5DD0">
        <w:trPr>
          <w:trHeight w:val="57"/>
          <w:jc w:val="right"/>
        </w:trPr>
        <w:tc>
          <w:tcPr>
            <w:tcW w:w="7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B731"/>
            <w:noWrap/>
            <w:vAlign w:val="bottom"/>
            <w:hideMark/>
          </w:tcPr>
          <w:p w14:paraId="6EDD7561" w14:textId="77777777" w:rsidR="00BB5DD0" w:rsidRPr="00BB5DD0" w:rsidRDefault="00BB5DD0" w:rsidP="00BB5DD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BB5DD0"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  <w:t>Total Cash before anticipated expenses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B731"/>
            <w:noWrap/>
            <w:vAlign w:val="bottom"/>
            <w:hideMark/>
          </w:tcPr>
          <w:p w14:paraId="40ED0785" w14:textId="77777777" w:rsidR="00BB5DD0" w:rsidRPr="00BB5DD0" w:rsidRDefault="00BB5DD0" w:rsidP="00BB5DD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BB5DD0"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  <w:t>5,871,242</w:t>
            </w:r>
          </w:p>
        </w:tc>
      </w:tr>
      <w:tr w:rsidR="00BB5DD0" w:rsidRPr="000C0E38" w14:paraId="1D2C7C91" w14:textId="77777777" w:rsidTr="00BB5DD0">
        <w:trPr>
          <w:trHeight w:val="57"/>
          <w:jc w:val="right"/>
        </w:trPr>
        <w:tc>
          <w:tcPr>
            <w:tcW w:w="7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C0ADD" w14:textId="77777777" w:rsidR="00BB5DD0" w:rsidRPr="00BB5DD0" w:rsidRDefault="00BB5DD0" w:rsidP="00BB5DD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US" w:eastAsia="zh-CN"/>
              </w:rPr>
            </w:pPr>
            <w:r w:rsidRPr="00BB5DD0">
              <w:rPr>
                <w:color w:val="000000"/>
                <w:sz w:val="18"/>
                <w:szCs w:val="18"/>
                <w:lang w:val="en-US" w:eastAsia="zh-CN"/>
              </w:rPr>
              <w:t>Less deferred income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97FE7" w14:textId="7597548D" w:rsidR="00BB5DD0" w:rsidRPr="00BB5DD0" w:rsidRDefault="00BB5DD0" w:rsidP="00BB5DD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en-US" w:eastAsia="zh-CN"/>
              </w:rPr>
            </w:pPr>
            <w:r w:rsidRPr="00BB5DD0">
              <w:rPr>
                <w:sz w:val="18"/>
                <w:szCs w:val="18"/>
                <w:lang w:val="en-US" w:eastAsia="zh-CN"/>
              </w:rPr>
              <w:t>-534,544</w:t>
            </w:r>
          </w:p>
        </w:tc>
      </w:tr>
      <w:tr w:rsidR="00BB5DD0" w:rsidRPr="000C0E38" w14:paraId="74288C1B" w14:textId="77777777" w:rsidTr="00BB5DD0">
        <w:trPr>
          <w:trHeight w:val="57"/>
          <w:jc w:val="right"/>
        </w:trPr>
        <w:tc>
          <w:tcPr>
            <w:tcW w:w="7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38145" w14:textId="77777777" w:rsidR="00BB5DD0" w:rsidRPr="00BB5DD0" w:rsidRDefault="00BB5DD0" w:rsidP="00BB5DD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US" w:eastAsia="zh-CN"/>
              </w:rPr>
            </w:pPr>
            <w:r w:rsidRPr="00BB5DD0">
              <w:rPr>
                <w:color w:val="000000"/>
                <w:sz w:val="18"/>
                <w:szCs w:val="18"/>
                <w:lang w:val="en-US" w:eastAsia="zh-CN"/>
              </w:rPr>
              <w:t>Less established working capital reserve (15%)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30F8E" w14:textId="49939F48" w:rsidR="00BB5DD0" w:rsidRPr="00BB5DD0" w:rsidRDefault="00BB5DD0" w:rsidP="00BB5DD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en-US" w:eastAsia="zh-CN"/>
              </w:rPr>
            </w:pPr>
            <w:r w:rsidRPr="00BB5DD0">
              <w:rPr>
                <w:sz w:val="18"/>
                <w:szCs w:val="18"/>
                <w:lang w:val="en-US" w:eastAsia="zh-CN"/>
              </w:rPr>
              <w:t>-587,479</w:t>
            </w:r>
          </w:p>
        </w:tc>
      </w:tr>
      <w:tr w:rsidR="00BB5DD0" w:rsidRPr="000C0E38" w14:paraId="52B06318" w14:textId="77777777" w:rsidTr="00BB5DD0">
        <w:trPr>
          <w:trHeight w:val="57"/>
          <w:jc w:val="right"/>
        </w:trPr>
        <w:tc>
          <w:tcPr>
            <w:tcW w:w="7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3D9A0" w14:textId="77777777" w:rsidR="00BB5DD0" w:rsidRPr="00BB5DD0" w:rsidRDefault="00BB5DD0" w:rsidP="00BB5DD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US" w:eastAsia="zh-CN"/>
              </w:rPr>
            </w:pPr>
            <w:r w:rsidRPr="00BB5DD0">
              <w:rPr>
                <w:color w:val="000000"/>
                <w:sz w:val="18"/>
                <w:szCs w:val="18"/>
                <w:lang w:val="en-US" w:eastAsia="zh-CN"/>
              </w:rPr>
              <w:t>Estimated expenditure up to 31.12.2019**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0A5AC" w14:textId="3F5262F3" w:rsidR="00BB5DD0" w:rsidRPr="00BB5DD0" w:rsidRDefault="00BB5DD0" w:rsidP="00BB5DD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en-US" w:eastAsia="zh-CN"/>
              </w:rPr>
            </w:pPr>
            <w:r w:rsidRPr="00BB5DD0">
              <w:rPr>
                <w:sz w:val="18"/>
                <w:szCs w:val="18"/>
                <w:lang w:val="en-US" w:eastAsia="zh-CN"/>
              </w:rPr>
              <w:t>-3,843,074</w:t>
            </w:r>
          </w:p>
        </w:tc>
      </w:tr>
      <w:tr w:rsidR="00BB5DD0" w:rsidRPr="000C0E38" w14:paraId="1DA49D1E" w14:textId="77777777" w:rsidTr="00BB5DD0">
        <w:trPr>
          <w:trHeight w:val="57"/>
          <w:jc w:val="right"/>
        </w:trPr>
        <w:tc>
          <w:tcPr>
            <w:tcW w:w="7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65E9E" w14:textId="77777777" w:rsidR="00BB5DD0" w:rsidRPr="00BB5DD0" w:rsidRDefault="00BB5DD0" w:rsidP="00BB5DD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US" w:eastAsia="zh-CN"/>
              </w:rPr>
            </w:pPr>
            <w:r w:rsidRPr="00BB5DD0">
              <w:rPr>
                <w:color w:val="000000"/>
                <w:sz w:val="18"/>
                <w:szCs w:val="18"/>
                <w:lang w:val="en-US" w:eastAsia="zh-CN"/>
              </w:rPr>
              <w:t>Anticipated liabilities***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8B780" w14:textId="56AADD4B" w:rsidR="00BB5DD0" w:rsidRPr="00BB5DD0" w:rsidRDefault="00BB5DD0" w:rsidP="00BB5DD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en-US" w:eastAsia="zh-CN"/>
              </w:rPr>
            </w:pPr>
            <w:r w:rsidRPr="00BB5DD0">
              <w:rPr>
                <w:sz w:val="18"/>
                <w:szCs w:val="18"/>
                <w:lang w:val="en-US" w:eastAsia="zh-CN"/>
              </w:rPr>
              <w:t>-130,000</w:t>
            </w:r>
          </w:p>
        </w:tc>
      </w:tr>
      <w:tr w:rsidR="00BB5DD0" w:rsidRPr="000C0E38" w14:paraId="34408A0D" w14:textId="77777777" w:rsidTr="00BB5DD0">
        <w:trPr>
          <w:trHeight w:val="57"/>
          <w:jc w:val="right"/>
        </w:trPr>
        <w:tc>
          <w:tcPr>
            <w:tcW w:w="7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C45CA" w14:textId="77777777" w:rsidR="00BB5DD0" w:rsidRPr="00BB5DD0" w:rsidRDefault="00BB5DD0" w:rsidP="00BB5DD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US" w:eastAsia="zh-CN"/>
              </w:rPr>
            </w:pPr>
            <w:r w:rsidRPr="00BB5DD0">
              <w:rPr>
                <w:color w:val="000000"/>
                <w:sz w:val="18"/>
                <w:szCs w:val="18"/>
                <w:lang w:val="en-US" w:eastAsia="zh-CN"/>
              </w:rPr>
              <w:t>3 months’ salary net cash retention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E3191" w14:textId="73F857FD" w:rsidR="00BB5DD0" w:rsidRPr="00BB5DD0" w:rsidRDefault="00BB5DD0" w:rsidP="00BB5DD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en-US" w:eastAsia="zh-CN"/>
              </w:rPr>
            </w:pPr>
            <w:r w:rsidRPr="00BB5DD0">
              <w:rPr>
                <w:sz w:val="18"/>
                <w:szCs w:val="18"/>
                <w:lang w:val="en-US" w:eastAsia="zh-CN"/>
              </w:rPr>
              <w:t>-541,678</w:t>
            </w:r>
          </w:p>
        </w:tc>
      </w:tr>
      <w:tr w:rsidR="00BB5DD0" w:rsidRPr="000C0E38" w14:paraId="2FAFC0E0" w14:textId="77777777" w:rsidTr="00BB5DD0">
        <w:trPr>
          <w:trHeight w:val="57"/>
          <w:jc w:val="right"/>
        </w:trPr>
        <w:tc>
          <w:tcPr>
            <w:tcW w:w="7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B731"/>
            <w:noWrap/>
            <w:vAlign w:val="bottom"/>
            <w:hideMark/>
          </w:tcPr>
          <w:p w14:paraId="2AFCF0A9" w14:textId="77777777" w:rsidR="00BB5DD0" w:rsidRPr="00BB5DD0" w:rsidRDefault="00BB5DD0" w:rsidP="00BB5DD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BB5DD0"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  <w:t>Projected cash balance as at 31.12.2019****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B731"/>
            <w:noWrap/>
            <w:vAlign w:val="bottom"/>
            <w:hideMark/>
          </w:tcPr>
          <w:p w14:paraId="44A9585D" w14:textId="77777777" w:rsidR="00BB5DD0" w:rsidRPr="00BB5DD0" w:rsidRDefault="00BB5DD0" w:rsidP="00BB5DD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BB5DD0"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  <w:t>234,467</w:t>
            </w:r>
          </w:p>
        </w:tc>
      </w:tr>
    </w:tbl>
    <w:p w14:paraId="2B8129C2" w14:textId="6117C865" w:rsidR="00BB5DD0" w:rsidRPr="00BB5DD0" w:rsidRDefault="00BB5DD0" w:rsidP="00BB5DD0">
      <w:pPr>
        <w:pStyle w:val="Normal-pool"/>
        <w:spacing w:before="120" w:after="40"/>
        <w:rPr>
          <w:rFonts w:eastAsia="SimSun"/>
          <w:i/>
          <w:sz w:val="17"/>
          <w:szCs w:val="17"/>
        </w:rPr>
      </w:pPr>
      <w:r w:rsidRPr="00BB5DD0">
        <w:rPr>
          <w:rFonts w:asciiTheme="majorBidi" w:hAnsiTheme="majorBidi" w:cstheme="majorBidi"/>
          <w:i/>
          <w:color w:val="000000"/>
          <w:sz w:val="17"/>
          <w:szCs w:val="17"/>
          <w:lang w:val="en-US" w:eastAsia="zh-CN"/>
        </w:rPr>
        <w:t>Footnotes</w:t>
      </w:r>
    </w:p>
    <w:p w14:paraId="3A7506F5" w14:textId="289AAFB6" w:rsidR="00BB5DD0" w:rsidRPr="00BB5DD0" w:rsidRDefault="00BB5DD0" w:rsidP="00BB5DD0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40"/>
        <w:ind w:left="624" w:hanging="624"/>
        <w:rPr>
          <w:sz w:val="17"/>
          <w:szCs w:val="17"/>
          <w:lang w:val="en-US" w:eastAsia="zh-CN"/>
        </w:rPr>
      </w:pPr>
      <w:r w:rsidRPr="00BB5DD0">
        <w:rPr>
          <w:sz w:val="17"/>
          <w:szCs w:val="17"/>
          <w:lang w:val="en-US" w:eastAsia="zh-CN"/>
        </w:rPr>
        <w:t>*</w:t>
      </w:r>
      <w:r>
        <w:rPr>
          <w:sz w:val="17"/>
          <w:szCs w:val="17"/>
          <w:lang w:val="en-US" w:eastAsia="zh-CN"/>
        </w:rPr>
        <w:t xml:space="preserve"> </w:t>
      </w:r>
      <w:r w:rsidRPr="00BB5DD0">
        <w:rPr>
          <w:sz w:val="17"/>
          <w:szCs w:val="17"/>
          <w:lang w:val="en-US" w:eastAsia="zh-CN"/>
        </w:rPr>
        <w:t>Estimated receipts of assessed contributions in 2019 for 2018-2019 and 60% of host country contribution</w:t>
      </w:r>
    </w:p>
    <w:p w14:paraId="3698BD7F" w14:textId="2D727AEC" w:rsidR="00BB5DD0" w:rsidRPr="00BB5DD0" w:rsidRDefault="00BB5DD0" w:rsidP="00BB5DD0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40"/>
        <w:ind w:left="624" w:hanging="624"/>
        <w:rPr>
          <w:sz w:val="17"/>
          <w:szCs w:val="17"/>
          <w:lang w:val="en-US" w:eastAsia="zh-CN"/>
        </w:rPr>
      </w:pPr>
      <w:r w:rsidRPr="00BB5DD0">
        <w:rPr>
          <w:sz w:val="17"/>
          <w:szCs w:val="17"/>
          <w:lang w:val="en-US" w:eastAsia="zh-CN"/>
        </w:rPr>
        <w:t>**</w:t>
      </w:r>
      <w:r>
        <w:rPr>
          <w:sz w:val="17"/>
          <w:szCs w:val="17"/>
          <w:lang w:val="en-US" w:eastAsia="zh-CN"/>
        </w:rPr>
        <w:t xml:space="preserve"> </w:t>
      </w:r>
      <w:r w:rsidRPr="00BB5DD0">
        <w:rPr>
          <w:sz w:val="17"/>
          <w:szCs w:val="17"/>
          <w:lang w:val="en-US" w:eastAsia="zh-CN"/>
        </w:rPr>
        <w:t>It is estimated that the full budget for 2019 will be spent</w:t>
      </w:r>
    </w:p>
    <w:p w14:paraId="1CAA7879" w14:textId="4B089159" w:rsidR="00BB5DD0" w:rsidRPr="00BB5DD0" w:rsidRDefault="00BB5DD0" w:rsidP="00BB5DD0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40"/>
        <w:ind w:left="284" w:hanging="284"/>
        <w:rPr>
          <w:sz w:val="17"/>
          <w:szCs w:val="17"/>
          <w:lang w:val="en-US" w:eastAsia="zh-CN"/>
        </w:rPr>
      </w:pPr>
      <w:r w:rsidRPr="00BB5DD0">
        <w:rPr>
          <w:sz w:val="17"/>
          <w:szCs w:val="17"/>
          <w:lang w:val="en-US" w:eastAsia="zh-CN"/>
        </w:rPr>
        <w:t>***</w:t>
      </w:r>
      <w:r>
        <w:rPr>
          <w:sz w:val="17"/>
          <w:szCs w:val="17"/>
          <w:lang w:val="en-US" w:eastAsia="zh-CN"/>
        </w:rPr>
        <w:t xml:space="preserve"> </w:t>
      </w:r>
      <w:r w:rsidRPr="00BB5DD0">
        <w:rPr>
          <w:sz w:val="17"/>
          <w:szCs w:val="17"/>
          <w:lang w:val="en-US" w:eastAsia="zh-CN"/>
        </w:rPr>
        <w:t>Retroactive salary payments, in line with judgement of UN Dispute Tribunal expected later this year. Installation of new Executive Secretary</w:t>
      </w:r>
    </w:p>
    <w:p w14:paraId="5B7D901B" w14:textId="41B680B1" w:rsidR="00BB5DD0" w:rsidRPr="00BB5DD0" w:rsidRDefault="00BB5DD0" w:rsidP="00BB5DD0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40"/>
        <w:ind w:left="397" w:hanging="397"/>
        <w:rPr>
          <w:sz w:val="17"/>
          <w:szCs w:val="17"/>
          <w:lang w:val="en-US" w:eastAsia="zh-CN"/>
        </w:rPr>
      </w:pPr>
      <w:r w:rsidRPr="00BB5DD0">
        <w:rPr>
          <w:sz w:val="17"/>
          <w:szCs w:val="17"/>
          <w:lang w:val="en-US" w:eastAsia="zh-CN"/>
        </w:rPr>
        <w:t>****</w:t>
      </w:r>
      <w:r>
        <w:rPr>
          <w:sz w:val="17"/>
          <w:szCs w:val="17"/>
          <w:lang w:val="en-US" w:eastAsia="zh-CN"/>
        </w:rPr>
        <w:t xml:space="preserve"> </w:t>
      </w:r>
      <w:r w:rsidRPr="00BB5DD0">
        <w:rPr>
          <w:sz w:val="17"/>
          <w:szCs w:val="17"/>
          <w:lang w:val="en-US" w:eastAsia="zh-CN"/>
        </w:rPr>
        <w:t>The working capital reserve needs to be adjusted to 15% of the approved budget, which implies up to an additional USD 146,940, in case the ES budget scenario is approved.</w:t>
      </w:r>
    </w:p>
    <w:p w14:paraId="3781E067" w14:textId="0C8A8EBC" w:rsidR="00BB5DD0" w:rsidRDefault="00BB5DD0" w:rsidP="00BB5DD0">
      <w:pPr>
        <w:pStyle w:val="Normal-pool"/>
        <w:rPr>
          <w:rFonts w:eastAsia="SimSu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7"/>
        <w:gridCol w:w="1897"/>
        <w:gridCol w:w="1897"/>
        <w:gridCol w:w="1897"/>
        <w:gridCol w:w="1898"/>
      </w:tblGrid>
      <w:tr w:rsidR="00BB5DD0" w14:paraId="3147FAB2" w14:textId="77777777" w:rsidTr="00BB5DD0">
        <w:tc>
          <w:tcPr>
            <w:tcW w:w="1897" w:type="dxa"/>
          </w:tcPr>
          <w:p w14:paraId="798B0868" w14:textId="77777777" w:rsidR="00BB5DD0" w:rsidRDefault="00BB5DD0" w:rsidP="00BB5DD0">
            <w:pPr>
              <w:pStyle w:val="Normal-pool"/>
              <w:spacing w:before="520"/>
              <w:rPr>
                <w:rFonts w:eastAsia="SimSun"/>
              </w:rPr>
            </w:pPr>
          </w:p>
        </w:tc>
        <w:tc>
          <w:tcPr>
            <w:tcW w:w="1897" w:type="dxa"/>
          </w:tcPr>
          <w:p w14:paraId="65CE73DE" w14:textId="77777777" w:rsidR="00BB5DD0" w:rsidRDefault="00BB5DD0" w:rsidP="00BB5DD0">
            <w:pPr>
              <w:pStyle w:val="Normal-pool"/>
              <w:spacing w:before="520"/>
              <w:rPr>
                <w:rFonts w:eastAsia="SimSun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3C3FEFAE" w14:textId="77777777" w:rsidR="00BB5DD0" w:rsidRDefault="00BB5DD0" w:rsidP="00BB5DD0">
            <w:pPr>
              <w:pStyle w:val="Normal-pool"/>
              <w:spacing w:before="520"/>
              <w:rPr>
                <w:rFonts w:eastAsia="SimSun"/>
              </w:rPr>
            </w:pPr>
          </w:p>
        </w:tc>
        <w:tc>
          <w:tcPr>
            <w:tcW w:w="1897" w:type="dxa"/>
          </w:tcPr>
          <w:p w14:paraId="7BDAAC7E" w14:textId="77777777" w:rsidR="00BB5DD0" w:rsidRDefault="00BB5DD0" w:rsidP="00BB5DD0">
            <w:pPr>
              <w:pStyle w:val="Normal-pool"/>
              <w:spacing w:before="520"/>
              <w:rPr>
                <w:rFonts w:eastAsia="SimSun"/>
              </w:rPr>
            </w:pPr>
          </w:p>
        </w:tc>
        <w:tc>
          <w:tcPr>
            <w:tcW w:w="1898" w:type="dxa"/>
          </w:tcPr>
          <w:p w14:paraId="0F184627" w14:textId="77777777" w:rsidR="00BB5DD0" w:rsidRDefault="00BB5DD0" w:rsidP="00BB5DD0">
            <w:pPr>
              <w:pStyle w:val="Normal-pool"/>
              <w:spacing w:before="520"/>
              <w:rPr>
                <w:rFonts w:eastAsia="SimSun"/>
              </w:rPr>
            </w:pPr>
          </w:p>
        </w:tc>
      </w:tr>
    </w:tbl>
    <w:p w14:paraId="72FD321B" w14:textId="77777777" w:rsidR="00BB5DD0" w:rsidRDefault="00BB5DD0" w:rsidP="00BB5DD0">
      <w:pPr>
        <w:pStyle w:val="Normal-pool"/>
        <w:rPr>
          <w:rFonts w:eastAsia="SimSun"/>
        </w:rPr>
      </w:pPr>
    </w:p>
    <w:sectPr w:rsidR="00BB5DD0" w:rsidSect="00113A62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F77EBB" w14:textId="77777777" w:rsidR="0042087C" w:rsidRDefault="0042087C">
      <w:r>
        <w:separator/>
      </w:r>
    </w:p>
  </w:endnote>
  <w:endnote w:type="continuationSeparator" w:id="0">
    <w:p w14:paraId="12DD6C7B" w14:textId="77777777" w:rsidR="0042087C" w:rsidRDefault="00420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8609AB" w14:textId="34F67DA2" w:rsidR="00C2723A" w:rsidRPr="000637FB" w:rsidRDefault="00113A62" w:rsidP="000637FB">
    <w:pPr>
      <w:pStyle w:val="Footer-pool"/>
      <w:rPr>
        <w:b w:val="0"/>
      </w:rPr>
    </w:pPr>
    <w:r w:rsidRPr="000637FB">
      <w:rPr>
        <w:b w:val="0"/>
      </w:rPr>
      <w:t>K1904542</w:t>
    </w:r>
    <w:r w:rsidRPr="000637FB">
      <w:rPr>
        <w:b w:val="0"/>
      </w:rPr>
      <w:tab/>
    </w:r>
    <w:r w:rsidR="000637FB" w:rsidRPr="000637FB">
      <w:rPr>
        <w:b w:val="0"/>
      </w:rPr>
      <w:t>11</w:t>
    </w:r>
    <w:r w:rsidRPr="000637FB">
      <w:rPr>
        <w:b w:val="0"/>
      </w:rPr>
      <w:t>1119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5517991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14:paraId="5349DD2B" w14:textId="5AD6001E" w:rsidR="00C2723A" w:rsidRPr="002B5D58" w:rsidRDefault="00C2723A" w:rsidP="00113A62">
        <w:pPr>
          <w:pStyle w:val="Footer"/>
          <w:rPr>
            <w:b/>
          </w:rPr>
        </w:pPr>
        <w:r w:rsidRPr="002B5D58">
          <w:rPr>
            <w:b/>
          </w:rPr>
          <w:fldChar w:fldCharType="begin"/>
        </w:r>
        <w:r w:rsidRPr="002B5D58">
          <w:rPr>
            <w:b/>
          </w:rPr>
          <w:instrText xml:space="preserve"> PAGE   \* MERGEFORMAT </w:instrText>
        </w:r>
        <w:r w:rsidRPr="002B5D58">
          <w:rPr>
            <w:b/>
          </w:rPr>
          <w:fldChar w:fldCharType="separate"/>
        </w:r>
        <w:r w:rsidR="00FF4BCC">
          <w:rPr>
            <w:b/>
            <w:noProof/>
          </w:rPr>
          <w:t>2</w:t>
        </w:r>
        <w:r w:rsidRPr="002B5D58">
          <w:rPr>
            <w:b/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AA827" w14:textId="16A85572" w:rsidR="00C2723A" w:rsidRDefault="00C2723A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12</w:t>
    </w:r>
    <w:r>
      <w:rPr>
        <w:rStyle w:val="PageNumber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D48B7" w14:textId="4F950667" w:rsidR="00C2723A" w:rsidRDefault="00C2723A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13</w:t>
    </w:r>
    <w:r>
      <w:rPr>
        <w:rStyle w:val="PageNumber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EB5F1" w14:textId="0C61A069" w:rsidR="00C2723A" w:rsidRPr="009674D8" w:rsidRDefault="00C2723A" w:rsidP="00113A62">
    <w:pPr>
      <w:pStyle w:val="Footer"/>
      <w:jc w:val="right"/>
      <w:rPr>
        <w:b/>
      </w:rPr>
    </w:pPr>
    <w:r w:rsidRPr="009674D8">
      <w:rPr>
        <w:b/>
      </w:rPr>
      <w:fldChar w:fldCharType="begin"/>
    </w:r>
    <w:r w:rsidRPr="009674D8">
      <w:rPr>
        <w:b/>
      </w:rPr>
      <w:instrText xml:space="preserve"> PAGE   \* MERGEFORMAT </w:instrText>
    </w:r>
    <w:r w:rsidRPr="009674D8">
      <w:rPr>
        <w:b/>
      </w:rPr>
      <w:fldChar w:fldCharType="separate"/>
    </w:r>
    <w:r w:rsidR="00FF4BCC">
      <w:rPr>
        <w:b/>
        <w:noProof/>
      </w:rPr>
      <w:t>3</w:t>
    </w:r>
    <w:r w:rsidRPr="009674D8">
      <w:rPr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6F6D3D" w14:textId="77777777" w:rsidR="0042087C" w:rsidRPr="00D74D41" w:rsidRDefault="0042087C" w:rsidP="00BB1696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60"/>
        <w:ind w:left="624"/>
        <w:rPr>
          <w:sz w:val="18"/>
          <w:szCs w:val="18"/>
        </w:rPr>
      </w:pPr>
      <w:r w:rsidRPr="00D74D41">
        <w:rPr>
          <w:sz w:val="18"/>
          <w:szCs w:val="18"/>
        </w:rPr>
        <w:separator/>
      </w:r>
    </w:p>
  </w:footnote>
  <w:footnote w:type="continuationSeparator" w:id="0">
    <w:p w14:paraId="092A356A" w14:textId="77777777" w:rsidR="0042087C" w:rsidRDefault="0042087C">
      <w:r>
        <w:continuationSeparator/>
      </w:r>
    </w:p>
  </w:footnote>
  <w:footnote w:id="1">
    <w:p w14:paraId="24DAB2E6" w14:textId="7F3E768F" w:rsidR="00C2723A" w:rsidRPr="00BB1696" w:rsidRDefault="00C2723A" w:rsidP="00BB1696">
      <w:pPr>
        <w:tabs>
          <w:tab w:val="clear" w:pos="3515"/>
          <w:tab w:val="left" w:pos="624"/>
          <w:tab w:val="left" w:pos="9063"/>
        </w:tabs>
        <w:spacing w:before="20" w:after="40"/>
        <w:ind w:left="1247"/>
        <w:rPr>
          <w:sz w:val="18"/>
          <w:szCs w:val="18"/>
        </w:rPr>
      </w:pPr>
      <w:r w:rsidRPr="00BB1696">
        <w:rPr>
          <w:sz w:val="18"/>
          <w:szCs w:val="18"/>
        </w:rPr>
        <w:t>* UNEP/MC/COP.3/1.</w:t>
      </w:r>
    </w:p>
  </w:footnote>
  <w:footnote w:id="2">
    <w:p w14:paraId="00D2E772" w14:textId="49EA0196" w:rsidR="00B57E8C" w:rsidRPr="00BB1696" w:rsidRDefault="00B57E8C" w:rsidP="00BB1696">
      <w:pPr>
        <w:pStyle w:val="FootnoteText"/>
        <w:tabs>
          <w:tab w:val="left" w:pos="624"/>
        </w:tabs>
        <w:rPr>
          <w:szCs w:val="18"/>
          <w:lang w:val="en-GB"/>
        </w:rPr>
      </w:pPr>
      <w:r w:rsidRPr="00BB1696">
        <w:rPr>
          <w:rStyle w:val="FootnoteReference"/>
          <w:sz w:val="18"/>
        </w:rPr>
        <w:footnoteRef/>
      </w:r>
      <w:r w:rsidRPr="00BB1696">
        <w:rPr>
          <w:szCs w:val="18"/>
          <w:lang w:val="en-GB"/>
        </w:rPr>
        <w:t xml:space="preserve"> The annex to the present addendum has not been formally edited.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898EE" w14:textId="6BC58A1A" w:rsidR="00C2723A" w:rsidRDefault="00FF4BCC">
    <w:pPr>
      <w:pStyle w:val="Header"/>
    </w:pPr>
    <w:r>
      <w:rPr>
        <w:noProof/>
      </w:rPr>
      <w:pict w14:anchorId="40A3ECF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9" type="#_x0000_t136" alt="" style="position:absolute;margin-left:0;margin-top:0;width:539.2pt;height:154.05pt;rotation:315;z-index:-251649024;mso-wrap-edited:f;mso-width-percent:0;mso-height-percent:0;mso-position-horizontal:center;mso-position-horizontal-relative:margin;mso-position-vertical:center;mso-position-vertical-relative:margin;mso-width-percent:0;mso-height-percent:0" o:allowincell="f" fillcolor="#a5a5a5 [2092]" stroked="f">
          <v:fill opacity=".5"/>
          <v:textpath style="font-family:&quot;Times New Roman&quot;;font-size:1pt" string="ADVANC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E0F46" w14:textId="531F9201" w:rsidR="00C2723A" w:rsidRDefault="00FF4BCC">
    <w:pPr>
      <w:pStyle w:val="Header"/>
    </w:pPr>
    <w:r>
      <w:rPr>
        <w:noProof/>
      </w:rPr>
      <w:pict w14:anchorId="5BBBEA7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8" type="#_x0000_t136" alt="" style="position:absolute;margin-left:0;margin-top:0;width:539.2pt;height:154.05pt;rotation:315;z-index:-251646976;mso-wrap-edited:f;mso-width-percent:0;mso-height-percent:0;mso-position-horizontal:center;mso-position-horizontal-relative:margin;mso-position-vertical:center;mso-position-vertical-relative:margin;mso-width-percent:0;mso-height-percent:0" o:allowincell="f" fillcolor="#a5a5a5 [2092]" stroked="f">
          <v:fill opacity=".5"/>
          <v:textpath style="font-family:&quot;Times New Roman&quot;;font-size:1pt" string="ADVANC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CA56C" w14:textId="77777777" w:rsidR="00113A62" w:rsidRDefault="00113A62" w:rsidP="00113A62">
    <w:pPr>
      <w:pStyle w:val="Header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FF8C78" w14:textId="72C699C0" w:rsidR="00C2723A" w:rsidRDefault="00FF4BCC">
    <w:pPr>
      <w:pStyle w:val="Header"/>
    </w:pPr>
    <w:r>
      <w:rPr>
        <w:noProof/>
      </w:rPr>
      <w:pict w14:anchorId="77938E4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6" type="#_x0000_t136" alt="" style="position:absolute;margin-left:0;margin-top:0;width:539.2pt;height:154.05pt;rotation:315;z-index:-251642880;mso-wrap-edited:f;mso-width-percent:0;mso-height-percent:0;mso-position-horizontal:center;mso-position-horizontal-relative:margin;mso-position-vertical:center;mso-position-vertical-relative:margin;mso-width-percent:0;mso-height-percent:0" o:allowincell="f" fillcolor="#a5a5a5 [2092]" stroked="f">
          <v:fill opacity=".5"/>
          <v:textpath style="font-family:&quot;Times New Roman&quot;;font-size:1pt" string="ADVANCE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6741D3" w14:textId="53273600" w:rsidR="00C2723A" w:rsidRPr="00113A62" w:rsidRDefault="00113A62">
    <w:pPr>
      <w:pStyle w:val="Header"/>
      <w:rPr>
        <w:szCs w:val="18"/>
      </w:rPr>
    </w:pPr>
    <w:r w:rsidRPr="00113A62">
      <w:rPr>
        <w:bCs/>
        <w:szCs w:val="18"/>
      </w:rPr>
      <w:t>UNEP/</w:t>
    </w:r>
    <w:r w:rsidRPr="00113A62">
      <w:rPr>
        <w:szCs w:val="18"/>
      </w:rPr>
      <w:t>MC/COP.3/INF/11/Add.1</w:t>
    </w:r>
    <w:r w:rsidR="00FF4BCC">
      <w:rPr>
        <w:noProof/>
        <w:szCs w:val="18"/>
      </w:rPr>
      <w:pict w14:anchorId="3EE1E1F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5" type="#_x0000_t136" alt="" style="position:absolute;margin-left:0;margin-top:0;width:539.2pt;height:154.05pt;rotation:315;z-index:-251640832;mso-wrap-edited:f;mso-width-percent:0;mso-height-percent:0;mso-position-horizontal:center;mso-position-horizontal-relative:margin;mso-position-vertical:center;mso-position-vertical-relative:margin;mso-width-percent:0;mso-height-percent:0" o:allowincell="f" fillcolor="#a5a5a5 [2092]" stroked="f">
          <v:fill opacity=".5"/>
          <v:textpath style="font-family:&quot;Times New Roman&quot;;font-size:1pt" string="ADVANCE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66664" w14:textId="76353EC6" w:rsidR="00C2723A" w:rsidRDefault="00C2723A" w:rsidP="00113A62">
    <w:pPr>
      <w:pStyle w:val="Header"/>
    </w:pPr>
    <w:r>
      <w:rPr>
        <w:lang w:val="en-US"/>
      </w:rPr>
      <w:t>UNEP/MC/COP.3/INF/11</w:t>
    </w:r>
    <w:r w:rsidR="003855AA">
      <w:rPr>
        <w:lang w:val="en-US"/>
      </w:rPr>
      <w:t>/Add</w:t>
    </w:r>
    <w:r w:rsidR="00FC39EE">
      <w:rPr>
        <w:lang w:val="en-US"/>
      </w:rPr>
      <w:t>.1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F4E3A" w14:textId="14EC3ABF" w:rsidR="00C2723A" w:rsidRPr="00CA5CA9" w:rsidRDefault="00FF4BCC" w:rsidP="00434321">
    <w:pPr>
      <w:pStyle w:val="Header"/>
      <w:rPr>
        <w:szCs w:val="18"/>
      </w:rPr>
    </w:pPr>
    <w:r>
      <w:rPr>
        <w:noProof/>
      </w:rPr>
      <w:pict w14:anchorId="6493CB5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alt="" style="position:absolute;margin-left:0;margin-top:0;width:539.2pt;height:154.05pt;rotation:315;z-index:-251612160;mso-wrap-edited:f;mso-width-percent:0;mso-height-percent:0;mso-position-horizontal:center;mso-position-horizontal-relative:margin;mso-position-vertical:center;mso-position-vertical-relative:margin;mso-width-percent:0;mso-height-percent:0" o:allowincell="f" fillcolor="#a5a5a5 [2092]" stroked="f">
          <v:fill opacity=".5"/>
          <v:textpath style="font-family:&quot;Times New Roman&quot;;font-size:1pt" string="ADVANCE"/>
          <w10:wrap anchorx="margin" anchory="margin"/>
        </v:shape>
      </w:pict>
    </w:r>
    <w:r w:rsidR="00C2723A" w:rsidRPr="00CA5CA9">
      <w:rPr>
        <w:bCs/>
        <w:szCs w:val="18"/>
      </w:rPr>
      <w:t>UNEP</w:t>
    </w:r>
    <w:r w:rsidR="00C2723A" w:rsidRPr="00CA5CA9">
      <w:rPr>
        <w:szCs w:val="18"/>
      </w:rPr>
      <w:t>/</w:t>
    </w:r>
    <w:r w:rsidR="00C2723A">
      <w:rPr>
        <w:szCs w:val="18"/>
      </w:rPr>
      <w:t>MC</w:t>
    </w:r>
    <w:r w:rsidR="00C2723A" w:rsidRPr="00CA5CA9">
      <w:rPr>
        <w:szCs w:val="18"/>
      </w:rPr>
      <w:t>/</w:t>
    </w:r>
    <w:r w:rsidR="00C2723A">
      <w:rPr>
        <w:szCs w:val="18"/>
      </w:rPr>
      <w:t>COP.3</w:t>
    </w:r>
    <w:r w:rsidR="00C2723A" w:rsidRPr="00CA5CA9">
      <w:rPr>
        <w:szCs w:val="18"/>
      </w:rPr>
      <w:t>/</w:t>
    </w:r>
    <w:r w:rsidR="00C2723A" w:rsidRPr="000A7C0C">
      <w:rPr>
        <w:szCs w:val="18"/>
        <w:highlight w:val="yellow"/>
      </w:rPr>
      <w:t>x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91C51" w14:textId="5157A5CB" w:rsidR="00C2723A" w:rsidRPr="00CA5CA9" w:rsidRDefault="00FF4BCC" w:rsidP="00F7137B">
    <w:pPr>
      <w:pStyle w:val="Header"/>
      <w:jc w:val="right"/>
      <w:rPr>
        <w:szCs w:val="18"/>
      </w:rPr>
    </w:pPr>
    <w:r>
      <w:rPr>
        <w:noProof/>
      </w:rPr>
      <w:pict w14:anchorId="45BBD1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alt="" style="position:absolute;left:0;text-align:left;margin-left:0;margin-top:0;width:539.2pt;height:154.05pt;rotation:315;z-index:-251610112;mso-wrap-edited:f;mso-width-percent:0;mso-height-percent:0;mso-position-horizontal:center;mso-position-horizontal-relative:margin;mso-position-vertical:center;mso-position-vertical-relative:margin;mso-width-percent:0;mso-height-percent:0" o:allowincell="f" fillcolor="#a5a5a5 [2092]" stroked="f">
          <v:fill opacity=".5"/>
          <v:textpath style="font-family:&quot;Times New Roman&quot;;font-size:1pt" string="ADVANCE"/>
          <w10:wrap anchorx="margin" anchory="margin"/>
        </v:shape>
      </w:pict>
    </w:r>
    <w:r w:rsidR="00C2723A" w:rsidRPr="00CA5CA9">
      <w:rPr>
        <w:bCs/>
        <w:szCs w:val="18"/>
      </w:rPr>
      <w:t>UNEP</w:t>
    </w:r>
    <w:r w:rsidR="00C2723A" w:rsidRPr="00CA5CA9">
      <w:rPr>
        <w:szCs w:val="18"/>
      </w:rPr>
      <w:t>/</w:t>
    </w:r>
    <w:r w:rsidR="00C2723A">
      <w:rPr>
        <w:szCs w:val="18"/>
      </w:rPr>
      <w:t>MC</w:t>
    </w:r>
    <w:r w:rsidR="00C2723A" w:rsidRPr="00CA5CA9">
      <w:rPr>
        <w:szCs w:val="18"/>
      </w:rPr>
      <w:t>/</w:t>
    </w:r>
    <w:r w:rsidR="00C2723A">
      <w:rPr>
        <w:szCs w:val="18"/>
      </w:rPr>
      <w:t>COP.3</w:t>
    </w:r>
    <w:r w:rsidR="00C2723A" w:rsidRPr="00CA5CA9">
      <w:rPr>
        <w:szCs w:val="18"/>
      </w:rPr>
      <w:t>/</w:t>
    </w:r>
    <w:r w:rsidR="00C2723A" w:rsidRPr="000A7C0C">
      <w:rPr>
        <w:szCs w:val="18"/>
        <w:highlight w:val="yellow"/>
      </w:rPr>
      <w:t>x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28784" w14:textId="53236F58" w:rsidR="00C2723A" w:rsidRPr="009674D8" w:rsidRDefault="00113A62" w:rsidP="00113A62">
    <w:pPr>
      <w:pStyle w:val="Header"/>
      <w:jc w:val="right"/>
      <w:rPr>
        <w:szCs w:val="18"/>
      </w:rPr>
    </w:pPr>
    <w:r w:rsidRPr="00D74D41">
      <w:rPr>
        <w:bCs/>
        <w:szCs w:val="18"/>
      </w:rPr>
      <w:t>UNEP/</w:t>
    </w:r>
    <w:r w:rsidRPr="00D74D41">
      <w:rPr>
        <w:szCs w:val="18"/>
      </w:rPr>
      <w:t>MC/COP.3/INF/11</w:t>
    </w:r>
    <w:r>
      <w:rPr>
        <w:szCs w:val="18"/>
      </w:rPr>
      <w:t>/A</w:t>
    </w:r>
    <w:r w:rsidR="003855AA">
      <w:rPr>
        <w:szCs w:val="18"/>
      </w:rPr>
      <w:t>dd</w:t>
    </w:r>
    <w:r>
      <w:rPr>
        <w:szCs w:val="18"/>
      </w:rPr>
      <w:t>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91F52"/>
    <w:multiLevelType w:val="hybridMultilevel"/>
    <w:tmpl w:val="7E90C3E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1E8A3ADA"/>
    <w:multiLevelType w:val="hybridMultilevel"/>
    <w:tmpl w:val="E8BE81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A9E4997"/>
    <w:multiLevelType w:val="hybridMultilevel"/>
    <w:tmpl w:val="EE943904"/>
    <w:lvl w:ilvl="0" w:tplc="9B1AD23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CD8E491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6" w15:restartNumberingAfterBreak="0">
    <w:nsid w:val="76237B38"/>
    <w:multiLevelType w:val="hybridMultilevel"/>
    <w:tmpl w:val="76202944"/>
    <w:lvl w:ilvl="0" w:tplc="E6F861FC">
      <w:start w:val="1"/>
      <w:numFmt w:val="lowerLetter"/>
      <w:lvlText w:val="(%1)"/>
      <w:lvlJc w:val="left"/>
      <w:pPr>
        <w:ind w:left="21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94" w:hanging="360"/>
      </w:pPr>
    </w:lvl>
    <w:lvl w:ilvl="2" w:tplc="0409001B" w:tentative="1">
      <w:start w:val="1"/>
      <w:numFmt w:val="lowerRoman"/>
      <w:lvlText w:val="%3."/>
      <w:lvlJc w:val="right"/>
      <w:pPr>
        <w:ind w:left="3614" w:hanging="180"/>
      </w:pPr>
    </w:lvl>
    <w:lvl w:ilvl="3" w:tplc="0409000F" w:tentative="1">
      <w:start w:val="1"/>
      <w:numFmt w:val="decimal"/>
      <w:lvlText w:val="%4."/>
      <w:lvlJc w:val="left"/>
      <w:pPr>
        <w:ind w:left="4334" w:hanging="360"/>
      </w:pPr>
    </w:lvl>
    <w:lvl w:ilvl="4" w:tplc="04090019" w:tentative="1">
      <w:start w:val="1"/>
      <w:numFmt w:val="lowerLetter"/>
      <w:lvlText w:val="%5."/>
      <w:lvlJc w:val="left"/>
      <w:pPr>
        <w:ind w:left="5054" w:hanging="360"/>
      </w:pPr>
    </w:lvl>
    <w:lvl w:ilvl="5" w:tplc="0409001B" w:tentative="1">
      <w:start w:val="1"/>
      <w:numFmt w:val="lowerRoman"/>
      <w:lvlText w:val="%6."/>
      <w:lvlJc w:val="right"/>
      <w:pPr>
        <w:ind w:left="5774" w:hanging="180"/>
      </w:pPr>
    </w:lvl>
    <w:lvl w:ilvl="6" w:tplc="0409000F" w:tentative="1">
      <w:start w:val="1"/>
      <w:numFmt w:val="decimal"/>
      <w:lvlText w:val="%7."/>
      <w:lvlJc w:val="left"/>
      <w:pPr>
        <w:ind w:left="6494" w:hanging="360"/>
      </w:pPr>
    </w:lvl>
    <w:lvl w:ilvl="7" w:tplc="04090019" w:tentative="1">
      <w:start w:val="1"/>
      <w:numFmt w:val="lowerLetter"/>
      <w:lvlText w:val="%8."/>
      <w:lvlJc w:val="left"/>
      <w:pPr>
        <w:ind w:left="7214" w:hanging="360"/>
      </w:pPr>
    </w:lvl>
    <w:lvl w:ilvl="8" w:tplc="0409001B" w:tentative="1">
      <w:start w:val="1"/>
      <w:numFmt w:val="lowerRoman"/>
      <w:lvlText w:val="%9."/>
      <w:lvlJc w:val="right"/>
      <w:pPr>
        <w:ind w:left="7934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5"/>
  </w:num>
  <w:num w:numId="5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">
    <w:abstractNumId w:val="6"/>
  </w:num>
  <w:num w:numId="7">
    <w:abstractNumId w:val="5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">
    <w:abstractNumId w:val="0"/>
  </w:num>
  <w:num w:numId="9">
    <w:abstractNumId w:val="5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2"/>
  </w:num>
  <w:num w:numId="18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fr-CH" w:vendorID="64" w:dllVersion="0" w:nlCheck="1" w:checkStyle="0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D7F"/>
    <w:rsid w:val="00000E4A"/>
    <w:rsid w:val="0000227D"/>
    <w:rsid w:val="000024A3"/>
    <w:rsid w:val="000057BB"/>
    <w:rsid w:val="000077AD"/>
    <w:rsid w:val="00011572"/>
    <w:rsid w:val="00011A16"/>
    <w:rsid w:val="000149E6"/>
    <w:rsid w:val="00020B97"/>
    <w:rsid w:val="00023DA9"/>
    <w:rsid w:val="000247B0"/>
    <w:rsid w:val="00026997"/>
    <w:rsid w:val="00026A08"/>
    <w:rsid w:val="00032E4E"/>
    <w:rsid w:val="00033E0B"/>
    <w:rsid w:val="00035EDE"/>
    <w:rsid w:val="000509B4"/>
    <w:rsid w:val="0006035B"/>
    <w:rsid w:val="0006096F"/>
    <w:rsid w:val="000637FB"/>
    <w:rsid w:val="000649C5"/>
    <w:rsid w:val="000656E9"/>
    <w:rsid w:val="00071886"/>
    <w:rsid w:val="000742BC"/>
    <w:rsid w:val="00076CC6"/>
    <w:rsid w:val="00082A0C"/>
    <w:rsid w:val="00083504"/>
    <w:rsid w:val="00091F88"/>
    <w:rsid w:val="0009640C"/>
    <w:rsid w:val="00096A7A"/>
    <w:rsid w:val="000A72F8"/>
    <w:rsid w:val="000A7C0C"/>
    <w:rsid w:val="000B1002"/>
    <w:rsid w:val="000B22A2"/>
    <w:rsid w:val="000B4C32"/>
    <w:rsid w:val="000B541B"/>
    <w:rsid w:val="000B73F9"/>
    <w:rsid w:val="000C0617"/>
    <w:rsid w:val="000C0E38"/>
    <w:rsid w:val="000C2A52"/>
    <w:rsid w:val="000C2A88"/>
    <w:rsid w:val="000C39DB"/>
    <w:rsid w:val="000D33C0"/>
    <w:rsid w:val="000D4CF6"/>
    <w:rsid w:val="000D6941"/>
    <w:rsid w:val="000F41C4"/>
    <w:rsid w:val="000F4829"/>
    <w:rsid w:val="000F6B21"/>
    <w:rsid w:val="00102EFB"/>
    <w:rsid w:val="00105108"/>
    <w:rsid w:val="00110D19"/>
    <w:rsid w:val="00113A62"/>
    <w:rsid w:val="0011704B"/>
    <w:rsid w:val="001202E3"/>
    <w:rsid w:val="00122E64"/>
    <w:rsid w:val="00123699"/>
    <w:rsid w:val="001241FB"/>
    <w:rsid w:val="0013059D"/>
    <w:rsid w:val="00132713"/>
    <w:rsid w:val="00136187"/>
    <w:rsid w:val="00141A55"/>
    <w:rsid w:val="0014293F"/>
    <w:rsid w:val="0014397D"/>
    <w:rsid w:val="001446A3"/>
    <w:rsid w:val="00152B6B"/>
    <w:rsid w:val="00155395"/>
    <w:rsid w:val="00155A2F"/>
    <w:rsid w:val="00156B6B"/>
    <w:rsid w:val="00160D74"/>
    <w:rsid w:val="001646EA"/>
    <w:rsid w:val="001650B8"/>
    <w:rsid w:val="00167D02"/>
    <w:rsid w:val="001759D8"/>
    <w:rsid w:val="00177D7F"/>
    <w:rsid w:val="00180C3F"/>
    <w:rsid w:val="00181EC8"/>
    <w:rsid w:val="00184349"/>
    <w:rsid w:val="00187274"/>
    <w:rsid w:val="00195DC6"/>
    <w:rsid w:val="00195F33"/>
    <w:rsid w:val="001963E7"/>
    <w:rsid w:val="00197380"/>
    <w:rsid w:val="001A3BB3"/>
    <w:rsid w:val="001A47E5"/>
    <w:rsid w:val="001B1617"/>
    <w:rsid w:val="001B504B"/>
    <w:rsid w:val="001B6A72"/>
    <w:rsid w:val="001B6F98"/>
    <w:rsid w:val="001C191A"/>
    <w:rsid w:val="001D0BE1"/>
    <w:rsid w:val="001D3874"/>
    <w:rsid w:val="001D7E75"/>
    <w:rsid w:val="001E0D73"/>
    <w:rsid w:val="001E45BD"/>
    <w:rsid w:val="001E56D2"/>
    <w:rsid w:val="001E7D56"/>
    <w:rsid w:val="001F5186"/>
    <w:rsid w:val="001F75DE"/>
    <w:rsid w:val="00200D58"/>
    <w:rsid w:val="002011C1"/>
    <w:rsid w:val="002013BE"/>
    <w:rsid w:val="00201EDC"/>
    <w:rsid w:val="002063A4"/>
    <w:rsid w:val="0021145B"/>
    <w:rsid w:val="002120E3"/>
    <w:rsid w:val="00220C23"/>
    <w:rsid w:val="002247F6"/>
    <w:rsid w:val="00225E21"/>
    <w:rsid w:val="00225E44"/>
    <w:rsid w:val="00230D7F"/>
    <w:rsid w:val="00232160"/>
    <w:rsid w:val="00234E78"/>
    <w:rsid w:val="00243D36"/>
    <w:rsid w:val="00244FF9"/>
    <w:rsid w:val="00246151"/>
    <w:rsid w:val="00247707"/>
    <w:rsid w:val="00252456"/>
    <w:rsid w:val="0026018E"/>
    <w:rsid w:val="00286740"/>
    <w:rsid w:val="00287B84"/>
    <w:rsid w:val="00291EAE"/>
    <w:rsid w:val="0029228C"/>
    <w:rsid w:val="002929D8"/>
    <w:rsid w:val="002A237D"/>
    <w:rsid w:val="002A4C53"/>
    <w:rsid w:val="002B0672"/>
    <w:rsid w:val="002B247F"/>
    <w:rsid w:val="002B50D4"/>
    <w:rsid w:val="002B58BF"/>
    <w:rsid w:val="002B5D58"/>
    <w:rsid w:val="002C145D"/>
    <w:rsid w:val="002C2C3E"/>
    <w:rsid w:val="002C3B00"/>
    <w:rsid w:val="002C533E"/>
    <w:rsid w:val="002D027F"/>
    <w:rsid w:val="002D3D00"/>
    <w:rsid w:val="002D3E15"/>
    <w:rsid w:val="002D7A85"/>
    <w:rsid w:val="002D7B60"/>
    <w:rsid w:val="002F11FE"/>
    <w:rsid w:val="002F4761"/>
    <w:rsid w:val="002F5C79"/>
    <w:rsid w:val="002F68EE"/>
    <w:rsid w:val="003019E2"/>
    <w:rsid w:val="00302D01"/>
    <w:rsid w:val="0030449F"/>
    <w:rsid w:val="003065C0"/>
    <w:rsid w:val="00310BEB"/>
    <w:rsid w:val="0031413F"/>
    <w:rsid w:val="00314854"/>
    <w:rsid w:val="003148BB"/>
    <w:rsid w:val="00317976"/>
    <w:rsid w:val="00317B99"/>
    <w:rsid w:val="00320F2F"/>
    <w:rsid w:val="0032457E"/>
    <w:rsid w:val="00325D38"/>
    <w:rsid w:val="00342AA4"/>
    <w:rsid w:val="0035277E"/>
    <w:rsid w:val="003535A2"/>
    <w:rsid w:val="00355EA9"/>
    <w:rsid w:val="003578DE"/>
    <w:rsid w:val="00361688"/>
    <w:rsid w:val="00364438"/>
    <w:rsid w:val="00370175"/>
    <w:rsid w:val="0037330B"/>
    <w:rsid w:val="00376495"/>
    <w:rsid w:val="00380921"/>
    <w:rsid w:val="003855AA"/>
    <w:rsid w:val="003877D5"/>
    <w:rsid w:val="00390213"/>
    <w:rsid w:val="0039125D"/>
    <w:rsid w:val="003929B8"/>
    <w:rsid w:val="00393432"/>
    <w:rsid w:val="00396257"/>
    <w:rsid w:val="00397EB8"/>
    <w:rsid w:val="003A4FD0"/>
    <w:rsid w:val="003A69D1"/>
    <w:rsid w:val="003A7705"/>
    <w:rsid w:val="003A77F1"/>
    <w:rsid w:val="003B1545"/>
    <w:rsid w:val="003B5E53"/>
    <w:rsid w:val="003C3219"/>
    <w:rsid w:val="003C409D"/>
    <w:rsid w:val="003C4544"/>
    <w:rsid w:val="003C5583"/>
    <w:rsid w:val="003C5BA6"/>
    <w:rsid w:val="003C74CF"/>
    <w:rsid w:val="003C75F4"/>
    <w:rsid w:val="003D05F3"/>
    <w:rsid w:val="003D3752"/>
    <w:rsid w:val="003E0442"/>
    <w:rsid w:val="003E35DA"/>
    <w:rsid w:val="003E455D"/>
    <w:rsid w:val="003E7DAC"/>
    <w:rsid w:val="003F0E85"/>
    <w:rsid w:val="00410C55"/>
    <w:rsid w:val="00416854"/>
    <w:rsid w:val="00417725"/>
    <w:rsid w:val="0042087C"/>
    <w:rsid w:val="0042266F"/>
    <w:rsid w:val="00434321"/>
    <w:rsid w:val="00437F26"/>
    <w:rsid w:val="00444097"/>
    <w:rsid w:val="00445487"/>
    <w:rsid w:val="00447E0D"/>
    <w:rsid w:val="00453EA8"/>
    <w:rsid w:val="00454602"/>
    <w:rsid w:val="00454769"/>
    <w:rsid w:val="004557F1"/>
    <w:rsid w:val="0046399F"/>
    <w:rsid w:val="00466991"/>
    <w:rsid w:val="0047064C"/>
    <w:rsid w:val="004822B7"/>
    <w:rsid w:val="00484259"/>
    <w:rsid w:val="0049469E"/>
    <w:rsid w:val="004A2217"/>
    <w:rsid w:val="004A24F9"/>
    <w:rsid w:val="004A42E1"/>
    <w:rsid w:val="004B162C"/>
    <w:rsid w:val="004B2ABE"/>
    <w:rsid w:val="004C13C1"/>
    <w:rsid w:val="004C3DBE"/>
    <w:rsid w:val="004C4E2F"/>
    <w:rsid w:val="004C5C96"/>
    <w:rsid w:val="004C5EE7"/>
    <w:rsid w:val="004D06A4"/>
    <w:rsid w:val="004D1FF4"/>
    <w:rsid w:val="004D53D0"/>
    <w:rsid w:val="004F0C35"/>
    <w:rsid w:val="004F1A81"/>
    <w:rsid w:val="004F488A"/>
    <w:rsid w:val="004F5D88"/>
    <w:rsid w:val="00501354"/>
    <w:rsid w:val="005050D2"/>
    <w:rsid w:val="005115B8"/>
    <w:rsid w:val="005218D9"/>
    <w:rsid w:val="00521B9B"/>
    <w:rsid w:val="0053019F"/>
    <w:rsid w:val="00536186"/>
    <w:rsid w:val="005364E5"/>
    <w:rsid w:val="00544CBB"/>
    <w:rsid w:val="005514E1"/>
    <w:rsid w:val="00551B65"/>
    <w:rsid w:val="00556704"/>
    <w:rsid w:val="00562DD3"/>
    <w:rsid w:val="005656D7"/>
    <w:rsid w:val="00570825"/>
    <w:rsid w:val="0057315F"/>
    <w:rsid w:val="00576104"/>
    <w:rsid w:val="00582926"/>
    <w:rsid w:val="00586418"/>
    <w:rsid w:val="00592B21"/>
    <w:rsid w:val="0059580E"/>
    <w:rsid w:val="005B16F4"/>
    <w:rsid w:val="005B2DF4"/>
    <w:rsid w:val="005B44BF"/>
    <w:rsid w:val="005C67C8"/>
    <w:rsid w:val="005D0249"/>
    <w:rsid w:val="005D18FA"/>
    <w:rsid w:val="005D4FD4"/>
    <w:rsid w:val="005D6E8C"/>
    <w:rsid w:val="005E3004"/>
    <w:rsid w:val="005E5BCE"/>
    <w:rsid w:val="005E7231"/>
    <w:rsid w:val="005F100C"/>
    <w:rsid w:val="005F5FC9"/>
    <w:rsid w:val="005F68DA"/>
    <w:rsid w:val="005F7419"/>
    <w:rsid w:val="0060153B"/>
    <w:rsid w:val="00601BC9"/>
    <w:rsid w:val="0060474F"/>
    <w:rsid w:val="0060773B"/>
    <w:rsid w:val="00613FD6"/>
    <w:rsid w:val="006157B5"/>
    <w:rsid w:val="00617224"/>
    <w:rsid w:val="00623D47"/>
    <w:rsid w:val="00626FC6"/>
    <w:rsid w:val="006303B4"/>
    <w:rsid w:val="00630ADC"/>
    <w:rsid w:val="00633D3D"/>
    <w:rsid w:val="00641703"/>
    <w:rsid w:val="006431A6"/>
    <w:rsid w:val="00643E3A"/>
    <w:rsid w:val="006459F6"/>
    <w:rsid w:val="006472FC"/>
    <w:rsid w:val="006501AD"/>
    <w:rsid w:val="00651BFA"/>
    <w:rsid w:val="00654475"/>
    <w:rsid w:val="00656DF0"/>
    <w:rsid w:val="00665A4B"/>
    <w:rsid w:val="00670FAE"/>
    <w:rsid w:val="00692E2A"/>
    <w:rsid w:val="0069496A"/>
    <w:rsid w:val="00696C1C"/>
    <w:rsid w:val="006A76F2"/>
    <w:rsid w:val="006B1570"/>
    <w:rsid w:val="006B30D0"/>
    <w:rsid w:val="006B785F"/>
    <w:rsid w:val="006B7D29"/>
    <w:rsid w:val="006C0EE1"/>
    <w:rsid w:val="006D19D4"/>
    <w:rsid w:val="006D20D7"/>
    <w:rsid w:val="006D5644"/>
    <w:rsid w:val="006D757D"/>
    <w:rsid w:val="006D7EFB"/>
    <w:rsid w:val="006E5BE2"/>
    <w:rsid w:val="006E6672"/>
    <w:rsid w:val="006E6722"/>
    <w:rsid w:val="006F5C4E"/>
    <w:rsid w:val="006F7AFF"/>
    <w:rsid w:val="007027B9"/>
    <w:rsid w:val="007063C8"/>
    <w:rsid w:val="007066B5"/>
    <w:rsid w:val="007145DA"/>
    <w:rsid w:val="00715E88"/>
    <w:rsid w:val="00716D8B"/>
    <w:rsid w:val="00726F69"/>
    <w:rsid w:val="00731576"/>
    <w:rsid w:val="00734CAA"/>
    <w:rsid w:val="0074011E"/>
    <w:rsid w:val="00740EE2"/>
    <w:rsid w:val="00742680"/>
    <w:rsid w:val="007440B6"/>
    <w:rsid w:val="007510E0"/>
    <w:rsid w:val="0075533C"/>
    <w:rsid w:val="00755A18"/>
    <w:rsid w:val="00757581"/>
    <w:rsid w:val="007602F5"/>
    <w:rsid w:val="00760D36"/>
    <w:rsid w:val="007611A0"/>
    <w:rsid w:val="00766F0A"/>
    <w:rsid w:val="00772574"/>
    <w:rsid w:val="00773E54"/>
    <w:rsid w:val="00781731"/>
    <w:rsid w:val="00787688"/>
    <w:rsid w:val="007935E6"/>
    <w:rsid w:val="00796D3F"/>
    <w:rsid w:val="0079728F"/>
    <w:rsid w:val="007A1683"/>
    <w:rsid w:val="007A5C12"/>
    <w:rsid w:val="007A7CB0"/>
    <w:rsid w:val="007B68A3"/>
    <w:rsid w:val="007C2541"/>
    <w:rsid w:val="007D30A5"/>
    <w:rsid w:val="007D66A8"/>
    <w:rsid w:val="007E003F"/>
    <w:rsid w:val="007F0CF8"/>
    <w:rsid w:val="007F5E1B"/>
    <w:rsid w:val="007F62CB"/>
    <w:rsid w:val="007F6E38"/>
    <w:rsid w:val="007F7696"/>
    <w:rsid w:val="008142EC"/>
    <w:rsid w:val="008164F2"/>
    <w:rsid w:val="00821395"/>
    <w:rsid w:val="00825B3D"/>
    <w:rsid w:val="00830E26"/>
    <w:rsid w:val="00834368"/>
    <w:rsid w:val="0083441A"/>
    <w:rsid w:val="008361A8"/>
    <w:rsid w:val="0084144C"/>
    <w:rsid w:val="00841A6A"/>
    <w:rsid w:val="00843576"/>
    <w:rsid w:val="00843B64"/>
    <w:rsid w:val="00845261"/>
    <w:rsid w:val="008478FC"/>
    <w:rsid w:val="00851BFB"/>
    <w:rsid w:val="00851C51"/>
    <w:rsid w:val="008538F7"/>
    <w:rsid w:val="00867BFF"/>
    <w:rsid w:val="00871542"/>
    <w:rsid w:val="00872BF6"/>
    <w:rsid w:val="0088208B"/>
    <w:rsid w:val="0088480A"/>
    <w:rsid w:val="00886C8B"/>
    <w:rsid w:val="0088757A"/>
    <w:rsid w:val="00890AB8"/>
    <w:rsid w:val="0089431B"/>
    <w:rsid w:val="00895668"/>
    <w:rsid w:val="008957DD"/>
    <w:rsid w:val="00897D98"/>
    <w:rsid w:val="008A6DF2"/>
    <w:rsid w:val="008A7807"/>
    <w:rsid w:val="008B4CC9"/>
    <w:rsid w:val="008C0B15"/>
    <w:rsid w:val="008D2970"/>
    <w:rsid w:val="008D75E4"/>
    <w:rsid w:val="008D7C99"/>
    <w:rsid w:val="008E0FCB"/>
    <w:rsid w:val="008F6DFE"/>
    <w:rsid w:val="00900F66"/>
    <w:rsid w:val="0090529F"/>
    <w:rsid w:val="009201F4"/>
    <w:rsid w:val="0092178C"/>
    <w:rsid w:val="00930B88"/>
    <w:rsid w:val="00934D02"/>
    <w:rsid w:val="00935376"/>
    <w:rsid w:val="00940DCC"/>
    <w:rsid w:val="0094179A"/>
    <w:rsid w:val="00943B2D"/>
    <w:rsid w:val="0094459E"/>
    <w:rsid w:val="00944DBC"/>
    <w:rsid w:val="00950977"/>
    <w:rsid w:val="00951A7B"/>
    <w:rsid w:val="00952429"/>
    <w:rsid w:val="00955512"/>
    <w:rsid w:val="009564A6"/>
    <w:rsid w:val="00957EF8"/>
    <w:rsid w:val="00963A4A"/>
    <w:rsid w:val="00966A53"/>
    <w:rsid w:val="009674D8"/>
    <w:rsid w:val="00967621"/>
    <w:rsid w:val="00967E6A"/>
    <w:rsid w:val="009728C7"/>
    <w:rsid w:val="00973194"/>
    <w:rsid w:val="009907B9"/>
    <w:rsid w:val="00990918"/>
    <w:rsid w:val="009A3A83"/>
    <w:rsid w:val="009B4A0F"/>
    <w:rsid w:val="009C11D2"/>
    <w:rsid w:val="009C4125"/>
    <w:rsid w:val="009C6C70"/>
    <w:rsid w:val="009C7B0A"/>
    <w:rsid w:val="009D0B63"/>
    <w:rsid w:val="009D357D"/>
    <w:rsid w:val="009D578D"/>
    <w:rsid w:val="009D5CB8"/>
    <w:rsid w:val="009E297C"/>
    <w:rsid w:val="009E307E"/>
    <w:rsid w:val="009F20A8"/>
    <w:rsid w:val="00A07870"/>
    <w:rsid w:val="00A07C54"/>
    <w:rsid w:val="00A07F19"/>
    <w:rsid w:val="00A10ABB"/>
    <w:rsid w:val="00A1348D"/>
    <w:rsid w:val="00A13C99"/>
    <w:rsid w:val="00A14148"/>
    <w:rsid w:val="00A232EE"/>
    <w:rsid w:val="00A37047"/>
    <w:rsid w:val="00A4175F"/>
    <w:rsid w:val="00A44411"/>
    <w:rsid w:val="00A469FA"/>
    <w:rsid w:val="00A46A5F"/>
    <w:rsid w:val="00A53662"/>
    <w:rsid w:val="00A55B01"/>
    <w:rsid w:val="00A56B5B"/>
    <w:rsid w:val="00A603FF"/>
    <w:rsid w:val="00A619B6"/>
    <w:rsid w:val="00A648CA"/>
    <w:rsid w:val="00A657DD"/>
    <w:rsid w:val="00A666A6"/>
    <w:rsid w:val="00A675FD"/>
    <w:rsid w:val="00A72437"/>
    <w:rsid w:val="00A80372"/>
    <w:rsid w:val="00A8048B"/>
    <w:rsid w:val="00A80611"/>
    <w:rsid w:val="00A82AE8"/>
    <w:rsid w:val="00AA16F8"/>
    <w:rsid w:val="00AA5BF4"/>
    <w:rsid w:val="00AB44C7"/>
    <w:rsid w:val="00AB5340"/>
    <w:rsid w:val="00AC0A89"/>
    <w:rsid w:val="00AC4C1D"/>
    <w:rsid w:val="00AC7C96"/>
    <w:rsid w:val="00AD2A8A"/>
    <w:rsid w:val="00AD3593"/>
    <w:rsid w:val="00AE0812"/>
    <w:rsid w:val="00AE237D"/>
    <w:rsid w:val="00AE2D1B"/>
    <w:rsid w:val="00AE2F14"/>
    <w:rsid w:val="00AE502A"/>
    <w:rsid w:val="00AF0010"/>
    <w:rsid w:val="00AF1AA8"/>
    <w:rsid w:val="00AF2C1F"/>
    <w:rsid w:val="00AF7C07"/>
    <w:rsid w:val="00B06C64"/>
    <w:rsid w:val="00B07D8E"/>
    <w:rsid w:val="00B11CAC"/>
    <w:rsid w:val="00B15A29"/>
    <w:rsid w:val="00B20986"/>
    <w:rsid w:val="00B22C93"/>
    <w:rsid w:val="00B27589"/>
    <w:rsid w:val="00B3331E"/>
    <w:rsid w:val="00B405B7"/>
    <w:rsid w:val="00B45C54"/>
    <w:rsid w:val="00B468C0"/>
    <w:rsid w:val="00B52222"/>
    <w:rsid w:val="00B531DA"/>
    <w:rsid w:val="00B54895"/>
    <w:rsid w:val="00B54FE7"/>
    <w:rsid w:val="00B57E8C"/>
    <w:rsid w:val="00B647C6"/>
    <w:rsid w:val="00B655F9"/>
    <w:rsid w:val="00B66901"/>
    <w:rsid w:val="00B66F60"/>
    <w:rsid w:val="00B71E6D"/>
    <w:rsid w:val="00B72070"/>
    <w:rsid w:val="00B72C42"/>
    <w:rsid w:val="00B779E1"/>
    <w:rsid w:val="00B81E3A"/>
    <w:rsid w:val="00B83ED2"/>
    <w:rsid w:val="00B85CFB"/>
    <w:rsid w:val="00B914E9"/>
    <w:rsid w:val="00B91EE1"/>
    <w:rsid w:val="00B94602"/>
    <w:rsid w:val="00B9746A"/>
    <w:rsid w:val="00BA0090"/>
    <w:rsid w:val="00BA1A67"/>
    <w:rsid w:val="00BA6A80"/>
    <w:rsid w:val="00BA7FF9"/>
    <w:rsid w:val="00BB1696"/>
    <w:rsid w:val="00BB4ABB"/>
    <w:rsid w:val="00BB5DD0"/>
    <w:rsid w:val="00BC4784"/>
    <w:rsid w:val="00BC62BA"/>
    <w:rsid w:val="00BE531B"/>
    <w:rsid w:val="00BE5B5F"/>
    <w:rsid w:val="00BE7993"/>
    <w:rsid w:val="00BF062C"/>
    <w:rsid w:val="00BF09BD"/>
    <w:rsid w:val="00C06F3E"/>
    <w:rsid w:val="00C11971"/>
    <w:rsid w:val="00C179DE"/>
    <w:rsid w:val="00C233E5"/>
    <w:rsid w:val="00C26F55"/>
    <w:rsid w:val="00C2723A"/>
    <w:rsid w:val="00C30C63"/>
    <w:rsid w:val="00C30FF3"/>
    <w:rsid w:val="00C344C3"/>
    <w:rsid w:val="00C34D5C"/>
    <w:rsid w:val="00C350ED"/>
    <w:rsid w:val="00C36B8B"/>
    <w:rsid w:val="00C415C1"/>
    <w:rsid w:val="00C4609D"/>
    <w:rsid w:val="00C47DBF"/>
    <w:rsid w:val="00C51EDC"/>
    <w:rsid w:val="00C52632"/>
    <w:rsid w:val="00C52CA8"/>
    <w:rsid w:val="00C552FF"/>
    <w:rsid w:val="00C558DA"/>
    <w:rsid w:val="00C55AF3"/>
    <w:rsid w:val="00C771A9"/>
    <w:rsid w:val="00C82943"/>
    <w:rsid w:val="00C84759"/>
    <w:rsid w:val="00C93096"/>
    <w:rsid w:val="00CA460F"/>
    <w:rsid w:val="00CA5CA9"/>
    <w:rsid w:val="00CA6C7F"/>
    <w:rsid w:val="00CB007D"/>
    <w:rsid w:val="00CB0BA8"/>
    <w:rsid w:val="00CB4287"/>
    <w:rsid w:val="00CB60CA"/>
    <w:rsid w:val="00CC0FC7"/>
    <w:rsid w:val="00CC10A6"/>
    <w:rsid w:val="00CC253A"/>
    <w:rsid w:val="00CD50B0"/>
    <w:rsid w:val="00CD5EB8"/>
    <w:rsid w:val="00CD7044"/>
    <w:rsid w:val="00CE08B9"/>
    <w:rsid w:val="00CE3515"/>
    <w:rsid w:val="00CE37AD"/>
    <w:rsid w:val="00CE524C"/>
    <w:rsid w:val="00CF141F"/>
    <w:rsid w:val="00CF4777"/>
    <w:rsid w:val="00CF65C8"/>
    <w:rsid w:val="00CF7640"/>
    <w:rsid w:val="00D013F5"/>
    <w:rsid w:val="00D04FC1"/>
    <w:rsid w:val="00D05E3F"/>
    <w:rsid w:val="00D067BB"/>
    <w:rsid w:val="00D1352A"/>
    <w:rsid w:val="00D1638E"/>
    <w:rsid w:val="00D169AF"/>
    <w:rsid w:val="00D200EF"/>
    <w:rsid w:val="00D25175"/>
    <w:rsid w:val="00D25249"/>
    <w:rsid w:val="00D26854"/>
    <w:rsid w:val="00D304B7"/>
    <w:rsid w:val="00D30FA3"/>
    <w:rsid w:val="00D44172"/>
    <w:rsid w:val="00D47BE3"/>
    <w:rsid w:val="00D54DBD"/>
    <w:rsid w:val="00D604AB"/>
    <w:rsid w:val="00D63B8C"/>
    <w:rsid w:val="00D739CC"/>
    <w:rsid w:val="00D74116"/>
    <w:rsid w:val="00D74D41"/>
    <w:rsid w:val="00D806F9"/>
    <w:rsid w:val="00D8093D"/>
    <w:rsid w:val="00D8108C"/>
    <w:rsid w:val="00D842AE"/>
    <w:rsid w:val="00D9211C"/>
    <w:rsid w:val="00D92DE0"/>
    <w:rsid w:val="00D92FEF"/>
    <w:rsid w:val="00D931F9"/>
    <w:rsid w:val="00D93A0F"/>
    <w:rsid w:val="00DA1BCA"/>
    <w:rsid w:val="00DA3663"/>
    <w:rsid w:val="00DC274A"/>
    <w:rsid w:val="00DC46FF"/>
    <w:rsid w:val="00DC5254"/>
    <w:rsid w:val="00DC569D"/>
    <w:rsid w:val="00DD0E20"/>
    <w:rsid w:val="00DD1A4F"/>
    <w:rsid w:val="00DD1BC0"/>
    <w:rsid w:val="00DD1F6A"/>
    <w:rsid w:val="00DD3107"/>
    <w:rsid w:val="00DD7C2C"/>
    <w:rsid w:val="00DE5BDA"/>
    <w:rsid w:val="00DF433C"/>
    <w:rsid w:val="00DF519F"/>
    <w:rsid w:val="00E0035A"/>
    <w:rsid w:val="00E01544"/>
    <w:rsid w:val="00E06254"/>
    <w:rsid w:val="00E06797"/>
    <w:rsid w:val="00E1265B"/>
    <w:rsid w:val="00E12E09"/>
    <w:rsid w:val="00E13B48"/>
    <w:rsid w:val="00E1404F"/>
    <w:rsid w:val="00E14837"/>
    <w:rsid w:val="00E21C83"/>
    <w:rsid w:val="00E24ADA"/>
    <w:rsid w:val="00E301E5"/>
    <w:rsid w:val="00E325AB"/>
    <w:rsid w:val="00E32F59"/>
    <w:rsid w:val="00E415D2"/>
    <w:rsid w:val="00E41908"/>
    <w:rsid w:val="00E42D12"/>
    <w:rsid w:val="00E43A3A"/>
    <w:rsid w:val="00E46D9A"/>
    <w:rsid w:val="00E565FF"/>
    <w:rsid w:val="00E65388"/>
    <w:rsid w:val="00E70D77"/>
    <w:rsid w:val="00E7741D"/>
    <w:rsid w:val="00E808CD"/>
    <w:rsid w:val="00E8348F"/>
    <w:rsid w:val="00E85B7D"/>
    <w:rsid w:val="00E9121B"/>
    <w:rsid w:val="00E9302E"/>
    <w:rsid w:val="00E976AB"/>
    <w:rsid w:val="00EA0AE2"/>
    <w:rsid w:val="00EA39E5"/>
    <w:rsid w:val="00EA57A3"/>
    <w:rsid w:val="00EA7F2C"/>
    <w:rsid w:val="00EC2813"/>
    <w:rsid w:val="00EC5A46"/>
    <w:rsid w:val="00EC63E2"/>
    <w:rsid w:val="00ED0225"/>
    <w:rsid w:val="00ED366A"/>
    <w:rsid w:val="00ED40B0"/>
    <w:rsid w:val="00ED6BB7"/>
    <w:rsid w:val="00EE06A3"/>
    <w:rsid w:val="00EF22B3"/>
    <w:rsid w:val="00F03B69"/>
    <w:rsid w:val="00F07A50"/>
    <w:rsid w:val="00F113DA"/>
    <w:rsid w:val="00F266FC"/>
    <w:rsid w:val="00F3037A"/>
    <w:rsid w:val="00F3465A"/>
    <w:rsid w:val="00F37DC8"/>
    <w:rsid w:val="00F439B3"/>
    <w:rsid w:val="00F650C3"/>
    <w:rsid w:val="00F65D85"/>
    <w:rsid w:val="00F6700B"/>
    <w:rsid w:val="00F7137B"/>
    <w:rsid w:val="00F8091E"/>
    <w:rsid w:val="00F8615C"/>
    <w:rsid w:val="00F9281A"/>
    <w:rsid w:val="00F969E5"/>
    <w:rsid w:val="00F96F7E"/>
    <w:rsid w:val="00FA35B3"/>
    <w:rsid w:val="00FA3C02"/>
    <w:rsid w:val="00FA4972"/>
    <w:rsid w:val="00FA6BB0"/>
    <w:rsid w:val="00FB2DBD"/>
    <w:rsid w:val="00FC39EE"/>
    <w:rsid w:val="00FD48DF"/>
    <w:rsid w:val="00FD5860"/>
    <w:rsid w:val="00FE352D"/>
    <w:rsid w:val="00FE40EB"/>
    <w:rsid w:val="00FE4D02"/>
    <w:rsid w:val="00FE6882"/>
    <w:rsid w:val="00FE7D62"/>
    <w:rsid w:val="00FF0DA0"/>
    <w:rsid w:val="00FF3819"/>
    <w:rsid w:val="00FF4BCC"/>
    <w:rsid w:val="00FF4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0"/>
    <o:shapelayout v:ext="edit">
      <o:idmap v:ext="edit" data="1"/>
    </o:shapelayout>
  </w:shapeDefaults>
  <w:decimalSymbol w:val="."/>
  <w:listSeparator w:val=","/>
  <w14:docId w14:val="64406B4B"/>
  <w15:docId w15:val="{88933E7C-0AB0-4F52-A3DE-78B5D534C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link w:val="Heading1Cha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0656E9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AC4C1D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B3331E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B3331E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B3331E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3855AA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before="60"/>
      <w:ind w:right="4536"/>
    </w:pPr>
  </w:style>
  <w:style w:type="paragraph" w:customStyle="1" w:styleId="BBTitle">
    <w:name w:val="BB_Title"/>
    <w:basedOn w:val="Normalpool"/>
    <w:link w:val="BBTitleChar"/>
    <w:rsid w:val="000656E9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uiPriority w:val="99"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0656E9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132713"/>
    <w:pPr>
      <w:numPr>
        <w:numId w:val="4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uiPriority w:val="39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uiPriority w:val="39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uiPriority w:val="39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paragraph" w:styleId="TOCHeading">
    <w:name w:val="TOC Heading"/>
    <w:basedOn w:val="Heading1"/>
    <w:next w:val="Normal"/>
    <w:uiPriority w:val="39"/>
    <w:unhideWhenUsed/>
    <w:qFormat/>
    <w:rsid w:val="00562DD3"/>
    <w:pPr>
      <w:keepLines/>
      <w:spacing w:after="0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numbering" w:customStyle="1" w:styleId="NoList1">
    <w:name w:val="No List1"/>
    <w:next w:val="NoList"/>
    <w:uiPriority w:val="99"/>
    <w:semiHidden/>
    <w:unhideWhenUsed/>
    <w:rsid w:val="00562DD3"/>
  </w:style>
  <w:style w:type="table" w:customStyle="1" w:styleId="Tabledocright1">
    <w:name w:val="Table_doc_right1"/>
    <w:basedOn w:val="TableNormal"/>
    <w:rsid w:val="00562DD3"/>
    <w:pPr>
      <w:spacing w:before="40" w:after="40"/>
    </w:pPr>
    <w:rPr>
      <w:rFonts w:eastAsia="SimSun"/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table" w:customStyle="1" w:styleId="Footertable1">
    <w:name w:val="Footer_table1"/>
    <w:basedOn w:val="TableNormal"/>
    <w:semiHidden/>
    <w:rsid w:val="00562DD3"/>
    <w:rPr>
      <w:rFonts w:ascii="Arial" w:eastAsia="SimSun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table" w:customStyle="1" w:styleId="TableGrid1">
    <w:name w:val="Table Grid1"/>
    <w:basedOn w:val="TableNormal"/>
    <w:next w:val="TableGrid"/>
    <w:uiPriority w:val="59"/>
    <w:rsid w:val="00562DD3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ATable1">
    <w:name w:val="AA_Table1"/>
    <w:basedOn w:val="TableNormal"/>
    <w:semiHidden/>
    <w:rsid w:val="00562DD3"/>
    <w:rPr>
      <w:rFonts w:eastAsia="SimSun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character" w:customStyle="1" w:styleId="BBTitleChar">
    <w:name w:val="BB_Title Char"/>
    <w:link w:val="BBTitle"/>
    <w:rsid w:val="00562DD3"/>
    <w:rPr>
      <w:b/>
      <w:sz w:val="28"/>
      <w:szCs w:val="28"/>
      <w:lang w:eastAsia="en-US"/>
    </w:rPr>
  </w:style>
  <w:style w:type="character" w:customStyle="1" w:styleId="ZZAnxtitleChar">
    <w:name w:val="ZZ_Anx_title Char"/>
    <w:link w:val="ZZAnxtitle"/>
    <w:rsid w:val="00562DD3"/>
    <w:rPr>
      <w:b/>
      <w:bCs/>
      <w:sz w:val="28"/>
      <w:szCs w:val="26"/>
      <w:lang w:eastAsia="en-US"/>
    </w:rPr>
  </w:style>
  <w:style w:type="character" w:customStyle="1" w:styleId="NormalnumberChar">
    <w:name w:val="Normal_number Char"/>
    <w:link w:val="Normalnumber"/>
    <w:locked/>
    <w:rsid w:val="00132713"/>
    <w:rPr>
      <w:lang w:eastAsia="en-US"/>
    </w:rPr>
  </w:style>
  <w:style w:type="character" w:customStyle="1" w:styleId="CH2Char">
    <w:name w:val="CH2 Char"/>
    <w:link w:val="CH2"/>
    <w:rsid w:val="00AC4C1D"/>
    <w:rPr>
      <w:b/>
      <w:sz w:val="24"/>
      <w:szCs w:val="24"/>
      <w:lang w:eastAsia="en-US"/>
    </w:rPr>
  </w:style>
  <w:style w:type="character" w:customStyle="1" w:styleId="Normal-poolChar">
    <w:name w:val="Normal-pool Char"/>
    <w:link w:val="Normal-pool"/>
    <w:rsid w:val="00562DD3"/>
    <w:rPr>
      <w:lang w:eastAsia="en-US"/>
    </w:rPr>
  </w:style>
  <w:style w:type="paragraph" w:styleId="NormalWeb">
    <w:name w:val="Normal (Web)"/>
    <w:basedOn w:val="Normal"/>
    <w:uiPriority w:val="99"/>
    <w:semiHidden/>
    <w:unhideWhenUsed/>
    <w:rsid w:val="00562DD3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562DD3"/>
    <w:rPr>
      <w:color w:val="954F72"/>
      <w:u w:val="single"/>
    </w:rPr>
  </w:style>
  <w:style w:type="character" w:customStyle="1" w:styleId="Heading1Char">
    <w:name w:val="Heading 1 Char"/>
    <w:basedOn w:val="DefaultParagraphFont"/>
    <w:link w:val="Heading1"/>
    <w:rsid w:val="00562DD3"/>
    <w:rPr>
      <w:b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rsid w:val="00562DD3"/>
    <w:rPr>
      <w:b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2DD3"/>
    <w:rPr>
      <w:sz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2DD3"/>
    <w:rPr>
      <w:b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3.emf"/><Relationship Id="rId26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header" Target="header8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header" Target="header7.xml"/><Relationship Id="rId28" Type="http://schemas.openxmlformats.org/officeDocument/2006/relationships/footer" Target="footer5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footer" Target="footer2.xml"/><Relationship Id="rId27" Type="http://schemas.openxmlformats.org/officeDocument/2006/relationships/header" Target="header9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1454BBBC1CDE42AB175907F3F7B4C8" ma:contentTypeVersion="11" ma:contentTypeDescription="Create a new document." ma:contentTypeScope="" ma:versionID="0992cbdc4f5bbcb8e361be6395f03726">
  <xsd:schema xmlns:xsd="http://www.w3.org/2001/XMLSchema" xmlns:xs="http://www.w3.org/2001/XMLSchema" xmlns:p="http://schemas.microsoft.com/office/2006/metadata/properties" xmlns:ns3="d18b2cca-499f-4557-a4e9-65dcf311f482" xmlns:ns4="f500b1e4-de7e-4e77-a903-0925b28ae6a4" targetNamespace="http://schemas.microsoft.com/office/2006/metadata/properties" ma:root="true" ma:fieldsID="d6551fd0daded6097ec55b1000056b70" ns3:_="" ns4:_="">
    <xsd:import namespace="d18b2cca-499f-4557-a4e9-65dcf311f482"/>
    <xsd:import namespace="f500b1e4-de7e-4e77-a903-0925b28ae6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8b2cca-499f-4557-a4e9-65dcf311f4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00b1e4-de7e-4e77-a903-0925b28ae6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7D357-2801-40C0-9EA7-C8F8F75526E0}">
  <ds:schemaRefs>
    <ds:schemaRef ds:uri="http://purl.org/dc/elements/1.1/"/>
    <ds:schemaRef ds:uri="http://schemas.microsoft.com/office/2006/metadata/properties"/>
    <ds:schemaRef ds:uri="d18b2cca-499f-4557-a4e9-65dcf311f48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f500b1e4-de7e-4e77-a903-0925b28ae6a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765F688-0C79-4F3B-BDF3-09B358CF72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B2C883-0A00-4055-8BC1-6BBFA0B844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8b2cca-499f-4557-a4e9-65dcf311f482"/>
    <ds:schemaRef ds:uri="f500b1e4-de7e-4e77-a903-0925b28ae6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7BE9AA-F558-48C9-85C4-2C6D9906A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Veronica Gathu</cp:lastModifiedBy>
  <cp:revision>6</cp:revision>
  <cp:lastPrinted>2019-10-28T14:55:00Z</cp:lastPrinted>
  <dcterms:created xsi:type="dcterms:W3CDTF">2019-11-06T07:21:00Z</dcterms:created>
  <dcterms:modified xsi:type="dcterms:W3CDTF">2019-11-11T07:16:00Z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0x0101009B1454BBBC1CDE42AB175907F3F7B4C8</vt:lpwstr>
  </property>
</Properties>
</file>