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614"/>
        <w:gridCol w:w="2073"/>
        <w:gridCol w:w="2734"/>
        <w:gridCol w:w="1660"/>
        <w:gridCol w:w="1416"/>
      </w:tblGrid>
      <w:tr w:rsidR="00DB6B73" w:rsidRPr="004962DB" w14:paraId="34CA1EC1" w14:textId="77777777" w:rsidTr="006C0E6F">
        <w:trPr>
          <w:trHeight w:val="57"/>
          <w:jc w:val="right"/>
        </w:trPr>
        <w:tc>
          <w:tcPr>
            <w:tcW w:w="1614" w:type="dxa"/>
          </w:tcPr>
          <w:p w14:paraId="08DB2119" w14:textId="77777777" w:rsidR="00DB6B73" w:rsidRPr="004962DB" w:rsidRDefault="00DB6B73" w:rsidP="006C0E6F">
            <w:pPr>
              <w:pStyle w:val="Normal-pool"/>
              <w:rPr>
                <w:rFonts w:ascii="Arial" w:hAnsi="Arial" w:cs="Arial"/>
                <w:b/>
                <w:sz w:val="27"/>
                <w:szCs w:val="27"/>
              </w:rPr>
            </w:pPr>
            <w:r w:rsidRPr="004962DB">
              <w:rPr>
                <w:rFonts w:ascii="Arial" w:hAnsi="Arial" w:cs="Arial"/>
                <w:b/>
                <w:sz w:val="27"/>
                <w:szCs w:val="27"/>
              </w:rPr>
              <w:t xml:space="preserve">UNITED </w:t>
            </w:r>
            <w:r w:rsidRPr="004962DB">
              <w:rPr>
                <w:rFonts w:ascii="Arial" w:hAnsi="Arial" w:cs="Arial"/>
                <w:b/>
                <w:sz w:val="27"/>
                <w:szCs w:val="27"/>
              </w:rPr>
              <w:br/>
              <w:t>NATIONS</w:t>
            </w:r>
          </w:p>
        </w:tc>
        <w:tc>
          <w:tcPr>
            <w:tcW w:w="6467" w:type="dxa"/>
            <w:gridSpan w:val="3"/>
          </w:tcPr>
          <w:p w14:paraId="5991637E" w14:textId="77777777" w:rsidR="00DB6B73" w:rsidRPr="004962DB" w:rsidRDefault="00DB6B73" w:rsidP="006C0E6F">
            <w:pPr>
              <w:pStyle w:val="Normal-pool"/>
              <w:spacing w:before="20"/>
            </w:pPr>
            <w:r w:rsidRPr="004962DB">
              <w:rPr>
                <w:noProof/>
              </w:rPr>
              <w:drawing>
                <wp:inline distT="0" distB="0" distL="0" distR="0" wp14:anchorId="1C92C7E3" wp14:editId="460B0C15">
                  <wp:extent cx="1267200" cy="549573"/>
                  <wp:effectExtent l="0" t="0" r="0"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39A2C771" w14:textId="77777777" w:rsidR="00DB6B73" w:rsidRPr="004962DB" w:rsidRDefault="00DB6B73" w:rsidP="006C0E6F">
            <w:pPr>
              <w:pStyle w:val="Normal-pool"/>
              <w:jc w:val="right"/>
              <w:rPr>
                <w:rFonts w:ascii="Arial" w:hAnsi="Arial" w:cs="Arial"/>
                <w:b/>
                <w:sz w:val="64"/>
                <w:szCs w:val="64"/>
              </w:rPr>
            </w:pPr>
            <w:r w:rsidRPr="004962DB">
              <w:rPr>
                <w:rFonts w:ascii="Arial" w:hAnsi="Arial" w:cs="Arial"/>
                <w:b/>
                <w:sz w:val="64"/>
                <w:szCs w:val="64"/>
              </w:rPr>
              <w:t>MC</w:t>
            </w:r>
          </w:p>
        </w:tc>
      </w:tr>
      <w:tr w:rsidR="00DB6B73" w:rsidRPr="004962DB" w14:paraId="16E94458" w14:textId="77777777" w:rsidTr="006C0E6F">
        <w:trPr>
          <w:trHeight w:val="57"/>
          <w:jc w:val="right"/>
        </w:trPr>
        <w:tc>
          <w:tcPr>
            <w:tcW w:w="1614" w:type="dxa"/>
            <w:tcBorders>
              <w:bottom w:val="single" w:sz="4" w:space="0" w:color="auto"/>
            </w:tcBorders>
          </w:tcPr>
          <w:p w14:paraId="490AB0BF" w14:textId="77777777" w:rsidR="00DB6B73" w:rsidRPr="004962DB" w:rsidRDefault="00DB6B73" w:rsidP="006C0E6F">
            <w:pPr>
              <w:pStyle w:val="Normal-pool"/>
            </w:pPr>
          </w:p>
        </w:tc>
        <w:tc>
          <w:tcPr>
            <w:tcW w:w="4807" w:type="dxa"/>
            <w:gridSpan w:val="2"/>
            <w:tcBorders>
              <w:bottom w:val="single" w:sz="4" w:space="0" w:color="auto"/>
            </w:tcBorders>
          </w:tcPr>
          <w:p w14:paraId="3A2B7909" w14:textId="77777777" w:rsidR="00DB6B73" w:rsidRPr="004962DB" w:rsidRDefault="00DB6B73" w:rsidP="006C0E6F">
            <w:pPr>
              <w:pStyle w:val="Normal-pool"/>
            </w:pPr>
          </w:p>
        </w:tc>
        <w:tc>
          <w:tcPr>
            <w:tcW w:w="3076" w:type="dxa"/>
            <w:gridSpan w:val="2"/>
            <w:tcBorders>
              <w:bottom w:val="single" w:sz="4" w:space="0" w:color="auto"/>
            </w:tcBorders>
          </w:tcPr>
          <w:p w14:paraId="30CF2C75" w14:textId="5881E0E3" w:rsidR="00DB6B73" w:rsidRPr="004962DB" w:rsidRDefault="00DB6B73" w:rsidP="006C0E6F">
            <w:pPr>
              <w:pStyle w:val="Normal-pool"/>
            </w:pPr>
            <w:r w:rsidRPr="004962DB">
              <w:rPr>
                <w:b/>
                <w:bCs/>
                <w:sz w:val="28"/>
                <w:szCs w:val="28"/>
              </w:rPr>
              <w:t>UNEP</w:t>
            </w:r>
            <w:r w:rsidRPr="004962DB">
              <w:t>/MC/COP.</w:t>
            </w:r>
            <w:r w:rsidRPr="004962DB">
              <w:rPr>
                <w:rFonts w:eastAsia="SimSun"/>
              </w:rPr>
              <w:t>4/INF/20</w:t>
            </w:r>
          </w:p>
        </w:tc>
      </w:tr>
      <w:tr w:rsidR="00DB6B73" w:rsidRPr="004962DB" w14:paraId="49E43BF0" w14:textId="77777777" w:rsidTr="006C0E6F">
        <w:trPr>
          <w:trHeight w:val="1985"/>
          <w:jc w:val="right"/>
        </w:trPr>
        <w:tc>
          <w:tcPr>
            <w:tcW w:w="3687" w:type="dxa"/>
            <w:gridSpan w:val="2"/>
            <w:tcBorders>
              <w:top w:val="single" w:sz="4" w:space="0" w:color="auto"/>
              <w:bottom w:val="single" w:sz="24" w:space="0" w:color="auto"/>
            </w:tcBorders>
          </w:tcPr>
          <w:p w14:paraId="0DEFB485" w14:textId="77777777" w:rsidR="00DB6B73" w:rsidRPr="004962DB" w:rsidRDefault="00DB6B73" w:rsidP="006C0E6F">
            <w:pPr>
              <w:pStyle w:val="Normal-pool"/>
              <w:spacing w:before="120" w:after="240"/>
              <w:ind w:left="-85"/>
            </w:pPr>
            <w:r w:rsidRPr="004962DB">
              <w:rPr>
                <w:noProof/>
              </w:rPr>
              <w:drawing>
                <wp:inline distT="0" distB="0" distL="0" distR="0" wp14:anchorId="30DB5972" wp14:editId="6A033FC1">
                  <wp:extent cx="2204961" cy="1029600"/>
                  <wp:effectExtent l="0" t="0" r="508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24" w:space="0" w:color="auto"/>
            </w:tcBorders>
          </w:tcPr>
          <w:p w14:paraId="3FED0FE8" w14:textId="77777777" w:rsidR="00DB6B73" w:rsidRPr="004962DB" w:rsidRDefault="00DB6B73" w:rsidP="006C0E6F">
            <w:pPr>
              <w:pStyle w:val="Normal-pool"/>
            </w:pPr>
          </w:p>
        </w:tc>
        <w:tc>
          <w:tcPr>
            <w:tcW w:w="3076" w:type="dxa"/>
            <w:gridSpan w:val="2"/>
            <w:tcBorders>
              <w:top w:val="single" w:sz="4" w:space="0" w:color="auto"/>
              <w:bottom w:val="single" w:sz="24" w:space="0" w:color="auto"/>
            </w:tcBorders>
          </w:tcPr>
          <w:p w14:paraId="04881CF7" w14:textId="3A34EF18" w:rsidR="00DB6B73" w:rsidRPr="004962DB" w:rsidRDefault="00DB6B73" w:rsidP="006C0E6F">
            <w:pPr>
              <w:pStyle w:val="Normal-pool"/>
              <w:spacing w:before="120"/>
            </w:pPr>
            <w:r w:rsidRPr="004962DB">
              <w:t xml:space="preserve">Distr.: General </w:t>
            </w:r>
            <w:r w:rsidRPr="004962DB">
              <w:br/>
              <w:t>24 August 2021</w:t>
            </w:r>
          </w:p>
          <w:p w14:paraId="74CBCF7F" w14:textId="1A72C541" w:rsidR="00DB6B73" w:rsidRPr="004962DB" w:rsidRDefault="00DB6B73" w:rsidP="006C0E6F">
            <w:pPr>
              <w:pStyle w:val="Normal-pool"/>
              <w:spacing w:before="120"/>
              <w:rPr>
                <w:sz w:val="22"/>
              </w:rPr>
            </w:pPr>
            <w:r w:rsidRPr="004962DB">
              <w:t>English only</w:t>
            </w:r>
          </w:p>
        </w:tc>
      </w:tr>
    </w:tbl>
    <w:p w14:paraId="53DC4951" w14:textId="77777777" w:rsidR="00DB6B73" w:rsidRPr="004962DB" w:rsidRDefault="00DB6B73" w:rsidP="00DB6B73">
      <w:pPr>
        <w:pStyle w:val="AATitle"/>
      </w:pPr>
      <w:r w:rsidRPr="004962DB">
        <w:t xml:space="preserve">Conference of the Parties to the </w:t>
      </w:r>
      <w:r w:rsidRPr="004962DB">
        <w:br/>
        <w:t>Minamata Convention on Mercury</w:t>
      </w:r>
    </w:p>
    <w:p w14:paraId="44F58E2E" w14:textId="77777777" w:rsidR="00DB6B73" w:rsidRPr="004962DB" w:rsidRDefault="00DB6B73" w:rsidP="00581922">
      <w:pPr>
        <w:pStyle w:val="AATitle"/>
        <w:rPr>
          <w:noProof/>
        </w:rPr>
      </w:pPr>
      <w:r w:rsidRPr="004962DB">
        <w:t>Fourth</w:t>
      </w:r>
      <w:r w:rsidRPr="004962DB">
        <w:rPr>
          <w:noProof/>
        </w:rPr>
        <w:t xml:space="preserve"> meeting</w:t>
      </w:r>
    </w:p>
    <w:p w14:paraId="67B82F12" w14:textId="22AAB17A" w:rsidR="00787688" w:rsidRPr="004962DB" w:rsidRDefault="00FC56B7" w:rsidP="00EE2455">
      <w:pPr>
        <w:pStyle w:val="AATitle"/>
        <w:rPr>
          <w:b w:val="0"/>
          <w:bCs/>
        </w:rPr>
      </w:pPr>
      <w:r w:rsidRPr="004962DB">
        <w:rPr>
          <w:b w:val="0"/>
          <w:bCs/>
        </w:rPr>
        <w:t>Online</w:t>
      </w:r>
      <w:r w:rsidR="00E976AB" w:rsidRPr="004962DB">
        <w:rPr>
          <w:b w:val="0"/>
          <w:bCs/>
        </w:rPr>
        <w:t xml:space="preserve">, </w:t>
      </w:r>
      <w:r w:rsidR="004309B9" w:rsidRPr="004962DB">
        <w:rPr>
          <w:b w:val="0"/>
          <w:bCs/>
        </w:rPr>
        <w:t>1</w:t>
      </w:r>
      <w:r w:rsidR="00325D38" w:rsidRPr="004962DB">
        <w:rPr>
          <w:b w:val="0"/>
          <w:bCs/>
        </w:rPr>
        <w:t>–</w:t>
      </w:r>
      <w:r w:rsidR="004309B9" w:rsidRPr="004962DB">
        <w:rPr>
          <w:b w:val="0"/>
          <w:bCs/>
        </w:rPr>
        <w:t>5</w:t>
      </w:r>
      <w:r w:rsidR="00325D38" w:rsidRPr="004962DB">
        <w:rPr>
          <w:b w:val="0"/>
          <w:bCs/>
        </w:rPr>
        <w:t xml:space="preserve"> </w:t>
      </w:r>
      <w:r w:rsidR="00434321" w:rsidRPr="004962DB">
        <w:rPr>
          <w:b w:val="0"/>
          <w:bCs/>
        </w:rPr>
        <w:t>November 20</w:t>
      </w:r>
      <w:r w:rsidR="004309B9" w:rsidRPr="004962DB">
        <w:rPr>
          <w:b w:val="0"/>
          <w:bCs/>
        </w:rPr>
        <w:t>21</w:t>
      </w:r>
      <w:r w:rsidR="00AC3945" w:rsidRPr="004962DB">
        <w:rPr>
          <w:b w:val="0"/>
          <w:bCs/>
        </w:rPr>
        <w:footnoteReference w:customMarkFollows="1" w:id="1"/>
        <w:t>*</w:t>
      </w:r>
    </w:p>
    <w:p w14:paraId="75633A66" w14:textId="35CB2F49" w:rsidR="0049194C" w:rsidRPr="004962DB" w:rsidRDefault="0049194C" w:rsidP="00EE2455">
      <w:pPr>
        <w:pStyle w:val="AATitle"/>
        <w:rPr>
          <w:b w:val="0"/>
          <w:bCs/>
        </w:rPr>
      </w:pPr>
      <w:r w:rsidRPr="004962DB">
        <w:rPr>
          <w:b w:val="0"/>
          <w:bCs/>
        </w:rPr>
        <w:t xml:space="preserve">Item </w:t>
      </w:r>
      <w:r w:rsidR="001314DE" w:rsidRPr="004962DB">
        <w:rPr>
          <w:b w:val="0"/>
          <w:bCs/>
        </w:rPr>
        <w:t>5</w:t>
      </w:r>
      <w:r w:rsidR="00914632" w:rsidRPr="004962DB">
        <w:rPr>
          <w:b w:val="0"/>
          <w:bCs/>
        </w:rPr>
        <w:t xml:space="preserve"> </w:t>
      </w:r>
      <w:r w:rsidRPr="004962DB">
        <w:rPr>
          <w:b w:val="0"/>
          <w:bCs/>
        </w:rPr>
        <w:t>of the provisional agenda</w:t>
      </w:r>
      <w:r w:rsidR="00AC3945" w:rsidRPr="004962DB">
        <w:rPr>
          <w:b w:val="0"/>
          <w:bCs/>
        </w:rPr>
        <w:footnoteReference w:customMarkFollows="1" w:id="2"/>
        <w:t>**</w:t>
      </w:r>
    </w:p>
    <w:p w14:paraId="5CB90255" w14:textId="7DDC4668" w:rsidR="00B87C39" w:rsidRPr="004962DB" w:rsidRDefault="00821BD1" w:rsidP="00EE2455">
      <w:pPr>
        <w:pStyle w:val="AATitle2"/>
      </w:pPr>
      <w:r w:rsidRPr="004962DB">
        <w:t>International cooperation and coordination</w:t>
      </w:r>
      <w:bookmarkStart w:id="0" w:name="_GoBack"/>
      <w:bookmarkEnd w:id="0"/>
    </w:p>
    <w:p w14:paraId="51FBDE22" w14:textId="508DF96A" w:rsidR="0000166E" w:rsidRPr="004962DB" w:rsidRDefault="0000166E" w:rsidP="00DB6B73">
      <w:pPr>
        <w:pStyle w:val="BBTitle"/>
      </w:pPr>
      <w:r w:rsidRPr="004962DB">
        <w:t>Update on</w:t>
      </w:r>
      <w:r w:rsidR="00361BD4" w:rsidRPr="004962DB">
        <w:t xml:space="preserve"> the</w:t>
      </w:r>
      <w:r w:rsidRPr="004962DB">
        <w:t xml:space="preserve"> </w:t>
      </w:r>
      <w:r w:rsidR="00361BD4" w:rsidRPr="004962DB">
        <w:t xml:space="preserve">Strategic Approach to International Chemicals Management </w:t>
      </w:r>
      <w:r w:rsidRPr="004962DB">
        <w:t>and the intersessional process considering the Strategic Approach and the sound management of chemicals and waste beyond 2020</w:t>
      </w:r>
    </w:p>
    <w:p w14:paraId="7EFEB7D0" w14:textId="77777777" w:rsidR="00897048" w:rsidRPr="004962DB" w:rsidRDefault="0049194C" w:rsidP="00DB6B73">
      <w:pPr>
        <w:pStyle w:val="CH2"/>
      </w:pPr>
      <w:r w:rsidRPr="004962DB">
        <w:tab/>
      </w:r>
      <w:r w:rsidRPr="004962DB">
        <w:tab/>
      </w:r>
      <w:r w:rsidR="00897048" w:rsidRPr="004962DB">
        <w:t>Note by the secretariat</w:t>
      </w:r>
    </w:p>
    <w:p w14:paraId="0CDEB29B" w14:textId="1A963836" w:rsidR="00897048" w:rsidRPr="004962DB" w:rsidRDefault="00897048" w:rsidP="00DB6B73">
      <w:pPr>
        <w:pStyle w:val="NormalNonumber"/>
      </w:pPr>
      <w:r w:rsidRPr="004962DB">
        <w:t>The annex to the present note sets out an update on the Strategic Approach to International Chemicals Management</w:t>
      </w:r>
      <w:r w:rsidR="00314CA8" w:rsidRPr="004962DB">
        <w:t xml:space="preserve"> and the intersessional process considering the Strategic Approach and the sound management of chemicals and waste beyond 2020,</w:t>
      </w:r>
      <w:r w:rsidRPr="004962DB">
        <w:t xml:space="preserve"> submitted by the</w:t>
      </w:r>
      <w:r w:rsidRPr="004962DB" w:rsidDel="004D19D0">
        <w:t xml:space="preserve"> </w:t>
      </w:r>
      <w:r w:rsidRPr="004962DB">
        <w:t>United Nations Environment Programme, which serves as the secretariat for the Strategic Approach. The update is presented as received, without formal editing.</w:t>
      </w:r>
    </w:p>
    <w:p w14:paraId="1CFF1826" w14:textId="5676AA84" w:rsidR="00E05519" w:rsidRPr="004962DB" w:rsidRDefault="00E05519" w:rsidP="00DB6B73">
      <w:pPr>
        <w:pStyle w:val="Normal-pool"/>
      </w:pPr>
      <w:r w:rsidRPr="004962DB">
        <w:br w:type="page"/>
      </w:r>
    </w:p>
    <w:p w14:paraId="7F868C93" w14:textId="77777777" w:rsidR="00E05519" w:rsidRPr="004962DB" w:rsidRDefault="00E05519" w:rsidP="00464971">
      <w:pPr>
        <w:pStyle w:val="Normalnumber"/>
        <w:numPr>
          <w:ilvl w:val="0"/>
          <w:numId w:val="0"/>
        </w:numPr>
        <w:tabs>
          <w:tab w:val="left" w:pos="1247"/>
          <w:tab w:val="left" w:pos="1871"/>
          <w:tab w:val="left" w:pos="2495"/>
          <w:tab w:val="left" w:pos="3119"/>
        </w:tabs>
        <w:jc w:val="both"/>
        <w:rPr>
          <w:bCs/>
          <w:sz w:val="28"/>
          <w:szCs w:val="22"/>
        </w:rPr>
      </w:pPr>
      <w:r w:rsidRPr="004962DB">
        <w:rPr>
          <w:b/>
          <w:bCs/>
          <w:sz w:val="28"/>
          <w:szCs w:val="22"/>
        </w:rPr>
        <w:lastRenderedPageBreak/>
        <w:t>Annex</w:t>
      </w:r>
    </w:p>
    <w:p w14:paraId="67CBE88C" w14:textId="77777777" w:rsidR="00E05519" w:rsidRPr="004962DB" w:rsidRDefault="00E05519" w:rsidP="00E05519">
      <w:pPr>
        <w:pStyle w:val="Subtitle"/>
        <w:keepNext w:val="0"/>
        <w:spacing w:before="240" w:after="120"/>
      </w:pPr>
      <w:r w:rsidRPr="004962DB">
        <w:rPr>
          <w:sz w:val="28"/>
          <w:szCs w:val="28"/>
        </w:rPr>
        <w:t>Update on SAICM and the intersessional process considering the Strategic Approach and the sound management of chemicals and waste beyond 2020</w:t>
      </w:r>
    </w:p>
    <w:p w14:paraId="14A53A86" w14:textId="77777777" w:rsidR="00E05519" w:rsidRPr="004962DB" w:rsidRDefault="00E05519" w:rsidP="00E05519">
      <w:pPr>
        <w:keepNext/>
        <w:keepLines/>
        <w:numPr>
          <w:ilvl w:val="0"/>
          <w:numId w:val="119"/>
        </w:numPr>
        <w:tabs>
          <w:tab w:val="clear" w:pos="1247"/>
          <w:tab w:val="clear" w:pos="1814"/>
          <w:tab w:val="clear" w:pos="2381"/>
          <w:tab w:val="clear" w:pos="2948"/>
          <w:tab w:val="clear" w:pos="3515"/>
          <w:tab w:val="right" w:pos="1276"/>
          <w:tab w:val="left" w:pos="4082"/>
        </w:tabs>
        <w:suppressAutoHyphens/>
        <w:spacing w:before="240" w:after="120"/>
        <w:ind w:left="1247" w:right="284" w:hanging="396"/>
        <w:jc w:val="both"/>
        <w:rPr>
          <w:rFonts w:eastAsia="Calibri"/>
          <w:b/>
          <w:sz w:val="28"/>
          <w:szCs w:val="28"/>
          <w:lang w:eastAsia="ja-JP"/>
        </w:rPr>
      </w:pPr>
      <w:r w:rsidRPr="004962DB">
        <w:rPr>
          <w:rFonts w:eastAsia="Calibri"/>
          <w:b/>
          <w:sz w:val="28"/>
          <w:szCs w:val="28"/>
          <w:lang w:eastAsia="ja-JP"/>
        </w:rPr>
        <w:t>Introduction</w:t>
      </w:r>
    </w:p>
    <w:p w14:paraId="21C2DD3B"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rPr>
          <w:rFonts w:asciiTheme="majorBidi" w:hAnsiTheme="majorBidi" w:cstheme="majorBidi"/>
        </w:rPr>
      </w:pPr>
      <w:r w:rsidRPr="004962DB">
        <w:rPr>
          <w:rFonts w:asciiTheme="majorBidi" w:hAnsiTheme="majorBidi" w:cstheme="majorBidi"/>
        </w:rPr>
        <w:t xml:space="preserve">This report presents an update on SAICM Secretariat activities since November 2019 and the intersessional process </w:t>
      </w:r>
      <w:r w:rsidRPr="004962DB">
        <w:t>considering</w:t>
      </w:r>
      <w:r w:rsidRPr="004962DB">
        <w:rPr>
          <w:rFonts w:asciiTheme="majorBidi" w:hAnsiTheme="majorBidi" w:cstheme="majorBidi"/>
        </w:rPr>
        <w:t xml:space="preserve"> the Strategic Approach and the sound management of chemicals and waste beyond 2020. The fourth meeting of the intersessional process considering the Strategic Approach and the sound management of chemicals and waste beyond 2020 (IP4) scheduled for March 2020, and the fifth session of the International Conference on Chemicals Management (ICCM5) scheduled for October 2020 have been postponed due the ongoing COVID-19 pandemic.</w:t>
      </w:r>
    </w:p>
    <w:p w14:paraId="4BADDCE6" w14:textId="77777777" w:rsidR="00E05519" w:rsidRPr="004962DB" w:rsidRDefault="00E05519" w:rsidP="00E05519">
      <w:pPr>
        <w:keepNext/>
        <w:keepLines/>
        <w:numPr>
          <w:ilvl w:val="0"/>
          <w:numId w:val="119"/>
        </w:numPr>
        <w:tabs>
          <w:tab w:val="clear" w:pos="1247"/>
          <w:tab w:val="clear" w:pos="1814"/>
          <w:tab w:val="clear" w:pos="2381"/>
          <w:tab w:val="clear" w:pos="2948"/>
          <w:tab w:val="clear" w:pos="3515"/>
          <w:tab w:val="right" w:pos="1276"/>
          <w:tab w:val="left" w:pos="4082"/>
        </w:tabs>
        <w:suppressAutoHyphens/>
        <w:spacing w:before="240" w:after="120"/>
        <w:ind w:left="1247" w:right="284" w:hanging="396"/>
        <w:jc w:val="both"/>
        <w:rPr>
          <w:rFonts w:eastAsia="Calibri"/>
          <w:b/>
          <w:sz w:val="28"/>
          <w:szCs w:val="28"/>
          <w:lang w:eastAsia="ja-JP"/>
        </w:rPr>
      </w:pPr>
      <w:r w:rsidRPr="004962DB">
        <w:rPr>
          <w:rFonts w:eastAsia="Calibri"/>
          <w:b/>
          <w:sz w:val="28"/>
          <w:szCs w:val="28"/>
          <w:lang w:eastAsia="ja-JP"/>
        </w:rPr>
        <w:t xml:space="preserve">SAICM Secretariat activities since November 2019 </w:t>
      </w:r>
    </w:p>
    <w:p w14:paraId="680053CC" w14:textId="2AC5BD01"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rPr>
          <w:rFonts w:asciiTheme="majorBidi" w:hAnsiTheme="majorBidi" w:cstheme="majorBidi"/>
        </w:rPr>
      </w:pPr>
      <w:r w:rsidRPr="004962DB">
        <w:rPr>
          <w:rFonts w:asciiTheme="majorBidi" w:hAnsiTheme="majorBidi" w:cstheme="majorBidi"/>
        </w:rPr>
        <w:t>The third meeting of the intersessional process considering the Strategic Approach and the sound management of chemicals and waste beyond 2020 (IP3) was held from 1 to 4 October 2019 at the United</w:t>
      </w:r>
      <w:r w:rsidR="00991BBF" w:rsidRPr="004962DB">
        <w:rPr>
          <w:rFonts w:asciiTheme="majorBidi" w:hAnsiTheme="majorBidi" w:cstheme="majorBidi"/>
        </w:rPr>
        <w:t> </w:t>
      </w:r>
      <w:r w:rsidRPr="004962DB">
        <w:rPr>
          <w:rFonts w:asciiTheme="majorBidi" w:hAnsiTheme="majorBidi" w:cstheme="majorBidi"/>
        </w:rPr>
        <w:t xml:space="preserve">Nations Conference Centre in Bangkok, Thailand. Regional meetings and technical briefings were held on 30 September 2019. These meetings supported the stakeholders in their efforts to elaborate the future arrangements of the Strategic Approach and the sound management of chemicals and waste beyond 2020 for consideration at the next session of the International Conference on Chemicals Management (ICCM5). </w:t>
      </w:r>
    </w:p>
    <w:p w14:paraId="6F9B96B1"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rPr>
          <w:rFonts w:asciiTheme="majorBidi" w:hAnsiTheme="majorBidi" w:cstheme="majorBidi"/>
        </w:rPr>
      </w:pPr>
      <w:r w:rsidRPr="004962DB">
        <w:rPr>
          <w:rFonts w:asciiTheme="majorBidi" w:hAnsiTheme="majorBidi" w:cstheme="majorBidi"/>
        </w:rPr>
        <w:t xml:space="preserve">The report of this meeting is available </w:t>
      </w:r>
      <w:hyperlink r:id="rId13" w:history="1">
        <w:r w:rsidRPr="004962DB">
          <w:rPr>
            <w:color w:val="0000FF"/>
            <w:u w:val="single"/>
          </w:rPr>
          <w:t>here</w:t>
        </w:r>
      </w:hyperlink>
      <w:r w:rsidRPr="004962DB">
        <w:rPr>
          <w:rFonts w:asciiTheme="majorBidi" w:hAnsiTheme="majorBidi" w:cstheme="majorBidi"/>
        </w:rPr>
        <w:t>.</w:t>
      </w:r>
    </w:p>
    <w:p w14:paraId="3EF0FF7C" w14:textId="77777777" w:rsidR="00E05519" w:rsidRPr="004962DB" w:rsidRDefault="00E05519" w:rsidP="00E05519">
      <w:pPr>
        <w:keepNext/>
        <w:keepLines/>
        <w:numPr>
          <w:ilvl w:val="0"/>
          <w:numId w:val="119"/>
        </w:numPr>
        <w:tabs>
          <w:tab w:val="clear" w:pos="1247"/>
          <w:tab w:val="clear" w:pos="1814"/>
          <w:tab w:val="clear" w:pos="2381"/>
          <w:tab w:val="clear" w:pos="2948"/>
          <w:tab w:val="clear" w:pos="3515"/>
          <w:tab w:val="right" w:pos="1276"/>
          <w:tab w:val="left" w:pos="4082"/>
        </w:tabs>
        <w:suppressAutoHyphens/>
        <w:spacing w:before="240" w:after="120"/>
        <w:ind w:left="1247" w:right="284" w:hanging="396"/>
        <w:jc w:val="both"/>
        <w:rPr>
          <w:rFonts w:eastAsia="Calibri"/>
          <w:b/>
          <w:sz w:val="28"/>
          <w:szCs w:val="28"/>
          <w:lang w:eastAsia="ja-JP"/>
        </w:rPr>
      </w:pPr>
      <w:r w:rsidRPr="004962DB">
        <w:rPr>
          <w:rFonts w:eastAsia="Calibri"/>
          <w:b/>
          <w:sz w:val="28"/>
          <w:szCs w:val="28"/>
          <w:lang w:eastAsia="ja-JP"/>
        </w:rPr>
        <w:t xml:space="preserve">Postponement of IP4 and ICCM5 </w:t>
      </w:r>
    </w:p>
    <w:p w14:paraId="3E860333"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 xml:space="preserve">At the third meeting of the Open-ended Working Group (OEWG-3) held from 2 to 4 April 2019 in Montevideo, Uruguay, the Government of Romania announced their offer to host of the Fourth meeting of the intersessional process considering the Strategic Approach and sound management of chemicals and waste beyond 2020 (IP4) in March 2020 in Bucharest, Romania. The fifth International Conference on Chemicals Management (ICCM5), was scheduled to take place from 5 to 9 October 2020 in Bonn, Germany. </w:t>
      </w:r>
    </w:p>
    <w:p w14:paraId="36359C7C"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 xml:space="preserve">Due to the COVID-19 pandemic and the uncertainties regarding the medium- and long-term development of the pandemic, these meetings were rescheduled to March 2021 and July 2021, respectively. </w:t>
      </w:r>
    </w:p>
    <w:p w14:paraId="41C11C89"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rPr>
          <w:b/>
          <w:bCs/>
        </w:rPr>
      </w:pPr>
      <w:r w:rsidRPr="004962DB">
        <w:t xml:space="preserve">Following this postponement, and with the continuing situation of the COVID-19 pandemic, the ICCM5 Bureau agreed to further postpone the face-to-face fourth meeting of the Intersessional Process (IP4) and the fifth session of the International Conference on Chemicals Management (ICCM5). Notification on this decision was circulated to SAICM stakeholders on 1 February 2021 and is available </w:t>
      </w:r>
      <w:hyperlink r:id="rId14" w:history="1">
        <w:r w:rsidRPr="004962DB">
          <w:rPr>
            <w:color w:val="0000FF"/>
            <w:u w:val="single"/>
          </w:rPr>
          <w:t>here</w:t>
        </w:r>
      </w:hyperlink>
      <w:r w:rsidRPr="004962DB">
        <w:t>.</w:t>
      </w:r>
    </w:p>
    <w:p w14:paraId="2870854B" w14:textId="77777777" w:rsidR="00E05519" w:rsidRPr="004962DB" w:rsidRDefault="00E05519" w:rsidP="00E05519">
      <w:pPr>
        <w:keepNext/>
        <w:keepLines/>
        <w:numPr>
          <w:ilvl w:val="0"/>
          <w:numId w:val="119"/>
        </w:numPr>
        <w:tabs>
          <w:tab w:val="clear" w:pos="1247"/>
          <w:tab w:val="clear" w:pos="1814"/>
          <w:tab w:val="clear" w:pos="2381"/>
          <w:tab w:val="clear" w:pos="2948"/>
          <w:tab w:val="clear" w:pos="3515"/>
          <w:tab w:val="right" w:pos="1276"/>
          <w:tab w:val="left" w:pos="4082"/>
        </w:tabs>
        <w:suppressAutoHyphens/>
        <w:spacing w:before="240" w:after="120"/>
        <w:ind w:left="1247" w:right="284" w:hanging="396"/>
        <w:jc w:val="both"/>
        <w:rPr>
          <w:b/>
          <w:sz w:val="28"/>
          <w:szCs w:val="28"/>
        </w:rPr>
      </w:pPr>
      <w:r w:rsidRPr="004962DB">
        <w:rPr>
          <w:b/>
          <w:sz w:val="28"/>
          <w:szCs w:val="28"/>
        </w:rPr>
        <w:t xml:space="preserve">Establishment of virtual working groups </w:t>
      </w:r>
    </w:p>
    <w:p w14:paraId="7FB659B2"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With restrictions due to the COVID-19 pandemic and the postponement of the fourth meeting of the intersessional process considering the Strategic Approach and the sound management of chemicals and waste beyond 2020 (IP4) and the fifth session of the International conference on Chemicals Management (ICCM5), the ICCM5 Bureau and the co-chairs of the intersessional process proposed to establish a number of Virtual Working Groups (VWGs) to support the work of the intersessional process to advance deliberations on the Strategic Approach and the sound management of chemicals and waste beyond 2020.</w:t>
      </w:r>
    </w:p>
    <w:p w14:paraId="119BFE7F"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 xml:space="preserve">The purpose of the proposed VWGs was to develop proposals for tangible outcomes including notes identifying gaps, compromise text proposals, and new or alternate text, as appropriate. The VWGs were not intended to replace formal face-to-face discussions at IP4 and/or negotiations that will take place at ICCM5 but rather are intended to further build understanding and prepare delegates for these important negotiations. </w:t>
      </w:r>
    </w:p>
    <w:p w14:paraId="287F194B" w14:textId="77777777" w:rsidR="00E05519" w:rsidRPr="004962DB" w:rsidRDefault="00E05519" w:rsidP="00DB6B73">
      <w:pPr>
        <w:pStyle w:val="Normalnumber"/>
        <w:keepNext/>
        <w:keepLines/>
        <w:numPr>
          <w:ilvl w:val="0"/>
          <w:numId w:val="122"/>
        </w:numPr>
        <w:tabs>
          <w:tab w:val="left" w:pos="1814"/>
          <w:tab w:val="left" w:pos="2381"/>
          <w:tab w:val="left" w:pos="2948"/>
          <w:tab w:val="left" w:pos="3515"/>
          <w:tab w:val="left" w:pos="4082"/>
        </w:tabs>
        <w:ind w:left="1260" w:firstLine="0"/>
        <w:jc w:val="both"/>
      </w:pPr>
      <w:r w:rsidRPr="004962DB">
        <w:t>The VWGs were established to work on the following issues:</w:t>
      </w:r>
    </w:p>
    <w:p w14:paraId="2EFA0CD7" w14:textId="77777777" w:rsidR="00E05519" w:rsidRPr="004962DB" w:rsidRDefault="00E05519" w:rsidP="00DB6B73">
      <w:pPr>
        <w:keepNext/>
        <w:keepLines/>
        <w:numPr>
          <w:ilvl w:val="0"/>
          <w:numId w:val="121"/>
        </w:numPr>
        <w:tabs>
          <w:tab w:val="clear" w:pos="1247"/>
          <w:tab w:val="clear" w:pos="1814"/>
          <w:tab w:val="clear" w:pos="2381"/>
          <w:tab w:val="clear" w:pos="2948"/>
          <w:tab w:val="clear" w:pos="3515"/>
          <w:tab w:val="left" w:pos="2410"/>
        </w:tabs>
        <w:spacing w:after="120"/>
        <w:ind w:left="1276" w:firstLine="567"/>
        <w:jc w:val="both"/>
        <w:rPr>
          <w:rFonts w:asciiTheme="majorBidi" w:eastAsia="Calibri" w:hAnsiTheme="majorBidi" w:cstheme="majorBidi"/>
        </w:rPr>
      </w:pPr>
      <w:r w:rsidRPr="004962DB">
        <w:rPr>
          <w:rFonts w:asciiTheme="majorBidi" w:eastAsia="Calibri" w:hAnsiTheme="majorBidi" w:cstheme="majorBidi"/>
        </w:rPr>
        <w:t>Targets, indicators and milestones;</w:t>
      </w:r>
    </w:p>
    <w:p w14:paraId="49CB6F98" w14:textId="77777777" w:rsidR="00E05519" w:rsidRPr="004962DB" w:rsidRDefault="00E05519" w:rsidP="00E05519">
      <w:pPr>
        <w:numPr>
          <w:ilvl w:val="0"/>
          <w:numId w:val="121"/>
        </w:numPr>
        <w:tabs>
          <w:tab w:val="clear" w:pos="1247"/>
          <w:tab w:val="clear" w:pos="1814"/>
          <w:tab w:val="clear" w:pos="2381"/>
          <w:tab w:val="clear" w:pos="2948"/>
          <w:tab w:val="clear" w:pos="3515"/>
          <w:tab w:val="left" w:pos="2410"/>
        </w:tabs>
        <w:spacing w:after="120"/>
        <w:ind w:left="1276" w:firstLine="567"/>
        <w:jc w:val="both"/>
        <w:rPr>
          <w:rFonts w:asciiTheme="majorBidi" w:eastAsia="Calibri" w:hAnsiTheme="majorBidi" w:cstheme="majorBidi"/>
        </w:rPr>
      </w:pPr>
      <w:r w:rsidRPr="004962DB">
        <w:rPr>
          <w:rFonts w:asciiTheme="majorBidi" w:eastAsia="Calibri" w:hAnsiTheme="majorBidi" w:cstheme="majorBidi"/>
        </w:rPr>
        <w:t>Governance and mechanisms to support implementation;</w:t>
      </w:r>
    </w:p>
    <w:p w14:paraId="1C84EBBE" w14:textId="77777777" w:rsidR="00E05519" w:rsidRPr="004962DB" w:rsidRDefault="00E05519" w:rsidP="00E05519">
      <w:pPr>
        <w:numPr>
          <w:ilvl w:val="0"/>
          <w:numId w:val="121"/>
        </w:numPr>
        <w:tabs>
          <w:tab w:val="clear" w:pos="1247"/>
          <w:tab w:val="clear" w:pos="1814"/>
          <w:tab w:val="clear" w:pos="2381"/>
          <w:tab w:val="clear" w:pos="2948"/>
          <w:tab w:val="clear" w:pos="3515"/>
          <w:tab w:val="left" w:pos="2410"/>
        </w:tabs>
        <w:spacing w:after="120"/>
        <w:ind w:left="1276" w:firstLine="567"/>
        <w:jc w:val="both"/>
        <w:rPr>
          <w:rFonts w:asciiTheme="majorBidi" w:eastAsia="Calibri" w:hAnsiTheme="majorBidi" w:cstheme="majorBidi"/>
        </w:rPr>
      </w:pPr>
      <w:r w:rsidRPr="004962DB">
        <w:rPr>
          <w:rFonts w:asciiTheme="majorBidi" w:eastAsia="Calibri" w:hAnsiTheme="majorBidi" w:cstheme="majorBidi"/>
        </w:rPr>
        <w:t>Issues of concern; and</w:t>
      </w:r>
    </w:p>
    <w:p w14:paraId="3254A37A" w14:textId="77777777" w:rsidR="00E05519" w:rsidRPr="004962DB" w:rsidRDefault="00E05519" w:rsidP="00E05519">
      <w:pPr>
        <w:numPr>
          <w:ilvl w:val="0"/>
          <w:numId w:val="121"/>
        </w:numPr>
        <w:tabs>
          <w:tab w:val="clear" w:pos="1247"/>
          <w:tab w:val="clear" w:pos="1814"/>
          <w:tab w:val="clear" w:pos="2381"/>
          <w:tab w:val="clear" w:pos="2948"/>
          <w:tab w:val="clear" w:pos="3515"/>
          <w:tab w:val="left" w:pos="2410"/>
        </w:tabs>
        <w:spacing w:after="120"/>
        <w:ind w:left="1276" w:firstLine="567"/>
        <w:jc w:val="both"/>
        <w:rPr>
          <w:rFonts w:asciiTheme="majorBidi" w:eastAsia="Calibri" w:hAnsiTheme="majorBidi" w:cstheme="majorBidi"/>
        </w:rPr>
      </w:pPr>
      <w:r w:rsidRPr="004962DB">
        <w:rPr>
          <w:rFonts w:asciiTheme="majorBidi" w:eastAsia="Calibri" w:hAnsiTheme="majorBidi" w:cstheme="majorBidi"/>
        </w:rPr>
        <w:t>Financial considerations.</w:t>
      </w:r>
    </w:p>
    <w:p w14:paraId="741055C9"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An online survey was developed to gather information on stakeholders’ experiences and views to inform the design of future work in the intersessional process until the time when face-to-face meetings are feasible. The survey was launched and circulated to all SAICM stakeholders in all 6 UN languages and the deadline for completion was 16 July 2021. The data gathered from the survey will be used to develop an assessment of the experiences with the virtual work undertaken between October 2020 to February 2021.</w:t>
      </w:r>
    </w:p>
    <w:p w14:paraId="31B7F163"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 xml:space="preserve">The Co-facilitators reports on the outcomes of the VWGs held between October 2020 to February 2021 are available </w:t>
      </w:r>
      <w:hyperlink r:id="rId15" w:history="1">
        <w:r w:rsidRPr="004962DB">
          <w:rPr>
            <w:color w:val="0000FF"/>
            <w:u w:val="single"/>
          </w:rPr>
          <w:t>here</w:t>
        </w:r>
      </w:hyperlink>
      <w:r w:rsidRPr="004962DB">
        <w:t>.</w:t>
      </w:r>
    </w:p>
    <w:p w14:paraId="78B4360F"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 xml:space="preserve">Regional briefings will be held on 7 and 8 September 2021 to inform the regions on the results of the survey, provide an opportunity to the regions to provide feedback on the virtual work and discuss regional perspectives amongst themselves. Information on the regional briefings can be found </w:t>
      </w:r>
      <w:hyperlink r:id="rId16" w:history="1">
        <w:r w:rsidRPr="004962DB">
          <w:rPr>
            <w:rStyle w:val="Hyperlink"/>
            <w:lang w:val="en-GB"/>
          </w:rPr>
          <w:t>here</w:t>
        </w:r>
      </w:hyperlink>
      <w:r w:rsidRPr="004962DB">
        <w:t>.</w:t>
      </w:r>
    </w:p>
    <w:p w14:paraId="348AC826" w14:textId="77777777" w:rsidR="00E05519" w:rsidRPr="004962DB" w:rsidRDefault="00E05519" w:rsidP="00E05519">
      <w:pPr>
        <w:keepNext/>
        <w:keepLines/>
        <w:numPr>
          <w:ilvl w:val="0"/>
          <w:numId w:val="119"/>
        </w:numPr>
        <w:tabs>
          <w:tab w:val="clear" w:pos="1247"/>
          <w:tab w:val="clear" w:pos="1814"/>
          <w:tab w:val="clear" w:pos="2381"/>
          <w:tab w:val="clear" w:pos="2948"/>
          <w:tab w:val="clear" w:pos="3515"/>
          <w:tab w:val="right" w:pos="1276"/>
          <w:tab w:val="left" w:pos="4082"/>
        </w:tabs>
        <w:suppressAutoHyphens/>
        <w:spacing w:before="240" w:after="120"/>
        <w:ind w:left="1247" w:right="284" w:hanging="396"/>
        <w:jc w:val="both"/>
        <w:rPr>
          <w:b/>
          <w:sz w:val="28"/>
          <w:szCs w:val="28"/>
        </w:rPr>
      </w:pPr>
      <w:r w:rsidRPr="004962DB">
        <w:rPr>
          <w:b/>
          <w:sz w:val="28"/>
          <w:szCs w:val="28"/>
        </w:rPr>
        <w:t>Establishment of the ICCM5 High-Level Declaration (HLD) informal drafting group</w:t>
      </w:r>
    </w:p>
    <w:p w14:paraId="4B2D2675" w14:textId="7EF087D1"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 xml:space="preserve">The ICCM5 President established a process for the development of a possible ICCM5 High-level Declaration with guidance from the ICCM5 Bureau. A High-level Declaration informal drafting group was established in September 2020 to compile, organize and synthesize input, views and proposals from SAICM stakeholders that could inform the scope, structure and content of a possible High-level Declaration on the sound management of chemicals and waste beyond 2020. These proposals will inform (among other proposals) the work of an envisaged drafting group to be formally established at the rescheduled IP4 (or ICCM5, as the case may be) for consideration by the envisioned ICCM5 </w:t>
      </w:r>
      <w:r w:rsidR="00991BBF" w:rsidRPr="004962DB">
        <w:br/>
      </w:r>
      <w:r w:rsidRPr="004962DB">
        <w:t>High-level Segment.</w:t>
      </w:r>
    </w:p>
    <w:p w14:paraId="1E292961"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rPr>
          <w:sz w:val="22"/>
          <w:szCs w:val="22"/>
        </w:rPr>
      </w:pPr>
      <w:r w:rsidRPr="004962DB">
        <w:t xml:space="preserve">Information related to the HLD informal drafting group, including the Co-facilitator’s final report is available </w:t>
      </w:r>
      <w:hyperlink r:id="rId17" w:history="1">
        <w:r w:rsidRPr="004962DB">
          <w:rPr>
            <w:color w:val="0000FF"/>
            <w:u w:val="single"/>
          </w:rPr>
          <w:t>here</w:t>
        </w:r>
      </w:hyperlink>
      <w:r w:rsidRPr="004962DB">
        <w:t>.</w:t>
      </w:r>
    </w:p>
    <w:p w14:paraId="2C251DAB" w14:textId="77777777" w:rsidR="00E05519" w:rsidRPr="004962DB" w:rsidRDefault="00E05519" w:rsidP="00E05519">
      <w:pPr>
        <w:keepNext/>
        <w:keepLines/>
        <w:numPr>
          <w:ilvl w:val="0"/>
          <w:numId w:val="119"/>
        </w:numPr>
        <w:tabs>
          <w:tab w:val="clear" w:pos="1247"/>
          <w:tab w:val="clear" w:pos="1814"/>
          <w:tab w:val="clear" w:pos="2381"/>
          <w:tab w:val="clear" w:pos="2948"/>
          <w:tab w:val="clear" w:pos="3515"/>
          <w:tab w:val="right" w:pos="1276"/>
          <w:tab w:val="left" w:pos="4082"/>
        </w:tabs>
        <w:suppressAutoHyphens/>
        <w:spacing w:before="240" w:after="120"/>
        <w:ind w:left="1247" w:right="284" w:hanging="396"/>
        <w:jc w:val="both"/>
        <w:rPr>
          <w:b/>
          <w:sz w:val="28"/>
          <w:szCs w:val="28"/>
        </w:rPr>
      </w:pPr>
      <w:r w:rsidRPr="004962DB">
        <w:rPr>
          <w:b/>
          <w:sz w:val="28"/>
          <w:szCs w:val="28"/>
        </w:rPr>
        <w:t>Knowledge Management platform of SAICM and the Communities of Practice</w:t>
      </w:r>
    </w:p>
    <w:p w14:paraId="26F00223"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 xml:space="preserve">The SAICM Secretariat launched an online Knowledge Platform available at </w:t>
      </w:r>
      <w:r w:rsidRPr="004962DB">
        <w:rPr>
          <w:color w:val="0000FF"/>
          <w:u w:val="single"/>
        </w:rPr>
        <w:t>www.saicmknowledge.org</w:t>
      </w:r>
      <w:r w:rsidRPr="004962DB">
        <w:t>.  This new platform is a one-stop shop on up-to-date information about SAICM emerging policy issues with resources and publications, news and opinion articles, chemicals and waste-related events and communities of practice for exchanging with other stakeholders on the sound management of chemicals and waste and related linkages to the 2030 Agenda for Sustainable development. The platform was created to ensure that knowledge and information on chemicals management are available, accessible, user-friendly, adequate and appropriate amongst all SAICM stakeholders.</w:t>
      </w:r>
    </w:p>
    <w:p w14:paraId="608ECA76"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 xml:space="preserve">Four Communities of Practice (CoPs) have been established to support an effective global network of experts on Emerging Policy Issues (EPIs) with a space for regular knowledge exchanges and long-term engagement. Members of these Communities of Practice are representatives from academia, governments, industry, intergovernmental organizations, non-governmental organizations, consumers, and citizens. Within the SAICM Communities of Practice, stakeholders come together regularly to exchange and discuss their knowledge, best practices and experiences on the sound management of chemicals and waste. The four SAICM Communities of Practice were established in partnership along with the University of Cape Town (UCT) and have more than 900 members registered to-date. We encourage stakeholders and interested public to join the Communities of Practices and to submit any technical input or publication to be uploaded and disseminated through the Knowledge Management platform.  Further information on the communities of practice is available </w:t>
      </w:r>
      <w:hyperlink r:id="rId18" w:history="1">
        <w:r w:rsidRPr="004962DB">
          <w:rPr>
            <w:color w:val="0000FF"/>
            <w:u w:val="single"/>
          </w:rPr>
          <w:t>here</w:t>
        </w:r>
      </w:hyperlink>
      <w:r w:rsidRPr="004962DB">
        <w:t>.</w:t>
      </w:r>
    </w:p>
    <w:p w14:paraId="60F9F139" w14:textId="77777777" w:rsidR="00E05519" w:rsidRPr="004962DB" w:rsidRDefault="00E05519" w:rsidP="00E05519">
      <w:pPr>
        <w:keepNext/>
        <w:keepLines/>
        <w:numPr>
          <w:ilvl w:val="0"/>
          <w:numId w:val="119"/>
        </w:numPr>
        <w:tabs>
          <w:tab w:val="clear" w:pos="1247"/>
          <w:tab w:val="clear" w:pos="1814"/>
          <w:tab w:val="clear" w:pos="2381"/>
          <w:tab w:val="clear" w:pos="2948"/>
          <w:tab w:val="clear" w:pos="3515"/>
          <w:tab w:val="right" w:pos="1276"/>
          <w:tab w:val="left" w:pos="4082"/>
        </w:tabs>
        <w:suppressAutoHyphens/>
        <w:spacing w:before="240" w:after="120"/>
        <w:ind w:left="1247" w:right="284" w:hanging="396"/>
        <w:jc w:val="both"/>
        <w:rPr>
          <w:b/>
          <w:sz w:val="28"/>
          <w:szCs w:val="28"/>
        </w:rPr>
      </w:pPr>
      <w:r w:rsidRPr="004962DB">
        <w:rPr>
          <w:b/>
          <w:sz w:val="28"/>
          <w:szCs w:val="28"/>
        </w:rPr>
        <w:t>ICCM procedural, organizational and administrative decisions adopted via a silent procedure</w:t>
      </w:r>
    </w:p>
    <w:p w14:paraId="6FA8082C"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 xml:space="preserve">The President of the fifth session of the International Conference on Chemicals Management (ICCM5) circulated a draft decision on 10 November 2020 to enable the ICCM to take a limited number of procedural decisions on organizational, administrative and budgetary matters in order to ensure that continuation of its mandated activities and those of the SAICM secretariat. Since the silent procedure as not be broken by national focal points and no formal objection was received, the decision was considered as adopted.  </w:t>
      </w:r>
    </w:p>
    <w:p w14:paraId="1C4E727A" w14:textId="07F7848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Following the adoption, the Bureau circulated a second draft decision on 10 December 2020 on the 2021 proposed budget for the SAICM secretariat. The 2021 budget for SAICM was adopted on 31</w:t>
      </w:r>
      <w:r w:rsidR="00991BBF" w:rsidRPr="004962DB">
        <w:t> </w:t>
      </w:r>
      <w:r w:rsidRPr="004962DB">
        <w:t xml:space="preserve">December 2020 via the silence procedure. ICCM5 will take note of these decisions </w:t>
      </w:r>
      <w:r w:rsidRPr="004962DB">
        <w:rPr>
          <w:rFonts w:asciiTheme="majorBidi" w:hAnsiTheme="majorBidi" w:cstheme="majorBidi"/>
        </w:rPr>
        <w:t>at its next session.</w:t>
      </w:r>
    </w:p>
    <w:p w14:paraId="088A7AC8"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pPr>
      <w:r w:rsidRPr="004962DB">
        <w:t xml:space="preserve">The decisions approved via silent procedure can be found </w:t>
      </w:r>
      <w:hyperlink r:id="rId19" w:history="1">
        <w:r w:rsidRPr="004962DB">
          <w:rPr>
            <w:color w:val="0000FF"/>
            <w:u w:val="single"/>
          </w:rPr>
          <w:t>here</w:t>
        </w:r>
      </w:hyperlink>
      <w:r w:rsidRPr="004962DB">
        <w:t>.</w:t>
      </w:r>
    </w:p>
    <w:p w14:paraId="4394F092" w14:textId="77777777" w:rsidR="00E05519" w:rsidRPr="004962DB" w:rsidRDefault="00E05519" w:rsidP="00E05519">
      <w:pPr>
        <w:keepNext/>
        <w:keepLines/>
        <w:numPr>
          <w:ilvl w:val="0"/>
          <w:numId w:val="119"/>
        </w:numPr>
        <w:tabs>
          <w:tab w:val="clear" w:pos="1247"/>
          <w:tab w:val="clear" w:pos="1814"/>
          <w:tab w:val="clear" w:pos="2381"/>
          <w:tab w:val="clear" w:pos="2948"/>
          <w:tab w:val="clear" w:pos="3515"/>
          <w:tab w:val="right" w:pos="1276"/>
          <w:tab w:val="left" w:pos="4082"/>
        </w:tabs>
        <w:suppressAutoHyphens/>
        <w:spacing w:before="240" w:after="120"/>
        <w:ind w:left="1247" w:right="284" w:hanging="396"/>
        <w:jc w:val="both"/>
        <w:rPr>
          <w:b/>
          <w:sz w:val="28"/>
          <w:szCs w:val="28"/>
        </w:rPr>
      </w:pPr>
      <w:r w:rsidRPr="004962DB">
        <w:rPr>
          <w:b/>
          <w:sz w:val="28"/>
          <w:szCs w:val="28"/>
        </w:rPr>
        <w:t>Other SAICM secretariat activities</w:t>
      </w:r>
    </w:p>
    <w:p w14:paraId="43DDE76E" w14:textId="77777777"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60" w:firstLine="0"/>
        <w:jc w:val="both"/>
        <w:rPr>
          <w:rFonts w:asciiTheme="majorBidi" w:hAnsiTheme="majorBidi" w:cstheme="majorBidi"/>
        </w:rPr>
      </w:pPr>
      <w:r w:rsidRPr="004962DB">
        <w:rPr>
          <w:rFonts w:asciiTheme="majorBidi" w:hAnsiTheme="majorBidi" w:cstheme="majorBidi"/>
        </w:rPr>
        <w:t xml:space="preserve">The SAICM </w:t>
      </w:r>
      <w:r w:rsidRPr="004962DB">
        <w:t>secretariat</w:t>
      </w:r>
      <w:r w:rsidRPr="004962DB">
        <w:rPr>
          <w:rFonts w:asciiTheme="majorBidi" w:hAnsiTheme="majorBidi" w:cstheme="majorBidi"/>
        </w:rPr>
        <w:t xml:space="preserve"> has also been involved in a number of activities as follows:</w:t>
      </w:r>
    </w:p>
    <w:p w14:paraId="3304515C" w14:textId="77777777" w:rsidR="00E05519" w:rsidRPr="004962DB" w:rsidRDefault="00E05519" w:rsidP="00E05519">
      <w:pPr>
        <w:numPr>
          <w:ilvl w:val="0"/>
          <w:numId w:val="120"/>
        </w:numPr>
        <w:tabs>
          <w:tab w:val="clear" w:pos="1247"/>
          <w:tab w:val="clear" w:pos="1814"/>
          <w:tab w:val="clear" w:pos="2381"/>
          <w:tab w:val="clear" w:pos="2948"/>
          <w:tab w:val="clear" w:pos="3515"/>
          <w:tab w:val="left" w:pos="2410"/>
        </w:tabs>
        <w:spacing w:after="120"/>
        <w:ind w:left="1260" w:firstLine="583"/>
        <w:jc w:val="both"/>
        <w:rPr>
          <w:rFonts w:eastAsia="Calibri"/>
        </w:rPr>
      </w:pPr>
      <w:r w:rsidRPr="004962DB">
        <w:rPr>
          <w:rFonts w:eastAsia="Calibri"/>
        </w:rPr>
        <w:t xml:space="preserve">With the support of the </w:t>
      </w:r>
      <w:hyperlink r:id="rId20" w:history="1">
        <w:r w:rsidRPr="004962DB">
          <w:rPr>
            <w:rFonts w:eastAsia="Calibri"/>
            <w:color w:val="0000FF"/>
            <w:u w:val="single"/>
          </w:rPr>
          <w:t>SAICM GEF 9771 project on Global Best Practices on Emerging Chemical Policy Issues of Concern under SAICM</w:t>
        </w:r>
      </w:hyperlink>
      <w:r w:rsidRPr="004962DB">
        <w:rPr>
          <w:rFonts w:eastAsia="Calibri"/>
        </w:rPr>
        <w:t xml:space="preserve">, fifteen countries have adopted national legislation to phase-out the use of lead in paint, while 19 countries are at the final stages of drafting lead paint laws. </w:t>
      </w:r>
      <w:r w:rsidRPr="004962DB">
        <w:t>In addition, 45 other countries are being currently assisted by the project for lead paint laws drafting. Similarly, 35 paint producers in seven countries are supported to reformulate their paint to substitute the lead content and fourteen have already completed the reformulation process. Under this project, over 15 knowledge and technical publications on SAICM Emerging Policy Issues have been produced, including a Gender Review Mapping with a Focus on Women and Chemicals on the Impact of Emerging Policy Issues and the Relevance for the Sustainable Development Goals available</w:t>
      </w:r>
      <w:r w:rsidRPr="004962DB">
        <w:rPr>
          <w:rFonts w:eastAsia="Calibri"/>
        </w:rPr>
        <w:t xml:space="preserve"> </w:t>
      </w:r>
      <w:hyperlink r:id="rId21" w:history="1">
        <w:r w:rsidRPr="004962DB">
          <w:rPr>
            <w:rFonts w:eastAsia="Calibri"/>
            <w:color w:val="0000FF"/>
            <w:u w:val="single"/>
          </w:rPr>
          <w:t>here</w:t>
        </w:r>
      </w:hyperlink>
      <w:r w:rsidRPr="004962DB">
        <w:rPr>
          <w:rFonts w:eastAsia="Calibri"/>
        </w:rPr>
        <w:t>.</w:t>
      </w:r>
    </w:p>
    <w:p w14:paraId="47B20D90" w14:textId="77777777" w:rsidR="00E05519" w:rsidRPr="004962DB" w:rsidRDefault="00E05519" w:rsidP="00E05519">
      <w:pPr>
        <w:numPr>
          <w:ilvl w:val="0"/>
          <w:numId w:val="120"/>
        </w:numPr>
        <w:tabs>
          <w:tab w:val="clear" w:pos="1247"/>
          <w:tab w:val="clear" w:pos="1814"/>
          <w:tab w:val="clear" w:pos="2381"/>
          <w:tab w:val="clear" w:pos="2948"/>
          <w:tab w:val="clear" w:pos="3515"/>
          <w:tab w:val="left" w:pos="2410"/>
        </w:tabs>
        <w:spacing w:after="120"/>
        <w:ind w:left="1260" w:firstLine="583"/>
        <w:jc w:val="both"/>
        <w:rPr>
          <w:rFonts w:eastAsia="Calibri"/>
        </w:rPr>
      </w:pPr>
      <w:r w:rsidRPr="004962DB">
        <w:rPr>
          <w:rFonts w:eastAsia="Calibri"/>
        </w:rPr>
        <w:t>The SAICM Secretariat supported the launch of the new Chemicals and Waste Youth Platform within the margins of this Year’s Youth Environment Assembly in February 2021. The online launch event attracted around 100 young people from all UN regions and diverse backgrounds including chemists, social scientists and activists. The platform, which was established by two former SAICM interns under the umbrella of the UN Major Group for Children and Youth (UNMGCY), will help to build capacity for young people to engage and influence multilateral decisions on chemicals and wastes issues. Among the primary interests of the youth engaged are the strengthening of the science-policy interface as well as embedding sustainability in curricula and corporate practice.</w:t>
      </w:r>
    </w:p>
    <w:p w14:paraId="14BF30AC" w14:textId="77777777" w:rsidR="00E05519" w:rsidRPr="004962DB" w:rsidRDefault="00E05519" w:rsidP="00E05519">
      <w:pPr>
        <w:numPr>
          <w:ilvl w:val="0"/>
          <w:numId w:val="120"/>
        </w:numPr>
        <w:tabs>
          <w:tab w:val="clear" w:pos="1247"/>
          <w:tab w:val="clear" w:pos="1814"/>
          <w:tab w:val="clear" w:pos="2381"/>
          <w:tab w:val="clear" w:pos="2948"/>
          <w:tab w:val="clear" w:pos="3515"/>
          <w:tab w:val="left" w:pos="2410"/>
        </w:tabs>
        <w:spacing w:after="120"/>
        <w:ind w:left="1260" w:firstLine="583"/>
        <w:jc w:val="both"/>
        <w:rPr>
          <w:lang w:eastAsia="zh-CN"/>
        </w:rPr>
      </w:pPr>
      <w:r w:rsidRPr="004962DB">
        <w:t xml:space="preserve">A study is being prepared with the objective to outline the scope for implementation of industry involvement within the integrated approach to financing the sound management of chemicals and waste. The </w:t>
      </w:r>
      <w:hyperlink r:id="rId22" w:history="1">
        <w:r w:rsidRPr="004962DB">
          <w:rPr>
            <w:rStyle w:val="Hyperlink"/>
            <w:lang w:val="en-GB"/>
          </w:rPr>
          <w:t>study</w:t>
        </w:r>
      </w:hyperlink>
      <w:r w:rsidRPr="004962DB">
        <w:t xml:space="preserve"> aims to cover the entire life-cycle of chemicals and address both national and international levels. It is developed in response to the independent evaluation of implementation of the integrated approach to financing the sound management of chemicals and waste (</w:t>
      </w:r>
      <w:hyperlink r:id="rId23" w:anchor="overlay-context=pre-session-unea-4" w:history="1">
        <w:r w:rsidRPr="004962DB">
          <w:rPr>
            <w:rStyle w:val="Hyperlink"/>
            <w:lang w:val="en-GB"/>
          </w:rPr>
          <w:t>UNEP/EA.4/INF.16</w:t>
        </w:r>
      </w:hyperlink>
      <w:r w:rsidRPr="004962DB">
        <w:t>, 2019) that identified gaps in the component concerning industry involvement, including lack of clarity of what counts as industry contributions, absence of a mechanism for tracking activities and financial flows, and poor understanding of industry participation at the national level. The results of this study are intended to provide helpful context for decision-makers in preparing the fifth session of the International Conference on Chemicals Management (ICCM-5).</w:t>
      </w:r>
    </w:p>
    <w:p w14:paraId="05BAE46B" w14:textId="77777777" w:rsidR="00E05519" w:rsidRPr="004962DB" w:rsidRDefault="00E05519" w:rsidP="00E05519">
      <w:pPr>
        <w:numPr>
          <w:ilvl w:val="0"/>
          <w:numId w:val="120"/>
        </w:numPr>
        <w:tabs>
          <w:tab w:val="clear" w:pos="1247"/>
          <w:tab w:val="clear" w:pos="1814"/>
          <w:tab w:val="clear" w:pos="2381"/>
          <w:tab w:val="clear" w:pos="2948"/>
          <w:tab w:val="clear" w:pos="3515"/>
          <w:tab w:val="left" w:pos="2410"/>
        </w:tabs>
        <w:spacing w:after="120"/>
        <w:ind w:left="1260" w:firstLine="583"/>
        <w:jc w:val="both"/>
      </w:pPr>
      <w:r w:rsidRPr="004962DB">
        <w:rPr>
          <w:rFonts w:eastAsia="Calibri"/>
        </w:rPr>
        <w:t xml:space="preserve">The Berlin Forum on Chemicals and Sustainability hosted by the Government of Germany was held on 7-8 July 2021, with participation of the German Chancellor, Ministers of Environment, Health and Labour, the UN Secretary-General, Heads of UN Organizations and Agencies, the Executive Secretaries of the Basel, Rotterdam and Stockholm Convention and the Minamata Convention, amongst other dignitaries. </w:t>
      </w:r>
      <w:r w:rsidRPr="004962DB">
        <w:t xml:space="preserve">ICCM5 President </w:t>
      </w:r>
      <w:r w:rsidRPr="004962DB">
        <w:rPr>
          <w:rFonts w:eastAsiaTheme="minorEastAsia"/>
          <w:lang w:eastAsia="zh-CN"/>
        </w:rPr>
        <w:t>committed to continue implementing SAICM and to incorporate the results of Berlin Forum in the Chair Summary into the ICCM5 negotiation process. Proceedings of the Forum can be found here:</w:t>
      </w:r>
      <w:r w:rsidRPr="004962DB">
        <w:t xml:space="preserve"> https://www.bmu.de/en/berlin-forum-on-chemicals-and-sustainability/#c59730.</w:t>
      </w:r>
    </w:p>
    <w:p w14:paraId="6DD99D9B" w14:textId="77777777" w:rsidR="00E05519" w:rsidRPr="004962DB" w:rsidRDefault="00E05519" w:rsidP="00E05519">
      <w:pPr>
        <w:numPr>
          <w:ilvl w:val="0"/>
          <w:numId w:val="120"/>
        </w:numPr>
        <w:tabs>
          <w:tab w:val="clear" w:pos="1247"/>
          <w:tab w:val="clear" w:pos="1814"/>
          <w:tab w:val="clear" w:pos="2381"/>
          <w:tab w:val="clear" w:pos="2948"/>
          <w:tab w:val="clear" w:pos="3515"/>
          <w:tab w:val="left" w:pos="2410"/>
        </w:tabs>
        <w:spacing w:after="120"/>
        <w:ind w:left="1260" w:firstLine="583"/>
        <w:jc w:val="both"/>
        <w:rPr>
          <w:rFonts w:eastAsia="Calibri"/>
          <w:b/>
        </w:rPr>
      </w:pPr>
      <w:r w:rsidRPr="004962DB">
        <w:rPr>
          <w:rFonts w:eastAsia="Calibri"/>
        </w:rPr>
        <w:t xml:space="preserve">The SAICM Secretariat provided communication and outreach guidance and support to the World Future Council (WFC) in preparation for the Future Policy Award 2021, which was presented on the sidelines of the Berlin Forum on Chemicals and Sustainability held 7-8 July. </w:t>
      </w:r>
      <w:r w:rsidRPr="004962DB">
        <w:rPr>
          <w:shd w:val="clear" w:color="auto" w:fill="FFFFFF"/>
        </w:rPr>
        <w:t xml:space="preserve">The goal of the annual WFC award is to recognize innovative laws and policy measures and raise awareness of them worldwide. The 2021 award focused </w:t>
      </w:r>
      <w:r w:rsidRPr="004962DB">
        <w:rPr>
          <w:rStyle w:val="Strong"/>
          <w:bdr w:val="none" w:sz="0" w:space="0" w:color="auto" w:frame="1"/>
          <w:shd w:val="clear" w:color="auto" w:fill="FFFFFF"/>
        </w:rPr>
        <w:t>the most effective policy solutions that minimise the adverse effects of exposure to chemicals on human health, with a focus on children’s health, and the environment. For more information on the award 2021:  https://www.worldfuturecouncil.org/future-policy-award-ceremony-2021/.</w:t>
      </w:r>
    </w:p>
    <w:p w14:paraId="5080411D" w14:textId="77777777" w:rsidR="00E05519" w:rsidRPr="004962DB" w:rsidRDefault="00E05519" w:rsidP="00E05519">
      <w:pPr>
        <w:keepNext/>
        <w:keepLines/>
        <w:numPr>
          <w:ilvl w:val="0"/>
          <w:numId w:val="119"/>
        </w:numPr>
        <w:tabs>
          <w:tab w:val="clear" w:pos="1247"/>
          <w:tab w:val="clear" w:pos="1814"/>
          <w:tab w:val="clear" w:pos="2381"/>
          <w:tab w:val="clear" w:pos="2948"/>
          <w:tab w:val="clear" w:pos="3515"/>
          <w:tab w:val="right" w:pos="1276"/>
          <w:tab w:val="left" w:pos="4082"/>
        </w:tabs>
        <w:suppressAutoHyphens/>
        <w:spacing w:after="120"/>
        <w:ind w:left="1247" w:right="284" w:hanging="396"/>
        <w:jc w:val="both"/>
        <w:rPr>
          <w:b/>
          <w:sz w:val="28"/>
          <w:szCs w:val="28"/>
        </w:rPr>
      </w:pPr>
      <w:r w:rsidRPr="004962DB">
        <w:rPr>
          <w:b/>
          <w:sz w:val="28"/>
          <w:szCs w:val="28"/>
        </w:rPr>
        <w:t>Next steps</w:t>
      </w:r>
    </w:p>
    <w:p w14:paraId="634ECE79" w14:textId="707F2289" w:rsidR="00E05519" w:rsidRPr="004962DB" w:rsidRDefault="00E05519" w:rsidP="00E05519">
      <w:pPr>
        <w:pStyle w:val="Normalnumber"/>
        <w:numPr>
          <w:ilvl w:val="0"/>
          <w:numId w:val="122"/>
        </w:numPr>
        <w:tabs>
          <w:tab w:val="left" w:pos="1814"/>
          <w:tab w:val="left" w:pos="2381"/>
          <w:tab w:val="left" w:pos="2948"/>
          <w:tab w:val="left" w:pos="3515"/>
          <w:tab w:val="left" w:pos="4082"/>
        </w:tabs>
        <w:ind w:left="1247" w:firstLine="0"/>
        <w:jc w:val="both"/>
      </w:pPr>
      <w:r w:rsidRPr="004962DB">
        <w:rPr>
          <w:rFonts w:asciiTheme="majorBidi" w:hAnsiTheme="majorBidi" w:cstheme="majorBidi"/>
        </w:rPr>
        <w:t xml:space="preserve">The ICCM5 Bureau is working on developing a Programme of Work and budget to continue implementation of SAICM until the face to face ICCM5 is feasible as well as securing and supporting the finalization of the ICCM4 mandate to prepare recommendations on the Strategic Approach and the sound management of chemicals and waste. Discussions are ongoing regarding future virtual work and will be informed by the results of the survey and the regional briefings.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DB6B73" w:rsidRPr="004962DB" w14:paraId="24AC192C" w14:textId="77777777" w:rsidTr="00DB6B73">
        <w:tc>
          <w:tcPr>
            <w:tcW w:w="1897" w:type="dxa"/>
          </w:tcPr>
          <w:p w14:paraId="17964C1B" w14:textId="77777777" w:rsidR="00DB6B73" w:rsidRPr="004962DB" w:rsidRDefault="00DB6B73" w:rsidP="00DB6B73">
            <w:pPr>
              <w:pStyle w:val="Normal-pool"/>
              <w:spacing w:before="520"/>
            </w:pPr>
          </w:p>
        </w:tc>
        <w:tc>
          <w:tcPr>
            <w:tcW w:w="1897" w:type="dxa"/>
          </w:tcPr>
          <w:p w14:paraId="7BF26878" w14:textId="77777777" w:rsidR="00DB6B73" w:rsidRPr="004962DB" w:rsidRDefault="00DB6B73" w:rsidP="00DB6B73">
            <w:pPr>
              <w:pStyle w:val="Normal-pool"/>
              <w:spacing w:before="520"/>
            </w:pPr>
          </w:p>
        </w:tc>
        <w:tc>
          <w:tcPr>
            <w:tcW w:w="1897" w:type="dxa"/>
            <w:tcBorders>
              <w:bottom w:val="single" w:sz="4" w:space="0" w:color="auto"/>
            </w:tcBorders>
          </w:tcPr>
          <w:p w14:paraId="1D9EBA6F" w14:textId="77777777" w:rsidR="00DB6B73" w:rsidRPr="004962DB" w:rsidRDefault="00DB6B73" w:rsidP="00DB6B73">
            <w:pPr>
              <w:pStyle w:val="Normal-pool"/>
              <w:spacing w:before="520"/>
            </w:pPr>
          </w:p>
        </w:tc>
        <w:tc>
          <w:tcPr>
            <w:tcW w:w="1898" w:type="dxa"/>
          </w:tcPr>
          <w:p w14:paraId="6D62EB18" w14:textId="77777777" w:rsidR="00DB6B73" w:rsidRPr="004962DB" w:rsidRDefault="00DB6B73" w:rsidP="00DB6B73">
            <w:pPr>
              <w:pStyle w:val="Normal-pool"/>
              <w:spacing w:before="520"/>
            </w:pPr>
          </w:p>
        </w:tc>
        <w:tc>
          <w:tcPr>
            <w:tcW w:w="1898" w:type="dxa"/>
          </w:tcPr>
          <w:p w14:paraId="06E1EF75" w14:textId="77777777" w:rsidR="00DB6B73" w:rsidRPr="004962DB" w:rsidRDefault="00DB6B73" w:rsidP="00DB6B73">
            <w:pPr>
              <w:pStyle w:val="Normal-pool"/>
              <w:spacing w:before="520"/>
            </w:pPr>
          </w:p>
        </w:tc>
      </w:tr>
    </w:tbl>
    <w:p w14:paraId="7A858644" w14:textId="77777777" w:rsidR="00DB6B73" w:rsidRPr="004962DB" w:rsidRDefault="00DB6B73" w:rsidP="00DB6B73">
      <w:pPr>
        <w:pStyle w:val="Normal-pool"/>
      </w:pPr>
    </w:p>
    <w:sectPr w:rsidR="00DB6B73" w:rsidRPr="004962DB" w:rsidSect="00DB6B73">
      <w:headerReference w:type="even" r:id="rId24"/>
      <w:headerReference w:type="default" r:id="rId25"/>
      <w:footerReference w:type="even" r:id="rId26"/>
      <w:footerReference w:type="default" r:id="rId27"/>
      <w:headerReference w:type="first" r:id="rId28"/>
      <w:footerReference w:type="first" r:id="rId29"/>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61A05" w14:textId="77777777" w:rsidR="00D2718A" w:rsidRDefault="00D2718A">
      <w:r>
        <w:separator/>
      </w:r>
    </w:p>
  </w:endnote>
  <w:endnote w:type="continuationSeparator" w:id="0">
    <w:p w14:paraId="0A4C0D57" w14:textId="77777777" w:rsidR="00D2718A" w:rsidRDefault="00D27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KVPFT R+ DIN">
    <w:altName w:val="DI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4BEEF5D1" w:rsidR="004E6825" w:rsidRPr="00EE2455" w:rsidRDefault="004E6825" w:rsidP="00EE2455">
    <w:pPr>
      <w:pStyle w:val="Normal-pool"/>
      <w:rPr>
        <w:bCs/>
        <w:sz w:val="18"/>
        <w:szCs w:val="18"/>
      </w:rPr>
    </w:pPr>
    <w:r w:rsidRPr="00EE2455">
      <w:rPr>
        <w:rStyle w:val="PageNumber"/>
        <w:bCs/>
        <w:szCs w:val="18"/>
      </w:rPr>
      <w:fldChar w:fldCharType="begin"/>
    </w:r>
    <w:r w:rsidRPr="00EE2455">
      <w:rPr>
        <w:rStyle w:val="PageNumber"/>
        <w:bCs/>
        <w:szCs w:val="18"/>
      </w:rPr>
      <w:instrText xml:space="preserve"> PAGE </w:instrText>
    </w:r>
    <w:r w:rsidRPr="00EE2455">
      <w:rPr>
        <w:rStyle w:val="PageNumber"/>
        <w:bCs/>
        <w:szCs w:val="18"/>
      </w:rPr>
      <w:fldChar w:fldCharType="separate"/>
    </w:r>
    <w:r w:rsidRPr="00EE2455">
      <w:rPr>
        <w:rStyle w:val="PageNumber"/>
        <w:bCs/>
        <w:szCs w:val="18"/>
      </w:rPr>
      <w:t>4</w:t>
    </w:r>
    <w:r w:rsidRPr="00EE2455">
      <w:rPr>
        <w:rStyle w:val="PageNumber"/>
        <w:bCs/>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33167863" w:rsidR="004E6825" w:rsidRPr="00EE2455" w:rsidRDefault="004E6825" w:rsidP="00EE2455">
    <w:pPr>
      <w:pStyle w:val="Normal-pool"/>
      <w:jc w:val="right"/>
    </w:pPr>
    <w:r w:rsidRPr="00EE2455">
      <w:rPr>
        <w:rStyle w:val="PageNumber"/>
      </w:rPr>
      <w:fldChar w:fldCharType="begin"/>
    </w:r>
    <w:r w:rsidRPr="00EE2455">
      <w:rPr>
        <w:rStyle w:val="PageNumber"/>
      </w:rPr>
      <w:instrText xml:space="preserve"> PAGE </w:instrText>
    </w:r>
    <w:r w:rsidRPr="00EE2455">
      <w:rPr>
        <w:rStyle w:val="PageNumber"/>
      </w:rPr>
      <w:fldChar w:fldCharType="separate"/>
    </w:r>
    <w:r w:rsidRPr="00EE2455">
      <w:rPr>
        <w:rStyle w:val="PageNumber"/>
        <w:noProof/>
      </w:rPr>
      <w:t>3</w:t>
    </w:r>
    <w:r w:rsidRPr="00EE2455">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0607D" w14:textId="3F489BD5" w:rsidR="007C4630" w:rsidRDefault="00DB6B73" w:rsidP="00581922">
    <w:pPr>
      <w:pStyle w:val="Normal-pool"/>
    </w:pPr>
    <w:r>
      <w:t>K2102310</w:t>
    </w:r>
    <w:r>
      <w:tab/>
    </w:r>
    <w:r w:rsidR="00581922">
      <w:t>2009</w:t>
    </w:r>
    <w: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DFBD8" w14:textId="77777777" w:rsidR="00D2718A" w:rsidRPr="008C18F0" w:rsidRDefault="00D2718A" w:rsidP="008C18F0">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8C18F0">
        <w:rPr>
          <w:sz w:val="18"/>
          <w:szCs w:val="18"/>
        </w:rPr>
        <w:separator/>
      </w:r>
    </w:p>
  </w:footnote>
  <w:footnote w:type="continuationSeparator" w:id="0">
    <w:p w14:paraId="435323D0" w14:textId="77777777" w:rsidR="00D2718A" w:rsidRDefault="00D2718A">
      <w:r>
        <w:continuationSeparator/>
      </w:r>
    </w:p>
  </w:footnote>
  <w:footnote w:id="1">
    <w:p w14:paraId="2A9C2B82" w14:textId="5FC643D4" w:rsidR="004E6825" w:rsidRPr="00DB6B73" w:rsidRDefault="004E6825" w:rsidP="00DB6B73">
      <w:pPr>
        <w:pStyle w:val="Normal-pool"/>
        <w:spacing w:before="20" w:after="40"/>
        <w:ind w:left="1247"/>
        <w:rPr>
          <w:sz w:val="18"/>
          <w:szCs w:val="18"/>
        </w:rPr>
      </w:pPr>
      <w:r w:rsidRPr="00DB6B73">
        <w:rPr>
          <w:sz w:val="18"/>
          <w:szCs w:val="18"/>
        </w:rPr>
        <w:t>* The resumed fourth meeting of the Conference of the Parties to the Minamata Convention on Mercury is to convene in person in Bali, Indonesia, and is tentatively scheduled for the first quarter of 2022.</w:t>
      </w:r>
    </w:p>
  </w:footnote>
  <w:footnote w:id="2">
    <w:p w14:paraId="2E58AA6D" w14:textId="6A90518C" w:rsidR="004E6825" w:rsidRPr="00DB6B73" w:rsidRDefault="004E6825" w:rsidP="00DB6B73">
      <w:pPr>
        <w:pStyle w:val="Normal-pool"/>
        <w:spacing w:before="20" w:after="40"/>
        <w:ind w:left="1247"/>
        <w:rPr>
          <w:sz w:val="18"/>
          <w:szCs w:val="18"/>
        </w:rPr>
      </w:pPr>
      <w:r w:rsidRPr="00DB6B73">
        <w:rPr>
          <w:sz w:val="18"/>
          <w:szCs w:val="18"/>
        </w:rPr>
        <w:t>** UNEP/MC/COP.4/1.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49C2C04A" w:rsidR="004E6825" w:rsidRPr="0049194C" w:rsidRDefault="004E6825" w:rsidP="0049194C">
    <w:pPr>
      <w:pStyle w:val="Header-pool"/>
      <w:rPr>
        <w:szCs w:val="18"/>
      </w:rPr>
    </w:pPr>
    <w:r w:rsidRPr="0049194C">
      <w:rPr>
        <w:bCs/>
        <w:szCs w:val="18"/>
      </w:rPr>
      <w:t>UNEP/</w:t>
    </w:r>
    <w:r w:rsidRPr="0049194C">
      <w:rPr>
        <w:szCs w:val="18"/>
      </w:rPr>
      <w:t>MC/COP.</w:t>
    </w:r>
    <w:r>
      <w:rPr>
        <w:szCs w:val="18"/>
      </w:rPr>
      <w:t>4</w:t>
    </w:r>
    <w:r w:rsidRPr="0049194C">
      <w:rPr>
        <w:szCs w:val="18"/>
      </w:rPr>
      <w:t>/INF/</w:t>
    </w:r>
    <w:r w:rsidR="001314DE">
      <w:rPr>
        <w:szCs w:val="18"/>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07343A79" w:rsidR="004E6825" w:rsidRPr="0049194C" w:rsidRDefault="004E6825" w:rsidP="0049194C">
    <w:pPr>
      <w:pStyle w:val="Header-pool"/>
      <w:jc w:val="right"/>
      <w:rPr>
        <w:szCs w:val="18"/>
      </w:rPr>
    </w:pPr>
    <w:r w:rsidRPr="0049194C">
      <w:rPr>
        <w:bCs/>
        <w:szCs w:val="18"/>
      </w:rPr>
      <w:t>UNEP/</w:t>
    </w:r>
    <w:r w:rsidRPr="0049194C">
      <w:rPr>
        <w:szCs w:val="18"/>
      </w:rPr>
      <w:t>MC/COP.</w:t>
    </w:r>
    <w:r>
      <w:rPr>
        <w:szCs w:val="18"/>
      </w:rPr>
      <w:t>4</w:t>
    </w:r>
    <w:r w:rsidRPr="0049194C">
      <w:rPr>
        <w:szCs w:val="18"/>
      </w:rPr>
      <w:t>/INF/</w:t>
    </w:r>
    <w:r w:rsidR="007C4630">
      <w:rPr>
        <w:szCs w:val="18"/>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B8461" w14:textId="77777777" w:rsidR="004E6825" w:rsidRDefault="004E6825" w:rsidP="000F6AE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0FE"/>
    <w:multiLevelType w:val="hybridMultilevel"/>
    <w:tmpl w:val="587CF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750E5"/>
    <w:multiLevelType w:val="hybridMultilevel"/>
    <w:tmpl w:val="963A9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F265C4"/>
    <w:multiLevelType w:val="hybridMultilevel"/>
    <w:tmpl w:val="A9CEB5DC"/>
    <w:lvl w:ilvl="0" w:tplc="39FE5546">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C0219F"/>
    <w:multiLevelType w:val="hybridMultilevel"/>
    <w:tmpl w:val="2102A056"/>
    <w:lvl w:ilvl="0" w:tplc="949EDCAA">
      <w:start w:val="1"/>
      <w:numFmt w:val="bullet"/>
      <w:lvlText w:val=""/>
      <w:lvlJc w:val="left"/>
      <w:pPr>
        <w:ind w:left="1494" w:hanging="360"/>
      </w:pPr>
      <w:rPr>
        <w:rFonts w:ascii="Symbol" w:hAnsi="Symbol" w:hint="default"/>
        <w:color w:val="0070C0"/>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058C7A9A"/>
    <w:multiLevelType w:val="hybridMultilevel"/>
    <w:tmpl w:val="344A51BE"/>
    <w:lvl w:ilvl="0" w:tplc="417A3BF8">
      <w:start w:val="1"/>
      <w:numFmt w:val="decimal"/>
      <w:lvlText w:val="%1."/>
      <w:lvlJc w:val="left"/>
      <w:pPr>
        <w:ind w:left="8190" w:hanging="360"/>
      </w:pPr>
      <w:rPr>
        <w:sz w:val="20"/>
        <w:szCs w:val="20"/>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5" w15:restartNumberingAfterBreak="0">
    <w:nsid w:val="05A11535"/>
    <w:multiLevelType w:val="hybridMultilevel"/>
    <w:tmpl w:val="7BB2DFAA"/>
    <w:lvl w:ilvl="0" w:tplc="6EE49966">
      <w:start w:val="21"/>
      <w:numFmt w:val="bullet"/>
      <w:lvlText w:val="-"/>
      <w:lvlJc w:val="left"/>
      <w:pPr>
        <w:ind w:left="720" w:hanging="360"/>
      </w:pPr>
      <w:rPr>
        <w:rFonts w:ascii="Calibri Light" w:eastAsiaTheme="minorEastAsia" w:hAnsi="Calibri Light" w:cs="TimesNewRomanPS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6994B04"/>
    <w:multiLevelType w:val="hybridMultilevel"/>
    <w:tmpl w:val="5350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770E7D"/>
    <w:multiLevelType w:val="hybridMultilevel"/>
    <w:tmpl w:val="FF1A477A"/>
    <w:lvl w:ilvl="0" w:tplc="9A44A564">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8A4FBF"/>
    <w:multiLevelType w:val="multilevel"/>
    <w:tmpl w:val="2A289E4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0A382F21"/>
    <w:multiLevelType w:val="hybridMultilevel"/>
    <w:tmpl w:val="CC7058CC"/>
    <w:lvl w:ilvl="0" w:tplc="9A44A564">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5C7D9A"/>
    <w:multiLevelType w:val="hybridMultilevel"/>
    <w:tmpl w:val="963A9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712EBF"/>
    <w:multiLevelType w:val="hybridMultilevel"/>
    <w:tmpl w:val="4C62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A37196"/>
    <w:multiLevelType w:val="hybridMultilevel"/>
    <w:tmpl w:val="9CE0AC8C"/>
    <w:lvl w:ilvl="0" w:tplc="90DE2D0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D0446"/>
    <w:multiLevelType w:val="hybridMultilevel"/>
    <w:tmpl w:val="6D16488A"/>
    <w:lvl w:ilvl="0" w:tplc="C5303D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EA03C0"/>
    <w:multiLevelType w:val="multilevel"/>
    <w:tmpl w:val="02A82C6E"/>
    <w:lvl w:ilvl="0">
      <w:start w:val="1"/>
      <w:numFmt w:val="bullet"/>
      <w:lvlText w:val=""/>
      <w:lvlJc w:val="left"/>
      <w:pPr>
        <w:tabs>
          <w:tab w:val="num" w:pos="1759"/>
        </w:tabs>
        <w:ind w:left="1872" w:firstLine="0"/>
      </w:pPr>
      <w:rPr>
        <w:rFonts w:ascii="Symbol" w:hAnsi="Symbol" w:hint="default"/>
      </w:rPr>
    </w:lvl>
    <w:lvl w:ilvl="1">
      <w:start w:val="1"/>
      <w:numFmt w:val="lowerLetter"/>
      <w:lvlText w:val="(%2)"/>
      <w:lvlJc w:val="left"/>
      <w:pPr>
        <w:tabs>
          <w:tab w:val="num" w:pos="1759"/>
        </w:tabs>
        <w:ind w:left="1872" w:firstLine="567"/>
      </w:pPr>
      <w:rPr>
        <w:rFonts w:hint="default"/>
      </w:rPr>
    </w:lvl>
    <w:lvl w:ilvl="2">
      <w:start w:val="1"/>
      <w:numFmt w:val="lowerRoman"/>
      <w:lvlText w:val="(%3)"/>
      <w:lvlJc w:val="left"/>
      <w:pPr>
        <w:tabs>
          <w:tab w:val="num" w:pos="1759"/>
        </w:tabs>
        <w:ind w:left="3573" w:hanging="567"/>
      </w:pPr>
      <w:rPr>
        <w:rFonts w:hint="default"/>
      </w:rPr>
    </w:lvl>
    <w:lvl w:ilvl="3">
      <w:start w:val="1"/>
      <w:numFmt w:val="lowerLetter"/>
      <w:lvlText w:val="%4."/>
      <w:lvlJc w:val="left"/>
      <w:pPr>
        <w:tabs>
          <w:tab w:val="num" w:pos="1759"/>
        </w:tabs>
        <w:ind w:left="4140" w:hanging="567"/>
      </w:pPr>
      <w:rPr>
        <w:rFonts w:hint="default"/>
      </w:rPr>
    </w:lvl>
    <w:lvl w:ilvl="4">
      <w:start w:val="1"/>
      <w:numFmt w:val="lowerRoman"/>
      <w:lvlText w:val="%5."/>
      <w:lvlJc w:val="left"/>
      <w:pPr>
        <w:tabs>
          <w:tab w:val="num" w:pos="1759"/>
        </w:tabs>
        <w:ind w:left="4707" w:hanging="567"/>
      </w:pPr>
      <w:rPr>
        <w:rFonts w:hint="default"/>
      </w:rPr>
    </w:lvl>
    <w:lvl w:ilvl="5">
      <w:start w:val="1"/>
      <w:numFmt w:val="lowerRoman"/>
      <w:lvlText w:val="%6."/>
      <w:lvlJc w:val="right"/>
      <w:pPr>
        <w:tabs>
          <w:tab w:val="num" w:pos="8460"/>
        </w:tabs>
        <w:ind w:left="8460" w:hanging="180"/>
      </w:pPr>
      <w:rPr>
        <w:rFonts w:hint="default"/>
      </w:rPr>
    </w:lvl>
    <w:lvl w:ilvl="6">
      <w:start w:val="1"/>
      <w:numFmt w:val="decimal"/>
      <w:lvlText w:val="%7."/>
      <w:lvlJc w:val="left"/>
      <w:pPr>
        <w:tabs>
          <w:tab w:val="num" w:pos="9180"/>
        </w:tabs>
        <w:ind w:left="9180" w:hanging="360"/>
      </w:pPr>
      <w:rPr>
        <w:rFonts w:hint="default"/>
      </w:rPr>
    </w:lvl>
    <w:lvl w:ilvl="7">
      <w:start w:val="1"/>
      <w:numFmt w:val="lowerLetter"/>
      <w:lvlText w:val="%8."/>
      <w:lvlJc w:val="left"/>
      <w:pPr>
        <w:tabs>
          <w:tab w:val="num" w:pos="9900"/>
        </w:tabs>
        <w:ind w:left="9900" w:hanging="360"/>
      </w:pPr>
      <w:rPr>
        <w:rFonts w:hint="default"/>
      </w:rPr>
    </w:lvl>
    <w:lvl w:ilvl="8">
      <w:start w:val="1"/>
      <w:numFmt w:val="lowerRoman"/>
      <w:lvlText w:val="%9."/>
      <w:lvlJc w:val="right"/>
      <w:pPr>
        <w:tabs>
          <w:tab w:val="num" w:pos="10620"/>
        </w:tabs>
        <w:ind w:left="10620" w:hanging="180"/>
      </w:pPr>
      <w:rPr>
        <w:rFonts w:hint="default"/>
      </w:rPr>
    </w:lvl>
  </w:abstractNum>
  <w:abstractNum w:abstractNumId="15" w15:restartNumberingAfterBreak="0">
    <w:nsid w:val="139572A7"/>
    <w:multiLevelType w:val="hybridMultilevel"/>
    <w:tmpl w:val="9D508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4F5222D"/>
    <w:multiLevelType w:val="hybridMultilevel"/>
    <w:tmpl w:val="8AF0B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8117019"/>
    <w:multiLevelType w:val="hybridMultilevel"/>
    <w:tmpl w:val="2BBC5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2E1AE1"/>
    <w:multiLevelType w:val="hybridMultilevel"/>
    <w:tmpl w:val="E22C381C"/>
    <w:lvl w:ilvl="0" w:tplc="949EDCA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0" w15:restartNumberingAfterBreak="0">
    <w:nsid w:val="1BE43047"/>
    <w:multiLevelType w:val="hybridMultilevel"/>
    <w:tmpl w:val="A4306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FA0B46"/>
    <w:multiLevelType w:val="hybridMultilevel"/>
    <w:tmpl w:val="7458CD06"/>
    <w:lvl w:ilvl="0" w:tplc="E3C6C5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1C203C16"/>
    <w:multiLevelType w:val="hybridMultilevel"/>
    <w:tmpl w:val="D2EAD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5C10B2"/>
    <w:multiLevelType w:val="hybridMultilevel"/>
    <w:tmpl w:val="5D38B2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04C4E46"/>
    <w:multiLevelType w:val="hybridMultilevel"/>
    <w:tmpl w:val="4DE022BA"/>
    <w:lvl w:ilvl="0" w:tplc="885CB940">
      <w:start w:val="1"/>
      <w:numFmt w:val="decimal"/>
      <w:lvlText w:val="%1."/>
      <w:lvlJc w:val="left"/>
      <w:pPr>
        <w:ind w:left="720" w:hanging="360"/>
      </w:pPr>
      <w:rPr>
        <w:rFonts w:hint="default"/>
        <w:color w:val="0070C0"/>
      </w:rPr>
    </w:lvl>
    <w:lvl w:ilvl="1" w:tplc="F2484BA0">
      <w:numFmt w:val="bullet"/>
      <w:lvlText w:val="•"/>
      <w:lvlJc w:val="left"/>
      <w:pPr>
        <w:ind w:left="90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0FD520A"/>
    <w:multiLevelType w:val="hybridMultilevel"/>
    <w:tmpl w:val="3606EEA4"/>
    <w:lvl w:ilvl="0" w:tplc="04090001">
      <w:start w:val="1"/>
      <w:numFmt w:val="bullet"/>
      <w:lvlText w:val=""/>
      <w:lvlJc w:val="left"/>
      <w:pPr>
        <w:ind w:left="720" w:hanging="360"/>
      </w:pPr>
      <w:rPr>
        <w:rFonts w:ascii="Symbol" w:hAnsi="Symbol" w:hint="default"/>
        <w:color w:val="17365D" w:themeColor="text2" w:themeShade="BF"/>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1D795C"/>
    <w:multiLevelType w:val="hybridMultilevel"/>
    <w:tmpl w:val="5C14CB0C"/>
    <w:lvl w:ilvl="0" w:tplc="315ACF40">
      <w:start w:val="1"/>
      <w:numFmt w:val="bullet"/>
      <w:lvlText w:val=""/>
      <w:lvlJc w:val="left"/>
      <w:pPr>
        <w:ind w:left="720" w:hanging="360"/>
      </w:pPr>
      <w:rPr>
        <w:rFonts w:ascii="Symbol" w:hAnsi="Symbol" w:hint="default"/>
        <w:color w:val="E36C0A"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2BE0DD2"/>
    <w:multiLevelType w:val="hybridMultilevel"/>
    <w:tmpl w:val="E96A3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3AB06F0"/>
    <w:multiLevelType w:val="hybridMultilevel"/>
    <w:tmpl w:val="A342A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47E38B7"/>
    <w:multiLevelType w:val="hybridMultilevel"/>
    <w:tmpl w:val="F4E0FE3C"/>
    <w:lvl w:ilvl="0" w:tplc="949EDCA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5171223"/>
    <w:multiLevelType w:val="hybridMultilevel"/>
    <w:tmpl w:val="AB348A10"/>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8061D60"/>
    <w:multiLevelType w:val="hybridMultilevel"/>
    <w:tmpl w:val="3C829272"/>
    <w:lvl w:ilvl="0" w:tplc="04090001">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B447C9"/>
    <w:multiLevelType w:val="hybridMultilevel"/>
    <w:tmpl w:val="69567F40"/>
    <w:lvl w:ilvl="0" w:tplc="4950E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9044548"/>
    <w:multiLevelType w:val="hybridMultilevel"/>
    <w:tmpl w:val="7B6EBD6E"/>
    <w:lvl w:ilvl="0" w:tplc="9A44A564">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9705854"/>
    <w:multiLevelType w:val="hybridMultilevel"/>
    <w:tmpl w:val="EBEC72C0"/>
    <w:lvl w:ilvl="0" w:tplc="04090001">
      <w:start w:val="1"/>
      <w:numFmt w:val="bullet"/>
      <w:lvlText w:val=""/>
      <w:lvlJc w:val="left"/>
      <w:pPr>
        <w:ind w:left="768"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9854E1"/>
    <w:multiLevelType w:val="hybridMultilevel"/>
    <w:tmpl w:val="5580908E"/>
    <w:lvl w:ilvl="0" w:tplc="13B43A10">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B951DE2"/>
    <w:multiLevelType w:val="hybridMultilevel"/>
    <w:tmpl w:val="F08273A6"/>
    <w:lvl w:ilvl="0" w:tplc="1DC8DE02">
      <w:start w:val="1"/>
      <w:numFmt w:val="decimal"/>
      <w:lvlText w:val="%1."/>
      <w:lvlJc w:val="left"/>
      <w:pPr>
        <w:ind w:left="720" w:hanging="360"/>
      </w:pPr>
      <w:rPr>
        <w:rFonts w:hint="default"/>
        <w:color w:val="00B050"/>
      </w:rPr>
    </w:lvl>
    <w:lvl w:ilvl="1" w:tplc="F2484BA0">
      <w:numFmt w:val="bullet"/>
      <w:lvlText w:val="•"/>
      <w:lvlJc w:val="left"/>
      <w:pPr>
        <w:ind w:left="90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8" w15:restartNumberingAfterBreak="0">
    <w:nsid w:val="30044891"/>
    <w:multiLevelType w:val="hybridMultilevel"/>
    <w:tmpl w:val="40B6EF50"/>
    <w:lvl w:ilvl="0" w:tplc="E482CB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45D1F38"/>
    <w:multiLevelType w:val="hybridMultilevel"/>
    <w:tmpl w:val="C2C208D6"/>
    <w:lvl w:ilvl="0" w:tplc="9A44A564">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51069CA"/>
    <w:multiLevelType w:val="hybridMultilevel"/>
    <w:tmpl w:val="8DFEE3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2" w15:restartNumberingAfterBreak="0">
    <w:nsid w:val="36CC7824"/>
    <w:multiLevelType w:val="hybridMultilevel"/>
    <w:tmpl w:val="A52857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3C5B22E2"/>
    <w:multiLevelType w:val="hybridMultilevel"/>
    <w:tmpl w:val="70748F78"/>
    <w:lvl w:ilvl="0" w:tplc="C4349B96">
      <w:start w:val="1"/>
      <w:numFmt w:val="decimal"/>
      <w:lvlText w:val="%1)"/>
      <w:lvlJc w:val="left"/>
      <w:pPr>
        <w:ind w:left="408" w:hanging="360"/>
      </w:pPr>
      <w:rPr>
        <w:rFonts w:hint="default"/>
      </w:rPr>
    </w:lvl>
    <w:lvl w:ilvl="1" w:tplc="20000019" w:tentative="1">
      <w:start w:val="1"/>
      <w:numFmt w:val="lowerLetter"/>
      <w:lvlText w:val="%2."/>
      <w:lvlJc w:val="left"/>
      <w:pPr>
        <w:ind w:left="1128" w:hanging="360"/>
      </w:pPr>
    </w:lvl>
    <w:lvl w:ilvl="2" w:tplc="2000001B" w:tentative="1">
      <w:start w:val="1"/>
      <w:numFmt w:val="lowerRoman"/>
      <w:lvlText w:val="%3."/>
      <w:lvlJc w:val="right"/>
      <w:pPr>
        <w:ind w:left="1848" w:hanging="180"/>
      </w:pPr>
    </w:lvl>
    <w:lvl w:ilvl="3" w:tplc="2000000F" w:tentative="1">
      <w:start w:val="1"/>
      <w:numFmt w:val="decimal"/>
      <w:lvlText w:val="%4."/>
      <w:lvlJc w:val="left"/>
      <w:pPr>
        <w:ind w:left="2568" w:hanging="360"/>
      </w:pPr>
    </w:lvl>
    <w:lvl w:ilvl="4" w:tplc="20000019" w:tentative="1">
      <w:start w:val="1"/>
      <w:numFmt w:val="lowerLetter"/>
      <w:lvlText w:val="%5."/>
      <w:lvlJc w:val="left"/>
      <w:pPr>
        <w:ind w:left="3288" w:hanging="360"/>
      </w:pPr>
    </w:lvl>
    <w:lvl w:ilvl="5" w:tplc="2000001B" w:tentative="1">
      <w:start w:val="1"/>
      <w:numFmt w:val="lowerRoman"/>
      <w:lvlText w:val="%6."/>
      <w:lvlJc w:val="right"/>
      <w:pPr>
        <w:ind w:left="4008" w:hanging="180"/>
      </w:pPr>
    </w:lvl>
    <w:lvl w:ilvl="6" w:tplc="2000000F" w:tentative="1">
      <w:start w:val="1"/>
      <w:numFmt w:val="decimal"/>
      <w:lvlText w:val="%7."/>
      <w:lvlJc w:val="left"/>
      <w:pPr>
        <w:ind w:left="4728" w:hanging="360"/>
      </w:pPr>
    </w:lvl>
    <w:lvl w:ilvl="7" w:tplc="20000019" w:tentative="1">
      <w:start w:val="1"/>
      <w:numFmt w:val="lowerLetter"/>
      <w:lvlText w:val="%8."/>
      <w:lvlJc w:val="left"/>
      <w:pPr>
        <w:ind w:left="5448" w:hanging="360"/>
      </w:pPr>
    </w:lvl>
    <w:lvl w:ilvl="8" w:tplc="2000001B" w:tentative="1">
      <w:start w:val="1"/>
      <w:numFmt w:val="lowerRoman"/>
      <w:lvlText w:val="%9."/>
      <w:lvlJc w:val="right"/>
      <w:pPr>
        <w:ind w:left="6168" w:hanging="180"/>
      </w:pPr>
    </w:lvl>
  </w:abstractNum>
  <w:abstractNum w:abstractNumId="44" w15:restartNumberingAfterBreak="0">
    <w:nsid w:val="3CB94C84"/>
    <w:multiLevelType w:val="hybridMultilevel"/>
    <w:tmpl w:val="43C64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3DA17A6F"/>
    <w:multiLevelType w:val="hybridMultilevel"/>
    <w:tmpl w:val="8D72F1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3DF35606"/>
    <w:multiLevelType w:val="hybridMultilevel"/>
    <w:tmpl w:val="3646A5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3E93489C"/>
    <w:multiLevelType w:val="hybridMultilevel"/>
    <w:tmpl w:val="EDC41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3D30DC"/>
    <w:multiLevelType w:val="hybridMultilevel"/>
    <w:tmpl w:val="D84C6258"/>
    <w:lvl w:ilvl="0" w:tplc="90DE2D08">
      <w:start w:val="1"/>
      <w:numFmt w:val="bullet"/>
      <w:lvlText w:val=""/>
      <w:lvlJc w:val="left"/>
      <w:pPr>
        <w:ind w:left="768" w:hanging="360"/>
      </w:pPr>
      <w:rPr>
        <w:rFonts w:ascii="Symbol" w:hAnsi="Symbol" w:hint="default"/>
        <w:sz w:val="22"/>
        <w:szCs w:val="22"/>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9" w15:restartNumberingAfterBreak="0">
    <w:nsid w:val="41517B69"/>
    <w:multiLevelType w:val="hybridMultilevel"/>
    <w:tmpl w:val="9F7284E2"/>
    <w:lvl w:ilvl="0" w:tplc="90DE2D0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3443F8F"/>
    <w:multiLevelType w:val="hybridMultilevel"/>
    <w:tmpl w:val="39E0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61C6422"/>
    <w:multiLevelType w:val="hybridMultilevel"/>
    <w:tmpl w:val="91BA0B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6A267CB"/>
    <w:multiLevelType w:val="hybridMultilevel"/>
    <w:tmpl w:val="B45A53DE"/>
    <w:lvl w:ilvl="0" w:tplc="06BA85B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6AF722A"/>
    <w:multiLevelType w:val="hybridMultilevel"/>
    <w:tmpl w:val="D5FA83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489E1D2B"/>
    <w:multiLevelType w:val="hybridMultilevel"/>
    <w:tmpl w:val="62D4BE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9B20888"/>
    <w:multiLevelType w:val="hybridMultilevel"/>
    <w:tmpl w:val="CEE49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B43056C"/>
    <w:multiLevelType w:val="hybridMultilevel"/>
    <w:tmpl w:val="15BACB8C"/>
    <w:lvl w:ilvl="0" w:tplc="04090009">
      <w:start w:val="1"/>
      <w:numFmt w:val="bullet"/>
      <w:lvlText w:val=""/>
      <w:lvlJc w:val="left"/>
      <w:pPr>
        <w:ind w:left="720" w:hanging="360"/>
      </w:pPr>
      <w:rPr>
        <w:rFonts w:ascii="Wingdings" w:hAnsi="Wingdings" w:hint="default"/>
        <w:color w:val="5F497A" w:themeColor="accent4"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B5E206A"/>
    <w:multiLevelType w:val="hybridMultilevel"/>
    <w:tmpl w:val="4E72CAC2"/>
    <w:lvl w:ilvl="0" w:tplc="04090009">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BC50968"/>
    <w:multiLevelType w:val="hybridMultilevel"/>
    <w:tmpl w:val="1DAEE306"/>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D237DD9"/>
    <w:multiLevelType w:val="hybridMultilevel"/>
    <w:tmpl w:val="5EA42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DEF0B9A"/>
    <w:multiLevelType w:val="hybridMultilevel"/>
    <w:tmpl w:val="AB52F042"/>
    <w:lvl w:ilvl="0" w:tplc="E482CB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0AA44F8"/>
    <w:multiLevelType w:val="hybridMultilevel"/>
    <w:tmpl w:val="DEE492A4"/>
    <w:lvl w:ilvl="0" w:tplc="4C3C2A30">
      <w:start w:val="1"/>
      <w:numFmt w:val="lowerRoman"/>
      <w:lvlText w:val="(%1)"/>
      <w:lvlJc w:val="left"/>
      <w:pPr>
        <w:ind w:left="8100" w:hanging="720"/>
      </w:pPr>
      <w:rPr>
        <w:rFonts w:hint="default"/>
        <w:b w:val="0"/>
        <w:bCs w:val="0"/>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2" w15:restartNumberingAfterBreak="0">
    <w:nsid w:val="51724945"/>
    <w:multiLevelType w:val="hybridMultilevel"/>
    <w:tmpl w:val="5262F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4" w15:restartNumberingAfterBreak="0">
    <w:nsid w:val="554A4D0B"/>
    <w:multiLevelType w:val="hybridMultilevel"/>
    <w:tmpl w:val="50A0A470"/>
    <w:lvl w:ilvl="0" w:tplc="F084873A">
      <w:start w:val="1"/>
      <w:numFmt w:val="bullet"/>
      <w:lvlText w:val=""/>
      <w:lvlJc w:val="left"/>
      <w:pPr>
        <w:ind w:left="720" w:hanging="360"/>
      </w:pPr>
      <w:rPr>
        <w:rFonts w:ascii="Symbol" w:hAnsi="Symbol" w:hint="default"/>
        <w:color w:val="5F497A" w:themeColor="accent4"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59F71C5"/>
    <w:multiLevelType w:val="hybridMultilevel"/>
    <w:tmpl w:val="DE308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65C4293"/>
    <w:multiLevelType w:val="hybridMultilevel"/>
    <w:tmpl w:val="83A25E7A"/>
    <w:lvl w:ilvl="0" w:tplc="E482CB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6B059EB"/>
    <w:multiLevelType w:val="hybridMultilevel"/>
    <w:tmpl w:val="D4543268"/>
    <w:lvl w:ilvl="0" w:tplc="0AE694D0">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6CA4D92"/>
    <w:multiLevelType w:val="hybridMultilevel"/>
    <w:tmpl w:val="F6804CEE"/>
    <w:lvl w:ilvl="0" w:tplc="04090001">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6D9132B"/>
    <w:multiLevelType w:val="hybridMultilevel"/>
    <w:tmpl w:val="45A40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8A44BB2"/>
    <w:multiLevelType w:val="hybridMultilevel"/>
    <w:tmpl w:val="63AE6272"/>
    <w:lvl w:ilvl="0" w:tplc="0A780B50">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8BD1300"/>
    <w:multiLevelType w:val="hybridMultilevel"/>
    <w:tmpl w:val="E6C00DB8"/>
    <w:lvl w:ilvl="0" w:tplc="6A56C17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9572A39"/>
    <w:multiLevelType w:val="hybridMultilevel"/>
    <w:tmpl w:val="6F3CEF3A"/>
    <w:lvl w:ilvl="0" w:tplc="0AE694D0">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9E325F2"/>
    <w:multiLevelType w:val="hybridMultilevel"/>
    <w:tmpl w:val="25966BAA"/>
    <w:lvl w:ilvl="0" w:tplc="CC8E0808">
      <w:start w:val="1"/>
      <w:numFmt w:val="bullet"/>
      <w:lvlText w:val=""/>
      <w:lvlJc w:val="left"/>
      <w:pPr>
        <w:ind w:left="720" w:hanging="360"/>
      </w:pPr>
      <w:rPr>
        <w:rFonts w:ascii="Symbol" w:hAnsi="Symbol" w:hint="default"/>
        <w:color w:val="C0504D"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A2F109C"/>
    <w:multiLevelType w:val="hybridMultilevel"/>
    <w:tmpl w:val="A8DA626C"/>
    <w:lvl w:ilvl="0" w:tplc="5784F222">
      <w:start w:val="1"/>
      <w:numFmt w:val="lowerRoman"/>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5" w15:restartNumberingAfterBreak="0">
    <w:nsid w:val="5A791FAB"/>
    <w:multiLevelType w:val="hybridMultilevel"/>
    <w:tmpl w:val="5546B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5A7D29ED"/>
    <w:multiLevelType w:val="hybridMultilevel"/>
    <w:tmpl w:val="342E4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A90197B"/>
    <w:multiLevelType w:val="hybridMultilevel"/>
    <w:tmpl w:val="4F7A5C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5C625D77"/>
    <w:multiLevelType w:val="hybridMultilevel"/>
    <w:tmpl w:val="F6A259B6"/>
    <w:lvl w:ilvl="0" w:tplc="67AA544E">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15:restartNumberingAfterBreak="0">
    <w:nsid w:val="5C847151"/>
    <w:multiLevelType w:val="hybridMultilevel"/>
    <w:tmpl w:val="7CF658E0"/>
    <w:lvl w:ilvl="0" w:tplc="04090001">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CEF04E9"/>
    <w:multiLevelType w:val="hybridMultilevel"/>
    <w:tmpl w:val="23EC72D0"/>
    <w:lvl w:ilvl="0" w:tplc="2022261E">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F771CAA"/>
    <w:multiLevelType w:val="hybridMultilevel"/>
    <w:tmpl w:val="515A3CD6"/>
    <w:lvl w:ilvl="0" w:tplc="8AB238C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FB7463F"/>
    <w:multiLevelType w:val="hybridMultilevel"/>
    <w:tmpl w:val="870A356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0D0533C"/>
    <w:multiLevelType w:val="hybridMultilevel"/>
    <w:tmpl w:val="06B6B9D8"/>
    <w:lvl w:ilvl="0" w:tplc="F7120004">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1583C34"/>
    <w:multiLevelType w:val="hybridMultilevel"/>
    <w:tmpl w:val="AC9455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1BB0272"/>
    <w:multiLevelType w:val="hybridMultilevel"/>
    <w:tmpl w:val="F274C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2F81DF3"/>
    <w:multiLevelType w:val="hybridMultilevel"/>
    <w:tmpl w:val="73063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2FB7C8E"/>
    <w:multiLevelType w:val="hybridMultilevel"/>
    <w:tmpl w:val="C494E118"/>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39F0BC6"/>
    <w:multiLevelType w:val="hybridMultilevel"/>
    <w:tmpl w:val="C4BC1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57B67FA"/>
    <w:multiLevelType w:val="hybridMultilevel"/>
    <w:tmpl w:val="42844A16"/>
    <w:lvl w:ilvl="0" w:tplc="C548D28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5F53E16"/>
    <w:multiLevelType w:val="hybridMultilevel"/>
    <w:tmpl w:val="5EE4E596"/>
    <w:lvl w:ilvl="0" w:tplc="3C3E92C4">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61576DF"/>
    <w:multiLevelType w:val="hybridMultilevel"/>
    <w:tmpl w:val="10A040C0"/>
    <w:lvl w:ilvl="0" w:tplc="949EDCA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7D76960"/>
    <w:multiLevelType w:val="hybridMultilevel"/>
    <w:tmpl w:val="04E08308"/>
    <w:lvl w:ilvl="0" w:tplc="90DE2D08">
      <w:start w:val="1"/>
      <w:numFmt w:val="bullet"/>
      <w:lvlText w:val=""/>
      <w:lvlJc w:val="left"/>
      <w:pPr>
        <w:ind w:left="768" w:hanging="360"/>
      </w:pPr>
      <w:rPr>
        <w:rFonts w:ascii="Symbol" w:hAnsi="Symbol" w:hint="default"/>
        <w:sz w:val="22"/>
        <w:szCs w:val="22"/>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93" w15:restartNumberingAfterBreak="0">
    <w:nsid w:val="68A70FC7"/>
    <w:multiLevelType w:val="hybridMultilevel"/>
    <w:tmpl w:val="CAEE99A2"/>
    <w:lvl w:ilvl="0" w:tplc="90DE2D0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A9E7097"/>
    <w:multiLevelType w:val="hybridMultilevel"/>
    <w:tmpl w:val="2B6C3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AD24032"/>
    <w:multiLevelType w:val="hybridMultilevel"/>
    <w:tmpl w:val="F1FA8EE4"/>
    <w:lvl w:ilvl="0" w:tplc="39FE554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B241316"/>
    <w:multiLevelType w:val="hybridMultilevel"/>
    <w:tmpl w:val="265262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6BE758D8"/>
    <w:multiLevelType w:val="hybridMultilevel"/>
    <w:tmpl w:val="A2645926"/>
    <w:lvl w:ilvl="0" w:tplc="74DA64C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6BEF6B8F"/>
    <w:multiLevelType w:val="hybridMultilevel"/>
    <w:tmpl w:val="6C22EE68"/>
    <w:lvl w:ilvl="0" w:tplc="A26CB132">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DDC52E3"/>
    <w:multiLevelType w:val="hybridMultilevel"/>
    <w:tmpl w:val="1278DDE8"/>
    <w:lvl w:ilvl="0" w:tplc="9A44A564">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E057327"/>
    <w:multiLevelType w:val="hybridMultilevel"/>
    <w:tmpl w:val="F07C8BE8"/>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6F5B415C"/>
    <w:multiLevelType w:val="hybridMultilevel"/>
    <w:tmpl w:val="2F46FF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70066063"/>
    <w:multiLevelType w:val="hybridMultilevel"/>
    <w:tmpl w:val="5B842E52"/>
    <w:lvl w:ilvl="0" w:tplc="76C4CE82">
      <w:start w:val="1"/>
      <w:numFmt w:val="bullet"/>
      <w:lvlText w:val=""/>
      <w:lvlJc w:val="left"/>
      <w:pPr>
        <w:ind w:left="720" w:hanging="360"/>
      </w:pPr>
      <w:rPr>
        <w:rFonts w:ascii="Symbol" w:hAnsi="Symbol"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12E50FF"/>
    <w:multiLevelType w:val="hybridMultilevel"/>
    <w:tmpl w:val="011A9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716F0AA9"/>
    <w:multiLevelType w:val="multilevel"/>
    <w:tmpl w:val="59848D54"/>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5" w15:restartNumberingAfterBreak="0">
    <w:nsid w:val="71EE15B4"/>
    <w:multiLevelType w:val="hybridMultilevel"/>
    <w:tmpl w:val="93F81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39B599B"/>
    <w:multiLevelType w:val="hybridMultilevel"/>
    <w:tmpl w:val="D9B82682"/>
    <w:lvl w:ilvl="0" w:tplc="E3C6C5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7" w15:restartNumberingAfterBreak="0">
    <w:nsid w:val="73DB7531"/>
    <w:multiLevelType w:val="hybridMultilevel"/>
    <w:tmpl w:val="A6127D22"/>
    <w:lvl w:ilvl="0" w:tplc="E3E0CB12">
      <w:start w:val="1"/>
      <w:numFmt w:val="bullet"/>
      <w:lvlText w:val=""/>
      <w:lvlJc w:val="left"/>
      <w:pPr>
        <w:ind w:left="720" w:hanging="360"/>
      </w:pPr>
      <w:rPr>
        <w:rFonts w:ascii="Wingdings" w:hAnsi="Wingdings"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40236C1"/>
    <w:multiLevelType w:val="hybridMultilevel"/>
    <w:tmpl w:val="42844A16"/>
    <w:lvl w:ilvl="0" w:tplc="C548D28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5BA3AB3"/>
    <w:multiLevelType w:val="hybridMultilevel"/>
    <w:tmpl w:val="617C45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76061C02"/>
    <w:multiLevelType w:val="hybridMultilevel"/>
    <w:tmpl w:val="32E00464"/>
    <w:lvl w:ilvl="0" w:tplc="0AE694D0">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7FE1199"/>
    <w:multiLevelType w:val="hybridMultilevel"/>
    <w:tmpl w:val="C9A6681E"/>
    <w:lvl w:ilvl="0" w:tplc="C39242B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8D60D5C"/>
    <w:multiLevelType w:val="hybridMultilevel"/>
    <w:tmpl w:val="61CAFF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7B3B4CC6"/>
    <w:multiLevelType w:val="hybridMultilevel"/>
    <w:tmpl w:val="C37AB4A4"/>
    <w:lvl w:ilvl="0" w:tplc="67AA544E">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4" w15:restartNumberingAfterBreak="0">
    <w:nsid w:val="7B7345FF"/>
    <w:multiLevelType w:val="hybridMultilevel"/>
    <w:tmpl w:val="2D78DC58"/>
    <w:lvl w:ilvl="0" w:tplc="04090013">
      <w:start w:val="1"/>
      <w:numFmt w:val="upperRoman"/>
      <w:lvlText w:val="%1."/>
      <w:lvlJc w:val="right"/>
      <w:pPr>
        <w:ind w:left="3076" w:hanging="360"/>
      </w:pPr>
      <w:rPr>
        <w:rFonts w:hint="default"/>
      </w:rPr>
    </w:lvl>
    <w:lvl w:ilvl="1" w:tplc="04090019" w:tentative="1">
      <w:start w:val="1"/>
      <w:numFmt w:val="lowerLetter"/>
      <w:lvlText w:val="%2."/>
      <w:lvlJc w:val="left"/>
      <w:pPr>
        <w:ind w:left="3796" w:hanging="360"/>
      </w:pPr>
    </w:lvl>
    <w:lvl w:ilvl="2" w:tplc="0409001B" w:tentative="1">
      <w:start w:val="1"/>
      <w:numFmt w:val="lowerRoman"/>
      <w:lvlText w:val="%3."/>
      <w:lvlJc w:val="right"/>
      <w:pPr>
        <w:ind w:left="4516" w:hanging="180"/>
      </w:pPr>
    </w:lvl>
    <w:lvl w:ilvl="3" w:tplc="0409000F" w:tentative="1">
      <w:start w:val="1"/>
      <w:numFmt w:val="decimal"/>
      <w:lvlText w:val="%4."/>
      <w:lvlJc w:val="left"/>
      <w:pPr>
        <w:ind w:left="5236" w:hanging="360"/>
      </w:pPr>
    </w:lvl>
    <w:lvl w:ilvl="4" w:tplc="04090019" w:tentative="1">
      <w:start w:val="1"/>
      <w:numFmt w:val="lowerLetter"/>
      <w:lvlText w:val="%5."/>
      <w:lvlJc w:val="left"/>
      <w:pPr>
        <w:ind w:left="5956" w:hanging="360"/>
      </w:pPr>
    </w:lvl>
    <w:lvl w:ilvl="5" w:tplc="0409001B" w:tentative="1">
      <w:start w:val="1"/>
      <w:numFmt w:val="lowerRoman"/>
      <w:lvlText w:val="%6."/>
      <w:lvlJc w:val="right"/>
      <w:pPr>
        <w:ind w:left="6676" w:hanging="180"/>
      </w:pPr>
    </w:lvl>
    <w:lvl w:ilvl="6" w:tplc="0409000F" w:tentative="1">
      <w:start w:val="1"/>
      <w:numFmt w:val="decimal"/>
      <w:lvlText w:val="%7."/>
      <w:lvlJc w:val="left"/>
      <w:pPr>
        <w:ind w:left="7396" w:hanging="360"/>
      </w:pPr>
    </w:lvl>
    <w:lvl w:ilvl="7" w:tplc="04090019" w:tentative="1">
      <w:start w:val="1"/>
      <w:numFmt w:val="lowerLetter"/>
      <w:lvlText w:val="%8."/>
      <w:lvlJc w:val="left"/>
      <w:pPr>
        <w:ind w:left="8116" w:hanging="360"/>
      </w:pPr>
    </w:lvl>
    <w:lvl w:ilvl="8" w:tplc="0409001B" w:tentative="1">
      <w:start w:val="1"/>
      <w:numFmt w:val="lowerRoman"/>
      <w:lvlText w:val="%9."/>
      <w:lvlJc w:val="right"/>
      <w:pPr>
        <w:ind w:left="8836" w:hanging="180"/>
      </w:pPr>
    </w:lvl>
  </w:abstractNum>
  <w:abstractNum w:abstractNumId="115" w15:restartNumberingAfterBreak="0">
    <w:nsid w:val="7E2B0382"/>
    <w:multiLevelType w:val="multilevel"/>
    <w:tmpl w:val="A3A68CB8"/>
    <w:lvl w:ilvl="0">
      <w:start w:val="1"/>
      <w:numFmt w:val="bullet"/>
      <w:lvlText w:val="●"/>
      <w:lvlJc w:val="left"/>
      <w:pPr>
        <w:ind w:left="2250" w:hanging="360"/>
      </w:pPr>
      <w:rPr>
        <w:u w:val="none"/>
      </w:rPr>
    </w:lvl>
    <w:lvl w:ilvl="1">
      <w:start w:val="1"/>
      <w:numFmt w:val="bullet"/>
      <w:lvlText w:val="○"/>
      <w:lvlJc w:val="left"/>
      <w:pPr>
        <w:ind w:left="2970" w:hanging="360"/>
      </w:pPr>
      <w:rPr>
        <w:u w:val="none"/>
      </w:rPr>
    </w:lvl>
    <w:lvl w:ilvl="2">
      <w:start w:val="1"/>
      <w:numFmt w:val="bullet"/>
      <w:lvlText w:val="■"/>
      <w:lvlJc w:val="left"/>
      <w:pPr>
        <w:ind w:left="3690" w:hanging="360"/>
      </w:pPr>
      <w:rPr>
        <w:u w:val="none"/>
      </w:rPr>
    </w:lvl>
    <w:lvl w:ilvl="3">
      <w:start w:val="1"/>
      <w:numFmt w:val="bullet"/>
      <w:lvlText w:val="●"/>
      <w:lvlJc w:val="left"/>
      <w:pPr>
        <w:ind w:left="4410" w:hanging="360"/>
      </w:pPr>
      <w:rPr>
        <w:u w:val="none"/>
      </w:rPr>
    </w:lvl>
    <w:lvl w:ilvl="4">
      <w:start w:val="1"/>
      <w:numFmt w:val="bullet"/>
      <w:lvlText w:val="○"/>
      <w:lvlJc w:val="left"/>
      <w:pPr>
        <w:ind w:left="5130" w:hanging="360"/>
      </w:pPr>
      <w:rPr>
        <w:u w:val="none"/>
      </w:rPr>
    </w:lvl>
    <w:lvl w:ilvl="5">
      <w:start w:val="1"/>
      <w:numFmt w:val="bullet"/>
      <w:lvlText w:val="■"/>
      <w:lvlJc w:val="left"/>
      <w:pPr>
        <w:ind w:left="5850" w:hanging="360"/>
      </w:pPr>
      <w:rPr>
        <w:u w:val="none"/>
      </w:rPr>
    </w:lvl>
    <w:lvl w:ilvl="6">
      <w:start w:val="1"/>
      <w:numFmt w:val="bullet"/>
      <w:lvlText w:val="●"/>
      <w:lvlJc w:val="left"/>
      <w:pPr>
        <w:ind w:left="6570" w:hanging="360"/>
      </w:pPr>
      <w:rPr>
        <w:u w:val="none"/>
      </w:rPr>
    </w:lvl>
    <w:lvl w:ilvl="7">
      <w:start w:val="1"/>
      <w:numFmt w:val="bullet"/>
      <w:lvlText w:val="○"/>
      <w:lvlJc w:val="left"/>
      <w:pPr>
        <w:ind w:left="7290" w:hanging="360"/>
      </w:pPr>
      <w:rPr>
        <w:u w:val="none"/>
      </w:rPr>
    </w:lvl>
    <w:lvl w:ilvl="8">
      <w:start w:val="1"/>
      <w:numFmt w:val="bullet"/>
      <w:lvlText w:val="■"/>
      <w:lvlJc w:val="left"/>
      <w:pPr>
        <w:ind w:left="8010" w:hanging="360"/>
      </w:pPr>
      <w:rPr>
        <w:u w:val="none"/>
      </w:rPr>
    </w:lvl>
  </w:abstractNum>
  <w:abstractNum w:abstractNumId="116" w15:restartNumberingAfterBreak="0">
    <w:nsid w:val="7E5E3096"/>
    <w:multiLevelType w:val="hybridMultilevel"/>
    <w:tmpl w:val="68BE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E671468"/>
    <w:multiLevelType w:val="hybridMultilevel"/>
    <w:tmpl w:val="32B48522"/>
    <w:lvl w:ilvl="0" w:tplc="0D7232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F3E5052"/>
    <w:multiLevelType w:val="hybridMultilevel"/>
    <w:tmpl w:val="F75C1AE2"/>
    <w:lvl w:ilvl="0" w:tplc="04090001">
      <w:start w:val="1"/>
      <w:numFmt w:val="bullet"/>
      <w:lvlText w:val=""/>
      <w:lvlJc w:val="left"/>
      <w:pPr>
        <w:ind w:left="720" w:hanging="360"/>
      </w:pPr>
      <w:rPr>
        <w:rFonts w:ascii="Symbol" w:hAnsi="Symbol" w:hint="default"/>
      </w:rPr>
    </w:lvl>
    <w:lvl w:ilvl="1" w:tplc="C924DE0A">
      <w:numFmt w:val="bullet"/>
      <w:lvlText w:val="•"/>
      <w:lvlJc w:val="left"/>
      <w:pPr>
        <w:ind w:left="1440" w:hanging="360"/>
      </w:pPr>
      <w:rPr>
        <w:rFonts w:ascii="Arial" w:eastAsiaTheme="minorEastAsia"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FBC31F2"/>
    <w:multiLevelType w:val="hybridMultilevel"/>
    <w:tmpl w:val="DF323952"/>
    <w:lvl w:ilvl="0" w:tplc="79A4FBD4">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3"/>
  </w:num>
  <w:num w:numId="2">
    <w:abstractNumId w:val="19"/>
  </w:num>
  <w:num w:numId="3">
    <w:abstractNumId w:val="41"/>
  </w:num>
  <w:num w:numId="4">
    <w:abstractNumId w:val="63"/>
  </w:num>
  <w:num w:numId="5">
    <w:abstractNumId w:val="37"/>
  </w:num>
  <w:num w:numId="6">
    <w:abstractNumId w:val="6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95"/>
  </w:num>
  <w:num w:numId="8">
    <w:abstractNumId w:val="53"/>
  </w:num>
  <w:num w:numId="9">
    <w:abstractNumId w:val="96"/>
  </w:num>
  <w:num w:numId="10">
    <w:abstractNumId w:val="119"/>
  </w:num>
  <w:num w:numId="11">
    <w:abstractNumId w:val="112"/>
  </w:num>
  <w:num w:numId="12">
    <w:abstractNumId w:val="45"/>
  </w:num>
  <w:num w:numId="13">
    <w:abstractNumId w:val="2"/>
  </w:num>
  <w:num w:numId="14">
    <w:abstractNumId w:val="1"/>
  </w:num>
  <w:num w:numId="15">
    <w:abstractNumId w:val="44"/>
  </w:num>
  <w:num w:numId="16">
    <w:abstractNumId w:val="10"/>
  </w:num>
  <w:num w:numId="17">
    <w:abstractNumId w:val="51"/>
  </w:num>
  <w:num w:numId="18">
    <w:abstractNumId w:val="15"/>
  </w:num>
  <w:num w:numId="19">
    <w:abstractNumId w:val="85"/>
  </w:num>
  <w:num w:numId="20">
    <w:abstractNumId w:val="8"/>
  </w:num>
  <w:num w:numId="21">
    <w:abstractNumId w:val="115"/>
  </w:num>
  <w:num w:numId="22">
    <w:abstractNumId w:val="62"/>
  </w:num>
  <w:num w:numId="23">
    <w:abstractNumId w:val="104"/>
  </w:num>
  <w:num w:numId="24">
    <w:abstractNumId w:val="58"/>
  </w:num>
  <w:num w:numId="25">
    <w:abstractNumId w:val="87"/>
  </w:num>
  <w:num w:numId="26">
    <w:abstractNumId w:val="30"/>
  </w:num>
  <w:num w:numId="27">
    <w:abstractNumId w:val="77"/>
  </w:num>
  <w:num w:numId="28">
    <w:abstractNumId w:val="100"/>
  </w:num>
  <w:num w:numId="29">
    <w:abstractNumId w:val="55"/>
  </w:num>
  <w:num w:numId="30">
    <w:abstractNumId w:val="98"/>
  </w:num>
  <w:num w:numId="31">
    <w:abstractNumId w:val="54"/>
  </w:num>
  <w:num w:numId="32">
    <w:abstractNumId w:val="97"/>
  </w:num>
  <w:num w:numId="33">
    <w:abstractNumId w:val="75"/>
  </w:num>
  <w:num w:numId="34">
    <w:abstractNumId w:val="43"/>
  </w:num>
  <w:num w:numId="35">
    <w:abstractNumId w:val="20"/>
  </w:num>
  <w:num w:numId="36">
    <w:abstractNumId w:val="118"/>
  </w:num>
  <w:num w:numId="37">
    <w:abstractNumId w:val="68"/>
  </w:num>
  <w:num w:numId="38">
    <w:abstractNumId w:val="48"/>
  </w:num>
  <w:num w:numId="39">
    <w:abstractNumId w:val="79"/>
  </w:num>
  <w:num w:numId="40">
    <w:abstractNumId w:val="49"/>
  </w:num>
  <w:num w:numId="41">
    <w:abstractNumId w:val="12"/>
  </w:num>
  <w:num w:numId="42">
    <w:abstractNumId w:val="92"/>
  </w:num>
  <w:num w:numId="43">
    <w:abstractNumId w:val="93"/>
  </w:num>
  <w:num w:numId="44">
    <w:abstractNumId w:val="24"/>
  </w:num>
  <w:num w:numId="45">
    <w:abstractNumId w:val="67"/>
  </w:num>
  <w:num w:numId="46">
    <w:abstractNumId w:val="110"/>
  </w:num>
  <w:num w:numId="47">
    <w:abstractNumId w:val="72"/>
  </w:num>
  <w:num w:numId="48">
    <w:abstractNumId w:val="6"/>
  </w:num>
  <w:num w:numId="49">
    <w:abstractNumId w:val="35"/>
  </w:num>
  <w:num w:numId="50">
    <w:abstractNumId w:val="81"/>
  </w:num>
  <w:num w:numId="51">
    <w:abstractNumId w:val="71"/>
  </w:num>
  <w:num w:numId="52">
    <w:abstractNumId w:val="59"/>
  </w:num>
  <w:num w:numId="53">
    <w:abstractNumId w:val="105"/>
  </w:num>
  <w:num w:numId="54">
    <w:abstractNumId w:val="28"/>
  </w:num>
  <w:num w:numId="55">
    <w:abstractNumId w:val="50"/>
  </w:num>
  <w:num w:numId="56">
    <w:abstractNumId w:val="31"/>
  </w:num>
  <w:num w:numId="57">
    <w:abstractNumId w:val="25"/>
  </w:num>
  <w:num w:numId="58">
    <w:abstractNumId w:val="5"/>
  </w:num>
  <w:num w:numId="59">
    <w:abstractNumId w:val="46"/>
  </w:num>
  <w:num w:numId="60">
    <w:abstractNumId w:val="23"/>
  </w:num>
  <w:num w:numId="61">
    <w:abstractNumId w:val="103"/>
  </w:num>
  <w:num w:numId="62">
    <w:abstractNumId w:val="16"/>
  </w:num>
  <w:num w:numId="63">
    <w:abstractNumId w:val="82"/>
  </w:num>
  <w:num w:numId="64">
    <w:abstractNumId w:val="17"/>
  </w:num>
  <w:num w:numId="65">
    <w:abstractNumId w:val="69"/>
  </w:num>
  <w:num w:numId="66">
    <w:abstractNumId w:val="0"/>
  </w:num>
  <w:num w:numId="67">
    <w:abstractNumId w:val="101"/>
  </w:num>
  <w:num w:numId="68">
    <w:abstractNumId w:val="89"/>
  </w:num>
  <w:num w:numId="69">
    <w:abstractNumId w:val="11"/>
  </w:num>
  <w:num w:numId="70">
    <w:abstractNumId w:val="116"/>
  </w:num>
  <w:num w:numId="71">
    <w:abstractNumId w:val="102"/>
  </w:num>
  <w:num w:numId="72">
    <w:abstractNumId w:val="38"/>
  </w:num>
  <w:num w:numId="73">
    <w:abstractNumId w:val="36"/>
  </w:num>
  <w:num w:numId="74">
    <w:abstractNumId w:val="27"/>
  </w:num>
  <w:num w:numId="75">
    <w:abstractNumId w:val="109"/>
  </w:num>
  <w:num w:numId="76">
    <w:abstractNumId w:val="106"/>
  </w:num>
  <w:num w:numId="77">
    <w:abstractNumId w:val="21"/>
  </w:num>
  <w:num w:numId="78">
    <w:abstractNumId w:val="42"/>
  </w:num>
  <w:num w:numId="79">
    <w:abstractNumId w:val="40"/>
  </w:num>
  <w:num w:numId="80">
    <w:abstractNumId w:val="113"/>
  </w:num>
  <w:num w:numId="81">
    <w:abstractNumId w:val="78"/>
  </w:num>
  <w:num w:numId="82">
    <w:abstractNumId w:val="32"/>
  </w:num>
  <w:num w:numId="83">
    <w:abstractNumId w:val="86"/>
  </w:num>
  <w:num w:numId="84">
    <w:abstractNumId w:val="108"/>
  </w:num>
  <w:num w:numId="85">
    <w:abstractNumId w:val="34"/>
  </w:num>
  <w:num w:numId="86">
    <w:abstractNumId w:val="65"/>
  </w:num>
  <w:num w:numId="87">
    <w:abstractNumId w:val="94"/>
  </w:num>
  <w:num w:numId="88">
    <w:abstractNumId w:val="76"/>
  </w:num>
  <w:num w:numId="89">
    <w:abstractNumId w:val="64"/>
  </w:num>
  <w:num w:numId="90">
    <w:abstractNumId w:val="84"/>
  </w:num>
  <w:num w:numId="91">
    <w:abstractNumId w:val="22"/>
  </w:num>
  <w:num w:numId="92">
    <w:abstractNumId w:val="90"/>
  </w:num>
  <w:num w:numId="93">
    <w:abstractNumId w:val="73"/>
  </w:num>
  <w:num w:numId="94">
    <w:abstractNumId w:val="47"/>
  </w:num>
  <w:num w:numId="95">
    <w:abstractNumId w:val="33"/>
  </w:num>
  <w:num w:numId="96">
    <w:abstractNumId w:val="66"/>
  </w:num>
  <w:num w:numId="97">
    <w:abstractNumId w:val="7"/>
  </w:num>
  <w:num w:numId="98">
    <w:abstractNumId w:val="99"/>
  </w:num>
  <w:num w:numId="99">
    <w:abstractNumId w:val="39"/>
  </w:num>
  <w:num w:numId="100">
    <w:abstractNumId w:val="9"/>
  </w:num>
  <w:num w:numId="101">
    <w:abstractNumId w:val="57"/>
  </w:num>
  <w:num w:numId="102">
    <w:abstractNumId w:val="60"/>
  </w:num>
  <w:num w:numId="103">
    <w:abstractNumId w:val="3"/>
  </w:num>
  <w:num w:numId="104">
    <w:abstractNumId w:val="29"/>
  </w:num>
  <w:num w:numId="105">
    <w:abstractNumId w:val="18"/>
  </w:num>
  <w:num w:numId="106">
    <w:abstractNumId w:val="91"/>
  </w:num>
  <w:num w:numId="107">
    <w:abstractNumId w:val="26"/>
  </w:num>
  <w:num w:numId="108">
    <w:abstractNumId w:val="56"/>
  </w:num>
  <w:num w:numId="109">
    <w:abstractNumId w:val="111"/>
  </w:num>
  <w:num w:numId="110">
    <w:abstractNumId w:val="107"/>
  </w:num>
  <w:num w:numId="111">
    <w:abstractNumId w:val="52"/>
  </w:num>
  <w:num w:numId="112">
    <w:abstractNumId w:val="13"/>
  </w:num>
  <w:num w:numId="113">
    <w:abstractNumId w:val="83"/>
  </w:num>
  <w:num w:numId="114">
    <w:abstractNumId w:val="80"/>
  </w:num>
  <w:num w:numId="115">
    <w:abstractNumId w:val="70"/>
  </w:num>
  <w:num w:numId="116">
    <w:abstractNumId w:val="117"/>
  </w:num>
  <w:num w:numId="117">
    <w:abstractNumId w:val="88"/>
  </w:num>
  <w:num w:numId="118">
    <w:abstractNumId w:val="14"/>
  </w:num>
  <w:num w:numId="119">
    <w:abstractNumId w:val="114"/>
  </w:num>
  <w:num w:numId="120">
    <w:abstractNumId w:val="61"/>
  </w:num>
  <w:num w:numId="121">
    <w:abstractNumId w:val="74"/>
  </w:num>
  <w:num w:numId="122">
    <w:abstractNumId w:val="4"/>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n-GB" w:vendorID="64" w:dllVersion="6" w:nlCheck="1" w:checkStyle="0"/>
  <w:activeWritingStyle w:appName="MSWord" w:lang="en-US" w:vendorID="64" w:dllVersion="6" w:nlCheck="1" w:checkStyle="0"/>
  <w:activeWritingStyle w:appName="MSWord" w:lang="de-DE" w:vendorID="64" w:dllVersion="0" w:nlCheck="1" w:checkStyle="0"/>
  <w:activeWritingStyle w:appName="MSWord" w:lang="fr-BE" w:vendorID="64" w:dllVersion="0" w:nlCheck="1" w:checkStyle="0"/>
  <w:activeWritingStyle w:appName="MSWord" w:lang="fr-CH"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savePreviewPicture/>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66E"/>
    <w:rsid w:val="000024A3"/>
    <w:rsid w:val="000057BB"/>
    <w:rsid w:val="000077AD"/>
    <w:rsid w:val="00011A16"/>
    <w:rsid w:val="000149E6"/>
    <w:rsid w:val="00021551"/>
    <w:rsid w:val="00023DA9"/>
    <w:rsid w:val="000247B0"/>
    <w:rsid w:val="00026997"/>
    <w:rsid w:val="00026A08"/>
    <w:rsid w:val="00032E4E"/>
    <w:rsid w:val="00033E0B"/>
    <w:rsid w:val="00035EDE"/>
    <w:rsid w:val="000451AF"/>
    <w:rsid w:val="000509B4"/>
    <w:rsid w:val="00050A95"/>
    <w:rsid w:val="0006035B"/>
    <w:rsid w:val="0006096F"/>
    <w:rsid w:val="000649C5"/>
    <w:rsid w:val="000656E9"/>
    <w:rsid w:val="00070A48"/>
    <w:rsid w:val="00071886"/>
    <w:rsid w:val="000742BC"/>
    <w:rsid w:val="00076CC6"/>
    <w:rsid w:val="00082A0C"/>
    <w:rsid w:val="00083504"/>
    <w:rsid w:val="0009640C"/>
    <w:rsid w:val="000A28A7"/>
    <w:rsid w:val="000A7C0C"/>
    <w:rsid w:val="000B22A2"/>
    <w:rsid w:val="000B510B"/>
    <w:rsid w:val="000B541B"/>
    <w:rsid w:val="000B73F9"/>
    <w:rsid w:val="000C2A52"/>
    <w:rsid w:val="000C2A88"/>
    <w:rsid w:val="000C2ED0"/>
    <w:rsid w:val="000D33C0"/>
    <w:rsid w:val="000D3F15"/>
    <w:rsid w:val="000D4CF6"/>
    <w:rsid w:val="000D67F2"/>
    <w:rsid w:val="000D6941"/>
    <w:rsid w:val="000F4829"/>
    <w:rsid w:val="000F6AE4"/>
    <w:rsid w:val="000F6B21"/>
    <w:rsid w:val="00101CDC"/>
    <w:rsid w:val="00102EFB"/>
    <w:rsid w:val="00103375"/>
    <w:rsid w:val="00114746"/>
    <w:rsid w:val="0011549D"/>
    <w:rsid w:val="001202E3"/>
    <w:rsid w:val="001224E5"/>
    <w:rsid w:val="00123699"/>
    <w:rsid w:val="001241FB"/>
    <w:rsid w:val="0013059D"/>
    <w:rsid w:val="001314DE"/>
    <w:rsid w:val="00136187"/>
    <w:rsid w:val="00141A55"/>
    <w:rsid w:val="0014293F"/>
    <w:rsid w:val="0014397D"/>
    <w:rsid w:val="001446A3"/>
    <w:rsid w:val="00151205"/>
    <w:rsid w:val="00151F89"/>
    <w:rsid w:val="00152B6B"/>
    <w:rsid w:val="00155395"/>
    <w:rsid w:val="00155A2F"/>
    <w:rsid w:val="00156B6B"/>
    <w:rsid w:val="00156B85"/>
    <w:rsid w:val="00160D74"/>
    <w:rsid w:val="001646EA"/>
    <w:rsid w:val="00167D02"/>
    <w:rsid w:val="001759D8"/>
    <w:rsid w:val="00177D7F"/>
    <w:rsid w:val="00180C3F"/>
    <w:rsid w:val="00181EC8"/>
    <w:rsid w:val="0018293A"/>
    <w:rsid w:val="00184349"/>
    <w:rsid w:val="00195F33"/>
    <w:rsid w:val="00196BC7"/>
    <w:rsid w:val="001A47E5"/>
    <w:rsid w:val="001B1617"/>
    <w:rsid w:val="001B504B"/>
    <w:rsid w:val="001B6F98"/>
    <w:rsid w:val="001C191A"/>
    <w:rsid w:val="001D2D88"/>
    <w:rsid w:val="001D2D8B"/>
    <w:rsid w:val="001D3874"/>
    <w:rsid w:val="001D7E75"/>
    <w:rsid w:val="001E0D73"/>
    <w:rsid w:val="001E45BD"/>
    <w:rsid w:val="001E56D2"/>
    <w:rsid w:val="001E7D56"/>
    <w:rsid w:val="001F5186"/>
    <w:rsid w:val="001F75DE"/>
    <w:rsid w:val="00200D58"/>
    <w:rsid w:val="002011C1"/>
    <w:rsid w:val="002013BE"/>
    <w:rsid w:val="00201EDC"/>
    <w:rsid w:val="002029A2"/>
    <w:rsid w:val="00205190"/>
    <w:rsid w:val="002063A4"/>
    <w:rsid w:val="0021145B"/>
    <w:rsid w:val="00220C23"/>
    <w:rsid w:val="002247F6"/>
    <w:rsid w:val="00225E21"/>
    <w:rsid w:val="00225E44"/>
    <w:rsid w:val="00232E82"/>
    <w:rsid w:val="00234E78"/>
    <w:rsid w:val="00241E58"/>
    <w:rsid w:val="00243D36"/>
    <w:rsid w:val="00246151"/>
    <w:rsid w:val="00246FFE"/>
    <w:rsid w:val="00247707"/>
    <w:rsid w:val="00252456"/>
    <w:rsid w:val="0026018E"/>
    <w:rsid w:val="0028207F"/>
    <w:rsid w:val="00284976"/>
    <w:rsid w:val="00286740"/>
    <w:rsid w:val="00290C27"/>
    <w:rsid w:val="00291EAE"/>
    <w:rsid w:val="002929D8"/>
    <w:rsid w:val="002A237D"/>
    <w:rsid w:val="002A4C53"/>
    <w:rsid w:val="002B0672"/>
    <w:rsid w:val="002B09CF"/>
    <w:rsid w:val="002B247F"/>
    <w:rsid w:val="002B50D4"/>
    <w:rsid w:val="002B58BF"/>
    <w:rsid w:val="002C145D"/>
    <w:rsid w:val="002C2C3E"/>
    <w:rsid w:val="002C533E"/>
    <w:rsid w:val="002C5DA3"/>
    <w:rsid w:val="002D027F"/>
    <w:rsid w:val="002D3E15"/>
    <w:rsid w:val="002D7A85"/>
    <w:rsid w:val="002D7B60"/>
    <w:rsid w:val="002F4761"/>
    <w:rsid w:val="002F5C79"/>
    <w:rsid w:val="002F68EE"/>
    <w:rsid w:val="003019E2"/>
    <w:rsid w:val="00310BEB"/>
    <w:rsid w:val="0031413F"/>
    <w:rsid w:val="00314854"/>
    <w:rsid w:val="003148BB"/>
    <w:rsid w:val="00314CA8"/>
    <w:rsid w:val="00317976"/>
    <w:rsid w:val="00320B7C"/>
    <w:rsid w:val="00320F2F"/>
    <w:rsid w:val="0032457E"/>
    <w:rsid w:val="00325D38"/>
    <w:rsid w:val="003471B1"/>
    <w:rsid w:val="00347292"/>
    <w:rsid w:val="0035277E"/>
    <w:rsid w:val="00353EC0"/>
    <w:rsid w:val="00355EA9"/>
    <w:rsid w:val="003578DE"/>
    <w:rsid w:val="00361688"/>
    <w:rsid w:val="00361932"/>
    <w:rsid w:val="00361BD4"/>
    <w:rsid w:val="003710D0"/>
    <w:rsid w:val="00380921"/>
    <w:rsid w:val="00382D4E"/>
    <w:rsid w:val="0038455F"/>
    <w:rsid w:val="003877D5"/>
    <w:rsid w:val="003929B8"/>
    <w:rsid w:val="00393432"/>
    <w:rsid w:val="00396257"/>
    <w:rsid w:val="00397EB8"/>
    <w:rsid w:val="003A4FD0"/>
    <w:rsid w:val="003A6552"/>
    <w:rsid w:val="003A69D1"/>
    <w:rsid w:val="003A7705"/>
    <w:rsid w:val="003A77F1"/>
    <w:rsid w:val="003B1545"/>
    <w:rsid w:val="003C3219"/>
    <w:rsid w:val="003C409D"/>
    <w:rsid w:val="003C4544"/>
    <w:rsid w:val="003C5583"/>
    <w:rsid w:val="003C5BA6"/>
    <w:rsid w:val="003C74CF"/>
    <w:rsid w:val="003D3752"/>
    <w:rsid w:val="003E35DA"/>
    <w:rsid w:val="003E36D2"/>
    <w:rsid w:val="003E455D"/>
    <w:rsid w:val="003F0E85"/>
    <w:rsid w:val="00410C55"/>
    <w:rsid w:val="00416854"/>
    <w:rsid w:val="00417725"/>
    <w:rsid w:val="004223F1"/>
    <w:rsid w:val="0042266F"/>
    <w:rsid w:val="004309B9"/>
    <w:rsid w:val="00434321"/>
    <w:rsid w:val="00437E47"/>
    <w:rsid w:val="00437F26"/>
    <w:rsid w:val="00444097"/>
    <w:rsid w:val="00445487"/>
    <w:rsid w:val="00447E0D"/>
    <w:rsid w:val="00453EA8"/>
    <w:rsid w:val="00454769"/>
    <w:rsid w:val="00464971"/>
    <w:rsid w:val="00466991"/>
    <w:rsid w:val="0047064C"/>
    <w:rsid w:val="004822B7"/>
    <w:rsid w:val="0049194C"/>
    <w:rsid w:val="0049352E"/>
    <w:rsid w:val="0049469E"/>
    <w:rsid w:val="004962DB"/>
    <w:rsid w:val="004A2217"/>
    <w:rsid w:val="004A24F9"/>
    <w:rsid w:val="004A42E1"/>
    <w:rsid w:val="004B162C"/>
    <w:rsid w:val="004B2ABE"/>
    <w:rsid w:val="004B540B"/>
    <w:rsid w:val="004C3DBE"/>
    <w:rsid w:val="004C50E5"/>
    <w:rsid w:val="004C5C96"/>
    <w:rsid w:val="004D06A4"/>
    <w:rsid w:val="004D15AC"/>
    <w:rsid w:val="004D3739"/>
    <w:rsid w:val="004D772B"/>
    <w:rsid w:val="004E6825"/>
    <w:rsid w:val="004F1A81"/>
    <w:rsid w:val="004F5D88"/>
    <w:rsid w:val="004F685F"/>
    <w:rsid w:val="00500EB4"/>
    <w:rsid w:val="00501354"/>
    <w:rsid w:val="005050D2"/>
    <w:rsid w:val="00511F4E"/>
    <w:rsid w:val="005218D9"/>
    <w:rsid w:val="00536186"/>
    <w:rsid w:val="00540003"/>
    <w:rsid w:val="00544CBB"/>
    <w:rsid w:val="00551B65"/>
    <w:rsid w:val="00556704"/>
    <w:rsid w:val="005656D7"/>
    <w:rsid w:val="00570C98"/>
    <w:rsid w:val="0057315F"/>
    <w:rsid w:val="00576104"/>
    <w:rsid w:val="00581922"/>
    <w:rsid w:val="00586418"/>
    <w:rsid w:val="0058745C"/>
    <w:rsid w:val="0059056F"/>
    <w:rsid w:val="00592B21"/>
    <w:rsid w:val="00593366"/>
    <w:rsid w:val="005968AE"/>
    <w:rsid w:val="005B2DF4"/>
    <w:rsid w:val="005B44BF"/>
    <w:rsid w:val="005C67C8"/>
    <w:rsid w:val="005D0249"/>
    <w:rsid w:val="005D16B8"/>
    <w:rsid w:val="005D18FA"/>
    <w:rsid w:val="005D4FD4"/>
    <w:rsid w:val="005D6E8C"/>
    <w:rsid w:val="005E2042"/>
    <w:rsid w:val="005E3004"/>
    <w:rsid w:val="005F100C"/>
    <w:rsid w:val="005F68DA"/>
    <w:rsid w:val="005F7419"/>
    <w:rsid w:val="00601BC9"/>
    <w:rsid w:val="0060773B"/>
    <w:rsid w:val="00613FD6"/>
    <w:rsid w:val="006157B5"/>
    <w:rsid w:val="00617224"/>
    <w:rsid w:val="006176EB"/>
    <w:rsid w:val="006208B3"/>
    <w:rsid w:val="00623BDD"/>
    <w:rsid w:val="00626FC6"/>
    <w:rsid w:val="006303B4"/>
    <w:rsid w:val="00630ADC"/>
    <w:rsid w:val="00633D3D"/>
    <w:rsid w:val="00634E0D"/>
    <w:rsid w:val="00641703"/>
    <w:rsid w:val="006431A6"/>
    <w:rsid w:val="00643E3A"/>
    <w:rsid w:val="006459F6"/>
    <w:rsid w:val="006501AD"/>
    <w:rsid w:val="00651436"/>
    <w:rsid w:val="00651BFA"/>
    <w:rsid w:val="00654475"/>
    <w:rsid w:val="00656DF0"/>
    <w:rsid w:val="00665A4B"/>
    <w:rsid w:val="00666F61"/>
    <w:rsid w:val="00667D68"/>
    <w:rsid w:val="00670FAE"/>
    <w:rsid w:val="006809FA"/>
    <w:rsid w:val="00682421"/>
    <w:rsid w:val="00692E2A"/>
    <w:rsid w:val="0069496A"/>
    <w:rsid w:val="00696C1C"/>
    <w:rsid w:val="006A76F2"/>
    <w:rsid w:val="006B7D29"/>
    <w:rsid w:val="006C7C66"/>
    <w:rsid w:val="006D19D4"/>
    <w:rsid w:val="006D5644"/>
    <w:rsid w:val="006D7EFB"/>
    <w:rsid w:val="006E6672"/>
    <w:rsid w:val="006E6722"/>
    <w:rsid w:val="006F2424"/>
    <w:rsid w:val="006F7AFF"/>
    <w:rsid w:val="007027B9"/>
    <w:rsid w:val="007066B5"/>
    <w:rsid w:val="007145DA"/>
    <w:rsid w:val="00715E88"/>
    <w:rsid w:val="00716D8B"/>
    <w:rsid w:val="007201AF"/>
    <w:rsid w:val="00731576"/>
    <w:rsid w:val="00731B9F"/>
    <w:rsid w:val="0073328D"/>
    <w:rsid w:val="00734CAA"/>
    <w:rsid w:val="00740EE2"/>
    <w:rsid w:val="00742680"/>
    <w:rsid w:val="00754074"/>
    <w:rsid w:val="0075533C"/>
    <w:rsid w:val="00755A18"/>
    <w:rsid w:val="00757581"/>
    <w:rsid w:val="007602F5"/>
    <w:rsid w:val="00760D36"/>
    <w:rsid w:val="007611A0"/>
    <w:rsid w:val="00762CC9"/>
    <w:rsid w:val="00772574"/>
    <w:rsid w:val="00773E54"/>
    <w:rsid w:val="00787688"/>
    <w:rsid w:val="007935E6"/>
    <w:rsid w:val="00796D3F"/>
    <w:rsid w:val="007A10A6"/>
    <w:rsid w:val="007A1683"/>
    <w:rsid w:val="007A5C12"/>
    <w:rsid w:val="007A7CB0"/>
    <w:rsid w:val="007B68A3"/>
    <w:rsid w:val="007C2541"/>
    <w:rsid w:val="007C4630"/>
    <w:rsid w:val="007D66A8"/>
    <w:rsid w:val="007D7D16"/>
    <w:rsid w:val="007E003F"/>
    <w:rsid w:val="007E5B2D"/>
    <w:rsid w:val="007F0CF8"/>
    <w:rsid w:val="007F5E1B"/>
    <w:rsid w:val="007F62CB"/>
    <w:rsid w:val="008142EC"/>
    <w:rsid w:val="00814D55"/>
    <w:rsid w:val="008164F2"/>
    <w:rsid w:val="00816E9F"/>
    <w:rsid w:val="00821395"/>
    <w:rsid w:val="00821BD1"/>
    <w:rsid w:val="00830E26"/>
    <w:rsid w:val="00834368"/>
    <w:rsid w:val="0083441A"/>
    <w:rsid w:val="00843576"/>
    <w:rsid w:val="00843B64"/>
    <w:rsid w:val="00844AEA"/>
    <w:rsid w:val="00845261"/>
    <w:rsid w:val="008478FC"/>
    <w:rsid w:val="00851C51"/>
    <w:rsid w:val="008538F7"/>
    <w:rsid w:val="00854221"/>
    <w:rsid w:val="008564A3"/>
    <w:rsid w:val="00867BFF"/>
    <w:rsid w:val="00871542"/>
    <w:rsid w:val="00872BF6"/>
    <w:rsid w:val="00876933"/>
    <w:rsid w:val="0088480A"/>
    <w:rsid w:val="00884BB4"/>
    <w:rsid w:val="0088757A"/>
    <w:rsid w:val="008914B3"/>
    <w:rsid w:val="0089431B"/>
    <w:rsid w:val="00895668"/>
    <w:rsid w:val="008957DD"/>
    <w:rsid w:val="00897048"/>
    <w:rsid w:val="00897D98"/>
    <w:rsid w:val="008A518F"/>
    <w:rsid w:val="008A6DF2"/>
    <w:rsid w:val="008A7807"/>
    <w:rsid w:val="008B2396"/>
    <w:rsid w:val="008B4CC9"/>
    <w:rsid w:val="008C0B15"/>
    <w:rsid w:val="008C18F0"/>
    <w:rsid w:val="008C5BF8"/>
    <w:rsid w:val="008C7AF9"/>
    <w:rsid w:val="008D75E4"/>
    <w:rsid w:val="008D7C99"/>
    <w:rsid w:val="008E0FCB"/>
    <w:rsid w:val="008E2016"/>
    <w:rsid w:val="008F6DFE"/>
    <w:rsid w:val="0090529F"/>
    <w:rsid w:val="00914632"/>
    <w:rsid w:val="00916F86"/>
    <w:rsid w:val="0092178C"/>
    <w:rsid w:val="00930B88"/>
    <w:rsid w:val="00934011"/>
    <w:rsid w:val="00935376"/>
    <w:rsid w:val="00937790"/>
    <w:rsid w:val="00940DCC"/>
    <w:rsid w:val="0094179A"/>
    <w:rsid w:val="0094459E"/>
    <w:rsid w:val="00944DBC"/>
    <w:rsid w:val="00950977"/>
    <w:rsid w:val="00951A7B"/>
    <w:rsid w:val="00955512"/>
    <w:rsid w:val="009564A6"/>
    <w:rsid w:val="00957EF8"/>
    <w:rsid w:val="0096217E"/>
    <w:rsid w:val="00966A53"/>
    <w:rsid w:val="00967621"/>
    <w:rsid w:val="00967E6A"/>
    <w:rsid w:val="009716B0"/>
    <w:rsid w:val="00975D88"/>
    <w:rsid w:val="00980279"/>
    <w:rsid w:val="00981D0F"/>
    <w:rsid w:val="009907B9"/>
    <w:rsid w:val="00990918"/>
    <w:rsid w:val="00991BBF"/>
    <w:rsid w:val="009A1745"/>
    <w:rsid w:val="009A1795"/>
    <w:rsid w:val="009A3A83"/>
    <w:rsid w:val="009B4A0F"/>
    <w:rsid w:val="009C0898"/>
    <w:rsid w:val="009C11B0"/>
    <w:rsid w:val="009C11D2"/>
    <w:rsid w:val="009C1C36"/>
    <w:rsid w:val="009C6C70"/>
    <w:rsid w:val="009C7B0A"/>
    <w:rsid w:val="009D0B63"/>
    <w:rsid w:val="009D5CB8"/>
    <w:rsid w:val="009E17F8"/>
    <w:rsid w:val="009E307E"/>
    <w:rsid w:val="009E32A9"/>
    <w:rsid w:val="00A03166"/>
    <w:rsid w:val="00A07870"/>
    <w:rsid w:val="00A07C54"/>
    <w:rsid w:val="00A07EC3"/>
    <w:rsid w:val="00A07F19"/>
    <w:rsid w:val="00A10ABB"/>
    <w:rsid w:val="00A1348D"/>
    <w:rsid w:val="00A13C99"/>
    <w:rsid w:val="00A232EE"/>
    <w:rsid w:val="00A34CD6"/>
    <w:rsid w:val="00A4175F"/>
    <w:rsid w:val="00A44411"/>
    <w:rsid w:val="00A469FA"/>
    <w:rsid w:val="00A51ECC"/>
    <w:rsid w:val="00A53662"/>
    <w:rsid w:val="00A55B01"/>
    <w:rsid w:val="00A56B5B"/>
    <w:rsid w:val="00A57939"/>
    <w:rsid w:val="00A603FF"/>
    <w:rsid w:val="00A619B6"/>
    <w:rsid w:val="00A648CA"/>
    <w:rsid w:val="00A657DD"/>
    <w:rsid w:val="00A666A6"/>
    <w:rsid w:val="00A675FD"/>
    <w:rsid w:val="00A72437"/>
    <w:rsid w:val="00A8048B"/>
    <w:rsid w:val="00A8057B"/>
    <w:rsid w:val="00A80611"/>
    <w:rsid w:val="00AA11B0"/>
    <w:rsid w:val="00AA5BF4"/>
    <w:rsid w:val="00AA5D72"/>
    <w:rsid w:val="00AB48A9"/>
    <w:rsid w:val="00AB5340"/>
    <w:rsid w:val="00AC0A89"/>
    <w:rsid w:val="00AC3945"/>
    <w:rsid w:val="00AC7C96"/>
    <w:rsid w:val="00AD3593"/>
    <w:rsid w:val="00AD7072"/>
    <w:rsid w:val="00AE0812"/>
    <w:rsid w:val="00AE237D"/>
    <w:rsid w:val="00AE502A"/>
    <w:rsid w:val="00AF0010"/>
    <w:rsid w:val="00AF1AA8"/>
    <w:rsid w:val="00AF2C1F"/>
    <w:rsid w:val="00AF7C07"/>
    <w:rsid w:val="00B03140"/>
    <w:rsid w:val="00B04605"/>
    <w:rsid w:val="00B06C64"/>
    <w:rsid w:val="00B07D8E"/>
    <w:rsid w:val="00B11CAC"/>
    <w:rsid w:val="00B15A29"/>
    <w:rsid w:val="00B22C93"/>
    <w:rsid w:val="00B27589"/>
    <w:rsid w:val="00B3331E"/>
    <w:rsid w:val="00B405B7"/>
    <w:rsid w:val="00B468C0"/>
    <w:rsid w:val="00B52222"/>
    <w:rsid w:val="00B531DA"/>
    <w:rsid w:val="00B5386F"/>
    <w:rsid w:val="00B54895"/>
    <w:rsid w:val="00B54FE7"/>
    <w:rsid w:val="00B56958"/>
    <w:rsid w:val="00B647C6"/>
    <w:rsid w:val="00B655F9"/>
    <w:rsid w:val="00B66901"/>
    <w:rsid w:val="00B66F60"/>
    <w:rsid w:val="00B71E6D"/>
    <w:rsid w:val="00B72070"/>
    <w:rsid w:val="00B75ED0"/>
    <w:rsid w:val="00B76948"/>
    <w:rsid w:val="00B779E1"/>
    <w:rsid w:val="00B81E3A"/>
    <w:rsid w:val="00B8400F"/>
    <w:rsid w:val="00B85CFB"/>
    <w:rsid w:val="00B87C39"/>
    <w:rsid w:val="00B914E9"/>
    <w:rsid w:val="00B91EE1"/>
    <w:rsid w:val="00B94602"/>
    <w:rsid w:val="00BA0090"/>
    <w:rsid w:val="00BA19F4"/>
    <w:rsid w:val="00BA1A67"/>
    <w:rsid w:val="00BA6A80"/>
    <w:rsid w:val="00BB4ABB"/>
    <w:rsid w:val="00BC62BA"/>
    <w:rsid w:val="00BD7D56"/>
    <w:rsid w:val="00BE5B5F"/>
    <w:rsid w:val="00BE7993"/>
    <w:rsid w:val="00BF56B4"/>
    <w:rsid w:val="00C02143"/>
    <w:rsid w:val="00C02F3D"/>
    <w:rsid w:val="00C11971"/>
    <w:rsid w:val="00C179DE"/>
    <w:rsid w:val="00C2144A"/>
    <w:rsid w:val="00C26F55"/>
    <w:rsid w:val="00C30C63"/>
    <w:rsid w:val="00C30FF3"/>
    <w:rsid w:val="00C34282"/>
    <w:rsid w:val="00C34D5C"/>
    <w:rsid w:val="00C36B8B"/>
    <w:rsid w:val="00C415C1"/>
    <w:rsid w:val="00C469F4"/>
    <w:rsid w:val="00C47DBF"/>
    <w:rsid w:val="00C552FF"/>
    <w:rsid w:val="00C558DA"/>
    <w:rsid w:val="00C55AF3"/>
    <w:rsid w:val="00C608EF"/>
    <w:rsid w:val="00C771A9"/>
    <w:rsid w:val="00C82943"/>
    <w:rsid w:val="00C84759"/>
    <w:rsid w:val="00C91F29"/>
    <w:rsid w:val="00C93096"/>
    <w:rsid w:val="00CA35C5"/>
    <w:rsid w:val="00CA5CA9"/>
    <w:rsid w:val="00CA5FC4"/>
    <w:rsid w:val="00CA6C7F"/>
    <w:rsid w:val="00CB007D"/>
    <w:rsid w:val="00CB60CA"/>
    <w:rsid w:val="00CC0FC7"/>
    <w:rsid w:val="00CC10A6"/>
    <w:rsid w:val="00CC38BB"/>
    <w:rsid w:val="00CD590F"/>
    <w:rsid w:val="00CD5EB8"/>
    <w:rsid w:val="00CD7044"/>
    <w:rsid w:val="00CE08B9"/>
    <w:rsid w:val="00CE24EC"/>
    <w:rsid w:val="00CE3515"/>
    <w:rsid w:val="00CE524C"/>
    <w:rsid w:val="00CF141F"/>
    <w:rsid w:val="00CF462B"/>
    <w:rsid w:val="00CF4777"/>
    <w:rsid w:val="00CF65C8"/>
    <w:rsid w:val="00D013F5"/>
    <w:rsid w:val="00D05E3F"/>
    <w:rsid w:val="00D06276"/>
    <w:rsid w:val="00D0665E"/>
    <w:rsid w:val="00D067BB"/>
    <w:rsid w:val="00D1352A"/>
    <w:rsid w:val="00D14D35"/>
    <w:rsid w:val="00D1638E"/>
    <w:rsid w:val="00D16640"/>
    <w:rsid w:val="00D169AF"/>
    <w:rsid w:val="00D200EF"/>
    <w:rsid w:val="00D25175"/>
    <w:rsid w:val="00D25249"/>
    <w:rsid w:val="00D26854"/>
    <w:rsid w:val="00D2718A"/>
    <w:rsid w:val="00D44172"/>
    <w:rsid w:val="00D44C50"/>
    <w:rsid w:val="00D47BE3"/>
    <w:rsid w:val="00D547CA"/>
    <w:rsid w:val="00D55040"/>
    <w:rsid w:val="00D63B8C"/>
    <w:rsid w:val="00D739CC"/>
    <w:rsid w:val="00D7665C"/>
    <w:rsid w:val="00D806F9"/>
    <w:rsid w:val="00D8093D"/>
    <w:rsid w:val="00D8108C"/>
    <w:rsid w:val="00D842AE"/>
    <w:rsid w:val="00D91341"/>
    <w:rsid w:val="00D9211C"/>
    <w:rsid w:val="00D92DE0"/>
    <w:rsid w:val="00D92FEF"/>
    <w:rsid w:val="00D931F9"/>
    <w:rsid w:val="00D93A0F"/>
    <w:rsid w:val="00D9477B"/>
    <w:rsid w:val="00DA1BCA"/>
    <w:rsid w:val="00DA2A18"/>
    <w:rsid w:val="00DA3663"/>
    <w:rsid w:val="00DB6B73"/>
    <w:rsid w:val="00DC0365"/>
    <w:rsid w:val="00DC274A"/>
    <w:rsid w:val="00DC46FF"/>
    <w:rsid w:val="00DC5254"/>
    <w:rsid w:val="00DC569D"/>
    <w:rsid w:val="00DD1A4F"/>
    <w:rsid w:val="00DD3107"/>
    <w:rsid w:val="00DD7C2C"/>
    <w:rsid w:val="00DE366B"/>
    <w:rsid w:val="00DE5BDA"/>
    <w:rsid w:val="00DF433C"/>
    <w:rsid w:val="00DF519F"/>
    <w:rsid w:val="00DF7E8D"/>
    <w:rsid w:val="00E0035A"/>
    <w:rsid w:val="00E01548"/>
    <w:rsid w:val="00E05519"/>
    <w:rsid w:val="00E06797"/>
    <w:rsid w:val="00E1265B"/>
    <w:rsid w:val="00E12E09"/>
    <w:rsid w:val="00E13B48"/>
    <w:rsid w:val="00E1404F"/>
    <w:rsid w:val="00E21C83"/>
    <w:rsid w:val="00E22B9F"/>
    <w:rsid w:val="00E24ADA"/>
    <w:rsid w:val="00E32F59"/>
    <w:rsid w:val="00E41908"/>
    <w:rsid w:val="00E4196B"/>
    <w:rsid w:val="00E46D9A"/>
    <w:rsid w:val="00E51441"/>
    <w:rsid w:val="00E565FF"/>
    <w:rsid w:val="00E65388"/>
    <w:rsid w:val="00E7741D"/>
    <w:rsid w:val="00E808CD"/>
    <w:rsid w:val="00E8348F"/>
    <w:rsid w:val="00E85B7D"/>
    <w:rsid w:val="00E9121B"/>
    <w:rsid w:val="00E9302E"/>
    <w:rsid w:val="00E94797"/>
    <w:rsid w:val="00E976AB"/>
    <w:rsid w:val="00EA0AE2"/>
    <w:rsid w:val="00EA3499"/>
    <w:rsid w:val="00EA39E5"/>
    <w:rsid w:val="00EA57A3"/>
    <w:rsid w:val="00EA7649"/>
    <w:rsid w:val="00EB5EE1"/>
    <w:rsid w:val="00EB6F3A"/>
    <w:rsid w:val="00EC2813"/>
    <w:rsid w:val="00EC5A46"/>
    <w:rsid w:val="00EC63E2"/>
    <w:rsid w:val="00ED0225"/>
    <w:rsid w:val="00ED366A"/>
    <w:rsid w:val="00ED568A"/>
    <w:rsid w:val="00ED5E27"/>
    <w:rsid w:val="00ED6BB7"/>
    <w:rsid w:val="00EE2455"/>
    <w:rsid w:val="00EF2206"/>
    <w:rsid w:val="00EF22B3"/>
    <w:rsid w:val="00F03B69"/>
    <w:rsid w:val="00F07A50"/>
    <w:rsid w:val="00F07FBD"/>
    <w:rsid w:val="00F113DA"/>
    <w:rsid w:val="00F23345"/>
    <w:rsid w:val="00F266FC"/>
    <w:rsid w:val="00F27EC2"/>
    <w:rsid w:val="00F3037A"/>
    <w:rsid w:val="00F3465A"/>
    <w:rsid w:val="00F37DC8"/>
    <w:rsid w:val="00F439B3"/>
    <w:rsid w:val="00F650C3"/>
    <w:rsid w:val="00F65D85"/>
    <w:rsid w:val="00F669B1"/>
    <w:rsid w:val="00F6700B"/>
    <w:rsid w:val="00F7137B"/>
    <w:rsid w:val="00F8091E"/>
    <w:rsid w:val="00F80983"/>
    <w:rsid w:val="00F8615C"/>
    <w:rsid w:val="00F924B9"/>
    <w:rsid w:val="00F969E5"/>
    <w:rsid w:val="00F96F7E"/>
    <w:rsid w:val="00FA4972"/>
    <w:rsid w:val="00FA6BB0"/>
    <w:rsid w:val="00FB197C"/>
    <w:rsid w:val="00FB2DBD"/>
    <w:rsid w:val="00FC56B7"/>
    <w:rsid w:val="00FD28C5"/>
    <w:rsid w:val="00FD48DF"/>
    <w:rsid w:val="00FD5860"/>
    <w:rsid w:val="00FE2EF8"/>
    <w:rsid w:val="00FE352D"/>
    <w:rsid w:val="00FE40EB"/>
    <w:rsid w:val="00FE4D02"/>
    <w:rsid w:val="00FE7D62"/>
    <w:rsid w:val="00FF0DA0"/>
    <w:rsid w:val="00FF3819"/>
    <w:rsid w:val="00FF62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50A95"/>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semiHidden/>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
    <w:next w:val="CH2"/>
    <w:rsid w:val="006F2424"/>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6F2424"/>
    <w:pPr>
      <w:keepNext/>
      <w:keepLines/>
      <w:tabs>
        <w:tab w:val="right" w:pos="851"/>
        <w:tab w:val="left" w:pos="4082"/>
      </w:tabs>
      <w:suppressAutoHyphens/>
      <w:spacing w:before="240" w:after="120"/>
      <w:ind w:left="1247" w:right="284" w:hanging="1247"/>
    </w:pPr>
    <w:rPr>
      <w:b/>
      <w:sz w:val="24"/>
      <w:szCs w:val="24"/>
    </w:rPr>
  </w:style>
  <w:style w:type="paragraph" w:customStyle="1" w:styleId="CH3">
    <w:name w:val="CH3"/>
    <w:basedOn w:val="Normal"/>
    <w:next w:val="Normalnumber"/>
    <w:rsid w:val="006F2424"/>
    <w:pPr>
      <w:keepNext/>
      <w:keepLines/>
      <w:tabs>
        <w:tab w:val="right" w:pos="851"/>
        <w:tab w:val="left" w:pos="4082"/>
      </w:tabs>
      <w:suppressAutoHyphens/>
      <w:spacing w:before="240" w:after="120"/>
      <w:ind w:left="1247" w:right="284" w:hanging="1247"/>
    </w:pPr>
    <w:rPr>
      <w:b/>
    </w:rPr>
  </w:style>
  <w:style w:type="paragraph" w:customStyle="1" w:styleId="CH4">
    <w:name w:val="CH4"/>
    <w:basedOn w:val="Normal"/>
    <w:next w:val="Normalnumber"/>
    <w:rsid w:val="006F2424"/>
    <w:pPr>
      <w:keepNext/>
      <w:keepLines/>
      <w:tabs>
        <w:tab w:val="right" w:pos="851"/>
        <w:tab w:val="left" w:pos="4082"/>
      </w:tabs>
      <w:suppressAutoHyphens/>
      <w:spacing w:before="24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6F2424"/>
    <w:pPr>
      <w:keepNext/>
      <w:keepLines/>
      <w:tabs>
        <w:tab w:val="right" w:pos="851"/>
        <w:tab w:val="left" w:pos="4082"/>
      </w:tabs>
      <w:suppressAutoHyphens/>
      <w:spacing w:before="24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qFormat/>
    <w:rsid w:val="006F2424"/>
    <w:pPr>
      <w:tabs>
        <w:tab w:val="left" w:pos="4082"/>
      </w:tabs>
      <w:spacing w:before="20" w:after="40"/>
      <w:ind w:left="1247"/>
    </w:pPr>
    <w:rPr>
      <w:sz w:val="18"/>
      <w:lang w:val="fr-FR"/>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 Paragraph,List Paragraph1,List Paragraph (numbered (a)),Liste 1,heading 6,List Paragraph - Dani,List Paragraph 1 - Dani,List Paragraph nowy,Numbered List Paragraph,Indent Paragraph,Citation List,Heading 2 MS,SMI bullet,Dot pt"/>
    <w:basedOn w:val="Normal"/>
    <w:link w:val="ListParagraphChar"/>
    <w:uiPriority w:val="34"/>
    <w:semiHidden/>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
    <w:qFormat/>
    <w:rsid w:val="006F2424"/>
    <w:pPr>
      <w:keepNext/>
      <w:keepLines/>
      <w:tabs>
        <w:tab w:val="left" w:pos="4082"/>
      </w:tabs>
      <w:suppressAutoHyphens/>
      <w:ind w:right="5103"/>
    </w:pPr>
    <w:rPr>
      <w:b/>
    </w:rPr>
  </w:style>
  <w:style w:type="paragraph" w:customStyle="1" w:styleId="AATitle2">
    <w:name w:val="AA_Title2"/>
    <w:basedOn w:val="AATitle"/>
    <w:rsid w:val="007A10A6"/>
    <w:pPr>
      <w:tabs>
        <w:tab w:val="clear" w:pos="4082"/>
      </w:tabs>
      <w:spacing w:before="60"/>
      <w:ind w:right="4536"/>
    </w:pPr>
  </w:style>
  <w:style w:type="paragraph" w:customStyle="1" w:styleId="BBTitle">
    <w:name w:val="BB_Title"/>
    <w:basedOn w:val="Normal"/>
    <w:link w:val="BBTitleChar"/>
    <w:rsid w:val="006F2424"/>
    <w:pPr>
      <w:keepNext/>
      <w:keepLines/>
      <w:tabs>
        <w:tab w:val="left" w:pos="4082"/>
      </w:tab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
    <w:rsid w:val="006F2424"/>
    <w:pPr>
      <w:tabs>
        <w:tab w:val="left" w:pos="4082"/>
      </w:tabs>
      <w:spacing w:after="120"/>
      <w:ind w:left="1247"/>
    </w:pPr>
  </w:style>
  <w:style w:type="paragraph" w:customStyle="1" w:styleId="Normalnumber">
    <w:name w:val="Normal_number"/>
    <w:basedOn w:val="Normal"/>
    <w:link w:val="NormalnumberChar"/>
    <w:qFormat/>
    <w:rsid w:val="00EE2455"/>
    <w:pPr>
      <w:numPr>
        <w:numId w:val="4"/>
      </w:numPr>
      <w:tabs>
        <w:tab w:val="clear" w:pos="1247"/>
        <w:tab w:val="clear" w:pos="1814"/>
        <w:tab w:val="clear" w:pos="2381"/>
        <w:tab w:val="clear" w:pos="2948"/>
        <w:tab w:val="clear" w:pos="3515"/>
        <w:tab w:val="left" w:pos="624"/>
      </w:tabs>
      <w:spacing w:after="120"/>
    </w:pPr>
  </w:style>
  <w:style w:type="paragraph" w:customStyle="1" w:styleId="Titletable">
    <w:name w:val="Title_table"/>
    <w:basedOn w:val="Normal"/>
    <w:rsid w:val="006F2424"/>
    <w:pPr>
      <w:keepNext/>
      <w:keepLines/>
      <w:tabs>
        <w:tab w:val="left" w:pos="4082"/>
      </w:tabs>
      <w:suppressAutoHyphens/>
      <w:spacing w:after="60"/>
      <w:ind w:left="1247"/>
    </w:pPr>
    <w:rPr>
      <w:b/>
      <w:bCs/>
    </w:rPr>
  </w:style>
  <w:style w:type="paragraph" w:styleId="TOC1">
    <w:name w:val="toc 1"/>
    <w:basedOn w:val="Normal"/>
    <w:next w:val="Normal"/>
    <w:rsid w:val="006F2424"/>
    <w:pPr>
      <w:tabs>
        <w:tab w:val="clear" w:pos="2381"/>
        <w:tab w:val="clear" w:pos="2948"/>
        <w:tab w:val="clear" w:pos="3515"/>
        <w:tab w:val="right" w:leader="dot" w:pos="9486"/>
      </w:tabs>
      <w:spacing w:before="240"/>
      <w:ind w:left="1814" w:hanging="567"/>
    </w:pPr>
    <w:rPr>
      <w:bCs/>
      <w:lang w:val="fr-FR"/>
    </w:rPr>
  </w:style>
  <w:style w:type="paragraph" w:styleId="TOC2">
    <w:name w:val="toc 2"/>
    <w:basedOn w:val="Normal"/>
    <w:next w:val="Normal"/>
    <w:rsid w:val="006F2424"/>
    <w:pPr>
      <w:tabs>
        <w:tab w:val="clear" w:pos="1814"/>
        <w:tab w:val="clear" w:pos="2948"/>
        <w:tab w:val="clear" w:pos="3515"/>
        <w:tab w:val="right" w:leader="dot" w:pos="9486"/>
      </w:tabs>
      <w:ind w:left="2381" w:hanging="567"/>
    </w:pPr>
    <w:rPr>
      <w:lang w:val="fr-FR"/>
    </w:rPr>
  </w:style>
  <w:style w:type="paragraph" w:styleId="TOC3">
    <w:name w:val="toc 3"/>
    <w:basedOn w:val="Normal"/>
    <w:next w:val="Normal"/>
    <w:rsid w:val="006F2424"/>
    <w:pPr>
      <w:tabs>
        <w:tab w:val="clear" w:pos="1814"/>
        <w:tab w:val="clear" w:pos="2381"/>
        <w:tab w:val="clear" w:pos="2948"/>
        <w:tab w:val="clear" w:pos="3515"/>
        <w:tab w:val="left" w:pos="4082"/>
        <w:tab w:val="right" w:leader="dot" w:pos="9486"/>
      </w:tabs>
      <w:ind w:left="2948" w:hanging="567"/>
    </w:pPr>
    <w:rPr>
      <w:iCs/>
      <w:lang w:val="fr-FR"/>
    </w:rPr>
  </w:style>
  <w:style w:type="paragraph" w:styleId="TOC4">
    <w:name w:val="toc 4"/>
    <w:basedOn w:val="Normal"/>
    <w:next w:val="Normal"/>
    <w:rsid w:val="006F2424"/>
    <w:pPr>
      <w:tabs>
        <w:tab w:val="clear" w:pos="1814"/>
        <w:tab w:val="clear" w:pos="2381"/>
        <w:tab w:val="clear" w:pos="2948"/>
        <w:tab w:val="clear" w:pos="3515"/>
        <w:tab w:val="left" w:pos="1000"/>
        <w:tab w:val="left" w:pos="4082"/>
        <w:tab w:val="right" w:leader="dot" w:pos="9486"/>
      </w:tabs>
      <w:ind w:left="3515" w:hanging="567"/>
    </w:pPr>
    <w:rPr>
      <w:szCs w:val="18"/>
      <w:lang w:val="fr-FR"/>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
    <w:link w:val="ZZAnxheaderChar"/>
    <w:rsid w:val="006F2424"/>
    <w:pPr>
      <w:tabs>
        <w:tab w:val="left" w:pos="4082"/>
      </w:tabs>
    </w:pPr>
    <w:rPr>
      <w:b/>
      <w:bCs/>
      <w:sz w:val="28"/>
      <w:szCs w:val="22"/>
    </w:rPr>
  </w:style>
  <w:style w:type="paragraph" w:customStyle="1" w:styleId="ZZAnxtitle">
    <w:name w:val="ZZ_Anx_title"/>
    <w:basedOn w:val="Normal"/>
    <w:link w:val="ZZAnxtitleChar"/>
    <w:rsid w:val="006F2424"/>
    <w:pPr>
      <w:tabs>
        <w:tab w:val="left" w:pos="4082"/>
      </w:tabs>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semiHidden/>
    <w:qFormat/>
    <w:rsid w:val="00353EC0"/>
    <w:pPr>
      <w:tabs>
        <w:tab w:val="clear" w:pos="1247"/>
        <w:tab w:val="clear" w:pos="1814"/>
        <w:tab w:val="clear" w:pos="2381"/>
        <w:tab w:val="clear" w:pos="2948"/>
        <w:tab w:val="clear" w:pos="3515"/>
      </w:tabs>
    </w:pPr>
    <w:rPr>
      <w:sz w:val="24"/>
      <w:szCs w:val="24"/>
      <w:lang w:val="en-US"/>
    </w:rPr>
  </w:style>
  <w:style w:type="character" w:customStyle="1" w:styleId="BodyTextChar">
    <w:name w:val="Body Text Char"/>
    <w:basedOn w:val="DefaultParagraphFont"/>
    <w:link w:val="BodyText"/>
    <w:uiPriority w:val="1"/>
    <w:semiHidden/>
    <w:rsid w:val="00050A95"/>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character" w:customStyle="1" w:styleId="Normal-poolChar">
    <w:name w:val="Normal-pool Char"/>
    <w:link w:val="Normal-pool"/>
    <w:rsid w:val="0049194C"/>
    <w:rPr>
      <w:lang w:eastAsia="en-US"/>
    </w:rPr>
  </w:style>
  <w:style w:type="character" w:customStyle="1" w:styleId="NormalnumberChar">
    <w:name w:val="Normal_number Char"/>
    <w:link w:val="Normalnumber"/>
    <w:qFormat/>
    <w:locked/>
    <w:rsid w:val="00EE2455"/>
    <w:rPr>
      <w:lang w:eastAsia="en-US"/>
    </w:rPr>
  </w:style>
  <w:style w:type="numbering" w:customStyle="1" w:styleId="WWNum25">
    <w:name w:val="WWNum25"/>
    <w:rsid w:val="00F23345"/>
    <w:pPr>
      <w:numPr>
        <w:numId w:val="5"/>
      </w:numPr>
    </w:pPr>
  </w:style>
  <w:style w:type="table" w:styleId="PlainTable1">
    <w:name w:val="Plain Table 1"/>
    <w:basedOn w:val="TableNormal"/>
    <w:uiPriority w:val="41"/>
    <w:rsid w:val="005E204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2">
    <w:name w:val="Plain Table 12"/>
    <w:basedOn w:val="TableNormal"/>
    <w:next w:val="PlainTable1"/>
    <w:uiPriority w:val="41"/>
    <w:rsid w:val="009C1C36"/>
    <w:rPr>
      <w:lang w:val="en-US"/>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Bibliography">
    <w:name w:val="Bibliography"/>
    <w:basedOn w:val="Normal"/>
    <w:next w:val="Normal"/>
    <w:uiPriority w:val="37"/>
    <w:semiHidden/>
    <w:rsid w:val="004E6825"/>
    <w:pPr>
      <w:tabs>
        <w:tab w:val="clear" w:pos="1247"/>
        <w:tab w:val="clear" w:pos="1814"/>
        <w:tab w:val="clear" w:pos="2381"/>
        <w:tab w:val="clear" w:pos="2948"/>
        <w:tab w:val="clear" w:pos="3515"/>
      </w:tabs>
      <w:spacing w:after="160" w:line="259" w:lineRule="auto"/>
    </w:pPr>
    <w:rPr>
      <w:rFonts w:asciiTheme="minorHAnsi" w:eastAsiaTheme="minorEastAsia" w:hAnsiTheme="minorHAnsi" w:cstheme="minorBidi"/>
      <w:sz w:val="22"/>
      <w:szCs w:val="22"/>
      <w:lang w:val="en-US" w:eastAsia="zh-CN"/>
    </w:rPr>
  </w:style>
  <w:style w:type="character" w:styleId="FootnoteReference">
    <w:name w:val="footnote reference"/>
    <w:aliases w:val="number,SUPERS,Footnote Reference Superscript,stylish,Footnote symbol,16 Point,Superscript 6 Point,Footnote Reference Number,ftref,EN Footnote Reference,Footnote number,-E Fußnotenzeichen,(Diplomarbeit FZ),(Diplomarbeit FZ)1,note TESI"/>
    <w:basedOn w:val="DefaultParagraphFont"/>
    <w:link w:val="SUPERSCharCharCharCharCharCharCharChar"/>
    <w:uiPriority w:val="99"/>
    <w:semiHidden/>
    <w:unhideWhenUsed/>
    <w:qFormat/>
    <w:rsid w:val="00050A95"/>
    <w:rPr>
      <w:vertAlign w:val="superscript"/>
    </w:rPr>
  </w:style>
  <w:style w:type="character" w:styleId="UnresolvedMention">
    <w:name w:val="Unresolved Mention"/>
    <w:basedOn w:val="DefaultParagraphFont"/>
    <w:uiPriority w:val="99"/>
    <w:semiHidden/>
    <w:unhideWhenUsed/>
    <w:rsid w:val="004E6825"/>
    <w:rPr>
      <w:color w:val="605E5C"/>
      <w:shd w:val="clear" w:color="auto" w:fill="E1DFDD"/>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semiHidden/>
    <w:rsid w:val="004E6825"/>
    <w:pPr>
      <w:tabs>
        <w:tab w:val="clear" w:pos="1247"/>
        <w:tab w:val="clear" w:pos="1814"/>
        <w:tab w:val="clear" w:pos="2381"/>
        <w:tab w:val="clear" w:pos="2948"/>
        <w:tab w:val="clear" w:pos="3515"/>
      </w:tabs>
      <w:spacing w:after="160" w:line="240" w:lineRule="exact"/>
    </w:pPr>
    <w:rPr>
      <w:vertAlign w:val="superscript"/>
      <w:lang w:eastAsia="zh-CN"/>
    </w:rPr>
  </w:style>
  <w:style w:type="paragraph" w:customStyle="1" w:styleId="Default">
    <w:name w:val="Default"/>
    <w:semiHidden/>
    <w:rsid w:val="004E6825"/>
    <w:pPr>
      <w:autoSpaceDE w:val="0"/>
      <w:autoSpaceDN w:val="0"/>
      <w:adjustRightInd w:val="0"/>
    </w:pPr>
    <w:rPr>
      <w:rFonts w:ascii="Calibri" w:eastAsiaTheme="minorEastAsia" w:hAnsi="Calibri" w:cs="Calibri"/>
      <w:color w:val="000000"/>
      <w:sz w:val="24"/>
      <w:szCs w:val="24"/>
      <w:lang w:val="en-US"/>
    </w:rPr>
  </w:style>
  <w:style w:type="table" w:customStyle="1" w:styleId="Tabellengitternetz22">
    <w:name w:val="Tabellengitternetz22"/>
    <w:basedOn w:val="TableNormal"/>
    <w:next w:val="TableGrid"/>
    <w:uiPriority w:val="59"/>
    <w:rsid w:val="004E6825"/>
    <w:pPr>
      <w:spacing w:before="60"/>
    </w:pPr>
    <w:rPr>
      <w:rFonts w:ascii="Arial" w:hAnsi="Arial"/>
      <w:lang w:eastAsia="en-GB"/>
    </w:rPr>
    <w:tblPr>
      <w:tblStyleRowBandSize w:val="1"/>
      <w:tblStyleColBandSize w:val="1"/>
      <w:tblBorders>
        <w:left w:val="single" w:sz="4" w:space="0" w:color="0055A0"/>
        <w:bottom w:val="single" w:sz="4" w:space="0" w:color="0055A0"/>
        <w:right w:val="single" w:sz="4" w:space="0" w:color="0055A0"/>
        <w:insideV w:val="single" w:sz="4" w:space="0" w:color="0055A0"/>
      </w:tblBorders>
    </w:tblPr>
    <w:tcPr>
      <w:vAlign w:val="center"/>
    </w:tcPr>
    <w:tblStylePr w:type="firstRow">
      <w:rPr>
        <w:color w:val="FFFFFF" w:themeColor="background1"/>
      </w:rPr>
      <w:tblPr/>
      <w:tcPr>
        <w:tcBorders>
          <w:top w:val="nil"/>
          <w:left w:val="single" w:sz="4" w:space="0" w:color="0055A0"/>
          <w:bottom w:val="nil"/>
          <w:right w:val="single" w:sz="4" w:space="0" w:color="0055A0"/>
          <w:insideH w:val="nil"/>
          <w:insideV w:val="nil"/>
          <w:tl2br w:val="nil"/>
          <w:tr2bl w:val="nil"/>
        </w:tcBorders>
        <w:shd w:val="clear" w:color="auto" w:fill="006BB7"/>
      </w:tcPr>
    </w:tblStylePr>
    <w:tblStylePr w:type="band1Vert">
      <w:pPr>
        <w:jc w:val="left"/>
      </w:pPr>
      <w:tblPr/>
      <w:tcPr>
        <w:shd w:val="clear" w:color="auto" w:fill="F5F9FC"/>
      </w:tcPr>
    </w:tblStylePr>
    <w:tblStylePr w:type="band1Horz">
      <w:tblPr/>
      <w:tcPr>
        <w:shd w:val="clear" w:color="auto" w:fill="EDF3F7"/>
      </w:tcPr>
    </w:tblStylePr>
    <w:tblStylePr w:type="band2Horz">
      <w:tblPr/>
      <w:tcPr>
        <w:tcBorders>
          <w:insideV w:val="single" w:sz="4" w:space="0" w:color="0055A0"/>
        </w:tcBorders>
        <w:shd w:val="clear" w:color="auto" w:fill="FFFFFF" w:themeFill="background1"/>
      </w:tcPr>
    </w:tblStylePr>
  </w:style>
  <w:style w:type="table" w:customStyle="1" w:styleId="Tabellengitternetz211">
    <w:name w:val="Tabellengitternetz211"/>
    <w:basedOn w:val="TableNormal"/>
    <w:next w:val="TableGrid"/>
    <w:uiPriority w:val="59"/>
    <w:rsid w:val="004E6825"/>
    <w:pPr>
      <w:spacing w:before="60"/>
    </w:pPr>
    <w:rPr>
      <w:rFonts w:ascii="Arial" w:hAnsi="Arial"/>
      <w:lang w:eastAsia="en-GB"/>
    </w:rPr>
    <w:tblPr>
      <w:tblStyleRowBandSize w:val="1"/>
      <w:tblStyleColBandSize w:val="1"/>
      <w:tblBorders>
        <w:left w:val="single" w:sz="4" w:space="0" w:color="0055A0"/>
        <w:bottom w:val="single" w:sz="4" w:space="0" w:color="0055A0"/>
        <w:right w:val="single" w:sz="4" w:space="0" w:color="0055A0"/>
        <w:insideV w:val="single" w:sz="4" w:space="0" w:color="0055A0"/>
      </w:tblBorders>
    </w:tblPr>
    <w:tcPr>
      <w:vAlign w:val="center"/>
    </w:tcPr>
    <w:tblStylePr w:type="firstRow">
      <w:rPr>
        <w:color w:val="FFFFFF"/>
      </w:rPr>
      <w:tblPr/>
      <w:tcPr>
        <w:tcBorders>
          <w:top w:val="nil"/>
          <w:left w:val="single" w:sz="4" w:space="0" w:color="0055A0"/>
          <w:bottom w:val="nil"/>
          <w:right w:val="single" w:sz="4" w:space="0" w:color="0055A0"/>
          <w:insideH w:val="nil"/>
          <w:insideV w:val="nil"/>
          <w:tl2br w:val="nil"/>
          <w:tr2bl w:val="nil"/>
        </w:tcBorders>
        <w:shd w:val="clear" w:color="auto" w:fill="006BB7"/>
      </w:tcPr>
    </w:tblStylePr>
    <w:tblStylePr w:type="band1Vert">
      <w:pPr>
        <w:jc w:val="left"/>
      </w:pPr>
      <w:tblPr/>
      <w:tcPr>
        <w:shd w:val="clear" w:color="auto" w:fill="F5F9FC"/>
      </w:tcPr>
    </w:tblStylePr>
    <w:tblStylePr w:type="band1Horz">
      <w:tblPr/>
      <w:tcPr>
        <w:shd w:val="clear" w:color="auto" w:fill="EDF3F7"/>
      </w:tcPr>
    </w:tblStylePr>
    <w:tblStylePr w:type="band2Horz">
      <w:tblPr/>
      <w:tcPr>
        <w:tcBorders>
          <w:insideV w:val="single" w:sz="4" w:space="0" w:color="0055A0"/>
        </w:tcBorders>
        <w:shd w:val="clear" w:color="auto" w:fill="FFFFFF"/>
      </w:tcPr>
    </w:tblStylePr>
  </w:style>
  <w:style w:type="character" w:customStyle="1" w:styleId="Heading2Char">
    <w:name w:val="Heading 2 Char"/>
    <w:basedOn w:val="DefaultParagraphFont"/>
    <w:link w:val="Heading2"/>
    <w:uiPriority w:val="9"/>
    <w:semiHidden/>
    <w:rsid w:val="00050A95"/>
    <w:rPr>
      <w:b/>
      <w:sz w:val="24"/>
      <w:szCs w:val="24"/>
      <w:lang w:eastAsia="en-US"/>
    </w:rPr>
  </w:style>
  <w:style w:type="character" w:customStyle="1" w:styleId="normaltextrun1">
    <w:name w:val="normaltextrun1"/>
    <w:basedOn w:val="DefaultParagraphFont"/>
    <w:semiHidden/>
    <w:rsid w:val="004E6825"/>
  </w:style>
  <w:style w:type="character" w:customStyle="1" w:styleId="ListParagraphChar">
    <w:name w:val="List Paragraph Char"/>
    <w:aliases w:val="Bullet List Paragraph Char,List Paragraph1 Char,List Paragraph (numbered (a)) Char,Liste 1 Char,heading 6 Char,List Paragraph - Dani Char,List Paragraph 1 - Dani Char,List Paragraph nowy Char,Numbered List Paragraph Char,Dot pt Char"/>
    <w:basedOn w:val="DefaultParagraphFont"/>
    <w:link w:val="ListParagraph"/>
    <w:uiPriority w:val="34"/>
    <w:semiHidden/>
    <w:qFormat/>
    <w:locked/>
    <w:rsid w:val="00050A95"/>
    <w:rPr>
      <w:lang w:eastAsia="en-US"/>
    </w:rPr>
  </w:style>
  <w:style w:type="paragraph" w:styleId="NormalWeb">
    <w:name w:val="Normal (Web)"/>
    <w:basedOn w:val="Normal"/>
    <w:uiPriority w:val="99"/>
    <w:unhideWhenUsed/>
    <w:rsid w:val="004E6825"/>
    <w:pPr>
      <w:tabs>
        <w:tab w:val="clear" w:pos="1247"/>
        <w:tab w:val="clear" w:pos="1814"/>
        <w:tab w:val="clear" w:pos="2381"/>
        <w:tab w:val="clear" w:pos="2948"/>
        <w:tab w:val="clear" w:pos="3515"/>
      </w:tabs>
      <w:spacing w:before="100" w:beforeAutospacing="1" w:after="100" w:afterAutospacing="1"/>
    </w:pPr>
    <w:rPr>
      <w:rFonts w:ascii="Calibri" w:eastAsiaTheme="minorHAnsi" w:hAnsi="Calibri" w:cs="Calibri"/>
      <w:sz w:val="22"/>
      <w:szCs w:val="22"/>
      <w:lang w:val="en-US"/>
    </w:rPr>
  </w:style>
  <w:style w:type="character" w:styleId="Strong">
    <w:name w:val="Strong"/>
    <w:basedOn w:val="DefaultParagraphFont"/>
    <w:uiPriority w:val="22"/>
    <w:semiHidden/>
    <w:qFormat/>
    <w:rsid w:val="004E6825"/>
    <w:rPr>
      <w:b/>
      <w:bCs/>
    </w:rPr>
  </w:style>
  <w:style w:type="paragraph" w:styleId="Caption">
    <w:name w:val="caption"/>
    <w:aliases w:val="Tasks,Beschriftung Char2,Beschriftung Char1 Char1,Beschriftung Char Char Char1,Beschriftung Char1 Char Char,Beschriftung Char Char Char Char,Beschriftung Char Char1 Char,Beschriftung Char Char2,Beschriftung Char1 Cha...,Caption Char"/>
    <w:basedOn w:val="Normal"/>
    <w:next w:val="Normal"/>
    <w:link w:val="CaptionChar1"/>
    <w:uiPriority w:val="99"/>
    <w:qFormat/>
    <w:rsid w:val="004E6825"/>
    <w:pPr>
      <w:tabs>
        <w:tab w:val="clear" w:pos="1247"/>
        <w:tab w:val="clear" w:pos="1814"/>
        <w:tab w:val="clear" w:pos="2381"/>
        <w:tab w:val="clear" w:pos="2948"/>
        <w:tab w:val="clear" w:pos="3515"/>
        <w:tab w:val="left" w:pos="1134"/>
      </w:tabs>
      <w:spacing w:before="240" w:after="120"/>
      <w:jc w:val="both"/>
    </w:pPr>
    <w:rPr>
      <w:rFonts w:ascii="Arial" w:hAnsi="Arial"/>
      <w:b/>
      <w:bCs/>
      <w:sz w:val="18"/>
    </w:rPr>
  </w:style>
  <w:style w:type="character" w:customStyle="1" w:styleId="CaptionChar1">
    <w:name w:val="Caption Char1"/>
    <w:aliases w:val="Tasks Char,Beschriftung Char2 Char,Beschriftung Char1 Char1 Char,Beschriftung Char Char Char1 Char,Beschriftung Char1 Char Char Char,Beschriftung Char Char Char Char Char,Beschriftung Char Char1 Char Char,Beschriftung Char Char2 Char"/>
    <w:link w:val="Caption"/>
    <w:uiPriority w:val="99"/>
    <w:locked/>
    <w:rsid w:val="004E6825"/>
    <w:rPr>
      <w:rFonts w:ascii="Arial" w:hAnsi="Arial"/>
      <w:b/>
      <w:bCs/>
      <w:sz w:val="18"/>
      <w:lang w:eastAsia="en-US"/>
    </w:rPr>
  </w:style>
  <w:style w:type="paragraph" w:customStyle="1" w:styleId="CitaviBibliographyEntry">
    <w:name w:val="Citavi Bibliography Entry"/>
    <w:basedOn w:val="Normal"/>
    <w:link w:val="CitaviBibliographyEntryZchn"/>
    <w:semiHidden/>
    <w:rsid w:val="004E6825"/>
    <w:pPr>
      <w:tabs>
        <w:tab w:val="clear" w:pos="1247"/>
        <w:tab w:val="clear" w:pos="1814"/>
        <w:tab w:val="clear" w:pos="2381"/>
        <w:tab w:val="clear" w:pos="2948"/>
        <w:tab w:val="clear" w:pos="3515"/>
      </w:tabs>
      <w:spacing w:after="120"/>
    </w:pPr>
    <w:rPr>
      <w:rFonts w:ascii="Arial" w:hAnsi="Arial"/>
      <w:szCs w:val="24"/>
    </w:rPr>
  </w:style>
  <w:style w:type="character" w:customStyle="1" w:styleId="CitaviBibliographyEntryZchn">
    <w:name w:val="Citavi Bibliography Entry Zchn"/>
    <w:basedOn w:val="DefaultParagraphFont"/>
    <w:link w:val="CitaviBibliographyEntry"/>
    <w:semiHidden/>
    <w:rsid w:val="00050A95"/>
    <w:rPr>
      <w:rFonts w:ascii="Arial" w:hAnsi="Arial"/>
      <w:szCs w:val="24"/>
      <w:lang w:eastAsia="en-US"/>
    </w:rPr>
  </w:style>
  <w:style w:type="paragraph" w:customStyle="1" w:styleId="UBATabellentext">
    <w:name w:val="UBA_Tabellentext"/>
    <w:basedOn w:val="Normal"/>
    <w:semiHidden/>
    <w:rsid w:val="004E6825"/>
    <w:pPr>
      <w:tabs>
        <w:tab w:val="clear" w:pos="1247"/>
        <w:tab w:val="clear" w:pos="1814"/>
        <w:tab w:val="clear" w:pos="2381"/>
        <w:tab w:val="clear" w:pos="2948"/>
        <w:tab w:val="clear" w:pos="3515"/>
      </w:tabs>
      <w:spacing w:after="200" w:line="276" w:lineRule="auto"/>
    </w:pPr>
    <w:rPr>
      <w:rFonts w:ascii="Calibri Light" w:eastAsiaTheme="minorEastAsia" w:hAnsi="Calibri Light" w:cs="Calibri Light"/>
      <w:color w:val="000000"/>
      <w:lang w:val="en-US"/>
    </w:rPr>
  </w:style>
  <w:style w:type="character" w:styleId="FollowedHyperlink">
    <w:name w:val="FollowedHyperlink"/>
    <w:basedOn w:val="DefaultParagraphFont"/>
    <w:uiPriority w:val="99"/>
    <w:semiHidden/>
    <w:unhideWhenUsed/>
    <w:rsid w:val="004E6825"/>
    <w:rPr>
      <w:color w:val="800080" w:themeColor="followedHyperlink"/>
      <w:u w:val="single"/>
    </w:rPr>
  </w:style>
  <w:style w:type="table" w:customStyle="1" w:styleId="Tabellengitternetz2">
    <w:name w:val="Tabellengitternetz2"/>
    <w:basedOn w:val="TableNormal"/>
    <w:next w:val="TableGrid"/>
    <w:uiPriority w:val="59"/>
    <w:rsid w:val="004E6825"/>
    <w:pPr>
      <w:spacing w:before="60"/>
    </w:pPr>
    <w:rPr>
      <w:rFonts w:ascii="Arial" w:hAnsi="Arial"/>
      <w:lang w:eastAsia="en-GB"/>
    </w:rPr>
    <w:tblPr>
      <w:tblStyleRowBandSize w:val="1"/>
      <w:tblStyleColBandSize w:val="1"/>
      <w:tblBorders>
        <w:left w:val="single" w:sz="4" w:space="0" w:color="0055A0"/>
        <w:bottom w:val="single" w:sz="4" w:space="0" w:color="0055A0"/>
        <w:right w:val="single" w:sz="4" w:space="0" w:color="0055A0"/>
        <w:insideV w:val="single" w:sz="4" w:space="0" w:color="0055A0"/>
      </w:tblBorders>
    </w:tblPr>
    <w:tcPr>
      <w:vAlign w:val="center"/>
    </w:tcPr>
    <w:tblStylePr w:type="firstRow">
      <w:rPr>
        <w:color w:val="FFFFFF" w:themeColor="background1"/>
      </w:rPr>
      <w:tblPr/>
      <w:tcPr>
        <w:tcBorders>
          <w:top w:val="nil"/>
          <w:left w:val="single" w:sz="4" w:space="0" w:color="0055A0"/>
          <w:bottom w:val="nil"/>
          <w:right w:val="single" w:sz="4" w:space="0" w:color="0055A0"/>
          <w:insideH w:val="nil"/>
          <w:insideV w:val="nil"/>
          <w:tl2br w:val="nil"/>
          <w:tr2bl w:val="nil"/>
        </w:tcBorders>
        <w:shd w:val="clear" w:color="auto" w:fill="006BB7"/>
      </w:tcPr>
    </w:tblStylePr>
    <w:tblStylePr w:type="band1Vert">
      <w:pPr>
        <w:jc w:val="left"/>
      </w:pPr>
      <w:tblPr/>
      <w:tcPr>
        <w:shd w:val="clear" w:color="auto" w:fill="F5F9FC"/>
      </w:tcPr>
    </w:tblStylePr>
    <w:tblStylePr w:type="band1Horz">
      <w:tblPr/>
      <w:tcPr>
        <w:shd w:val="clear" w:color="auto" w:fill="EDF3F7"/>
      </w:tcPr>
    </w:tblStylePr>
    <w:tblStylePr w:type="band2Horz">
      <w:tblPr/>
      <w:tcPr>
        <w:tcBorders>
          <w:insideV w:val="single" w:sz="4" w:space="0" w:color="0055A0"/>
        </w:tcBorders>
        <w:shd w:val="clear" w:color="auto" w:fill="FFFFFF" w:themeFill="background1"/>
      </w:tcPr>
    </w:tblStylePr>
  </w:style>
  <w:style w:type="table" w:customStyle="1" w:styleId="Highlightbox">
    <w:name w:val="Highlight box"/>
    <w:basedOn w:val="TableNormal"/>
    <w:uiPriority w:val="99"/>
    <w:rsid w:val="004E6825"/>
    <w:pPr>
      <w:spacing w:before="120" w:after="120"/>
    </w:pPr>
    <w:rPr>
      <w:rFonts w:ascii="Arial" w:hAnsi="Arial"/>
      <w:lang w:eastAsia="en-GB"/>
    </w:rPr>
    <w:tblPr/>
    <w:tblStylePr w:type="firstRow">
      <w:tblPr/>
      <w:tcPr>
        <w:tcBorders>
          <w:top w:val="single" w:sz="4" w:space="0" w:color="0070C0"/>
          <w:left w:val="nil"/>
          <w:bottom w:val="single" w:sz="4" w:space="0" w:color="0070C0"/>
          <w:right w:val="nil"/>
          <w:insideH w:val="nil"/>
          <w:insideV w:val="nil"/>
        </w:tcBorders>
        <w:shd w:val="clear" w:color="auto" w:fill="E2ECF2"/>
      </w:tcPr>
    </w:tblStylePr>
  </w:style>
  <w:style w:type="character" w:customStyle="1" w:styleId="CoverHeader2">
    <w:name w:val="CoverHeader2"/>
    <w:uiPriority w:val="1"/>
    <w:semiHidden/>
    <w:qFormat/>
    <w:rsid w:val="004E6825"/>
    <w:rPr>
      <w:b w:val="0"/>
      <w:color w:val="006BB7"/>
      <w:sz w:val="36"/>
      <w:szCs w:val="40"/>
    </w:rPr>
  </w:style>
  <w:style w:type="character" w:customStyle="1" w:styleId="A5">
    <w:name w:val="A5"/>
    <w:uiPriority w:val="99"/>
    <w:semiHidden/>
    <w:rsid w:val="004D3739"/>
    <w:rPr>
      <w:rFonts w:cs="KVPFT R+ DIN"/>
      <w:color w:val="000000"/>
      <w:sz w:val="16"/>
      <w:szCs w:val="16"/>
    </w:rPr>
  </w:style>
  <w:style w:type="character" w:customStyle="1" w:styleId="e24kjd">
    <w:name w:val="e24kjd"/>
    <w:basedOn w:val="DefaultParagraphFont"/>
    <w:semiHidden/>
    <w:rsid w:val="004D3739"/>
  </w:style>
  <w:style w:type="character" w:customStyle="1" w:styleId="UnresolvedMention1">
    <w:name w:val="Unresolved Mention1"/>
    <w:basedOn w:val="DefaultParagraphFont"/>
    <w:uiPriority w:val="99"/>
    <w:semiHidden/>
    <w:unhideWhenUsed/>
    <w:rsid w:val="00284976"/>
    <w:rPr>
      <w:color w:val="605E5C"/>
      <w:shd w:val="clear" w:color="auto" w:fill="E1DFDD"/>
    </w:rPr>
  </w:style>
  <w:style w:type="character" w:customStyle="1" w:styleId="normaltextrun">
    <w:name w:val="normaltextrun"/>
    <w:basedOn w:val="DefaultParagraphFont"/>
    <w:semiHidden/>
    <w:rsid w:val="00284976"/>
  </w:style>
  <w:style w:type="paragraph" w:customStyle="1" w:styleId="Subtitle">
    <w:name w:val="Sub title"/>
    <w:basedOn w:val="Heading2"/>
    <w:semiHidden/>
    <w:rsid w:val="00E05519"/>
    <w:pPr>
      <w:tabs>
        <w:tab w:val="clear" w:pos="1247"/>
        <w:tab w:val="clear" w:pos="1814"/>
        <w:tab w:val="clear" w:pos="2381"/>
        <w:tab w:val="clear" w:pos="2948"/>
        <w:tab w:val="clear" w:pos="3515"/>
      </w:tabs>
      <w:spacing w:before="0" w:after="240"/>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5160306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85218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icm.org/Portals/12/documents/meetings/IP3/Docs/SAICM_IP3_12_Rev_1_Meeting_Report.pdf" TargetMode="External"/><Relationship Id="rId18" Type="http://schemas.openxmlformats.org/officeDocument/2006/relationships/hyperlink" Target="http://www.saicmknowledge.org/community"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aicmknowledge.org/library/women-chemicals-and-sdg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saicm.org/Beyond2020/IntersessionalProcess/HighLevelDeclarationInformalDraftingGroup/tabid/8620/language/en-US/Default.aspx"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aicm.org/Beyond2020/IntersessionalProcess/Regionalactivities/tabid/6050/language/en-US/Default.aspx" TargetMode="External"/><Relationship Id="rId20" Type="http://schemas.openxmlformats.org/officeDocument/2006/relationships/hyperlink" Target="https://saicmknowledge.org/sites/default/files/SAICM_CWB_Brochure-1up.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aicm.org/Beyond2020/IntersessionalProcess/VirtualWorkingGroups/tabid/8563/language/en-US/Default.aspx" TargetMode="External"/><Relationship Id="rId23" Type="http://schemas.openxmlformats.org/officeDocument/2006/relationships/hyperlink" Target="https://papersmart.unon.org/resolution/uploads/inf16-evaluation_of_intergrated_approach_to_financing_smcw.pdf"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saicm.org/About/ICCM/ICCMDraftdecisionforsilentprocedure/tabid/8624/language/en-US/Default.aspx"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icm.org/Portals/12/Documents/Messages/2021-02-01_SAICM-message-to-stakeholders.pdf" TargetMode="External"/><Relationship Id="rId22" Type="http://schemas.openxmlformats.org/officeDocument/2006/relationships/hyperlink" Target="mailto:https://www.saicm.org/Implementation/Financing/tabid/8785/language/en-US/Default.aspx"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e99bad0-3155-475a-8063-b4d93685c2ad">
      <UserInfo>
        <DisplayName>Dina Abdelhakim</DisplayName>
        <AccountId>7</AccountId>
        <AccountType/>
      </UserInfo>
      <UserInfo>
        <DisplayName>Nicole Owusua Caesar</DisplayName>
        <AccountId>102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4" ma:contentTypeDescription="Create a new document." ma:contentTypeScope="" ma:versionID="241d62901d39c384860e1af5ef71eab1">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6d36852573bb89ee29abc2659ba5c9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xmlns:b="http://schemas.openxmlformats.org/officeDocument/2006/bibliography">
    <b:Tag>Gen16</b:Tag>
    <b:SourceType>JournalArticle</b:SourceType>
    <b:Guid>{EB91BC98-5B44-41C4-95DB-894FB82ED4DF}</b:Guid>
    <b:Author>
      <b:Author>
        <b:NameList>
          <b:Person>
            <b:Last>Gensch</b:Last>
            <b:First>C-O</b:First>
          </b:Person>
          <b:Person>
            <b:Last>Baron</b:Last>
            <b:First>Y</b:First>
          </b:Person>
          <b:Person>
            <b:Last>Blepp</b:Last>
            <b:First>M</b:First>
          </b:Person>
          <b:Person>
            <b:Last>Moch</b:Last>
            <b:First>K</b:First>
          </b:Person>
          <b:Person>
            <b:Last>Moritz</b:Last>
            <b:First>S</b:First>
          </b:Person>
          <b:Person>
            <b:Last>Deubzer</b:Last>
            <b:First>O.</b:First>
          </b:Person>
        </b:NameList>
      </b:Author>
    </b:Author>
    <b:Title>Study to assess renewal requests for 29 RoHS 2 Annex III exemptions [no. l(a to e -lighting purpose), no. l(f - special purpose), no. 2(a), no. 2(b)(3), no. 2(b)(4), no. 3, no. 4(a), no. 4(b), no. 4(c), no. 4(e), no. 4(f), no. 5(b), no. 6(a), no. 6(b),</b:Title>
    <b:Year>2016</b:Year>
    <b:JournalName> no. 6(c), no. 7(a), no. 7(c) - I, no. 7(c) - II, no. 7(c) - IV, no. 8</b:JournalName>
    <b:RefOrder>8</b:RefOrder>
  </b:Source>
  <b:Source>
    <b:Tag>Gen19</b:Tag>
    <b:SourceType>JournalArticle</b:SourceType>
    <b:Guid>{C5BEED70-A28F-4DAB-A3FF-928616F66033}</b:Guid>
    <b:Author>
      <b:Author>
        <b:NameList>
          <b:Person>
            <b:Last>Gensch</b:Last>
            <b:First>C-O</b:First>
          </b:Person>
          <b:Person>
            <b:Last>Baron</b:Last>
            <b:First>Y</b:First>
          </b:Person>
          <b:Person>
            <b:Last>Deubzer</b:Last>
            <b:First>O</b:First>
          </b:Person>
        </b:NameList>
      </b:Author>
    </b:Author>
    <b:Title>Study to assess 3 exemption requests (one for mercury and two for lead) (Pack 13) – Final - amended</b:Title>
    <b:Year>2019</b:Year>
    <b:RefOrder>11</b:RefOrder>
  </b:Source>
  <b:Source>
    <b:Tag>USE19</b:Tag>
    <b:SourceType>JournalArticle</b:SourceType>
    <b:Guid>{36DDD843-621B-45A6-9644-9CAC1CAFC6DD}</b:Guid>
    <b:Author>
      <b:Author>
        <b:Corporate>US EPA</b:Corporate>
      </b:Author>
    </b:Author>
    <b:Title>Learn About Compact Fluorescent Light Bulbs</b:Title>
    <b:JournalName>Available at: http://www.energystar.gov/index.cfm?c=cfls.pr_cfls_about [Accessed 20/05/2019]</b:JournalName>
    <b:Year>2019a</b:Year>
    <b:RefOrder>10</b:RefOrder>
  </b:Source>
  <b:Source>
    <b:Tag>Lig16</b:Tag>
    <b:SourceType>JournalArticle</b:SourceType>
    <b:Guid>{04DF22EF-5E2B-4E39-85DF-F7D3D05EF8B6}</b:Guid>
    <b:Author>
      <b:Author>
        <b:Corporate>Lighting Europe</b:Corporate>
      </b:Author>
    </b:Author>
    <b:Title>Request to renew Exemption 1(g) under the RoHS Directive 2011/65/EU Mercury in single–capped (compact) fluorescent lamps for general lighting purposes &lt; 30 W with a lifetime equal or above 20000 h: 3,5 mg, 28.06.2016</b:Title>
    <b:Year>2016</b:Year>
    <b:RefOrder>12</b:RefOrder>
  </b:Source>
  <b:Source>
    <b:Tag>USE191</b:Tag>
    <b:SourceType>JournalArticle</b:SourceType>
    <b:Guid>{A994B7F3-9A73-485E-AA05-7A35D4142B92}</b:Guid>
    <b:Author>
      <b:Author>
        <b:Corporate>US EPA</b:Corporate>
      </b:Author>
    </b:Author>
    <b:Title>Do CFLs contain mercury?</b:Title>
    <b:JournalName>Available at: https://energystar.zendesk.com/hc/en-us/articles/212110747-Do-CFLs-contain-mercury- [Accessed 20/05/2019]</b:JournalName>
    <b:Year>2019b</b:Year>
    <b:RefOrder>13</b:RefOrder>
  </b:Source>
  <b:Source>
    <b:Tag>COW17</b:Tag>
    <b:SourceType>JournalArticle</b:SourceType>
    <b:Guid>{6489F3B5-7C94-475C-800C-582868A140BA}</b:Guid>
    <b:Author>
      <b:Author>
        <b:Corporate>COWI and ICF</b:Corporate>
      </b:Author>
    </b:Author>
    <b:Title>Support to assessing the impacts of certain amendments to the Proposal of the Commission for a Regulation on Mercury</b:Title>
    <b:JournalName>Available at: http://ec.europa.eu/environment/chemicals/mercury/pdf/Final%20Report_KH0617141ENN.pdf [Accessed 20/05/2019]</b:JournalName>
    <b:Year>2017</b:Year>
    <b:RefOrder>14</b:RefOrder>
  </b:Source>
  <b:Source>
    <b:Tag>The19</b:Tag>
    <b:SourceType>JournalArticle</b:SourceType>
    <b:Guid>{A6ED4912-8C1F-4A6D-8718-FAD1A3ACEC1D}</b:Guid>
    <b:Author>
      <b:Author>
        <b:Corporate>The Lightbulb Company</b:Corporate>
      </b:Author>
    </b:Author>
    <b:Title>A Guide To Compact Fluorescent Lamps (CFL) &amp; Fluorescent Tubes</b:Title>
    <b:JournalName>Available at: https://www.thelightbulb.co.uk/resources/compact_fluorescent_lamps_guide/</b:JournalName>
    <b:Year>2019</b:Year>
    <b:RefOrder>23</b:RefOrder>
  </b:Source>
  <b:Source>
    <b:Tag>Lig17</b:Tag>
    <b:SourceType>JournalArticle</b:SourceType>
    <b:Guid>{34A3BDF4-092D-482A-A199-6DE19EAD732D}</b:Guid>
    <b:Author>
      <b:Author>
        <b:Corporate>Lighting Europe</b:Corporate>
      </b:Author>
    </b:Author>
    <b:Title>Answers to 1st Questionnaire - Exemption No. 1(g) (renewal request): "For general lighting purposes &lt; 30 W with a lifetime equal or above 20 000 h: 3,5 mg", 15.09.2017</b:Title>
    <b:Year>2017</b:Year>
    <b:JournalName>Available at: http://rohs.exemptions.oeko.info/fileadmin/user_upload/RoHS_pack_13/Annex_1g/LE_WG_CE_-_TF_RoHS_-_1G_Questionnaire_Response_-_20170915_-_v5-_FINAL.pdf [Accessed 20/05/2019]</b:JournalName>
    <b:RefOrder>15</b:RefOrder>
  </b:Source>
  <b:Source>
    <b:Tag>USE9b</b:Tag>
    <b:SourceType>JournalArticle</b:SourceType>
    <b:Guid>{F8A7A635-BF89-42CF-AE54-8BD6592C3A38}</b:Guid>
    <b:Author>
      <b:Author>
        <b:Corporate>US EPA</b:Corporate>
      </b:Author>
    </b:Author>
    <b:Title>Learn about LED bulbs</b:Title>
    <b:JournalName>Available at: https://www.energystar.gov/products/lighting_fans/light_bulbs/learn_about_led_bulbs [Accessed 21/05/2019]</b:JournalName>
    <b:Year>2019c</b:Year>
    <b:RefOrder>16</b:RefOrder>
  </b:Source>
  <b:Source>
    <b:Tag>Swe191</b:Tag>
    <b:SourceType>Report</b:SourceType>
    <b:Guid>{26242A76-AAC0-42AE-9AD0-A4BA09C16748}</b:Guid>
    <b:Author>
      <b:Author>
        <b:Corporate>Swedish Energy Agency</b:Corporate>
      </b:Author>
    </b:Author>
    <b:Title>Evidence of the availability of mercury-free alternative products to certain fluorescent lamps</b:Title>
    <b:Year>2019</b:Year>
    <b:Publisher>Swedish Energy Agency</b:Publisher>
    <b:RefOrder>17</b:RefOrder>
  </b:Source>
  <b:Source>
    <b:Tag>LED18</b:Tag>
    <b:SourceType>DocumentFromInternetSite</b:SourceType>
    <b:Guid>{D68A42B9-909A-46BE-A069-C2E305AD5B04}</b:Guid>
    <b:Author>
      <b:Author>
        <b:Corporate>LED Inside</b:Corporate>
      </b:Author>
    </b:Author>
    <b:Title>Global LED Lighting Products Price Trend</b:Title>
    <b:Year>2018</b:Year>
    <b:URL>https://www.ledinside.com/news/2018/8/global_led_lighting_products_price_trend</b:URL>
    <b:RefOrder>17</b:RefOrder>
  </b:Source>
  <b:Source>
    <b:Tag>Seo11</b:Tag>
    <b:SourceType>JournalArticle</b:SourceType>
    <b:Guid>{26E42563-577D-4255-9C9E-BA2A7F033BE0}</b:Guid>
    <b:Author>
      <b:Author>
        <b:NameList>
          <b:Person>
            <b:Last>Seong-Rim</b:Last>
            <b:First>L</b:First>
          </b:Person>
          <b:Person>
            <b:Last>Kang</b:Last>
            <b:First>D</b:First>
          </b:Person>
          <b:Person>
            <b:Last>Ogunseitan</b:Last>
            <b:First>O</b:First>
            <b:Middle>and Schoenung, J</b:Middle>
          </b:Person>
        </b:NameList>
      </b:Author>
    </b:Author>
    <b:Title>Potential Environmental Impacts of Light-Emitting Diodes (LEDs): Metallic Resources, Toxicity and Hazardous Waste Classification</b:Title>
    <b:JournalName>Environmental Science &amp; Technology</b:JournalName>
    <b:Year>2011</b:Year>
    <b:Pages>320-327</b:Pages>
    <b:Volume>45</b:Volume>
    <b:RefOrder>18</b:RefOrder>
  </b:Source>
  <b:Source>
    <b:Tag>Min19</b:Tag>
    <b:SourceType>JournalArticle</b:SourceType>
    <b:Guid>{74BCC60F-46DA-4A48-B9C6-3635D9041F92}</b:Guid>
    <b:Author>
      <b:Author>
        <b:Corporate>Minister of Justice</b:Corporate>
      </b:Author>
    </b:Author>
    <b:Title>Products Containing Mercury Regulations</b:Title>
    <b:JournalName>Available at: https://laws-lois.justice.gc.ca/PDF/SOR-2014-254.pdf [Accessed 13/06/2019]</b:JournalName>
    <b:Year>2019</b:Year>
    <b:RefOrder>19</b:RefOrder>
  </b:Source>
  <b:Source>
    <b:Tag>Ene17</b:Tag>
    <b:SourceType>JournalArticle</b:SourceType>
    <b:Guid>{252573B3-E49B-42F4-AE53-0D642342309F}</b:Guid>
    <b:Author>
      <b:Author>
        <b:Corporate>Energy Rating</b:Corporate>
      </b:Author>
    </b:Author>
    <b:Title>Australia drops mercury levels in fluorescent lighting</b:Title>
    <b:JournalName>Available at: http://www.energyrating.gov.au/news/australia-drops-mercury-levels-fluorescent-lighting [Accessed 13/06/2019]</b:JournalName>
    <b:Year>2017</b:Year>
    <b:RefOrder>20</b:RefOrder>
  </b:Source>
  <b:Source>
    <b:Tag>UNE132</b:Tag>
    <b:SourceType>JournalArticle</b:SourceType>
    <b:Guid>{E327960B-C3F8-4546-915B-19A30A86538D}</b:Guid>
    <b:Author>
      <b:Author>
        <b:Corporate>UNEP</b:Corporate>
      </b:Author>
    </b:Author>
    <b:Title>Acceptance on behalf of the United States of America</b:Title>
    <b:JournalName>Available at: http://www.mercuryconvention.org/Portals/11/documents/submissions/US%20declaration.pdf [Accessed 13/06/2019]</b:JournalName>
    <b:Year>2013b</b:Year>
    <b:RefOrder>21</b:RefOrder>
  </b:Source>
  <b:Source>
    <b:Tag>Gaz16</b:Tag>
    <b:SourceType>DocumentFromInternetSite</b:SourceType>
    <b:Guid>{8FFD36E0-1222-450E-95F5-10A629283252}</b:Guid>
    <b:Author>
      <b:Author>
        <b:Corporate>Gazette of India</b:Corporate>
      </b:Author>
    </b:Author>
    <b:Title>Notification 23 March 2016</b:Title>
    <b:Year>2016</b:Year>
    <b:URL>http://moef.gov.in/wp-content/uploads/2017/07/EWM-Rules-2016-english-23.03.2016.pdf</b:URL>
    <b:RefOrder>22</b:RefOrder>
  </b:Source>
  <b:Source>
    <b:Tag>Lig155</b:Tag>
    <b:SourceType>DocumentFromInternetSite</b:SourceType>
    <b:Guid>{1820E6B6-AF31-4CB8-BA8E-AE03455B19B4}</b:Guid>
    <b:Author>
      <b:Author>
        <b:Corporate>Lighting Europe</b:Corporate>
      </b:Author>
    </b:Author>
    <b:Title>Request to Renew Exemption 2(a)(1)</b:Title>
    <b:Year>2015</b:Year>
    <b:URL>https://rohs.exemptions.oeko.info/fileadmin/user_upload/RoHS_Pack_9/Exemption_2_a__1-5_/Lighting_Europe/2a1_LE_RoHS_Exemption__Req_Final.pdf</b:URL>
    <b:RefOrder>25</b:RefOrder>
  </b:Source>
  <b:Source>
    <b:Tag>VHK15</b:Tag>
    <b:SourceType>DocumentFromInternetSite</b:SourceType>
    <b:Guid>{C41A319F-B37B-4CF8-9CB2-A8BBC0626A2D}</b:Guid>
    <b:Author>
      <b:Author>
        <b:Corporate>VHK &amp; VITO</b:Corporate>
      </b:Author>
    </b:Author>
    <b:Title>Preparatory Study on Light Sources for Ecodesign and/or Energy Labelling Requirements ('Lot 8/9/19') - Draft Interim Report</b:Title>
    <b:Year>2015</b:Year>
    <b:URL>http://ecodesign-lightsources.eu/sites/ecodesign-lightsources.eu/files/attachments/1st%20Stakeholder%20comments%20-%20summary%20and%20answers.pdf</b:URL>
    <b:RefOrder>26</b:RefOrder>
  </b:Source>
  <b:Source>
    <b:Tag>Lig152</b:Tag>
    <b:SourceType>DocumentFromInternetSite</b:SourceType>
    <b:Guid>{E4F3C74D-58A5-4C9A-B928-A90CF2D10D52}</b:Guid>
    <b:Author>
      <b:Author>
        <b:Corporate>Lighting Europe</b:Corporate>
      </b:Author>
    </b:Author>
    <b:Title>Exemptions 2(a)(1-5)</b:Title>
    <b:Year>2015</b:Year>
    <b:URL>https://rohs.exemptions.oeko.info/index.php?id=231</b:URL>
    <b:RefOrder>27</b:RefOrder>
  </b:Source>
  <b:Source>
    <b:Tag>Eur19</b:Tag>
    <b:SourceType>DocumentFromInternetSite</b:SourceType>
    <b:Guid>{C5BE6072-AAC9-4A0F-A041-82820AFBC1E0}</b:Guid>
    <b:Author>
      <b:Author>
        <b:Corporate>European Commission</b:Corporate>
      </b:Author>
    </b:Author>
    <b:Title>Study to assess socio-economic impact of substitution of certain mercury-based lamps currently benefitting of RoHS 2 exemptions in Annex III</b:Title>
    <b:Year>2019</b:Year>
    <b:URL>https://publications.europa.eu/en/publication-detail/-/publication/9f8f7878-b72a-11e9-9d01-01aa75ed71a1/language-en</b:URL>
    <b:RefOrder>28</b:RefOrder>
  </b:Source>
  <b:Source>
    <b:Tag>NEW14</b:Tag>
    <b:SourceType>DocumentFromInternetSite</b:SourceType>
    <b:Guid>{506282E6-BDBC-47CD-ADA0-AC50CB01F6F4}</b:Guid>
    <b:Author>
      <b:Author>
        <b:Corporate>NEWMOA</b:Corporate>
      </b:Author>
    </b:Author>
    <b:Title>IMERC Fact Sheet- Mercury Use in Lighting</b:Title>
    <b:Year>2014</b:Year>
    <b:URL>http://www.newmoa.org/prevention/mercury/imerc/factsheets/lighting_2014.pdf</b:URL>
    <b:RefOrder>36</b:RefOrder>
  </b:Source>
  <b:Source>
    <b:Tag>Placeholder2</b:Tag>
    <b:SourceType>DocumentFromInternetSite</b:SourceType>
    <b:Guid>{4A461684-32E6-4B97-9B84-BF8871B465B0}</b:Guid>
    <b:Title>Assistance fo the Commission on Technological Socio-Economic and Cost-Benefit Assessment Related to Exemptions from the Substance Restrictions in Electrical and Electronic Equipment</b:Title>
    <b:Year>2016</b:Year>
    <b:Author>
      <b:Author>
        <b:Corporate>Gensch et al.</b:Corporate>
      </b:Author>
    </b:Author>
    <b:URL>https://circabc.europa.eu/sd/a/eda9d68b-6ac9-4fb9-8667-5e561d8c957e/RoHS-Pack_9_Final_Full_report_Lamps_Alloys_Solders_June2016.pdf</b:URL>
    <b:RefOrder>31</b:RefOrder>
  </b:Source>
  <b:Source>
    <b:Tag>Nor17</b:Tag>
    <b:SourceType>DocumentFromInternetSite</b:SourceType>
    <b:Guid>{A14BC104-395D-40A6-B6B6-190663DDD263}</b:Guid>
    <b:Author>
      <b:Author>
        <b:Corporate>Northeast Group</b:Corporate>
      </b:Author>
    </b:Author>
    <b:Title>Global LED and Smart Street Lighting: Market forecast (2017-2027)</b:Title>
    <b:Year>2017</b:Year>
    <b:URL>https://www.researchandmarkets.com/reports/4456402/global-led-and-smart-street-lighting-market</b:URL>
    <b:RefOrder>1</b:RefOrder>
  </b:Source>
  <b:Source>
    <b:Tag>Lig15</b:Tag>
    <b:SourceType>DocumentFromInternetSite</b:SourceType>
    <b:Guid>{7043B504-7513-4653-A96E-BD69A35B0FFA}</b:Guid>
    <b:Author>
      <b:Author>
        <b:Corporate>Lighting Europe</b:Corporate>
      </b:Author>
    </b:Author>
    <b:Title>Request to renew Exemption 4(b) under the RHS Directive 2011/65/EU Mercury in High Pressure Sodium Lamps</b:Title>
    <b:Year>2015</b:Year>
    <b:URL>https://rohs.exemptions.oeko.info/fileadmin/user_upload/RoHS_Pack_9/Exemption_4_b__I-III_/4b_LE_RoHS_Exemption_Req_Final.pdf</b:URL>
    <b:RefOrder>32</b:RefOrder>
  </b:Source>
  <b:Source>
    <b:Tag>Lig151</b:Tag>
    <b:SourceType>DocumentFromInternetSite</b:SourceType>
    <b:Guid>{EE5FC517-13D4-49E4-B728-1DACD0133A80}</b:Guid>
    <b:Author>
      <b:Author>
        <b:Corporate>Lighting Europe</b:Corporate>
      </b:Author>
    </b:Author>
    <b:Title>Response to Oko-Institut regading the 1st Questionnaire Exemption No. 4c(I-III) (renewal request) Exemption for “Mercury in other High Pressure Sodium (vapour) lamps for general lighting purposes not exceeding (per burner):</b:Title>
    <b:Year>2015</b:Year>
    <b:URL>https://rohs.exemptions.oeko.info/fileadmin/user_upload/RoHS_Pack_9/Exemption_4_b__I-III_/Ex_4b__I-II-III__LightingEurope_1st_Clarification-Questions_final.pdf</b:URL>
    <b:RefOrder>29</b:RefOrder>
  </b:Source>
  <b:Source>
    <b:Tag>Eur151</b:Tag>
    <b:SourceType>DocumentFromInternetSite</b:SourceType>
    <b:Guid>{54228525-19C9-4EA4-871B-609E2DD6E057}</b:Guid>
    <b:Author>
      <b:Author>
        <b:Corporate>European Environment Bureau</b:Corporate>
      </b:Author>
    </b:Author>
    <b:Title>Environmental NGOs Response to Stakeholder consultation 2015 #2 on mercury-containing lamps - Exemption 1-4 (Review of Annex to the RoHS directive)</b:Title>
    <b:Year>2015</b:Year>
    <b:URL>https://rohs.exemptions.oeko.info/fileadmin/user_upload/RoHS_Pack_9/Exemption_1_a-e_/Ex_1-4_EEP-RPN-MPP_Comments_on_RoHS_Request-final_20151016.pdf</b:URL>
    <b:RefOrder>30</b:RefOrder>
  </b:Source>
  <b:Source>
    <b:Tag>IME15</b:Tag>
    <b:SourceType>DocumentFromInternetSite</b:SourceType>
    <b:Guid>{B6D612DF-D56E-4F89-9D61-7B2207F18153}</b:Guid>
    <b:Author>
      <b:Author>
        <b:Corporate>IMERC</b:Corporate>
      </b:Author>
    </b:Author>
    <b:Title>IMERC Fact Sheet - Mercury Use in Lighting</b:Title>
    <b:Year>2015</b:Year>
    <b:URL>http://www.newmoa.org/prevention/mercury/imerc/factsheets/lighting_2015.pdf</b:URL>
    <b:RefOrder>33</b:RefOrder>
  </b:Source>
  <b:Source>
    <b:Tag>Che16</b:Tag>
    <b:SourceType>DocumentFromInternetSite</b:SourceType>
    <b:Guid>{DEBDE817-171A-4955-BB64-6127132FA081}</b:Guid>
    <b:Author>
      <b:Author>
        <b:Corporate>Chemical Watch</b:Corporate>
      </b:Author>
    </b:Author>
    <b:Title>RoHS around the world</b:Title>
    <b:Year>2016</b:Year>
    <b:URL>https://chemicalwatch.com/48769/rohs-around-the-world#overlay-strip</b:URL>
    <b:RefOrder>34</b:RefOrder>
  </b:Source>
  <b:Source>
    <b:Tag>Lux17</b:Tag>
    <b:SourceType>JournalArticle</b:SourceType>
    <b:Guid>{4D769C95-9716-4EA5-9DC1-96A89D0B0956}</b:Guid>
    <b:Author>
      <b:Author>
        <b:Corporate>Lux Review</b:Corporate>
      </b:Author>
    </b:Author>
    <b:Title>How effective are UVC LEDs?</b:Title>
    <b:JournalName>Available at: https://luxreview.com/article/2017/09/how-effective-are-uvc-leds-</b:JournalName>
    <b:Year>2017</b:Year>
    <b:RefOrder>39</b:RefOrder>
  </b:Source>
  <b:Source>
    <b:Tag>Hel16</b:Tag>
    <b:SourceType>JournalArticle</b:SourceType>
    <b:Guid>{BB5EA8AA-BE28-4465-B495-C2AC1CC237FC}</b:Guid>
    <b:Author>
      <b:Author>
        <b:Corporate>Helios Quartz</b:Corporate>
      </b:Author>
    </b:Author>
    <b:Title>UV Lamp</b:Title>
    <b:JournalName>Available at: https://www.heliosquartz.com/wp-content/uploads/2016/01/Helios-Quartz_UV-LAMPS_eng.pdf</b:JournalName>
    <b:Year>2016</b:Year>
    <b:RefOrder>38</b:RefOrder>
  </b:Source>
  <b:Source>
    <b:Tag>Lig5a</b:Tag>
    <b:SourceType>JournalArticle</b:SourceType>
    <b:Guid>{A83F1E41-F210-41D1-8567-FEB65A2E3E3E}</b:Guid>
    <b:Author>
      <b:Author>
        <b:Corporate>Lighting Europe</b:Corporate>
      </b:Author>
    </b:Author>
    <b:Title>Request to renew Exemption 4a under the RoHS DIrective 2011/65/EU</b:Title>
    <b:JournalName>Available at: https://rohs.exemptions.oeko.info/fileadmin/user_upload/RoHS_Pack_9/Exemption_4_a_/Lighting_Europe/4a_LE_RoHS_Exemption_Req__Final.pdf</b:JournalName>
    <b:Year>2015a</b:Year>
    <b:RefOrder>40</b:RefOrder>
  </b:Source>
  <b:Source>
    <b:Tag>Van15</b:Tag>
    <b:SourceType>JournalArticle</b:SourceType>
    <b:Guid>{3B256CB2-A161-493C-83D8-76768C0F2D38}</b:Guid>
    <b:Author>
      <b:Author>
        <b:NameList>
          <b:Person>
            <b:Last>Van der Meer</b:Last>
            <b:First>M</b:First>
          </b:Person>
          <b:Person>
            <b:Last>van Lierop</b:Last>
            <b:First>F</b:First>
          </b:Person>
          <b:Person>
            <b:Last>Sokolov</b:Last>
            <b:First>D</b:First>
          </b:Person>
        </b:NameList>
      </b:Author>
    </b:Author>
    <b:Title>The analysis of modern low pressure amalgam lamp characteristics</b:Title>
    <b:JournalName>Available at: http://www.dafp.de/wp-content/uploads/2015/10/The-analysis-of-modern-low-pressure-amalgam-characteristics.pdf</b:JournalName>
    <b:Year>2015</b:Year>
    <b:RefOrder>41</b:RefOrder>
  </b:Source>
  <b:Source>
    <b:Tag>Uni19</b:Tag>
    <b:SourceType>JournalArticle</b:SourceType>
    <b:Guid>{5047773D-FE5E-41A0-8BF1-3E0EFEF21952}</b:Guid>
    <b:Author>
      <b:Author>
        <b:Corporate>University of Cambridge</b:Corporate>
      </b:Author>
    </b:Author>
    <b:Title>UV LEDs</b:Title>
    <b:JournalName>Available at: https://www.gan.msm.cam.ac.uk/projects/uv</b:JournalName>
    <b:Year>2019</b:Year>
    <b:RefOrder>42</b:RefOrder>
  </b:Source>
  <b:Source>
    <b:Tag>Guo18</b:Tag>
    <b:SourceType>JournalArticle</b:SourceType>
    <b:Guid>{C049137A-BDB9-446B-80E4-E2C80C335B24}</b:Guid>
    <b:Author>
      <b:Author>
        <b:NameList>
          <b:Person>
            <b:Last>Guo</b:Last>
            <b:First>Y</b:First>
          </b:Person>
          <b:Person>
            <b:Last>Yan</b:Last>
            <b:First>J</b:First>
          </b:Person>
          <b:Person>
            <b:Last>Zhang</b:Last>
            <b:First>Y</b:First>
          </b:Person>
          <b:Person>
            <b:Last>Wang</b:Last>
            <b:First>J</b:First>
          </b:Person>
          <b:Person>
            <b:Last>Li</b:Last>
            <b:First>J</b:First>
          </b:Person>
        </b:NameList>
      </b:Author>
    </b:Author>
    <b:Title>Enhancing the light extraction of AlGaN-based ultraviolet light-emitting diodes in the nanoscale</b:Title>
    <b:JournalName>Journal of Nanophotonics</b:JournalName>
    <b:Year>2018</b:Year>
    <b:RefOrder>43</b:RefOrder>
  </b:Source>
  <b:Source>
    <b:Tag>Adv19</b:Tag>
    <b:SourceType>JournalArticle</b:SourceType>
    <b:Guid>{ACF396DB-C98B-426B-A14A-9B05495AD29F}</b:Guid>
    <b:Author>
      <b:Author>
        <b:Corporate>Advanced-UV</b:Corporate>
      </b:Author>
    </b:Author>
    <b:Title>Advanced UV for Life</b:Title>
    <b:JournalName>Available at: https://www.advanced-uv.de/en/about/welcome/</b:JournalName>
    <b:Year>2019</b:Year>
    <b:RefOrder>44</b:RefOrder>
  </b:Source>
  <b:Source>
    <b:Tag>Placeholder5</b:Tag>
    <b:SourceType>JournalArticle</b:SourceType>
    <b:Guid>{93444538-72E6-4327-B3A7-8B5C9B19E71A}</b:Guid>
    <b:Author>
      <b:Author>
        <b:Corporate>Lighting Europe</b:Corporate>
      </b:Author>
    </b:Author>
    <b:Title>Response to Oeko-Institut regarding the 1st Questionnaire Exemption No. 4a (renewal request); Exemption for “Mercury in other low pressure discharge lamps (per lamp) – 15 mg may be used per lamp after 31 December 2011” Date of submission: September 15, 20</b:Title>
    <b:JournalName>Available at: http://rohs.exemptions.oeko.info/fileadmin/user_upload/RoHS_Pack_9/Exemption_4_a_/Lighting_Europe/Ex_4a_LightingEurope_1st_Clarification-Questions_final.pdf</b:JournalName>
    <b:Year>2015b</b:Year>
    <b:RefOrder>45</b:RefOrder>
  </b:Source>
  <b:Source>
    <b:Tag>BIO12</b:Tag>
    <b:SourceType>DocumentFromInternetSite</b:SourceType>
    <b:Guid>{92839237-792B-45E6-8344-2F7667694EEB}</b:Guid>
    <b:Author>
      <b:Author>
        <b:Corporate>BIO Intelligence</b:Corporate>
      </b:Author>
    </b:Author>
    <b:Title>Study on the potential for reducing mercury pollution from dental amalgam and batteries</b:Title>
    <b:Year>2012</b:Year>
    <b:URL>http://ec.europa.eu/environment/chemicals/mercury/pdf/mercury_dental_report.pdf</b:URL>
    <b:RefOrder>2</b:RefOrder>
  </b:Source>
  <b:Source>
    <b:Tag>Eur141</b:Tag>
    <b:SourceType>DocumentFromInternetSite</b:SourceType>
    <b:Guid>{FA7F8DCB-C863-4237-8C88-A14EE5E021CB}</b:Guid>
    <b:Author>
      <b:Author>
        <b:Corporate>European Commission</b:Corporate>
      </b:Author>
    </b:Author>
    <b:Title>Report on the availability of mercury-free button cells for hearing aids, in accordance with Article 4.4 of Directive 2006/66/EC of the European Parliament and of the Council on batteries and accumulators and waste batteries and repealing.../</b:Title>
    <b:Year>2014</b:Year>
    <b:URL>http://ec.europa.eu/environment/waste/batteries/pdf/COM_2014_632.pdf</b:URL>
    <b:RefOrder>3</b:RefOrder>
  </b:Source>
  <b:Source>
    <b:Tag>Eur14</b:Tag>
    <b:SourceType>DocumentFromInternetSite</b:SourceType>
    <b:Guid>{65C0ACF1-B8E0-46E1-8FE3-A54906DACF9B}</b:Guid>
    <b:Author>
      <b:Author>
        <b:Corporate>European Commission</b:Corporate>
      </b:Author>
    </b:Author>
    <b:Title>Study: Availability of Mercury-free Button Cells for Hearing Aids</b:Title>
    <b:Year>2014</b:Year>
    <b:URL>https://publications.europa.eu/en/publication-detail/-/publication/16d794d9-1947-48b9-ba5a-4d9d2e3d3c24/language-en</b:URL>
    <b:RefOrder>4</b:RefOrder>
  </b:Source>
  <b:Source>
    <b:Tag>Low11</b:Tag>
    <b:SourceType>Report</b:SourceType>
    <b:Guid>{7759C87A-0E99-4D6F-A026-28015929BB58}</b:Guid>
    <b:Author>
      <b:Author>
        <b:Corporate>Lowell Centre for Sustainable Products</b:Corporate>
      </b:Author>
    </b:Author>
    <b:Title>Economics of Conversion to Mercury-Free Products, Report for UNEP DTIE Chemicals Branch (Referenced in EC, 2014)</b:Title>
    <b:Year>2011</b:Year>
    <b:RefOrder>5</b:RefOrder>
  </b:Source>
  <b:Source>
    <b:Tag>Lin161</b:Tag>
    <b:SourceType>DocumentFromInternetSite</b:SourceType>
    <b:Guid>{12C9DCDA-6A6E-4DFC-997F-29DC24D75481}</b:Guid>
    <b:Author>
      <b:Author>
        <b:Corporate>Lin et al.</b:Corporate>
      </b:Author>
    </b:Author>
    <b:Title>Material flow for the intentional use of mercury in China</b:Title>
    <b:Year>2016</b:Year>
    <b:URL>https://pubs.acs.org/doi/suppl/10.1021/acs.est.5b04998/suppl_file/es5b04998_si_001.pdf</b:URL>
    <b:RefOrder>6</b:RefOrder>
  </b:Source>
  <b:Source>
    <b:Tag>CIR17</b:Tag>
    <b:SourceType>DocumentFromInternetSite</b:SourceType>
    <b:Guid>{C0E7379F-9B13-4EF3-9480-8441504F13CB}</b:Guid>
    <b:Author>
      <b:Author>
        <b:Corporate>CIRS-REACH</b:Corporate>
      </b:Author>
    </b:Author>
    <b:Title>China Enforcing Mercury Convention</b:Title>
    <b:Year>2017</b:Year>
    <b:URL>http://www.cirs-reach.com/news-and-articles/China-Enforcing-Mercury-Convention.html</b:URL>
    <b:RefOrder>7</b:RefOrder>
  </b:Source>
  <b:Source>
    <b:Tag>Faz</b:Tag>
    <b:SourceType>DocumentFromInternetSite</b:SourceType>
    <b:Guid>{AE6E2AB7-B178-4D86-926B-B9C032FF9F7E}</b:Guid>
    <b:Author>
      <b:Author>
        <b:Corporate>Fazio et al.</b:Corporate>
      </b:Author>
    </b:Author>
    <b:Title>Alternative Propellants for Gridded Ion Engines</b:Title>
    <b:URL>https://www.researchgate.net/publication/326571233_Alternative_propellants_for_gridded_ion_engines</b:URL>
    <b:Year>2018</b:Year>
    <b:RefOrder>134</b:RefOrder>
  </b:Source>
  <b:Source>
    <b:Tag>Blo19</b:Tag>
    <b:SourceType>DocumentFromInternetSite</b:SourceType>
    <b:Guid>{D577B267-EAF8-4FC5-8420-99A4BDD006B8}</b:Guid>
    <b:Author>
      <b:Author>
        <b:Corporate>Bloomberg</b:Corporate>
      </b:Author>
    </b:Author>
    <b:Title>THis Silicon Valley Space Startup COuld Lace the Atmosphre with Mercury</b:Title>
    <b:Year>2019</b:Year>
    <b:URL>https://www.bloomberg.com/news/articles/2018-11-19/this-space-startup-could-lace-the-atmosphere-with-toxic-mercury</b:URL>
    <b:RefOrder>135</b:RefOrder>
  </b:Source>
  <b:Source>
    <b:Tag>Coc09</b:Tag>
    <b:SourceType>DocumentFromInternetSite</b:SourceType>
    <b:Guid>{6A62D8A2-140F-45EF-9860-59611DB1FCA3}</b:Guid>
    <b:Author>
      <b:Author>
        <b:Corporate>Cochran et al.</b:Corporate>
      </b:Author>
    </b:Author>
    <b:Title>Fast Reactor Development in the United States</b:Title>
    <b:Year>2009</b:Year>
    <b:URL>https://www.tandfonline.com/doi/full/10.1080/08929880903445514</b:URL>
    <b:RefOrder>136</b:RefOrder>
  </b:Source>
  <b:Source>
    <b:Tag>Gie142</b:Tag>
    <b:SourceType>DocumentFromInternetSite</b:SourceType>
    <b:Guid>{62FE33BA-66E6-4888-84A8-9F29ECE18242}</b:Guid>
    <b:Author>
      <b:Author>
        <b:Corporate>Giegerich &amp; Day</b:Corporate>
      </b:Author>
    </b:Author>
    <b:Title>The KALPUREX-process – A new vacuum pumping process for exhaust gases in fusion power plants</b:Title>
    <b:Year>2014</b:Year>
    <b:URL>https://www.sciencedirect.com/science/article/pii/S0920379614002610</b:URL>
    <b:RefOrder>137</b:RefOrder>
  </b:Source>
  <b:Source>
    <b:Tag>Gie17</b:Tag>
    <b:SourceType>DocumentFromInternetSite</b:SourceType>
    <b:Guid>{A4F37F0E-94B6-413D-BA3A-FACC4C2CE40D}</b:Guid>
    <b:Author>
      <b:Author>
        <b:Corporate>Giegerich et al.</b:Corporate>
      </b:Author>
    </b:Author>
    <b:Year>2017</b:Year>
    <b:URL>https://www.sciencedirect.com/science/article/pii/S0920379617303423</b:URL>
    <b:Title>Mercury ring pump proof-of-principle testing in the THESEUS facility</b:Title>
    <b:RefOrder>138</b:RefOrder>
  </b:Source>
  <b:Source>
    <b:Tag>Min15</b:Tag>
    <b:SourceType>DocumentFromInternetSite</b:SourceType>
    <b:Guid>{2EC143F6-CAD4-44CE-9863-0F9B180C601B}</b:Guid>
    <b:Author>
      <b:Author>
        <b:Corporate>Ministry of the Environment, Japan</b:Corporate>
      </b:Author>
    </b:Author>
    <b:Title>Ministerial Ordinance under "Act on Preventing Environmental Pollution of Mercury"</b:Title>
    <b:Year>2015</b:Year>
    <b:URL>https://members.wto.org/crnattachments/2015/TBT/JPN/15_2560_00_e.pdf</b:URL>
    <b:RefOrder>139</b:RefOrder>
  </b:Source>
  <b:Source>
    <b:Tag>Vin19</b:Tag>
    <b:SourceType>DocumentFromInternetSite</b:SourceType>
    <b:Guid>{EE0C3996-F61B-45B5-9409-D1B369E1D038}</b:Guid>
    <b:Author>
      <b:Author>
        <b:Corporate>Vinci Technologies</b:Corporate>
      </b:Author>
    </b:Author>
    <b:Title>Immersed bulk volume meter IBV</b:Title>
    <b:Year>2019</b:Year>
    <b:URL>https://www.vinci-technologies.com/products-explo.aspx?IDR=82292&amp;idr2=82547&amp;IDM=536750</b:URL>
    <b:RefOrder>140</b:RefOrder>
  </b:Source>
  <b:Source>
    <b:Tag>PERnd</b:Tag>
    <b:SourceType>DocumentFromInternetSite</b:SourceType>
    <b:Guid>{B9C5F464-47A6-4902-91DD-15A4CBB79217}</b:Guid>
    <b:Author>
      <b:Author>
        <b:Corporate>PERMInc</b:Corporate>
      </b:Author>
    </b:Author>
    <b:Title>Laboratory Measurement of Capillary Pressure: Mercury Injection</b:Title>
    <b:Year>n/d</b:Year>
    <b:URL>http://perminc.com/resources/fundamentals-of-fluid-flow-in-porous-media/chapter-2-the-porous-medium/multi-phase-saturated-rock-properties/laboratory-measurement-capillary-pressure/mercury-injection/</b:URL>
    <b:RefOrder>141</b:RefOrder>
  </b:Source>
  <b:Source>
    <b:Tag>Tes19</b:Tag>
    <b:SourceType>DocumentFromInternetSite</b:SourceType>
    <b:Guid>{9A12F2AB-005E-4288-82F7-6CA91BEAE360}</b:Guid>
    <b:Author>
      <b:Author>
        <b:Corporate>Tesca</b:Corporate>
      </b:Author>
    </b:Author>
    <b:Title>Ionisation Potential of Mercury using gas filled diode with Power Supply and 2 digital meters (V.V.) (C.R.)</b:Title>
    <b:Year>2019</b:Year>
    <b:URL>http://tesca.in/product/ionisation-potential-of-mercury-using-gas-filled-diode-with-power-supply-and-2-digital-meters-vv-cr.html</b:URL>
    <b:RefOrder>142</b:RefOrder>
  </b:Source>
  <b:Source>
    <b:Tag>USN17</b:Tag>
    <b:SourceType>DocumentFromInternetSite</b:SourceType>
    <b:Guid>{F63FE2BA-B8F1-46CD-82F8-D7EE8291DD8C}</b:Guid>
    <b:Author>
      <b:Author>
        <b:Corporate>USNRC</b:Corporate>
      </b:Author>
    </b:Author>
    <b:Title>Review of Spent Fuel Reprocessing and Associated Accident Phenomena</b:Title>
    <b:Year>2017</b:Year>
    <b:URL>https://www.nrc.gov/docs/ML1704/ML17045A577.pdf</b:URL>
    <b:RefOrder>143</b:RefOrder>
  </b:Source>
  <b:Source>
    <b:Tag>UNE13</b:Tag>
    <b:SourceType>JournalArticle</b:SourceType>
    <b:Guid>{70B373B8-C884-4BBE-8D72-1C4AC7D4113D}</b:Guid>
    <b:Author>
      <b:Author>
        <b:Corporate>UNEP</b:Corporate>
      </b:Author>
    </b:Author>
    <b:Title>Minamata Convention on Mercury</b:Title>
    <b:Year>2013a</b:Year>
    <b:RefOrder>9</b:RefOrder>
  </b:Source>
  <b:Source>
    <b:Tag>Wor191</b:Tag>
    <b:SourceType>JournalArticle</b:SourceType>
    <b:Guid>{F7AFB047-F81E-4245-952A-EBB6FF5A9377}</b:Guid>
    <b:Author>
      <b:Author>
        <b:Corporate>World Bank</b:Corporate>
      </b:Author>
    </b:Author>
    <b:Title>Capacity Strengthening for Implementation of Minamata Convention on Mercury Project</b:Title>
    <b:JournalName>Available at: http://projects.worldbank.org/P151281?lang=en</b:JournalName>
    <b:Year>2019</b:Year>
    <b:RefOrder>144</b:RefOrder>
  </b:Source>
  <b:Source>
    <b:Tag>Set19</b:Tag>
    <b:SourceType>DocumentFromInternetSite</b:SourceType>
    <b:Guid>{3FF364BF-B588-4637-BA3A-C4EE5914B5F9}</b:Guid>
    <b:Author>
      <b:Author>
        <b:Corporate>Sethurajan et al.</b:Corporate>
      </b:Author>
    </b:Author>
    <b:Title>Recent advances on hydrometallurgical recovery of critical nad precious leents from end of life electronic wastes- a review</b:Title>
    <b:Year>2019</b:Year>
    <b:URL>https://www.researchgate.net/figure/Structure-of-double-capped-linear-fluorescent-lamp-CREE-Inc-2015_fig5_330468620</b:URL>
    <b:RefOrder>24</b:RefOrder>
  </b:Source>
  <b:Source>
    <b:Tag>Lig14</b:Tag>
    <b:SourceType>DocumentFromInternetSite</b:SourceType>
    <b:Guid>{B2ED3A55-51CF-468A-98F9-15CAA8A2F1AD}</b:Guid>
    <b:Author>
      <b:Author>
        <b:Corporate>Lighting Europe</b:Corporate>
      </b:Author>
    </b:Author>
    <b:Title>Globally Harmonized Limits on Mercury for Lighting</b:Title>
    <b:Year>2014</b:Year>
    <b:URL>https://www.lightingeurope.org/images/publications/position-papers/LE_PP_Global_Mercury_limit_20131002_final.pdf</b:URL>
    <b:RefOrder>145</b:RefOrder>
  </b:Source>
  <b:Source>
    <b:Tag>Placeholder1</b:Tag>
    <b:SourceType>JournalArticle</b:SourceType>
    <b:Guid>{03457F76-85C3-445B-967A-FB2B471036D8}</b:Guid>
    <b:Author>
      <b:Author>
        <b:Corporate>UNEP</b:Corporate>
      </b:Author>
    </b:Author>
    <b:Title>Acceptance on behalf of the United States of America</b:Title>
    <b:JournalName>Available at: http://www.mercuryconvention.org/Portals/11/documents/submissions/US%20declaration.pdf [Accessed 13/06/2019]</b:JournalName>
    <b:Year>2013</b:Year>
    <b:RefOrder>146</b:RefOrder>
  </b:Source>
  <b:Source>
    <b:Tag>Zer19</b:Tag>
    <b:SourceType>DocumentFromInternetSite</b:SourceType>
    <b:Guid>{BD110A41-27A3-42A2-95A0-413E56B222B9}</b:Guid>
    <b:Author>
      <b:Author>
        <b:Corporate>Zero Mercury Working Group</b:Corporate>
      </b:Author>
    </b:Author>
    <b:Title>Information Relevant to the Review of Annexes A and B</b:Title>
    <b:Year>2019</b:Year>
    <b:URL>http://www.mercuryconvention.org/Portals/11/documents/submissions/ZMWG_Submission_AnnexA_B.pdf</b:URL>
    <b:RefOrder>147</b:RefOrder>
  </b:Source>
  <b:Source>
    <b:Tag>Placeholder3</b:Tag>
    <b:SourceType>JournalArticle</b:SourceType>
    <b:Guid>{1CE38235-7DD2-42B6-B314-49F193CC8300}</b:Guid>
    <b:Author>
      <b:Author>
        <b:Corporate>UNEP</b:Corporate>
      </b:Author>
    </b:Author>
    <b:Title>Minamata Convention on Mercury</b:Title>
    <b:Year>2013</b:Year>
    <b:RefOrder>35</b:RefOrder>
  </b:Source>
  <b:Source>
    <b:Tag>Placeholder4</b:Tag>
    <b:SourceType>DocumentFromInternetSite</b:SourceType>
    <b:Guid>{3BC228DC-3CE8-4BD5-9E80-E2E71B9BDAA9}</b:Guid>
    <b:Author>
      <b:Author>
        <b:Corporate>Minister of Justice</b:Corporate>
      </b:Author>
    </b:Author>
    <b:Title>Products Containing Mercury Regulations</b:Title>
    <b:Year>2019</b:Year>
    <b:URL>https://laws-lois.justice.gc.ca/PDF/SOR-2014-254.pdf</b:URL>
    <b:RefOrder>37</b:RefOrder>
  </b:Source>
  <b:Source>
    <b:Tag>Sci12</b:Tag>
    <b:SourceType>JournalArticle</b:SourceType>
    <b:Guid>{8B480AE7-B79B-499B-86C3-18D00CB4FA3D}</b:Guid>
    <b:Author>
      <b:Author>
        <b:Corporate>SCHER</b:Corporate>
      </b:Author>
    </b:Author>
    <b:Title>Opinion on mercury in certain energy-saving light bulbs – exposure of children</b:Title>
    <b:Year>2012</b:Year>
    <b:RefOrder>148</b:RefOrder>
  </b:Source>
  <b:Source>
    <b:Tag>USE9d</b:Tag>
    <b:SourceType>JournalArticle</b:SourceType>
    <b:Guid>{48DA4F61-94B0-4E08-92CE-172638EDBABE}</b:Guid>
    <b:Author>
      <b:Author>
        <b:Corporate>US EPA</b:Corporate>
      </b:Author>
    </b:Author>
    <b:Title>Environmental Laws that Apply to Mercury</b:Title>
    <b:JournalName>Available at: https://www.epa.gov/mercury/environmental-laws-apply-mercury [Accessed 23/05/2019]</b:JournalName>
    <b:Year>2019d</b:Year>
    <b:RefOrder>149</b:RefOrder>
  </b:Source>
  <b:Source>
    <b:Tag>EU11</b:Tag>
    <b:SourceType>JournalArticle</b:SourceType>
    <b:Guid>{D800BD96-2747-4542-85B5-DC480C7748EA}</b:Guid>
    <b:Author>
      <b:Author>
        <b:Corporate>EU</b:Corporate>
      </b:Author>
    </b:Author>
    <b:Title>DIRECTIVE 2011/65/EU OF THE EUROPEAN PARLIAMENT AND OF THE COUNCIL</b:Title>
    <b:JournalName>Available at: https://eur-lex.europa.eu/legal-content/EN/TXT/PDF/?uri=CELEX:32011L0065&amp;from=EN</b:JournalName>
    <b:Year>2011</b:Year>
    <b:RefOrder>150</b:RefOrder>
  </b:Source>
  <b:Source>
    <b:Tag>WHO11</b:Tag>
    <b:SourceType>JournalArticle</b:SourceType>
    <b:Guid>{E0CEC0EF-A0C0-4326-B827-773D0E00A741}</b:Guid>
    <b:Author>
      <b:Author>
        <b:Corporate>WHO</b:Corporate>
      </b:Author>
    </b:Author>
    <b:Title>Thiomersal - questions and answers</b:Title>
    <b:JournalName>Available at: https://www.who.int/immunization/newsroom/thiomersal_questions_and_answers/en/ [Accessed 28/05/2019]</b:JournalName>
    <b:Year>2011</b:Year>
    <b:RefOrder>46</b:RefOrder>
  </b:Source>
  <b:Source>
    <b:Tag>Orb18</b:Tag>
    <b:SourceType>JournalArticle</b:SourceType>
    <b:Guid>{ABA002A4-45A2-4CD3-91FE-843998F7958A}</b:Guid>
    <b:Author>
      <b:Author>
        <b:Corporate>Orbis Research</b:Corporate>
      </b:Author>
    </b:Author>
    <b:Title>Global Cosmetics Products Market-Analysis of Growth, Trends and Forecasts (2018-2023)</b:Title>
    <b:JournalName>Available at: http://orbisresearch.com/reports/index/global-cosmetics-products-market-analysis-of-growth-trends-and-forecasts-2018-2023</b:JournalName>
    <b:Year>2018</b:Year>
    <b:RefOrder>47</b:RefOrder>
  </b:Source>
  <b:Source>
    <b:Tag>Glo18</b:Tag>
    <b:SourceType>JournalArticle</b:SourceType>
    <b:Guid>{5CDB1B8D-63D2-4868-8076-CADD5DA5F5DB}</b:Guid>
    <b:Author>
      <b:Author>
        <b:Corporate>Global Market Insights</b:Corporate>
      </b:Author>
    </b:Author>
    <b:Title>Cosmetic Preservatives Market size to exceed $1.4 Bn by 2024</b:Title>
    <b:JournalName>Available at: https://www.gminsights.com/pressrelease/cosmetic-preservatives-market</b:JournalName>
    <b:Year>2018</b:Year>
    <b:RefOrder>48</b:RefOrder>
  </b:Source>
  <b:Source>
    <b:Tag>ICC16</b:Tag>
    <b:SourceType>JournalArticle</b:SourceType>
    <b:Guid>{77FD7394-BB8B-4E12-92B8-1257B4E4466B}</b:Guid>
    <b:Author>
      <b:Author>
        <b:Corporate>ICCR</b:Corporate>
      </b:Author>
    </b:Author>
    <b:Title>General and Technical Frequently Asked Questions</b:Title>
    <b:JournalName>Available at: https://ec.europa.eu/docsroom/documents/17203/attachments/1/translations/</b:JournalName>
    <b:Year>2016</b:Year>
    <b:RefOrder>49</b:RefOrder>
  </b:Source>
  <b:Source>
    <b:Tag>Env</b:Tag>
    <b:SourceType>JournalArticle</b:SourceType>
    <b:Guid>{25E5A877-44B7-4EDB-9C2E-B83103EEF372}</b:Guid>
    <b:Author>
      <b:Author>
        <b:Corporate>EWG</b:Corporate>
      </b:Author>
    </b:Author>
    <b:Title>Thimerosal</b:Title>
    <b:JournalName>Available at: https://www.ewg.org/skindeep/ingredient/706528/THIMEROSAL/</b:JournalName>
    <b:Year>2019a</b:Year>
    <b:RefOrder>50</b:RefOrder>
  </b:Source>
  <b:Source>
    <b:Tag>Fon16</b:Tag>
    <b:SourceType>JournalArticle</b:SourceType>
    <b:Guid>{116F991C-8600-4C56-AB41-4D575162412D}</b:Guid>
    <b:Author>
      <b:Author>
        <b:NameList>
          <b:Person>
            <b:Last>Fonacier</b:Last>
            <b:First>L</b:First>
          </b:Person>
          <b:Person>
            <b:Last>Boguniewicz</b:Last>
            <b:First>M</b:First>
          </b:Person>
        </b:NameList>
      </b:Author>
    </b:Author>
    <b:Title>Contact Dermatitis</b:Title>
    <b:JournalName>Pediatric Allergy: Principles and Practice (Third Edition)</b:JournalName>
    <b:Year>2016</b:Year>
    <b:RefOrder>51</b:RefOrder>
  </b:Source>
  <b:Source>
    <b:Tag>Sci13</b:Tag>
    <b:SourceType>JournalArticle</b:SourceType>
    <b:Guid>{0ACC6885-C48B-4061-9261-B6EAC0AA57EF}</b:Guid>
    <b:Author>
      <b:Author>
        <b:Corporate>Scientific American</b:Corporate>
      </b:Author>
    </b:Author>
    <b:Title>In the Public Eye: Mascara Exempt from Mercury Treaty</b:Title>
    <b:JournalName>Available at: https://www.scientificamerican.com/article/in-the-public-eye-mascara-exempt-from-mercury-treaty/?redirect=1 [Accessed 28/05/2019]</b:JournalName>
    <b:Year>2013</b:Year>
    <b:RefOrder>52</b:RefOrder>
  </b:Source>
  <b:Source>
    <b:Tag>COW08</b:Tag>
    <b:SourceType>JournalArticle</b:SourceType>
    <b:Guid>{72FC5043-C344-4305-B0CE-2549501374DC}</b:Guid>
    <b:Author>
      <b:Author>
        <b:Corporate>COWI</b:Corporate>
      </b:Author>
    </b:Author>
    <b:Title>Options for reducing mercury use in products and applications, and the fate of mercury already circulating in the society. Final Report</b:Title>
    <b:JournalName>Available at: http://ec.europa.eu/environment/chemicals/mercury/pdf/study_report2008.pdf</b:JournalName>
    <b:Year>2008</b:Year>
    <b:RefOrder>53</b:RefOrder>
  </b:Source>
  <b:Source>
    <b:Tag>Thi14</b:Tag>
    <b:SourceType>JournalArticle</b:SourceType>
    <b:Guid>{62613C17-F734-4FF6-BD8A-3194BB600434}</b:Guid>
    <b:Author>
      <b:Author>
        <b:NameList>
          <b:Person>
            <b:Last>Thiemann</b:Last>
            <b:First>A</b:First>
          </b:Person>
          <b:Person>
            <b:Last>Jänichen</b:Last>
            <b:First>K</b:First>
          </b:Person>
        </b:NameList>
      </b:Author>
    </b:Author>
    <b:Title>The formulator’s guide to safe cosmetic preservation</b:Title>
    <b:JournalName>Available at: https://www.dr-straetmans.de/dl/media/filer_public/7a/ef/7aef7f01-c566-425c-9c7b-500334a96b2a/review_article_about_the_development_and_trends_in_preservative_legislation_and_safe_alternatives_for_the_future_verstatil_dermosoft.pdf</b:JournalName>
    <b:Year>2014</b:Year>
    <b:RefOrder>54</b:RefOrder>
  </b:Source>
  <b:Source>
    <b:Tag>Eco19</b:Tag>
    <b:SourceType>JournalArticle</b:SourceType>
    <b:Guid>{76512845-3D3D-453E-AB20-BB2CBF47E13C}</b:Guid>
    <b:Author>
      <b:Author>
        <b:Corporate>EcoMundo</b:Corporate>
      </b:Author>
    </b:Author>
    <b:Title>Preservatives in cosmetic products</b:Title>
    <b:JournalName>Available at: https://www.ecomundo.eu/en/blog/preservatives-in-cosmetic-products</b:JournalName>
    <b:Year>2019</b:Year>
    <b:RefOrder>55</b:RefOrder>
  </b:Source>
  <b:Source>
    <b:Tag>EWG19</b:Tag>
    <b:SourceType>JournalArticle</b:SourceType>
    <b:Guid>{03F5E36C-663D-4DBD-A36C-DA2F6270FCDE}</b:Guid>
    <b:Author>
      <b:Author>
        <b:Corporate>EWG</b:Corporate>
      </b:Author>
    </b:Author>
    <b:Title>Products containing THIMEROSAL</b:Title>
    <b:JournalName>Available online: https://www.ewg.org/skindeep/browse.php?old=1&amp;containing=706528&amp;</b:JournalName>
    <b:Year>2019b</b:Year>
    <b:RefOrder>56</b:RefOrder>
  </b:Source>
  <b:Source>
    <b:Tag>Mic18</b:Tag>
    <b:SourceType>JournalArticle</b:SourceType>
    <b:Guid>{0FA9BCD9-CAEF-4327-8EC4-1A73FD8F809E}</b:Guid>
    <b:Author>
      <b:Author>
        <b:Corporate>Microchem Laboratory</b:Corporate>
      </b:Author>
    </b:Author>
    <b:Title>Five Most Common Types of Preservatives Used in Cosmetics</b:Title>
    <b:JournalName>Available at: https://microchemlab.com/information/five-most-common-types-preservatives-used-cosmetics</b:JournalName>
    <b:Year>2018</b:Year>
    <b:RefOrder>57</b:RefOrder>
  </b:Source>
  <b:Source>
    <b:Tag>Hal18</b:Tag>
    <b:SourceType>JournalArticle</b:SourceType>
    <b:Guid>{74A9AE7E-6907-446C-A943-74F7FF9B6E98}</b:Guid>
    <b:Author>
      <b:Author>
        <b:NameList>
          <b:Person>
            <b:Last>Halla</b:Last>
            <b:First>N</b:First>
          </b:Person>
          <b:Person>
            <b:Last>Fernandes</b:Last>
            <b:First>I</b:First>
          </b:Person>
          <b:Person>
            <b:Last>Heleno</b:Last>
            <b:First>S</b:First>
          </b:Person>
          <b:Person>
            <b:Last>Costa</b:Last>
            <b:First>P</b:First>
          </b:Person>
          <b:Person>
            <b:Last>Boucherit-Otmani</b:Last>
            <b:First>Z</b:First>
          </b:Person>
          <b:Person>
            <b:Last>Boucherit</b:Last>
            <b:First>K</b:First>
          </b:Person>
          <b:Person>
            <b:Last>Rodrigues</b:Last>
            <b:First>A</b:First>
          </b:Person>
          <b:Person>
            <b:Last>Ferreira</b:Last>
            <b:First>I</b:First>
          </b:Person>
          <b:Person>
            <b:Last>Barreiro</b:Last>
            <b:First>M</b:First>
          </b:Person>
        </b:NameList>
      </b:Author>
    </b:Author>
    <b:Title>Cosmetics Preservation: A Review on Present Strategies</b:Title>
    <b:JournalName>Available at: https://www.mdpi.com/1420-3049/23/7/1571/pdf</b:JournalName>
    <b:Year>2018</b:Year>
    <b:RefOrder>58</b:RefOrder>
  </b:Source>
  <b:Source>
    <b:Tag>Bre19</b:Tag>
    <b:SourceType>JournalArticle</b:SourceType>
    <b:Guid>{64637899-F4B1-4E5A-BB22-B9B35C2672F3}</b:Guid>
    <b:Title>Chemicals of Concern</b:Title>
    <b:JournalName>Available at: http://www.safecosmetics.org/get-the-facts/chem-of-concern/</b:JournalName>
    <b:Year>2019</b:Year>
    <b:Author>
      <b:Author>
        <b:Corporate>Breast Cancer Prevention Partners</b:Corporate>
      </b:Author>
    </b:Author>
    <b:RefOrder>59</b:RefOrder>
  </b:Source>
  <b:Source>
    <b:Tag>LUS19</b:Tag>
    <b:SourceType>JournalArticle</b:SourceType>
    <b:Guid>{801D1A21-EB99-4B8B-A164-4CD2F13DBF90}</b:Guid>
    <b:Author>
      <b:Author>
        <b:Corporate>LUSH</b:Corporate>
      </b:Author>
    </b:Author>
    <b:Title>The environmental cost of preservatives</b:Title>
    <b:JournalName>Available at: https://uk.lush.com/article/environmental-cost-preservatives</b:JournalName>
    <b:Year>2019</b:Year>
    <b:RefOrder>60</b:RefOrder>
  </b:Source>
  <b:Source>
    <b:Tag>Cos19</b:Tag>
    <b:SourceType>JournalArticle</b:SourceType>
    <b:Guid>{C06DB43A-DC05-4330-A61D-3CB2056DF2F4}</b:Guid>
    <b:Author>
      <b:Author>
        <b:Corporate>Cosmetics Europe</b:Corporate>
      </b:Author>
    </b:Author>
    <b:Title>Preservatives: Protecting Consumers</b:Title>
    <b:JournalName>Available at: https://www.cosmeticseurope.eu/files/6215/4296/8648/CE_Fact_sheet_preservatives.pdf</b:JournalName>
    <b:Year>2019</b:Year>
    <b:RefOrder>61</b:RefOrder>
  </b:Source>
  <b:Source>
    <b:Tag>UNE131</b:Tag>
    <b:SourceType>JournalArticle</b:SourceType>
    <b:Guid>{3B8DE37D-03C4-4A08-98B2-4C821E60145E}</b:Guid>
    <b:Author>
      <b:Author>
        <b:Corporate>UNEP</b:Corporate>
      </b:Author>
    </b:Author>
    <b:Title>Minamata Convention on Mercury</b:Title>
    <b:Year>2013</b:Year>
    <b:RefOrder>62</b:RefOrder>
  </b:Source>
  <b:Source>
    <b:Tag>USF19</b:Tag>
    <b:SourceType>JournalArticle</b:SourceType>
    <b:Guid>{F6A7CD7D-181A-410A-860A-56B424A47183}</b:Guid>
    <b:Author>
      <b:Author>
        <b:Corporate>US FDA</b:Corporate>
      </b:Author>
    </b:Author>
    <b:Title>Prohibited &amp; Restricted Ingredients in Cosmetics</b:Title>
    <b:JournalName>Available at: https://www.fda.gov/cosmetics/cosmetics-laws-regulations/prohibited-restricted-ingredients-cosmetics#prohibited [Accessed 28/05/2019]</b:JournalName>
    <b:Year>2017</b:Year>
    <b:RefOrder>63</b:RefOrder>
  </b:Source>
  <b:Source>
    <b:Tag>Gov12</b:Tag>
    <b:SourceType>JournalArticle</b:SourceType>
    <b:Guid>{06F6A59D-4538-4721-A625-4F2E57084921}</b:Guid>
    <b:Author>
      <b:Author>
        <b:Corporate>Government of Canada</b:Corporate>
      </b:Author>
    </b:Author>
    <b:Title>Guidance on Heavy Metal Impurities in Cosmetics</b:Title>
    <b:JournalName>Available at: https://www.canada.ca/en/health-canada/services/consumer-product-safety/reports-publications/industry-professionals/guidance-heavy-metal-impurities-cosmetics.html#a4 [Accessed 28/05/2019]</b:JournalName>
    <b:Year>2012</b:Year>
    <b:RefOrder>151</b:RefOrder>
  </b:Source>
  <b:Source>
    <b:Tag>Min00</b:Tag>
    <b:SourceType>JournalArticle</b:SourceType>
    <b:Guid>{454C56A2-E8BF-43B5-8DC2-0EC233BD5131}</b:Guid>
    <b:Author>
      <b:Author>
        <b:Corporate>Ministry of Health, Labour and Welfare</b:Corporate>
      </b:Author>
    </b:Author>
    <b:Title>Standards for Cosmetics</b:Title>
    <b:JournalName>Available at: https://www.mhlw.go.jp/file/06-Seisakujouhou-11120000-Iyakushokuhinkyoku/0000032704.pdf</b:JournalName>
    <b:Year>2000</b:Year>
    <b:RefOrder>152</b:RefOrder>
  </b:Source>
  <b:Source>
    <b:Tag>Hea18</b:Tag>
    <b:SourceType>JournalArticle</b:SourceType>
    <b:Guid>{DD89FB58-82CE-43A0-9514-5BED275B074E}</b:Guid>
    <b:Author>
      <b:Author>
        <b:Corporate>Health Sciences Authority</b:Corporate>
      </b:Author>
    </b:Author>
    <b:Title>Annexes of the ASEAN Cosmetic Directive</b:Title>
    <b:JournalName>Available at: https://www.hsa.gov.sg/content/dam/HSA/HPRG/Cosmetic_Products/Annexes%20of%20ACD%20(after%2029th%20ACSB%20Meeting).pdf</b:JournalName>
    <b:Year>2018</b:Year>
    <b:RefOrder>64</b:RefOrder>
  </b:Source>
  <b:Source>
    <b:Tag>Cos18</b:Tag>
    <b:SourceType>JournalArticle</b:SourceType>
    <b:Guid>{AC3494D4-7CBA-4110-9E45-21EA8257E6F5}</b:Guid>
    <b:Author>
      <b:Author>
        <b:Corporate>Cosmetics Europe</b:Corporate>
      </b:Author>
    </b:Author>
    <b:Title>Socio-Economic Contribution of the European Cosmetics Industry</b:Title>
    <b:JournalName>Available at: https://www.cosmeticseurope.eu/download/NjVMWDNaVGJXcUJpZVhxM0lXN3BxUT09</b:JournalName>
    <b:Year>2018</b:Year>
    <b:RefOrder>153</b:RefOrder>
  </b:Source>
  <b:Source>
    <b:Tag>ASE17</b:Tag>
    <b:SourceType>JournalArticle</b:SourceType>
    <b:Guid>{94A01B1A-8406-40E5-AAA2-E4E402E8BC09}</b:Guid>
    <b:Author>
      <b:Author>
        <b:Corporate>ASEAN</b:Corporate>
      </b:Author>
    </b:Author>
    <b:Title>ASEAN guidelines on limits of contaminants for cosmetics</b:Title>
    <b:JournalName>Available at: https://www.hsa.gov.sg/content/dam/HSA/HPRG/Cosmetic_Products/ASEAN%20Guidelines%20on%20Limits%20of%20Contaminants%20for%20Cosmetics.pdf</b:JournalName>
    <b:Year>2017</b:Year>
    <b:RefOrder>154</b:RefOrder>
  </b:Source>
  <b:Source>
    <b:Tag>Dyn16</b:Tag>
    <b:SourceType>JournalArticle</b:SourceType>
    <b:Guid>{BA2EC0D5-9CFA-4F18-A212-AA2381CFF7E0}</b:Guid>
    <b:Author>
      <b:Author>
        <b:Corporate>Dynisco</b:Corporate>
      </b:Author>
    </b:Author>
    <b:Title>Melt Pressure Measurement: Environmental Effects</b:Title>
    <b:JournalName>Available at: https://www.dynisco.com/userfiles/files/Datasheets/melt_pressure_measurement_environmental_effects.pdf</b:JournalName>
    <b:Year>2016</b:Year>
    <b:RefOrder>65</b:RefOrder>
  </b:Source>
  <b:Source>
    <b:Tag>Bag19</b:Tag>
    <b:SourceType>JournalArticle</b:SourceType>
    <b:Guid>{686E74BB-F9DC-4676-911E-3D9642C23D55}</b:Guid>
    <b:Author>
      <b:Author>
        <b:Corporate>Bagsik</b:Corporate>
      </b:Author>
    </b:Author>
    <b:Title>Pressure Measurement</b:Title>
    <b:JournalName>Available at: http://www.bagsik.net/download.php?module=download&amp;file=ZmlsZXMvZG93bmxvYWQvMTQ3Njk2MjAzMzE3NTNfZW5fcHJlc3N1cmUtbWVhc3VyZW1lbnQucGRm</b:JournalName>
    <b:Year>2019</b:Year>
    <b:RefOrder>66</b:RefOrder>
  </b:Source>
  <b:Source>
    <b:Tag>GEF17</b:Tag>
    <b:SourceType>JournalArticle</b:SourceType>
    <b:Guid>{A28D4AC2-12FB-4B81-AD98-E32DCD52AB96}</b:Guid>
    <b:Author>
      <b:Author>
        <b:Corporate>Gefran</b:Corporate>
      </b:Author>
    </b:Author>
    <b:Title>Melt Pressure Sensors</b:Title>
    <b:JournalName>Available at: https://www.gefran.com/en/download/3367/attachment/en</b:JournalName>
    <b:Year>2017</b:Year>
    <b:RefOrder>67</b:RefOrder>
  </b:Source>
  <b:Source>
    <b:Tag>Ind19</b:Tag>
    <b:SourceType>JournalArticle</b:SourceType>
    <b:Guid>{580A1187-F0CA-4326-935F-429B19723549}</b:Guid>
    <b:Author>
      <b:Author>
        <b:Corporate>Industry Search</b:Corporate>
      </b:Author>
    </b:Author>
    <b:Title>Highly Durable Melt Pressure Sensor by Gefran</b:Title>
    <b:JournalName>Available at: https://www.industrysearch.com.au/highly-durable-melt-pressure-sensor-by-gefran/p/65842</b:JournalName>
    <b:Year>2019</b:Year>
    <b:RefOrder>68</b:RefOrder>
  </b:Source>
  <b:Source>
    <b:Tag>Wag</b:Tag>
    <b:SourceType>JournalArticle</b:SourceType>
    <b:Guid>{EF51EAEA-4BF8-4E36-A074-F6FC173B5BB8}</b:Guid>
    <b:Author>
      <b:Author>
        <b:NameList>
          <b:Person>
            <b:Last>Wagner</b:Last>
            <b:First>J</b:First>
          </b:Person>
          <b:Person>
            <b:Last>Mount</b:Last>
            <b:First>E</b:First>
          </b:Person>
          <b:Person>
            <b:Last>Giles</b:Last>
            <b:First>H</b:First>
          </b:Person>
        </b:NameList>
      </b:Author>
    </b:Author>
    <b:Title>Extrusion</b:Title>
    <b:JournalName>Available at: https://www.sciencedirect.com/book/9781437734812/extrusion#book-info</b:JournalName>
    <b:Year>2014</b:Year>
    <b:RefOrder>69</b:RefOrder>
  </b:Source>
  <b:Source>
    <b:Tag>Gef14</b:Tag>
    <b:SourceType>JournalArticle</b:SourceType>
    <b:Guid>{89C43B29-DADB-442F-855C-00EB800B3DAC}</b:Guid>
    <b:Author>
      <b:Author>
        <b:Corporate>Gefran</b:Corporate>
      </b:Author>
    </b:Author>
    <b:Title>Pressure Sensors for High Temperature</b:Title>
    <b:JournalName>Available at: http://www.thermalsolutionsoftexas.com/pdfs/components/user-manuals/nak-fill.pdf</b:JournalName>
    <b:Year>2014</b:Year>
    <b:RefOrder>70</b:RefOrder>
  </b:Source>
  <b:Source>
    <b:Tag>Grä15</b:Tag>
    <b:SourceType>JournalArticle</b:SourceType>
    <b:Guid>{26B9A066-0916-4FDE-8E44-27F248679396}</b:Guid>
    <b:Author>
      <b:Author>
        <b:Corporate>Gräff</b:Corporate>
      </b:Author>
    </b:Author>
    <b:Title>Melt Pressure Sensors</b:Title>
    <b:JournalName>Available at: http://www.graeff-gmbh.com/pdf/MASSEDRUCK_EN_eigen.pdf</b:JournalName>
    <b:Year>2015</b:Year>
    <b:RefOrder>71</b:RefOrder>
  </b:Source>
  <b:Source>
    <b:Tag>Mül19</b:Tag>
    <b:SourceType>JournalArticle</b:SourceType>
    <b:Guid>{E9C11267-38AD-4958-968B-CABBF44C0C19}</b:Guid>
    <b:Author>
      <b:Author>
        <b:Corporate>Müller</b:Corporate>
      </b:Author>
    </b:Author>
    <b:Title>Melt pressure and melt temperature sensors </b:Title>
    <b:JournalName>Available at: https://mueller-ie.com/en/current-news/1112-melt-pressure-and-melt-temperature-sensors.html</b:JournalName>
    <b:Year>2019</b:Year>
    <b:RefOrder>72</b:RefOrder>
  </b:Source>
  <b:Source>
    <b:Tag>Gef10</b:Tag>
    <b:SourceType>JournalArticle</b:SourceType>
    <b:Guid>{78243D70-3B10-4A84-8555-18C1B04010E2}</b:Guid>
    <b:Author>
      <b:Author>
        <b:Corporate>Gefran</b:Corporate>
      </b:Author>
    </b:Author>
    <b:Title>Melt pressure transducers and transmitters</b:Title>
    <b:JournalName>Available at: https://gefran-online.com/products/pdf/1323.pdf</b:JournalName>
    <b:Year>2010</b:Year>
    <b:RefOrder>73</b:RefOrder>
  </b:Source>
  <b:Source>
    <b:Tag>Che09</b:Tag>
    <b:SourceType>JournalArticle</b:SourceType>
    <b:Guid>{060EFF87-561C-431C-80A0-310862B701D4}</b:Guid>
    <b:Author>
      <b:Author>
        <b:Corporate>Chemwatch</b:Corporate>
      </b:Author>
    </b:Author>
    <b:Title>Sodium-potassium alloy</b:Title>
    <b:JournalName>Available at: http://datasheets.scbt.com/sc-281150.pdf [Accessed 25/06/2019]</b:JournalName>
    <b:Year>2009</b:Year>
    <b:RefOrder>74</b:RefOrder>
  </b:Source>
  <b:Source>
    <b:Tag>AZO19</b:Tag>
    <b:SourceType>JournalArticle</b:SourceType>
    <b:Guid>{BE675302-EDCC-49AC-8643-D58F95661C57}</b:Guid>
    <b:Author>
      <b:Author>
        <b:Corporate>AZO Materials</b:Corporate>
      </b:Author>
    </b:Author>
    <b:Title>What are Mercury Fill Sensors?</b:Title>
    <b:JournalName>Available at: https://www.azom.com/article.aspx?ArticleID=17470</b:JournalName>
    <b:Year>2019</b:Year>
    <b:RefOrder>155</b:RefOrder>
  </b:Source>
  <b:Source>
    <b:Tag>MPI19</b:Tag>
    <b:SourceType>JournalArticle</b:SourceType>
    <b:Guid>{A71A763E-5234-4017-B6F9-1688161A7350}</b:Guid>
    <b:Author>
      <b:Author>
        <b:Corporate>MPI Melt Pressure</b:Corporate>
      </b:Author>
    </b:Author>
    <b:Title>Oil Fill Melt Pressure Transducers &amp; Transmitters</b:Title>
    <b:JournalName>Available at: https://www.mpipressure.com/melt-pressure/transmitters/oil-fill</b:JournalName>
    <b:Year>2019</b:Year>
    <b:RefOrder>156</b:RefOrder>
  </b:Source>
  <b:Source>
    <b:Tag>Gov17</b:Tag>
    <b:SourceType>JournalArticle</b:SourceType>
    <b:Guid>{5A061414-44D2-4355-8ABC-47E8F50EC332}</b:Guid>
    <b:Author>
      <b:Author>
        <b:Corporate>Government of Canada</b:Corporate>
      </b:Author>
    </b:Author>
    <b:Title>Terms and conditions for the approval of pressure transducers</b:Title>
    <b:JournalName>Available: https://www.ic.gc.ca/eic/site/mc-mc.nsf/eng/lm00123.html</b:JournalName>
    <b:Year>2017</b:Year>
    <b:RefOrder>157</b:RefOrder>
  </b:Source>
  <b:Source>
    <b:Tag>Min191</b:Tag>
    <b:SourceType>JournalArticle</b:SourceType>
    <b:Guid>{88F8ED79-4003-4505-8A6B-C13408268FF6}</b:Guid>
    <b:Author>
      <b:Author>
        <b:Corporate>Minister of Justice</b:Corporate>
      </b:Author>
    </b:Author>
    <b:Title>Products Containing Mercury Regulations</b:Title>
    <b:JournalName>Available at: https://laws-lois.justice.gc.ca/PDF/SOR-2014-254.pdf [Accessed 13/06/2019]</b:JournalName>
    <b:Year>2019</b:Year>
    <b:RefOrder>158</b:RefOrder>
  </b:Source>
  <b:Source>
    <b:Tag>MET17</b:Tag>
    <b:SourceType>JournalArticle</b:SourceType>
    <b:Guid>{461D6959-82D2-462F-BFAA-8E4F1735035E}</b:Guid>
    <b:Author>
      <b:Author>
        <b:Corporate>METI</b:Corporate>
      </b:Author>
    </b:Author>
    <b:Title>Overview of the National Implementation Plan for Preventing Environmental Pollution of Mercury</b:Title>
    <b:JournalName>Available at: https://www.meti.go.jp/english/press/2017/pdf/1016_003a.pdf</b:JournalName>
    <b:Year>2017</b:Year>
    <b:RefOrder>159</b:RefOrder>
  </b:Source>
  <b:Source>
    <b:Tag>Wor19</b:Tag>
    <b:SourceType>JournalArticle</b:SourceType>
    <b:Guid>{EF077C46-625A-4EE5-BC34-2B1572E219CA}</b:Guid>
    <b:Author>
      <b:Author>
        <b:Corporate>World Bank</b:Corporate>
      </b:Author>
    </b:Author>
    <b:Title>Capacity Strengthening for Implementation of Minamata Convention on Mercury Project</b:Title>
    <b:JournalName>Available at: http://projects.worldbank.org/P151281?lang=en </b:JournalName>
    <b:Year>2019</b:Year>
    <b:RefOrder>160</b:RefOrder>
  </b:Source>
  <b:Source>
    <b:Tag>ECH11</b:Tag>
    <b:SourceType>DocumentFromInternetSite</b:SourceType>
    <b:Guid>{A39B2C50-3DB1-49C6-975A-5454E84041A7}</b:Guid>
    <b:Author>
      <b:Author>
        <b:Corporate>ECHA</b:Corporate>
      </b:Author>
    </b:Author>
    <b:Title>Background document to the opinions on the Annex XV dossier proposing restrictions on Mercury in measuring devices</b:Title>
    <b:Year>2011</b:Year>
    <b:URL>https://echa.europa.eu/documents/10162/20f4ee0a-6bcf-4ed0-a271-6674cd333710</b:URL>
    <b:RefOrder>75</b:RefOrder>
  </b:Source>
  <b:Source>
    <b:Tag>Hok19</b:Tag>
    <b:SourceType>DocumentFromInternetSite</b:SourceType>
    <b:Guid>{218CE72A-719D-4014-ABF2-0EF983ED229B}</b:Guid>
    <b:Author>
      <b:Author>
        <b:Corporate>Hokanson</b:Corporate>
      </b:Author>
    </b:Author>
    <b:Title>Strain Gauges </b:Title>
    <b:Year>2019</b:Year>
    <b:URL>http://hokansonvascular.com/products/133386</b:URL>
    <b:RefOrder>79</b:RefOrder>
  </b:Source>
  <b:Source>
    <b:Tag>Placeholder6</b:Tag>
    <b:SourceType>DocumentFromInternetSite</b:SourceType>
    <b:Guid>{221F49D0-8E3D-42B8-B2A2-F820FE6B8014}</b:Guid>
    <b:Author>
      <b:Author>
        <b:Corporate>COWI</b:Corporate>
      </b:Author>
    </b:Author>
    <b:Title>Options for reducing mercury use in products and applications, and the fate of mercury already circulating in society</b:Title>
    <b:Year>2008</b:Year>
    <b:URL>http://ec.europa.eu/environment/chemicals/mercury/pdf/EU_Mercury_Study2008.pdf</b:URL>
    <b:RefOrder>76</b:RefOrder>
  </b:Source>
  <b:Source>
    <b:Tag>Placeholder7</b:Tag>
    <b:SourceType>DocumentFromInternetSite</b:SourceType>
    <b:Guid>{22624B33-494F-4FCE-8463-4FE3D7958685}</b:Guid>
    <b:Author>
      <b:Author>
        <b:Corporate>COWI &amp; ICF</b:Corporate>
      </b:Author>
    </b:Author>
    <b:Title>Support to assessing the impacts of certain amendments to the Proposal of the Commission for a Regulation on Mercury</b:Title>
    <b:Year>2017</b:Year>
    <b:URL>http://ec.europa.eu/environment/chemicals/mercury/pdf/Final%20Report_KH0617141ENN.pdf</b:URL>
    <b:RefOrder>77</b:RefOrder>
  </b:Source>
  <b:Source>
    <b:Tag>NEW16</b:Tag>
    <b:SourceType>DocumentFromInternetSite</b:SourceType>
    <b:Guid>{E10F19D3-596C-43A5-B540-E9A065975B85}</b:Guid>
    <b:Author>
      <b:Author>
        <b:Corporate>NEWMOA</b:Corporate>
      </b:Author>
    </b:Author>
    <b:Title>Hospital Equipment</b:Title>
    <b:Year>2016</b:Year>
    <b:URL>http://www.newmoa.org/prevention/mercury/projects/legacy/healthcare.cfm</b:URL>
    <b:RefOrder>78</b:RefOrder>
  </b:Source>
  <b:Source>
    <b:Tag>COW081</b:Tag>
    <b:SourceType>DocumentFromInternetSite</b:SourceType>
    <b:Guid>{12F96C43-FAB3-4928-B352-7AB18D3C147E}</b:Guid>
    <b:Author>
      <b:Author>
        <b:Corporate>COWI</b:Corporate>
      </b:Author>
    </b:Author>
    <b:Title>Options for reducing mercury use in products and applications, and the fate of mercury already circulating in society</b:Title>
    <b:Year>2008</b:Year>
    <b:URL>http://ec.europa.eu/environment/chemicals/mercury/pdf/EU_Mercury_Study2008.pdf</b:URL>
    <b:RefOrder>80</b:RefOrder>
  </b:Source>
  <b:Source>
    <b:Tag>Att91</b:Tag>
    <b:SourceType>Book</b:SourceType>
    <b:Guid>{9C932811-C51E-4A54-A3E6-E73CE21B7EBD}</b:Guid>
    <b:Author>
      <b:Author>
        <b:Corporate>Atta &amp; Hablanian</b:Corporate>
      </b:Author>
    </b:Author>
    <b:Title>"Vacuum and Vacuum Technology". In Rita G. Lerner; George L. Trigg (eds.) Encyclopedia of Physics (Second ed.)</b:Title>
    <b:Year>1991</b:Year>
    <b:Publisher>VCH Publishers</b:Publisher>
    <b:RefOrder>81</b:RefOrder>
  </b:Source>
  <b:Source>
    <b:Tag>Bea14</b:Tag>
    <b:SourceType>Book</b:SourceType>
    <b:Guid>{A353DECE-F9FF-41E8-BC99-336CFB1A0DB6}</b:Guid>
    <b:Author>
      <b:Author>
        <b:Corporate>Beach &amp; Chandler</b:Corporate>
      </b:Author>
    </b:Author>
    <b:Title>"Air Pump". The New Student's Reference Work</b:Title>
    <b:Year>1914</b:Year>
    <b:City>Chicago</b:City>
    <b:Publisher>F.E. Compton and Co.</b:Publisher>
    <b:RefOrder>82</b:RefOrder>
  </b:Source>
  <b:Source>
    <b:Tag>Gie14</b:Tag>
    <b:SourceType>DocumentFromInternetSite</b:SourceType>
    <b:Guid>{4A2F3BFE-4260-446B-9C8E-4C125FF481DC}</b:Guid>
    <b:Author>
      <b:Author>
        <b:Corporate>Giegerich &amp; Day</b:Corporate>
      </b:Author>
    </b:Author>
    <b:Title>The KALPUREX-process - A new vacuum pumping process for exhaust gases in fusion power plants</b:Title>
    <b:Year>2014</b:Year>
    <b:URL>https://inis.iaea.org/search/search.aspx?orig_q=RN:46087195</b:URL>
    <b:RefOrder>83</b:RefOrder>
  </b:Source>
  <b:Source>
    <b:Tag>Gie141</b:Tag>
    <b:SourceType>DocumentFromInternetSite</b:SourceType>
    <b:Guid>{8DB0FDB3-BE62-4B0B-A974-651E0BC3429A}</b:Guid>
    <b:Author>
      <b:Author>
        <b:Corporate>Giegerich &amp; Day</b:Corporate>
      </b:Author>
    </b:Author>
    <b:Title>Development of Advanced Exhaust Pumping Technology for a DT Fusion Power Plant</b:Title>
    <b:Year>2014</b:Year>
    <b:URL>https://ieeexplore.ieee.org/document/6762984</b:URL>
    <b:RefOrder>84</b:RefOrder>
  </b:Source>
  <b:Source>
    <b:Tag>COW171</b:Tag>
    <b:SourceType>DocumentFromInternetSite</b:SourceType>
    <b:Guid>{26ECDD5B-6B53-4CAB-90BE-780A7BBD3A80}</b:Guid>
    <b:Author>
      <b:Author>
        <b:Corporate>COWI &amp; ICF</b:Corporate>
      </b:Author>
    </b:Author>
    <b:Title>Support to assessing the impacts of certain amendments to the Proposal of te Commission for a Regulation on Mercury</b:Title>
    <b:Year>2017</b:Year>
    <b:URL>https://publications.europa.eu/en/publication-detail/-/publication/087ac555-aefa-11e7-837e-01aa75ed71a1/language-en/format-PDF/source-71516962</b:URL>
    <b:RefOrder>85</b:RefOrder>
  </b:Source>
  <b:Source>
    <b:Tag>Com11</b:Tag>
    <b:SourceType>DocumentFromInternetSite</b:SourceType>
    <b:Guid>{5241D9B2-D429-4E10-A3DA-0C4D907C16BE}</b:Guid>
    <b:Author>
      <b:Author>
        <b:Corporate>Committee for Risk Assessment and Committee for Socio-economic Analysis</b:Corporate>
      </b:Author>
    </b:Author>
    <b:Title>Background document to the opinions on the Annex XV dossier proposing restrictions on Mercury in measuring devices</b:Title>
    <b:Year>2011</b:Year>
    <b:URL>https://echa.europa.eu/documents/10162/20f4ee0a-6bcf-4ed0-a271-6674cd333710</b:URL>
    <b:RefOrder>86</b:RefOrder>
  </b:Source>
  <b:Source>
    <b:Tag>ECH10</b:Tag>
    <b:SourceType>DocumentFromInternetSite</b:SourceType>
    <b:Guid>{A0A84D02-E452-431B-B61F-FA8449028050}</b:Guid>
    <b:Author>
      <b:Author>
        <b:Corporate>ECHA</b:Corporate>
      </b:Author>
    </b:Author>
    <b:Title>Annex XV Restriction Report Proposal for a Restriction </b:Title>
    <b:Year>2010</b:Year>
    <b:URL>https://echa.europa.eu/documents/10162/13641/annex_xv_restriction_report_mercury_en.pdf/e6f7cce2-ecf4-49cc-ba4e-34bb2c60b4a5</b:URL>
    <b:RefOrder>87</b:RefOrder>
  </b:Source>
  <b:Source>
    <b:Tag>Lab19</b:Tag>
    <b:SourceType>DocumentFromInternetSite</b:SourceType>
    <b:Guid>{45E1E5C6-0D3A-4FDB-9FEE-F3148D7AE093}</b:Guid>
    <b:Author>
      <b:Author>
        <b:Corporate>Labindia</b:Corporate>
      </b:Author>
    </b:Author>
    <b:Title>Ring and Ball Apparatus</b:Title>
    <b:Year>2019</b:Year>
    <b:URL>https://www.labindia.com/labindia_instrument/ring-and-ball-apparatus.html</b:URL>
    <b:RefOrder>161</b:RefOrder>
  </b:Source>
  <b:Source>
    <b:Tag>CIR171</b:Tag>
    <b:SourceType>DocumentFromInternetSite</b:SourceType>
    <b:Guid>{9DDBF0B7-3F18-41AA-A1E1-682D7A76850E}</b:Guid>
    <b:Author>
      <b:Author>
        <b:Corporate>CIRS</b:Corporate>
      </b:Author>
    </b:Author>
    <b:Title>China Enforcing Mercury Convention</b:Title>
    <b:Year>2017</b:Year>
    <b:URL>http://www.cirs-reach.com/news-and-articles/China-Enforcing-Mercury-Convention.html</b:URL>
    <b:RefOrder>88</b:RefOrder>
  </b:Source>
  <b:Source>
    <b:Tag>Com111</b:Tag>
    <b:SourceType>DocumentFromInternetSite</b:SourceType>
    <b:Guid>{DEDB5327-33BB-4DF3-AA24-4D505492E467}</b:Guid>
    <b:Author>
      <b:Author>
        <b:Corporate>Committee for Risk Assessment and Committee for Socio-economic Analysis</b:Corporate>
      </b:Author>
    </b:Author>
    <b:Title>Background document to the opinions on the Annex XV dossier proposing restrictions on Mercury in measuring devices</b:Title>
    <b:Year>2011</b:Year>
    <b:URL>https://echa.europa.eu/documents/10162/20f4ee0a-6bcf-4ed0-a271-6674cd333710</b:URL>
    <b:RefOrder>89</b:RefOrder>
  </b:Source>
  <b:Source>
    <b:Tag>NEW161</b:Tag>
    <b:SourceType>DocumentFromInternetSite</b:SourceType>
    <b:Guid>{E3EDE37E-0591-407A-8E43-BFCE8C96EAE8}</b:Guid>
    <b:Author>
      <b:Author>
        <b:Corporate>NEWMOA</b:Corporate>
      </b:Author>
    </b:Author>
    <b:Title>Measuring Devices (Miscellaneous)</b:Title>
    <b:Year>2016</b:Year>
    <b:URL>http://www.newmoa.org/prevention/mercury/projects/legacy/measdev.cfm</b:URL>
    <b:RefOrder>90</b:RefOrder>
  </b:Source>
  <b:Source>
    <b:Tag>MBK05</b:Tag>
    <b:SourceType>DocumentFromInternetSite</b:SourceType>
    <b:Guid>{585D372F-586C-4B05-B90A-EBF0D48DD7FC}</b:Guid>
    <b:Author>
      <b:Author>
        <b:NameList>
          <b:Person>
            <b:Last>Kirkham</b:Last>
            <b:First>M.B.</b:First>
          </b:Person>
        </b:NameList>
      </b:Author>
    </b:Author>
    <b:Title>Tensiometers</b:Title>
    <b:Year>2005</b:Year>
    <b:URL>https://www.sciencedirect.com/topics/agricultural-and-biological-sciences/tensiometers</b:URL>
    <b:RefOrder>91</b:RefOrder>
  </b:Source>
  <b:Source>
    <b:Tag>ECH101</b:Tag>
    <b:SourceType>DocumentFromInternetSite</b:SourceType>
    <b:Guid>{4CE80AC1-4C52-490F-B4E2-5FF588EA990C}</b:Guid>
    <b:Author>
      <b:Author>
        <b:Corporate>ECHA</b:Corporate>
      </b:Author>
    </b:Author>
    <b:Title>Annex XV Restriction Report: Proposal for a restriction</b:Title>
    <b:Year>2010</b:Year>
    <b:URL>https://echa.europa.eu/documents/10162/13641/annex_xv_restriction_report_mercury_en.pdf/e6f7cce2-ecf4-49cc-ba4e-34bb2c60b4a5</b:URL>
    <b:RefOrder>92</b:RefOrder>
  </b:Source>
  <b:Source>
    <b:Tag>WHO121</b:Tag>
    <b:SourceType>DocumentFromInternetSite</b:SourceType>
    <b:Guid>{92BE3F5F-DA4D-493B-9283-8EAAE1DEBF4B}</b:Guid>
    <b:Author>
      <b:Author>
        <b:Corporate>WHO</b:Corporate>
      </b:Author>
    </b:Author>
    <b:Title>Updated facts and fitures on vaccines and the global mercury treaty</b:Title>
    <b:Year>2012</b:Year>
    <b:URL>https://www.who.int/immunization/newsroom/updated_facts_and_figures_mercury_treaty.pdf</b:URL>
    <b:RefOrder>93</b:RefOrder>
  </b:Source>
  <b:Source>
    <b:Tag>Placeholder8</b:Tag>
    <b:SourceType>DocumentFromInternetSite</b:SourceType>
    <b:Guid>{EA174E81-72CE-408A-9750-374AA86DCCEF}</b:Guid>
    <b:Author>
      <b:Author>
        <b:Corporate>WHO</b:Corporate>
      </b:Author>
    </b:Author>
    <b:Title>Thomersal - Questions and answers</b:Title>
    <b:Year>2011</b:Year>
    <b:URL>https://www.who.int/immunization/newsroom/thiomersal_questions_and_answers/en/</b:URL>
    <b:RefOrder>94</b:RefOrder>
  </b:Source>
  <b:Source>
    <b:Tag>BIO10</b:Tag>
    <b:SourceType>DocumentFromInternetSite</b:SourceType>
    <b:Guid>{3CBCB535-E9D1-4055-9FD4-2FD81C9AA783}</b:Guid>
    <b:Author>
      <b:Author>
        <b:Corporate>BIO Intelligence</b:Corporate>
      </b:Author>
    </b:Author>
    <b:Title>Review if the COmmunity Strategy Concerning Mercury</b:Title>
    <b:Year>2010</b:Year>
    <b:URL>http://ec.europa.eu/environment/chemicals/mercury/pdf/review_mercury_strategy2010.pdf</b:URL>
    <b:RefOrder>95</b:RefOrder>
  </b:Source>
  <b:Source>
    <b:Tag>WHO12</b:Tag>
    <b:SourceType>DocumentFromInternetSite</b:SourceType>
    <b:Guid>{66A61526-067F-4327-B668-E8A79879F208}</b:Guid>
    <b:Author>
      <b:Author>
        <b:Corporate>WHO</b:Corporate>
      </b:Author>
    </b:Author>
    <b:Title>Manufacturer perspectives on alternatives to thiomersal</b:Title>
    <b:Year>2012</b:Year>
    <b:URL>https://www.who.int/immunization/sage/meetings/2012/april/Alternatives_Thiomersal_novartis_sanofi_pasteur.pdf</b:URL>
    <b:RefOrder>96</b:RefOrder>
  </b:Source>
  <b:Source>
    <b:Tag>USF18</b:Tag>
    <b:SourceType>DocumentFromInternetSite</b:SourceType>
    <b:Guid>{054B9174-D101-4922-B58C-5991A1F6B0E7}</b:Guid>
    <b:Author>
      <b:Author>
        <b:Corporate>US FDA</b:Corporate>
      </b:Author>
    </b:Author>
    <b:Title>Thimerosal and Vaccines</b:Title>
    <b:Year>2018</b:Year>
    <b:URL>https://www.fda.gov/vaccines-blood-biologics/safety-availability-biologics/thimerosal-and-vaccines</b:URL>
    <b:RefOrder>97</b:RefOrder>
  </b:Source>
  <b:Source>
    <b:Tag>DCM19</b:Tag>
    <b:SourceType>DocumentFromInternetSite</b:SourceType>
    <b:Guid>{FF6C5DE3-EA90-4B50-96AD-059BC1902BCB}</b:Guid>
    <b:Author>
      <b:Author>
        <b:Corporate>DCM Shriram</b:Corporate>
      </b:Author>
    </b:Author>
    <b:Title>Calcium Carbide </b:Title>
    <b:Year>2019</b:Year>
    <b:URL>https://www.dcmshriram.com/calcium-carbide</b:URL>
    <b:RefOrder>98</b:RefOrder>
  </b:Source>
  <b:Source>
    <b:Tag>ICI05</b:Tag>
    <b:SourceType>DocumentFromInternetSite</b:SourceType>
    <b:Guid>{999B0B1D-7E6C-4C80-BDC9-91A6D3EB57E1}</b:Guid>
    <b:Author>
      <b:Author>
        <b:Corporate>ICIS</b:Corporate>
      </b:Author>
    </b:Author>
    <b:Title>India's DSCL expands Kota calcium carbide capacity 79%</b:Title>
    <b:Year>2005</b:Year>
    <b:URL>https://www.icis.com/explore/resources/news/2005/07/25/2003669/india-s-dscl-expands-kota-calcium-carbide-capacity-79-</b:URL>
    <b:RefOrder>99</b:RefOrder>
  </b:Source>
  <b:Source>
    <b:Tag>UNE17</b:Tag>
    <b:SourceType>DocumentFromInternetSite</b:SourceType>
    <b:Guid>{316B3FB5-44C2-4F9D-BF2F-8625430F7A3F}</b:Guid>
    <b:Author>
      <b:Author>
        <b:Corporate>UNEP</b:Corporate>
      </b:Author>
    </b:Author>
    <b:Title>Global mercury supply, trade and demand</b:Title>
    <b:Year>2017</b:Year>
    <b:URL>https://wedocs.unep.org/bitstream/handle/20.500.11822/21725/global_mercury.pdf?sequence=1&amp;isAllowed=y</b:URL>
    <b:RefOrder>100</b:RefOrder>
  </b:Source>
  <b:Source>
    <b:Tag>IPE15</b:Tag>
    <b:SourceType>DocumentFromInternetSite</b:SourceType>
    <b:Guid>{2AC6CF02-8C97-4CD4-B15E-CB0389D328D4}</b:Guid>
    <b:Author>
      <b:Author>
        <b:Corporate>IPEN</b:Corporate>
      </b:Author>
    </b:Author>
    <b:Title>China chemical safety case study: Qihua PVC plant in Qiqihar, Heilongjiang Province</b:Title>
    <b:Year>2015</b:Year>
    <b:URL>https://ipen.org/sites/default/files/documents/Case%20Study%20Report%20Qihua%202015r.pdf</b:URL>
    <b:RefOrder>101</b:RefOrder>
  </b:Source>
  <b:Source>
    <b:Tag>UNE18</b:Tag>
    <b:SourceType>DocumentFromInternetSite</b:SourceType>
    <b:Guid>{015C7AD4-94E2-447F-9F84-7F00B15B64E8}</b:Guid>
    <b:Author>
      <b:Author>
        <b:Corporate>UNEP</b:Corporate>
      </b:Author>
    </b:Author>
    <b:Title>Global Mercury Assessment 2018</b:Title>
    <b:Year>2018</b:Year>
    <b:URL>https://wedocs.unep.org/bitstream/handle/20.500.11822/27579/GMA2018.pdf?sequence=1&amp;isAllowed=y</b:URL>
    <b:RefOrder>102</b:RefOrder>
  </b:Source>
  <b:Source>
    <b:Tag>Dan05</b:Tag>
    <b:SourceType>DocumentFromInternetSite</b:SourceType>
    <b:Guid>{BC512D43-6252-491B-B629-48B519FC51B8}</b:Guid>
    <b:Author>
      <b:Author>
        <b:Corporate>Danish EPA</b:Corporate>
      </b:Author>
    </b:Author>
    <b:Title>Assessment of Mercury Releases from the Russian Federation - Intentional use of Mercury</b:Title>
    <b:Year>2005</b:Year>
    <b:URL>https://www2.mst.dk/udgiv/publications/2005/87-7614-539-5/html/kap03_eng.htm</b:URL>
    <b:RefOrder>103</b:RefOrder>
  </b:Source>
  <b:Source>
    <b:Tag>Lin16</b:Tag>
    <b:SourceType>DocumentFromInternetSite</b:SourceType>
    <b:Guid>{AF4996EA-7CFC-4DC2-964A-E575B27DDBE6}</b:Guid>
    <b:Author>
      <b:Author>
        <b:Corporate>Lin et al.</b:Corporate>
      </b:Author>
    </b:Author>
    <b:Title>Material flow for the intentional use of mercury in China</b:Title>
    <b:Year>2016</b:Year>
    <b:URL>https://pubs.acs.org/doi/suppl/10.1021/acs.est.5b04998/suppl_file/es5b04998_si_001.pdf</b:URL>
    <b:RefOrder>104</b:RefOrder>
  </b:Source>
  <b:Source>
    <b:Tag>Cha19</b:Tag>
    <b:SourceType>DocumentFromInternetSite</b:SourceType>
    <b:Guid>{8E8205A7-7B5F-46D3-A81B-C3F52B4C8484}</b:Guid>
    <b:Author>
      <b:Author>
        <b:Corporate>Chai et al.</b:Corporate>
      </b:Author>
    </b:Author>
    <b:Title>AuI as a cheap, nontoxic, and efficient alternate to commercial mercury catalyst for production of vinyl chloride monomer</b:Title>
    <b:Year>2019</b:Year>
    <b:URL>https://www.sciencedirect.com/science/article/pii/S0926860X1830574X</b:URL>
    <b:RefOrder>105</b:RefOrder>
  </b:Source>
  <b:Source>
    <b:Tag>She18</b:Tag>
    <b:SourceType>DocumentFromInternetSite</b:SourceType>
    <b:Guid>{9C3B75A9-0019-4295-AD40-CA3F720182AF}</b:Guid>
    <b:Author>
      <b:Author>
        <b:Corporate>Shen et al.</b:Corporate>
      </b:Author>
    </b:Author>
    <b:Title>Mercury-free nitrogen-doped activated carbon catalyst: an efficient catalyst for the catalytic coupling reaction of acetylene and ethylene dichloride to synthesize the vinyl chloride monomer</b:Title>
    <b:Year>2018</b:Year>
    <b:URL>https://pubs.rsc.org/en/content/articlelanding/2018/re/c7re00201g#!divAbstract</b:URL>
    <b:RefOrder>106</b:RefOrder>
  </b:Source>
  <b:Source>
    <b:Tag>Lie18</b:Tag>
    <b:SourceType>DocumentFromInternetSite</b:SourceType>
    <b:Guid>{40827F44-35C4-442D-A22A-092AA0B4AC48}</b:Guid>
    <b:Author>
      <b:Author>
        <b:Corporate>Li et al.</b:Corporate>
      </b:Author>
    </b:Author>
    <b:Title>Synthesis of Vinyl Chloride Monomer over Carbon-Supported Tris-(Triphenylphosphine) Ruthenium Dichloride Catalysts</b:Title>
    <b:Year>2018</b:Year>
    <b:URL>https://www.mdpi.com/2073-4344/8/7/276/pdf</b:URL>
    <b:RefOrder>107</b:RefOrder>
  </b:Source>
  <b:Source>
    <b:Tag>The18</b:Tag>
    <b:SourceType>DocumentFromInternetSite</b:SourceType>
    <b:Guid>{74E6B42F-0025-4ACE-91CB-846FB94C7814}</b:Guid>
    <b:Author>
      <b:Author>
        <b:Corporate>The GEF</b:Corporate>
      </b:Author>
    </b:Author>
    <b:Title>Demonsdtration of Mercury Reduction and Minimization in the Production of Vinyl Chloride Monomer in China</b:Title>
    <b:Year>2018</b:Year>
    <b:URL>https://www.thegef.org/sites/default/files/project_documents/6-26-2015_ID6921_resubmission_0.pdf</b:URL>
    <b:RefOrder>108</b:RefOrder>
  </b:Source>
  <b:Source>
    <b:Tag>Minte</b:Tag>
    <b:SourceType>DocumentFromInternetSite</b:SourceType>
    <b:Guid>{B69C8B2E-A283-4B2F-9D5D-8D36FB33D633}</b:Guid>
    <b:Author>
      <b:Author>
        <b:Corporate>Ministry of the Environment Japan</b:Corporate>
      </b:Author>
    </b:Author>
    <b:Title>Major points of measures to implement the Minamata Convention in Japan</b:Title>
    <b:Year>No date</b:Year>
    <b:URL>https://www.env.go.jp/en/chemi/mercury/mcm/kokunaitaisaku.html</b:URL>
    <b:RefOrder>109</b:RefOrder>
  </b:Source>
  <b:Source>
    <b:Tag>Che19</b:Tag>
    <b:SourceType>JournalArticle</b:SourceType>
    <b:Guid>{78EF99CF-1176-4F1F-AC7E-0F0AECF60047}</b:Guid>
    <b:Author>
      <b:Author>
        <b:Corporate>ChemEurope</b:Corporate>
      </b:Author>
    </b:Author>
    <b:Title>Polyurethane</b:Title>
    <b:JournalName>Available at: https://www.chemeurope.com/en/encyclopedia/Polyurethane.html</b:JournalName>
    <b:Year>2019</b:Year>
    <b:RefOrder>110</b:RefOrder>
  </b:Source>
  <b:Source>
    <b:Tag>Nor10</b:Tag>
    <b:SourceType>JournalArticle</b:SourceType>
    <b:Guid>{217CE60E-536F-4526-95E7-5E641B57C9BF}</b:Guid>
    <b:Author>
      <b:Author>
        <b:Corporate>Norwegian Climate and Policy Agency</b:Corporate>
      </b:Author>
    </b:Author>
    <b:Title>Annex XV Restriction Report: Proposal for a Restriction</b:Title>
    <b:JournalName>Available at: https://echa.europa.eu/documents/10162/13641/annex_xv_restriction_report_phenylmercury_compounds_en.pdf</b:JournalName>
    <b:Year>2010</b:Year>
    <b:RefOrder>111</b:RefOrder>
  </b:Source>
  <b:Source>
    <b:Tag>Liq17</b:Tag>
    <b:SourceType>DocumentFromInternetSite</b:SourceType>
    <b:Guid>{18506CAD-E399-4758-AE76-F98FFDCD36E0}</b:Guid>
    <b:Author>
      <b:Author>
        <b:Corporate>Liquid Lens</b:Corporate>
      </b:Author>
    </b:Author>
    <b:Title>EU Mercury Ban affects thousands of resin doming printers</b:Title>
    <b:Year>2017</b:Year>
    <b:URL>https://liquid-lens.com/blog/eu-mercury-ban-affects-thousands-of-resin-doming-printers/</b:URL>
    <b:RefOrder>162</b:RefOrder>
  </b:Source>
  <b:Source>
    <b:Tag>ISO09</b:Tag>
    <b:SourceType>JournalArticle</b:SourceType>
    <b:Guid>{6C6003AF-DB6E-4198-9BA2-250AA86C8300}</b:Guid>
    <b:Author>
      <b:Author>
        <b:Corporate>ISOPA</b:Corporate>
      </b:Author>
    </b:Author>
    <b:Title>Personal communication with Wolfram Frank, ISOPA Secretary General/ALIPA Sector Manager.</b:Title>
    <b:JournalName>European Aliphatic Isocyantes Producers Assocation (ALIPA) and the European trade association for producers of diisocyantes and polypols (ISOPA)</b:JournalName>
    <b:Year>2009</b:Year>
    <b:RefOrder>112</b:RefOrder>
  </b:Source>
  <b:Source>
    <b:Tag>Wor192</b:Tag>
    <b:SourceType>JournalArticle</b:SourceType>
    <b:Guid>{35E3A008-C8C7-45D7-9B8F-267B9A4371C2}</b:Guid>
    <b:Author>
      <b:Author>
        <b:Corporate>World Bank</b:Corporate>
      </b:Author>
    </b:Author>
    <b:Title>Capacity Strengthening for Implementation of Minamata Convention on Mercury Project</b:Title>
    <b:JournalName>Available at: http://projects.worldbank.org/P151281?lang=en</b:JournalName>
    <b:Year>2019</b:Year>
    <b:RefOrder>163</b:RefOrder>
  </b:Source>
  <b:Source>
    <b:Tag>Mer17</b:Tag>
    <b:SourceType>JournalArticle</b:SourceType>
    <b:Guid>{1B89DC45-8EA4-4323-AA00-1E4EB1B8CDD4}</b:Guid>
    <b:Author>
      <b:Author>
        <b:Corporate>Mercury Convention</b:Corporate>
      </b:Author>
    </b:Author>
    <b:Title>National Implementation Plan for Preventing Environmental Pollution of Mercury and Mercury Compounds</b:Title>
    <b:JournalName>Available at: http://www.mercuryconvention.org/Portals/11/documents/NIP/Japan_NIP_EN.pdf</b:JournalName>
    <b:Year>2017</b:Year>
    <b:RefOrder>113</b:RefOrder>
  </b:Source>
  <b:Source>
    <b:Tag>Min192</b:Tag>
    <b:SourceType>JournalArticle</b:SourceType>
    <b:Guid>{627667A4-576A-4DB5-B335-AA628A547204}</b:Guid>
    <b:Author>
      <b:Author>
        <b:Corporate>Minister of Justice</b:Corporate>
      </b:Author>
    </b:Author>
    <b:Title>Products Containing Mercury Regulation</b:Title>
    <b:JournalName>Available at: https://laws-lois.justice.gc.ca/PDF/SOR-2014-254.pdf</b:JournalName>
    <b:Year>2019</b:Year>
    <b:RefOrder>164</b:RefOrder>
  </b:Source>
  <b:Source>
    <b:Tag>USE15</b:Tag>
    <b:SourceType>JournalArticle</b:SourceType>
    <b:Guid>{82A0F00F-3155-4449-ABA7-E1852A12EBFE}</b:Guid>
    <b:Author>
      <b:Author>
        <b:Corporate>US EPA</b:Corporate>
      </b:Author>
    </b:Author>
    <b:Title>Petition to promulgate reporting rules for mercury manufacturing, processing, and importation under Section 8(a) of the Toxic Substances Control Act</b:Title>
    <b:JournalName>Available at: https://www.epa.gov/sites/production/files/2015-09/documents/2015-06-24-tsca_hg_reporting_petition-final_0.pdf</b:JournalName>
    <b:Year>2015</b:Year>
    <b:RefOrder>165</b:RefOrder>
  </b:Source>
  <b:Source>
    <b:Tag>Placeholder9</b:Tag>
    <b:SourceType>JournalArticle</b:SourceType>
    <b:Guid>{47789854-A7F4-48EC-8BDC-3EDF508589A2}</b:Guid>
    <b:Author>
      <b:Author>
        <b:Corporate>COWI</b:Corporate>
      </b:Author>
    </b:Author>
    <b:Title>Options for reducing mercury use in products and applications, and the fate of mercury already circulating in society</b:Title>
    <b:JournalName>Available at: http://ec.europa.eu/environment/chemicals/mercury/pdf/EU_Mercury_Study2008.pdf</b:JournalName>
    <b:Year>2008</b:Year>
    <b:RefOrder>115</b:RefOrder>
  </b:Source>
  <b:Source>
    <b:Tag>Kum06</b:Tag>
    <b:SourceType>JournalArticle</b:SourceType>
    <b:Guid>{B740DEDE-DFE5-4ADC-8C9E-D061DCF97609}</b:Guid>
    <b:Author>
      <b:Author>
        <b:NameList>
          <b:Person>
            <b:Last>Kumar</b:Last>
            <b:First>D</b:First>
          </b:Person>
          <b:Person>
            <b:Last>Han</b:Last>
            <b:First>Y-F</b:First>
          </b:Person>
          <b:Person>
            <b:Last>Chen</b:Last>
            <b:First>M</b:First>
          </b:Person>
          <b:Person>
            <b:Last>Goodman</b:Last>
            <b:First>D</b:First>
          </b:Person>
        </b:NameList>
      </b:Author>
    </b:Author>
    <b:Title>Kinetic and spectroscopic studies of vinyl acetate synthesis over Pd(100)</b:Title>
    <b:JournalName>Catalysis Letters 106: 1-2</b:JournalName>
    <b:Year>2006</b:Year>
    <b:RefOrder>117</b:RefOrder>
  </b:Source>
  <b:Source>
    <b:Tag>IFI19</b:Tag>
    <b:SourceType>JournalArticle</b:SourceType>
    <b:Guid>{C7331A02-8902-4330-8454-4BCE2517E1FF}</b:Guid>
    <b:Author>
      <b:Author>
        <b:Corporate>IFI CLAIMS Patent Services</b:Corporate>
      </b:Author>
    </b:Author>
    <b:Title>Synthesis of 1-amino-anthraquinone</b:Title>
    <b:JournalName>Available at: https://patents.google.com/patent/EP0499451A1</b:JournalName>
    <b:Year>2019a</b:Year>
    <b:RefOrder>119</b:RefOrder>
  </b:Source>
  <b:Source>
    <b:Tag>IFI9b</b:Tag>
    <b:SourceType>JournalArticle</b:SourceType>
    <b:Guid>{05B78EF9-A6F2-4D97-839D-00B42D5312BC}</b:Guid>
    <b:Author>
      <b:Author>
        <b:Corporate>IFI CLAIMS Patent Services</b:Corporate>
      </b:Author>
    </b:Author>
    <b:Title>Method for synthesis of keto acid or amino acid by hydration of acethylene compound </b:Title>
    <b:JournalName>Available at: https://patents.google.com/patent/EP1932824A1</b:JournalName>
    <b:Year>2019b</b:Year>
    <b:RefOrder>121</b:RefOrder>
  </b:Source>
  <b:Source>
    <b:Tag>Pub9a</b:Tag>
    <b:SourceType>JournalArticle</b:SourceType>
    <b:Guid>{33B36100-007B-47A3-9AC9-C1F1BAE0A706}</b:Guid>
    <b:Author>
      <b:Author>
        <b:Corporate>PubChem</b:Corporate>
      </b:Author>
    </b:Author>
    <b:Title>1-Aminoanthraquinone</b:Title>
    <b:JournalName>Available at: https://pubchem.ncbi.nlm.nih.gov/compound/1-aminoanthraquinone#section=Use-and-Manufacturing</b:JournalName>
    <b:Year>2019a</b:Year>
    <b:RefOrder>118</b:RefOrder>
  </b:Source>
  <b:Source>
    <b:Tag>Pub19</b:Tag>
    <b:SourceType>JournalArticle</b:SourceType>
    <b:Guid>{C28E4D32-B118-41B5-83CC-85757DC8B32A}</b:Guid>
    <b:Author>
      <b:Author>
        <b:Corporate>PubChem</b:Corporate>
      </b:Author>
    </b:Author>
    <b:Title>Vinyl acetate</b:Title>
    <b:JournalName>Available at: https://pubchem.ncbi.nlm.nih.gov/compound/Vinyl-acetate#section=Consumer-Uses</b:JournalName>
    <b:Year>2019b</b:Year>
    <b:RefOrder>166</b:RefOrder>
  </b:Source>
  <b:Source>
    <b:Tag>Lar86</b:Tag>
    <b:SourceType>Book</b:SourceType>
    <b:Guid>{6AA58AB8-3DB0-4E06-9583-901D80D864F7}</b:Guid>
    <b:Author>
      <b:Author>
        <b:NameList>
          <b:Person>
            <b:Last>Larock</b:Last>
            <b:First>R.C.</b:First>
          </b:Person>
        </b:NameList>
      </b:Author>
    </b:Author>
    <b:Title>Solvomercuration demercuration reactions in organic synthesis</b:Title>
    <b:Year>1986</b:Year>
    <b:City>Berlin</b:City>
    <b:Publisher>Springer</b:Publisher>
    <b:Edition>ISBN 0387150943</b:Edition>
    <b:RefOrder>116</b:RefOrder>
  </b:Source>
  <b:Source>
    <b:Tag>Hun19</b:Tag>
    <b:SourceType>Book</b:SourceType>
    <b:Guid>{73A97007-9024-4F98-B7BB-F2615728A502}</b:Guid>
    <b:Title>Industrial Organic Pigments: Production, Crystal Structures, Properties, Applications</b:Title>
    <b:Year>2019</b:Year>
    <b:Publisher>Wiley</b:Publisher>
    <b:Edition>4th </b:Edition>
    <b:Author>
      <b:Author>
        <b:Corporate>Hunger &amp; Schmidt</b:Corporate>
      </b:Author>
    </b:Author>
    <b:RefOrder>120</b:RefOrder>
  </b:Source>
  <b:Source>
    <b:Tag>Dim08</b:Tag>
    <b:SourceType>DocumentFromInternetSite</b:SourceType>
    <b:Guid>{66B3CFF9-6936-4F51-A73D-CE6B9A084B70}</b:Guid>
    <b:Author>
      <b:Author>
        <b:Corporate>Dimian &amp; Bildea</b:Corporate>
      </b:Author>
    </b:Author>
    <b:Title>Vinyl Acetate Monomer Process</b:Title>
    <b:Year>2008</b:Year>
    <b:URL>https://onlinelibrary.wiley.com/doi/10.1002/9783527621583.ch10</b:URL>
    <b:RefOrder>167</b:RefOrder>
  </b:Source>
  <b:Source>
    <b:Tag>Min193</b:Tag>
    <b:SourceType>JournalArticle</b:SourceType>
    <b:Guid>{59319944-699C-426F-BB4F-1CA502E34A78}</b:Guid>
    <b:Author>
      <b:Author>
        <b:Corporate>Minister of Justice</b:Corporate>
      </b:Author>
    </b:Author>
    <b:Title> Products Containing Mercury Regulations</b:Title>
    <b:JournalName>Available at: https://laws-lois.justice.gc.ca/PDF/SOR-2014-254.pdf [Accessed 13/06/2019]</b:JournalName>
    <b:Year>2019</b:Year>
    <b:RefOrder>168</b:RefOrder>
  </b:Source>
  <b:Source>
    <b:Tag>UNE133</b:Tag>
    <b:SourceType>JournalArticle</b:SourceType>
    <b:Guid>{7F9979BB-07C2-427E-82A3-0917F6DA6105}</b:Guid>
    <b:Author>
      <b:Author>
        <b:Corporate>UNEP</b:Corporate>
      </b:Author>
    </b:Author>
    <b:Title>Acceptance on behalf of the United States of America</b:Title>
    <b:JournalName>Available at: http://www.mercuryconvention.org/Portals/11/documents/submissions/US%20declaration.pdf [Accessed 13/06/2019]</b:JournalName>
    <b:Year>2013</b:Year>
    <b:RefOrder>122</b:RefOrder>
  </b:Source>
  <b:Source>
    <b:Tag>Wor193</b:Tag>
    <b:SourceType>JournalArticle</b:SourceType>
    <b:Guid>{23EB49CC-3AF7-442F-BDE1-9C9A18DA5AA1}</b:Guid>
    <b:Author>
      <b:Author>
        <b:Corporate>World Bank</b:Corporate>
      </b:Author>
    </b:Author>
    <b:Title>Capacity Strengthening for Implementation of Minamata Convention on Mercury Project</b:Title>
    <b:JournalName>Available at: http://projects.worldbank.org/P151281?lang=en</b:JournalName>
    <b:Year>2019</b:Year>
    <b:RefOrder>169</b:RefOrder>
  </b:Source>
  <b:Source>
    <b:Tag>Cha11</b:Tag>
    <b:SourceType>JournalArticle</b:SourceType>
    <b:Guid>{68DC7527-308B-4F51-AAEA-3B8D51501B47}</b:Guid>
    <b:Author>
      <b:Author>
        <b:NameList>
          <b:Person>
            <b:Last>Chavan</b:Last>
            <b:First>R</b:First>
          </b:Person>
        </b:NameList>
      </b:Author>
    </b:Author>
    <b:Title>Handbook of Textile and Industrial Dyeing</b:Title>
    <b:JournalName>Available at: https://www.sciencedirect.com/book/9781845696955/handbook-of-textile-and-industrial-dyeing</b:JournalName>
    <b:Year>2011</b:Year>
    <b:RefOrder>123</b:RefOrder>
  </b:Source>
  <b:Source>
    <b:Tag>OEC06</b:Tag>
    <b:SourceType>JournalArticle</b:SourceType>
    <b:Guid>{50421AE5-70D3-47E1-B3C5-0CD1D070F8EF}</b:Guid>
    <b:Author>
      <b:Author>
        <b:Corporate>OECD SIDS</b:Corporate>
      </b:Author>
    </b:Author>
    <b:Title>Sodium dithionite</b:Title>
    <b:JournalName>Available at: http://www.inchem.org/documents/sids/sids/7775146.pdf </b:JournalName>
    <b:Year>2006</b:Year>
    <b:RefOrder>124</b:RefOrder>
  </b:Source>
  <b:Source>
    <b:Tag>Baj18</b:Tag>
    <b:SourceType>JournalArticle</b:SourceType>
    <b:Guid>{D922008D-CA51-4646-B4E9-8C8B3D56CD44}</b:Guid>
    <b:Author>
      <b:Author>
        <b:NameList>
          <b:Person>
            <b:Last>Bajpai</b:Last>
            <b:First>P</b:First>
          </b:Person>
        </b:NameList>
      </b:Author>
    </b:Author>
    <b:Title>Fiber From Recycled Paper and Utilization</b:Title>
    <b:JournalName>Available at: https://www.sciencedirect.com/book/9780128142400/biermanns-handbook-of-pulp-and-paper</b:JournalName>
    <b:Year>2018</b:Year>
    <b:RefOrder>125</b:RefOrder>
  </b:Source>
  <b:Source>
    <b:Tag>BAS01</b:Tag>
    <b:SourceType>DocumentFromInternetSite</b:SourceType>
    <b:Guid>{15A3027B-CBC7-4EEE-8709-CF3299B49A64}</b:Guid>
    <b:Author>
      <b:Author>
        <b:Corporate>BASF</b:Corporate>
      </b:Author>
    </b:Author>
    <b:Title>United States Patent No. US 6,287,448 B1 Electrochemical PRoduction of Lithium Using a Lithium Amalgam anode</b:Title>
    <b:Year>2001</b:Year>
    <b:URL>https://patentimages.storage.googleapis.com/d5/fb/23/bf3cac645f17c5/US6287448.pdf</b:URL>
    <b:RefOrder>126</b:RefOrder>
  </b:Source>
  <b:Source>
    <b:Tag>BAS011</b:Tag>
    <b:SourceType>DocumentFromInternetSite</b:SourceType>
    <b:Guid>{A22C0A33-862D-461C-9FC6-AC8229C512D0}</b:Guid>
    <b:Author>
      <b:Author>
        <b:Corporate>BASF</b:Corporate>
      </b:Author>
    </b:Author>
    <b:Title>Patent EP 1 114 883 A1</b:Title>
    <b:Year>2001</b:Year>
    <b:URL>N/a</b:URL>
    <b:RefOrder>127</b:RefOrder>
  </b:Source>
  <b:Source>
    <b:Tag>Eur07</b:Tag>
    <b:SourceType>DocumentFromInternetSite</b:SourceType>
    <b:Guid>{D96C845B-179A-471C-B794-A461A29E87B6}</b:Guid>
    <b:Author>
      <b:Author>
        <b:Corporate>European Parliament</b:Corporate>
      </b:Author>
    </b:Author>
    <b:Title>Parliamentary Questions: Written Question by Marios Matsakis (ALDE) to the Commission</b:Title>
    <b:Year>2007</b:Year>
    <b:URL>http://www.europarl.europa.eu/sides/getDoc.do?pubRef=-//EP//TEXT+WQ+E-2007-2918+0+DOC+XML+V0//EN</b:URL>
    <b:RefOrder>128</b:RefOrder>
  </b:Source>
  <b:Source>
    <b:Tag>Ann08</b:Tag>
    <b:SourceType>DocumentFromInternetSite</b:SourceType>
    <b:Guid>{995F3147-1A6B-482E-9C37-DFEA33566300}</b:Guid>
    <b:Author>
      <b:Author>
        <b:NameList>
          <b:Person>
            <b:Last>Thayer</b:Last>
            <b:First>Ann</b:First>
            <b:Middle>M.</b:Middle>
          </b:Person>
        </b:NameList>
      </b:Author>
    </b:Author>
    <b:Title>Having the Mettle For Sodium Markets</b:Title>
    <b:Year>2008</b:Year>
    <b:URL>https://cen.acs.org/articles/86/i43/Having-Mettle-Sodium-Markets.html</b:URL>
    <b:RefOrder>129</b:RefOrder>
  </b:Source>
  <b:Source>
    <b:Tag>Bri14</b:Tag>
    <b:SourceType>JournalArticle</b:SourceType>
    <b:Guid>{E1761D81-B42F-4FCD-A585-BC4D466651D9}</b:Guid>
    <b:Author>
      <b:Author>
        <b:NameList>
          <b:Person>
            <b:Last>Brinkmann</b:Last>
            <b:First>T.</b:First>
          </b:Person>
          <b:Person>
            <b:Last>Santoja</b:Last>
            <b:First>G.</b:First>
            <b:Middle>G.</b:Middle>
          </b:Person>
          <b:Person>
            <b:Last>Schorcht</b:Last>
            <b:First>F.</b:First>
          </b:Person>
          <b:Person>
            <b:Last>Roudier</b:Last>
            <b:First>S.</b:First>
          </b:Person>
          <b:Person>
            <b:Last>Sancho</b:Last>
            <b:First>L.</b:First>
            <b:Middle>D</b:Middle>
          </b:Person>
        </b:NameList>
      </b:Author>
    </b:Author>
    <b:Title>Best available techniques (BAT) reference document for the production of Chlor-alkali. Industrial Emissions Directive 2010/75/EU (Integrated Pollution Prevention and Control)</b:Title>
    <b:Year>2014</b:Year>
    <b:RefOrder>114</b:RefOrder>
  </b:Source>
  <b:Source>
    <b:Tag>Pub191</b:Tag>
    <b:SourceType>JournalArticle</b:SourceType>
    <b:Guid>{CE344758-02EF-49F3-AD2D-C9D72B9BA7D4}</b:Guid>
    <b:Author>
      <b:Author>
        <b:Corporate>PubChem</b:Corporate>
      </b:Author>
    </b:Author>
    <b:Title>Sodium dithionite</b:Title>
    <b:JournalName>Available at: https://pubchem.ncbi.nlm.nih.gov/compound/Sodium-dithionite#section=Formulations-Preparations</b:JournalName>
    <b:Year>2019</b:Year>
    <b:RefOrder>130</b:RefOrder>
  </b:Source>
  <b:Source>
    <b:Tag>Hag13</b:Tag>
    <b:SourceType>JournalArticle</b:SourceType>
    <b:Guid>{55B6548E-4282-4E4D-8DE6-FA6865D09612}</b:Guid>
    <b:Author>
      <b:Author>
        <b:NameList>
          <b:Person>
            <b:Last>Hagemann</b:Last>
            <b:First>S</b:First>
          </b:Person>
          <b:Person>
            <b:Last>Bischofer</b:Last>
            <b:First>B</b:First>
          </b:Person>
        </b:NameList>
      </b:Author>
    </b:Author>
    <b:Title>Analyse der Effizienz von Maßnahmen und Entwicklung von Strategien zur Verbesserung der internationalen Chemikaliensicherheit hinsichtlich der Auswirkungen für Mensch und Umwelt</b:Title>
    <b:JournalName>Available at: https://www.bmu.de/fileadmin/Daten_BMU/Pools/Forschungsdatenbank/fkz_3711_65_499_chemikaliensicherheit_bf.pdf</b:JournalName>
    <b:Year>2013</b:Year>
    <b:RefOrder>131</b:RefOrder>
  </b:Source>
  <b:Source>
    <b:Tag>Jac57</b:Tag>
    <b:SourceType>DocumentFromInternetSite</b:SourceType>
    <b:Guid>{3DD5CAA5-DB11-4CDD-A895-E37A9485BFFA}</b:Guid>
    <b:Author>
      <b:Author>
        <b:Corporate>Jackson &amp; Werner</b:Corporate>
      </b:Author>
    </b:Author>
    <b:Title>The Manufacture of Potassium and NaK</b:Title>
    <b:Year>1957</b:Year>
    <b:URL>https://pubs.acs.org/doi/abs/10.1021/ba-1957-0019.ch018</b:URL>
    <b:RefOrder>132</b:RefOrder>
  </b:Source>
  <b:Source>
    <b:Tag>Ver05</b:Tag>
    <b:SourceType>DocumentFromInternetSite</b:SourceType>
    <b:Guid>{4C2A2F94-93BD-4210-8A89-FCD0B775A5AE}</b:Guid>
    <b:Author>
      <b:Author>
        <b:Corporate>Verband Der Chemischen Industrie e.V.</b:Corporate>
      </b:Author>
    </b:Author>
    <b:Title>Positionen zur Chemie mit Chlor</b:Title>
    <b:Year>2005</b:Year>
    <b:RefOrder>133</b:RefOrder>
  </b:Source>
  <b:Source>
    <b:Tag>Gil19</b:Tag>
    <b:SourceType>DocumentFromInternetSite</b:SourceType>
    <b:Guid>{B607A5E1-6A99-4A64-BAD3-0966F890F4DA}</b:Guid>
    <b:Author>
      <b:Author>
        <b:Corporate>Gilson Company</b:Corporate>
      </b:Author>
    </b:Author>
    <b:Title>Softening Point Ring and Ball Apparatus</b:Title>
    <b:Year>2019</b:Year>
    <b:URL>https://www.globalgilson.com/softening-point-ring-and-ball-apparatus</b:URL>
    <b:RefOrder>170</b:RefOrder>
  </b:Source>
  <b:Source>
    <b:Tag>Placeholder10</b:Tag>
    <b:SourceType>DocumentFromInternetSite</b:SourceType>
    <b:Guid>{290F64F5-CCC2-49CC-8C98-0F3BDFB56C2D}</b:Guid>
    <b:Author>
      <b:Author>
        <b:Corporate>Gilson Company</b:Corporate>
      </b:Author>
    </b:Author>
    <b:Title>Softening Point Ring and Ball Apparatus</b:Title>
    <b:Year>2019</b:Year>
    <b:URL>https://www.globalgilson.com/softening-point-ring-and-ball-apparatus</b:URL>
    <b:RefOrder>171</b:RefOrder>
  </b:Source>
  <b:Source>
    <b:Tag>Fou19</b:Tag>
    <b:SourceType>ArticleInAPeriodical</b:SourceType>
    <b:Guid>{9D60CFDE-473B-4754-91A8-FBB7B12C4754}</b:Guid>
    <b:Title>Are mercury emissions from satellite electric propulsion an environmental concern?</b:Title>
    <b:Year>2019</b:Year>
    <b:Author>
      <b:Author>
        <b:Corporate>Fourie et al.</b:Corporate>
      </b:Author>
    </b:Author>
    <b:PeriodicalTitle>Envvironmental Research Letters</b:PeriodicalTitle>
    <b:RefOrder>3</b:RefOrder>
  </b:Source>
</b:Sources>
</file>

<file path=customXml/itemProps1.xml><?xml version="1.0" encoding="utf-8"?>
<ds:datastoreItem xmlns:ds="http://schemas.openxmlformats.org/officeDocument/2006/customXml" ds:itemID="{C032A661-61E7-4D64-A049-00203F15CCD7}">
  <ds:schemaRefs>
    <ds:schemaRef ds:uri="http://schemas.microsoft.com/office/2006/metadata/properties"/>
    <ds:schemaRef ds:uri="http://schemas.microsoft.com/office/infopath/2007/PartnerControls"/>
    <ds:schemaRef ds:uri="a591afa8-fd54-42f1-9ea9-749d51e1c00b"/>
  </ds:schemaRefs>
</ds:datastoreItem>
</file>

<file path=customXml/itemProps2.xml><?xml version="1.0" encoding="utf-8"?>
<ds:datastoreItem xmlns:ds="http://schemas.openxmlformats.org/officeDocument/2006/customXml" ds:itemID="{D2CAA740-755B-4E21-8328-69928322C10C}">
  <ds:schemaRefs>
    <ds:schemaRef ds:uri="http://schemas.microsoft.com/sharepoint/v3/contenttype/forms"/>
  </ds:schemaRefs>
</ds:datastoreItem>
</file>

<file path=customXml/itemProps3.xml><?xml version="1.0" encoding="utf-8"?>
<ds:datastoreItem xmlns:ds="http://schemas.openxmlformats.org/officeDocument/2006/customXml" ds:itemID="{D25B7D57-F925-4801-B8FE-25C283766568}"/>
</file>

<file path=customXml/itemProps4.xml><?xml version="1.0" encoding="utf-8"?>
<ds:datastoreItem xmlns:ds="http://schemas.openxmlformats.org/officeDocument/2006/customXml" ds:itemID="{6F95A5DC-A532-4F7A-BBA7-43D09478B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2255</Words>
  <Characters>12855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Cynthia Mwanza</cp:lastModifiedBy>
  <cp:revision>7</cp:revision>
  <cp:lastPrinted>2016-07-18T09:51:00Z</cp:lastPrinted>
  <dcterms:created xsi:type="dcterms:W3CDTF">2021-09-17T12:10:00Z</dcterms:created>
  <dcterms:modified xsi:type="dcterms:W3CDTF">2021-09-20T07:43:00Z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