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670EA109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7B399A">
              <w:t>10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DEF0C75" w14:textId="2D641872" w:rsidR="00E679FB" w:rsidRPr="000F6915" w:rsidRDefault="00530A2C" w:rsidP="000F6915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4C3B6F3F" w14:textId="77777777" w:rsidR="00196A16" w:rsidRDefault="00E679FB" w:rsidP="001468A6">
      <w:pPr>
        <w:pStyle w:val="CH2"/>
        <w:rPr>
          <w:bCs/>
          <w:lang w:val="es-ES_tradnl"/>
        </w:rPr>
      </w:pPr>
      <w:r>
        <w:rPr>
          <w:bCs/>
          <w:lang w:val="es-ES_tradnl"/>
        </w:rPr>
        <w:tab/>
      </w:r>
      <w:r>
        <w:rPr>
          <w:bCs/>
          <w:lang w:val="es-ES_tradnl"/>
        </w:rPr>
        <w:tab/>
      </w:r>
    </w:p>
    <w:p w14:paraId="7A947489" w14:textId="2C169F0C" w:rsidR="00234819" w:rsidRPr="002752CA" w:rsidRDefault="00234819" w:rsidP="00234819">
      <w:pPr>
        <w:pStyle w:val="CH2"/>
        <w:rPr>
          <w:bCs/>
          <w:sz w:val="28"/>
          <w:szCs w:val="28"/>
          <w:lang w:val="es-ES_tradnl"/>
        </w:rPr>
      </w:pPr>
      <w:r>
        <w:rPr>
          <w:bCs/>
          <w:sz w:val="28"/>
          <w:szCs w:val="28"/>
          <w:lang w:val="es-ES_tradnl"/>
        </w:rPr>
        <w:tab/>
      </w:r>
      <w:r>
        <w:rPr>
          <w:bCs/>
          <w:sz w:val="28"/>
          <w:szCs w:val="28"/>
          <w:lang w:val="es-ES_tradnl"/>
        </w:rPr>
        <w:tab/>
      </w:r>
      <w:bookmarkStart w:id="1" w:name="_GoBack"/>
      <w:bookmarkEnd w:id="1"/>
      <w:r w:rsidRPr="002752CA">
        <w:rPr>
          <w:bCs/>
          <w:sz w:val="28"/>
          <w:szCs w:val="28"/>
          <w:lang w:val="es-ES_tradnl"/>
        </w:rPr>
        <w:t>MC-3/10: Arreglos para la primera evaluación de la eficacia del Convenio de Minamata sobre el Mercurio</w:t>
      </w:r>
    </w:p>
    <w:p w14:paraId="2C47B87D" w14:textId="77777777" w:rsidR="00234819" w:rsidRPr="002927A1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  <w:rPr>
          <w:i/>
        </w:rPr>
      </w:pPr>
      <w:r w:rsidRPr="002927A1">
        <w:rPr>
          <w:i/>
        </w:rPr>
        <w:t xml:space="preserve">La Conferencia de las Partes, </w:t>
      </w:r>
    </w:p>
    <w:p w14:paraId="567D4BAE" w14:textId="77777777" w:rsidR="00234819" w:rsidRPr="002927A1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  <w:rPr>
          <w:rFonts w:eastAsia="Calibri Light"/>
        </w:rPr>
      </w:pPr>
      <w:r w:rsidRPr="002927A1">
        <w:rPr>
          <w:i/>
        </w:rPr>
        <w:t>Acogiendo</w:t>
      </w:r>
      <w:r w:rsidRPr="002927A1">
        <w:rPr>
          <w:i/>
          <w:iCs/>
        </w:rPr>
        <w:t xml:space="preserve"> con beneplácito </w:t>
      </w:r>
      <w:r w:rsidRPr="002927A1">
        <w:t>el informe sobre el marco propuesto para la evaluación de la eficacia y las disposiciones en materia de vigilancia en el marco del Convenio de Minamata</w:t>
      </w:r>
      <w:r w:rsidRPr="002927A1">
        <w:rPr>
          <w:rFonts w:eastAsia="Calibri Light"/>
          <w:vertAlign w:val="superscript"/>
        </w:rPr>
        <w:footnoteReference w:id="2"/>
      </w:r>
      <w:r w:rsidRPr="002927A1">
        <w:t>, y la información complementaria reunida por el grupo especial de expertos técnicos sobre la base de los mandatos recogidos en las decisiones MC-1/9 y MC-2/10</w:t>
      </w:r>
      <w:r w:rsidRPr="002927A1">
        <w:rPr>
          <w:rFonts w:eastAsia="Calibri Light"/>
          <w:vertAlign w:val="superscript"/>
        </w:rPr>
        <w:footnoteReference w:id="3"/>
      </w:r>
      <w:r w:rsidRPr="002927A1">
        <w:t xml:space="preserve">, </w:t>
      </w:r>
    </w:p>
    <w:p w14:paraId="1FCD3BDD" w14:textId="77777777" w:rsidR="00234819" w:rsidRPr="002927A1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  <w:rPr>
          <w:i/>
        </w:rPr>
      </w:pPr>
      <w:r w:rsidRPr="002927A1">
        <w:rPr>
          <w:i/>
        </w:rPr>
        <w:t>Reconociendo</w:t>
      </w:r>
      <w:r w:rsidRPr="002927A1">
        <w:rPr>
          <w:bCs/>
          <w:i/>
        </w:rPr>
        <w:t xml:space="preserve"> </w:t>
      </w:r>
      <w:r w:rsidRPr="002927A1">
        <w:t>los esfuerzos desplegados por hacer avanzar la labor sobre la evaluación de la eficacia en la tercera reunión de la Conferencia de las Partes,</w:t>
      </w:r>
    </w:p>
    <w:p w14:paraId="1F7E451C" w14:textId="77777777" w:rsidR="00234819" w:rsidRPr="002927A1" w:rsidRDefault="00234819" w:rsidP="00234819">
      <w:pPr>
        <w:numPr>
          <w:ilvl w:val="0"/>
          <w:numId w:val="2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</w:pPr>
      <w:r w:rsidRPr="002927A1">
        <w:rPr>
          <w:i/>
          <w:iCs/>
        </w:rPr>
        <w:t>Invita</w:t>
      </w:r>
      <w:r w:rsidRPr="002927A1">
        <w:t xml:space="preserve"> a las Partes a que den a conocer sus opiniones sobre los indicadores recogidos en el anexo I de la presente decisión y solicita a la Secretaría que compile dichas opiniones antes de la cuarta reunión de la Conferencia de las Partes;</w:t>
      </w:r>
    </w:p>
    <w:p w14:paraId="4A2E0303" w14:textId="77777777" w:rsidR="00234819" w:rsidRPr="002927A1" w:rsidRDefault="00234819" w:rsidP="00234819">
      <w:pPr>
        <w:numPr>
          <w:ilvl w:val="0"/>
          <w:numId w:val="2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</w:pPr>
      <w:r w:rsidRPr="002927A1">
        <w:rPr>
          <w:i/>
        </w:rPr>
        <w:t>Solicita</w:t>
      </w:r>
      <w:r w:rsidRPr="002927A1">
        <w:t xml:space="preserve"> a la Secretaría que promueva la labor garantizando los servicios necesarios para la preparación de:</w:t>
      </w:r>
    </w:p>
    <w:p w14:paraId="62365AA3" w14:textId="77777777" w:rsidR="00234819" w:rsidRPr="002927A1" w:rsidRDefault="00234819" w:rsidP="00234819">
      <w:pPr>
        <w:numPr>
          <w:ilvl w:val="0"/>
          <w:numId w:val="22"/>
        </w:numPr>
        <w:tabs>
          <w:tab w:val="clear" w:pos="848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</w:pPr>
      <w:r w:rsidRPr="002927A1">
        <w:t xml:space="preserve">Orientaciones en materia de vigilancia que hagan posible obtener información armonizada y comparable sobre los niveles de mercurio en el medio ambiente, tomando en consideración el proyecto de estructura recogido en la nota sobre la información </w:t>
      </w:r>
      <w:r>
        <w:t>de contexto</w:t>
      </w:r>
      <w:r w:rsidRPr="002927A1">
        <w:t xml:space="preserve"> relativa a la vigilancia del mercurio</w:t>
      </w:r>
      <w:r w:rsidRPr="002927A1">
        <w:rPr>
          <w:rStyle w:val="FootnoteReference"/>
        </w:rPr>
        <w:footnoteReference w:id="4"/>
      </w:r>
      <w:r w:rsidRPr="002927A1">
        <w:t xml:space="preserve">, </w:t>
      </w:r>
    </w:p>
    <w:p w14:paraId="5A40032B" w14:textId="77777777" w:rsidR="00234819" w:rsidRPr="002927A1" w:rsidRDefault="00234819" w:rsidP="00234819">
      <w:pPr>
        <w:numPr>
          <w:ilvl w:val="0"/>
          <w:numId w:val="22"/>
        </w:numPr>
        <w:tabs>
          <w:tab w:val="clear" w:pos="848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120"/>
        <w:ind w:left="1247" w:firstLine="624"/>
      </w:pPr>
      <w:r w:rsidRPr="002927A1">
        <w:t>Informes con arreglo al marco estipulado en el anexo II de la presente decisión, con excepción de los informes sobre las emisiones y liberaciones, el informe de vigilancia y el informe sobre la modelización.</w:t>
      </w:r>
    </w:p>
    <w:p w14:paraId="64C66E4C" w14:textId="77777777" w:rsidR="00234819" w:rsidRPr="002927A1" w:rsidRDefault="00234819" w:rsidP="00234819">
      <w:pPr>
        <w:pStyle w:val="CH1"/>
        <w:rPr>
          <w:rFonts w:eastAsia="SimSun"/>
          <w:i/>
          <w:lang w:val="es-ES_tradnl"/>
        </w:rPr>
      </w:pPr>
      <w:r w:rsidRPr="002927A1">
        <w:rPr>
          <w:rFonts w:eastAsia="SimSun"/>
          <w:lang w:val="es-ES_tradnl"/>
        </w:rPr>
        <w:lastRenderedPageBreak/>
        <w:tab/>
      </w:r>
      <w:r w:rsidRPr="002927A1">
        <w:rPr>
          <w:rFonts w:eastAsia="SimSun"/>
          <w:lang w:val="es-ES_tradnl"/>
        </w:rPr>
        <w:tab/>
        <w:t>Anexo I de la decisión MC-3/10</w:t>
      </w:r>
      <w:r w:rsidRPr="002927A1">
        <w:rPr>
          <w:rFonts w:eastAsia="SimSun"/>
          <w:i/>
          <w:lang w:val="es-ES_tradnl"/>
        </w:rPr>
        <w:t xml:space="preserve"> </w:t>
      </w:r>
    </w:p>
    <w:p w14:paraId="2B82461B" w14:textId="77777777" w:rsidR="00234819" w:rsidRPr="002927A1" w:rsidRDefault="00234819" w:rsidP="00234819">
      <w:pPr>
        <w:pStyle w:val="CH2"/>
        <w:rPr>
          <w:lang w:val="es-ES_tradnl"/>
        </w:rPr>
      </w:pPr>
      <w:r w:rsidRPr="002927A1">
        <w:rPr>
          <w:bCs/>
          <w:lang w:val="es-ES_tradnl"/>
        </w:rPr>
        <w:tab/>
      </w:r>
      <w:r w:rsidRPr="002927A1">
        <w:rPr>
          <w:bCs/>
          <w:lang w:val="es-ES_tradnl"/>
        </w:rPr>
        <w:tab/>
        <w:t>Indicadores propuestos para evaluar la eficacia del Convenio de Minamata, por artículo</w:t>
      </w:r>
    </w:p>
    <w:tbl>
      <w:tblPr>
        <w:tblW w:w="8307" w:type="dxa"/>
        <w:jc w:val="right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763"/>
        <w:gridCol w:w="38"/>
        <w:gridCol w:w="18"/>
        <w:gridCol w:w="6"/>
        <w:gridCol w:w="18"/>
        <w:gridCol w:w="34"/>
        <w:gridCol w:w="6"/>
        <w:gridCol w:w="3078"/>
        <w:gridCol w:w="15"/>
        <w:gridCol w:w="16"/>
        <w:gridCol w:w="14"/>
        <w:gridCol w:w="8"/>
        <w:gridCol w:w="1481"/>
        <w:gridCol w:w="215"/>
        <w:gridCol w:w="11"/>
        <w:gridCol w:w="10"/>
        <w:gridCol w:w="47"/>
        <w:gridCol w:w="567"/>
        <w:gridCol w:w="962"/>
      </w:tblGrid>
      <w:tr w:rsidR="00234819" w:rsidRPr="002927A1" w14:paraId="594F352D" w14:textId="77777777" w:rsidTr="00A53323">
        <w:trPr>
          <w:trHeight w:val="57"/>
          <w:jc w:val="right"/>
        </w:trPr>
        <w:tc>
          <w:tcPr>
            <w:tcW w:w="5009" w:type="dxa"/>
            <w:gridSpan w:val="11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543F" w14:textId="77777777" w:rsidR="00234819" w:rsidRPr="002927A1" w:rsidRDefault="00234819" w:rsidP="00A53323">
            <w:pPr>
              <w:rPr>
                <w:rStyle w:val="dn"/>
                <w:rFonts w:eastAsia="Roboto"/>
                <w:i/>
                <w:sz w:val="18"/>
                <w:szCs w:val="18"/>
              </w:rPr>
            </w:pPr>
            <w:r w:rsidRPr="002927A1">
              <w:rPr>
                <w:bCs/>
                <w:i/>
                <w:sz w:val="18"/>
                <w:szCs w:val="18"/>
              </w:rPr>
              <w:t>A: Artículo 1 (objetivo)</w:t>
            </w:r>
          </w:p>
          <w:p w14:paraId="0354D7F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486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(El indicador relacionado con el artículo 1 debe leerse de consuno con el indicador sobre vigilancia </w:t>
            </w: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establecido en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el cuadro 4</w:t>
            </w: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del documento </w:t>
            </w:r>
            <w:r w:rsidRPr="00F61D30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UNEP/MC/COP.3/14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).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175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0F7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4387CD6E" w14:textId="77777777" w:rsidTr="00A53323">
        <w:trPr>
          <w:trHeight w:val="57"/>
          <w:jc w:val="right"/>
        </w:trPr>
        <w:tc>
          <w:tcPr>
            <w:tcW w:w="1826" w:type="dxa"/>
            <w:gridSpan w:val="4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DD3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lang w:val="es-ES_tradnl"/>
              </w:rPr>
            </w:pPr>
            <w:r w:rsidRPr="002927A1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A1. Indicador de vigilancia intersectorial</w:t>
            </w:r>
          </w:p>
        </w:tc>
        <w:tc>
          <w:tcPr>
            <w:tcW w:w="3183" w:type="dxa"/>
            <w:gridSpan w:val="7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111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lang w:val="es-ES_tradnl"/>
              </w:rPr>
            </w:pPr>
            <w:r w:rsidRPr="002927A1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 xml:space="preserve">Niveles de mercurio en el medio ambiente y los seres humanos debidos a las emisiones y liberaciones </w:t>
            </w:r>
            <w:proofErr w:type="spellStart"/>
            <w:r w:rsidRPr="002927A1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antroprógenas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D9A9" w14:textId="77777777" w:rsidR="00234819" w:rsidRPr="002927A1" w:rsidRDefault="00234819" w:rsidP="00A53323">
            <w:pPr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Modelización de la atribución</w:t>
            </w:r>
          </w:p>
          <w:p w14:paraId="761AE48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lang w:val="es-ES_tradnl"/>
              </w:rPr>
            </w:pPr>
          </w:p>
        </w:tc>
        <w:tc>
          <w:tcPr>
            <w:tcW w:w="1808" w:type="dxa"/>
            <w:gridSpan w:val="6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3CB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lang w:val="es-ES_tradnl"/>
              </w:rPr>
            </w:pPr>
            <w:r w:rsidRPr="002927A1">
              <w:rPr>
                <w:rFonts w:asciiTheme="majorBidi" w:hAnsiTheme="majorBidi" w:cstheme="majorBidi"/>
                <w:sz w:val="18"/>
                <w:szCs w:val="18"/>
                <w:lang w:val="es-ES_tradnl"/>
              </w:rPr>
              <w:t>Cantidad en la primera evaluación (en caso de que se hayan elaborado modelos)</w:t>
            </w:r>
          </w:p>
        </w:tc>
      </w:tr>
      <w:tr w:rsidR="00234819" w:rsidRPr="002927A1" w14:paraId="0700D79E" w14:textId="77777777" w:rsidTr="00A53323">
        <w:trPr>
          <w:trHeight w:val="57"/>
          <w:jc w:val="right"/>
        </w:trPr>
        <w:tc>
          <w:tcPr>
            <w:tcW w:w="1826" w:type="dxa"/>
            <w:gridSpan w:val="4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D63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481" w:type="dxa"/>
            <w:gridSpan w:val="15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6FECF" w14:textId="77777777" w:rsidR="00234819" w:rsidRPr="002927A1" w:rsidRDefault="00234819" w:rsidP="00234819">
            <w:pPr>
              <w:pStyle w:val="ListParagraph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02" w:hanging="202"/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La atribución se habrá de estimar a partir de modelos que no se han elaborado todavía; por tanto, es posible que la información para este indicador esté o no esté disponible durante el primer ciclo de evaluación de la eficacia.</w:t>
            </w:r>
          </w:p>
          <w:p w14:paraId="54EA0438" w14:textId="77777777" w:rsidR="00234819" w:rsidRPr="002927A1" w:rsidRDefault="00234819" w:rsidP="00234819">
            <w:pPr>
              <w:pStyle w:val="ListParagraph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02" w:hanging="202"/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Las estimaciones obtenidas de los modelos irán acompañadas de las correspondientes notas sobre las incertidumbres en la modelización.</w:t>
            </w:r>
          </w:p>
          <w:p w14:paraId="30B0BAF3" w14:textId="77777777" w:rsidR="00234819" w:rsidRPr="002927A1" w:rsidRDefault="00234819" w:rsidP="00234819">
            <w:pPr>
              <w:pStyle w:val="Text"/>
              <w:numPr>
                <w:ilvl w:val="0"/>
                <w:numId w:val="27"/>
              </w:numPr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En caso de que no se disponga de información derivada de los modelos, los niveles de mercurio y las tendencias en los niveles de mercurio (cambios en el transcurso del tiempo) podrían utilizarse a los efectos de la atribución.</w:t>
            </w:r>
          </w:p>
        </w:tc>
      </w:tr>
      <w:tr w:rsidR="00234819" w:rsidRPr="002927A1" w14:paraId="44C170E8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812"/>
          <w:tblHeader/>
          <w:jc w:val="right"/>
        </w:trPr>
        <w:tc>
          <w:tcPr>
            <w:tcW w:w="5017" w:type="dxa"/>
            <w:gridSpan w:val="12"/>
            <w:tcBorders>
              <w:top w:val="single" w:sz="4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8BFC" w14:textId="77777777" w:rsidR="00234819" w:rsidRPr="002927A1" w:rsidRDefault="00234819" w:rsidP="00A53323">
            <w:pPr>
              <w:keepNext/>
              <w:keepLines/>
              <w:rPr>
                <w:rStyle w:val="dn"/>
                <w:rFonts w:eastAsia="Roboto"/>
                <w:i/>
                <w:sz w:val="18"/>
                <w:szCs w:val="18"/>
              </w:rPr>
            </w:pPr>
            <w:r w:rsidRPr="002927A1">
              <w:rPr>
                <w:bCs/>
                <w:i/>
                <w:sz w:val="18"/>
                <w:szCs w:val="18"/>
              </w:rPr>
              <w:t>B: Grupo sobre suministro</w:t>
            </w:r>
            <w:r w:rsidRPr="002927A1">
              <w:rPr>
                <w:i/>
                <w:sz w:val="18"/>
                <w:szCs w:val="18"/>
              </w:rPr>
              <w:t xml:space="preserve"> </w:t>
            </w:r>
          </w:p>
          <w:p w14:paraId="6773163D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486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Artículo 3 (fuentes de suministro y comercio de mercurio);</w:t>
            </w:r>
            <w:r w:rsidRPr="002927A1"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  <w:t xml:space="preserve">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artículo 10 (almacenamiento provisional ambientalmente racional de mercurio, distinto del mercurio de desecho);</w:t>
            </w:r>
            <w:r w:rsidRPr="002927A1"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  <w:t xml:space="preserve">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artículo 11 (desechos de mercurio)</w:t>
            </w:r>
            <w:r w:rsidRPr="002927A1"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1E3E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0292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para el indicador</w:t>
            </w:r>
          </w:p>
        </w:tc>
      </w:tr>
      <w:tr w:rsidR="00234819" w:rsidRPr="002927A1" w14:paraId="1B477A09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jc w:val="right"/>
        </w:trPr>
        <w:tc>
          <w:tcPr>
            <w:tcW w:w="1802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544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B1. Indicador general de procesos para los artículos 3, 10 y 11</w:t>
            </w:r>
          </w:p>
        </w:tc>
        <w:tc>
          <w:tcPr>
            <w:tcW w:w="3215" w:type="dxa"/>
            <w:gridSpan w:val="10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825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Proporción de Partes que han aplicado disposiciones fundamentales en relación con este grupo temático (que abarca todos los indicadores de procesos, es decir, B5. B6, B7, B8, B9 y B13)</w:t>
            </w:r>
          </w:p>
        </w:tc>
        <w:tc>
          <w:tcPr>
            <w:tcW w:w="2332" w:type="dxa"/>
            <w:gridSpan w:val="6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B141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ind w:right="-1192"/>
              <w:rPr>
                <w:i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</w:t>
            </w:r>
            <w:r w:rsidRPr="002927A1">
              <w:rPr>
                <w:sz w:val="18"/>
                <w:szCs w:val="18"/>
              </w:rPr>
              <w:br/>
              <w:t>arreglo al artículo 21</w:t>
            </w:r>
          </w:p>
          <w:p w14:paraId="5D9EAAD5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95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8B4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290006D9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65F1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B2. Otros indicadores de resultados intersectoriales para los artículos 3, 10 y 11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8AA5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Estimación del suministro de mercurio a nivel mundial, en toneladas por año</w:t>
            </w:r>
          </w:p>
          <w:p w14:paraId="78E3A95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2332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460CC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Información sintetizada de los distintos indicadores para los artículos 3, 10 y 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450E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36A3A10E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259"/>
          <w:jc w:val="right"/>
        </w:trPr>
        <w:tc>
          <w:tcPr>
            <w:tcW w:w="180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87B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3</w:t>
            </w:r>
          </w:p>
        </w:tc>
        <w:tc>
          <w:tcPr>
            <w:tcW w:w="3215" w:type="dxa"/>
            <w:gridSpan w:val="10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BCB1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AF22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B90A" w14:textId="77777777" w:rsidR="00234819" w:rsidRPr="002927A1" w:rsidRDefault="00234819" w:rsidP="00A53323">
            <w:pPr>
              <w:ind w:left="-57"/>
              <w:rPr>
                <w:sz w:val="18"/>
                <w:szCs w:val="18"/>
              </w:rPr>
            </w:pPr>
          </w:p>
        </w:tc>
      </w:tr>
      <w:tr w:rsidR="00234819" w:rsidRPr="002927A1" w14:paraId="17796497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698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B3. Indicador de resultados para el artículo 3</w:t>
            </w:r>
          </w:p>
        </w:tc>
        <w:tc>
          <w:tcPr>
            <w:tcW w:w="3215" w:type="dxa"/>
            <w:gridSpan w:val="10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53C2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b/>
                <w:b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Cantidad total de mercurio extraído de minas de extracción primaria</w:t>
            </w:r>
          </w:p>
          <w:p w14:paraId="7A563E3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F1FE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Informe de 2017 sobre el suministro, el comercio y la demanda de mercurio a nivel mundial</w:t>
            </w:r>
          </w:p>
          <w:p w14:paraId="41B687E6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ind w:right="-1192"/>
              <w:rPr>
                <w:i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</w:t>
            </w:r>
            <w:r w:rsidRPr="002927A1">
              <w:rPr>
                <w:sz w:val="18"/>
                <w:szCs w:val="18"/>
              </w:rPr>
              <w:br/>
              <w:t>arreglo al artículo 21</w:t>
            </w:r>
          </w:p>
          <w:p w14:paraId="1288483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Informes sobre el plan de acción nacional para la extracción de oro artesanal y en pequeña escala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232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73AA3860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AB0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B4. Indicador de resultados para el artículo 3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11E5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de mercurio comercializado, desglosada por finalidad específica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5CA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Formularios del artículo 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348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0463E6DF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A06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B5. Indicador de procesos del artículo 3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6E0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puesto empeño en indicar las existencias y fuentes de suministro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D25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64B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60810854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A33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B6. Indicador de procesos del artículo 3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991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s-ES_tradnl"/>
              </w:rPr>
              <w:t>Para las Partes que hayan determinado la existencia de exceso de mercurio, hayan adoptado o no las medidas estipuladas en el párrafo 5 b) del artículo 3, y la cantidad de mercurio eliminado en virtud de esas medidas, si se conociese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F994" w14:textId="77777777" w:rsidR="00234819" w:rsidRPr="002927A1" w:rsidRDefault="00234819" w:rsidP="00A53323">
            <w:pPr>
              <w:rPr>
                <w:i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- Presentación de informes con arreglo al artículo 21 </w:t>
            </w:r>
          </w:p>
          <w:p w14:paraId="510E68E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Informes del Consejo Mundial del Cloro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19F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30BCD514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5D4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lastRenderedPageBreak/>
              <w:t>B7. Indicador de procesos del artículo 3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2432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y proporción de Partes que comercian con mercurio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681C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ind w:right="-1192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</w:t>
            </w:r>
            <w:r w:rsidRPr="002927A1">
              <w:rPr>
                <w:sz w:val="18"/>
                <w:szCs w:val="18"/>
              </w:rPr>
              <w:br/>
              <w:t xml:space="preserve">arreglo al artículo 21 </w:t>
            </w:r>
          </w:p>
          <w:p w14:paraId="29B0BAC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Formularios del artículo 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945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y porcentaje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en la primera evaluación</w:t>
            </w:r>
          </w:p>
        </w:tc>
      </w:tr>
      <w:tr w:rsidR="00234819" w:rsidRPr="002927A1" w14:paraId="03BBDB92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235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B8. Indicador de procesos del artículo 3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16CB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Volumen de mercurio que está siendo comercializado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5C4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- Presentación de informes con arreglo al artículo 21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387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1E6CC2B5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139"/>
          <w:jc w:val="right"/>
        </w:trPr>
        <w:tc>
          <w:tcPr>
            <w:tcW w:w="180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2084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10</w:t>
            </w:r>
          </w:p>
        </w:tc>
        <w:tc>
          <w:tcPr>
            <w:tcW w:w="3215" w:type="dxa"/>
            <w:gridSpan w:val="10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55CD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57E4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B8511" w14:textId="77777777" w:rsidR="00234819" w:rsidRPr="002927A1" w:rsidRDefault="00234819" w:rsidP="00A53323">
            <w:pPr>
              <w:ind w:left="-57"/>
              <w:rPr>
                <w:sz w:val="18"/>
                <w:szCs w:val="18"/>
              </w:rPr>
            </w:pPr>
          </w:p>
        </w:tc>
      </w:tr>
      <w:tr w:rsidR="00234819" w:rsidRPr="002927A1" w14:paraId="6C11F07B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5206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B9. Indicador de procesos en relación con el artículo 10</w:t>
            </w:r>
          </w:p>
        </w:tc>
        <w:tc>
          <w:tcPr>
            <w:tcW w:w="3215" w:type="dxa"/>
            <w:gridSpan w:val="10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99D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y proporción de Partes que han adoptado medidas para garantizar un almacenamiento provisional ambientalmente racional</w:t>
            </w: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383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E2B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y porcentaje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1D11D152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82A4" w14:textId="77777777" w:rsidR="00234819" w:rsidRPr="002927A1" w:rsidRDefault="00234819" w:rsidP="00A53323">
            <w:pPr>
              <w:pStyle w:val="Text"/>
              <w:tabs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B10. Indicador de resultados para el artículo 10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8D0B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de mercurio almacenado de manera ambientalmente racional (indicada en el inventario de las existencias)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B312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655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4B845DE2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E82B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11</w:t>
            </w:r>
          </w:p>
        </w:tc>
        <w:tc>
          <w:tcPr>
            <w:tcW w:w="3215" w:type="dxa"/>
            <w:gridSpan w:val="10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8800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1B54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293F" w14:textId="77777777" w:rsidR="00234819" w:rsidRPr="002927A1" w:rsidRDefault="00234819" w:rsidP="00A53323">
            <w:pPr>
              <w:keepNext/>
              <w:keepLines/>
              <w:ind w:left="-57"/>
              <w:rPr>
                <w:sz w:val="18"/>
                <w:szCs w:val="18"/>
              </w:rPr>
            </w:pPr>
          </w:p>
        </w:tc>
      </w:tr>
      <w:tr w:rsidR="00234819" w:rsidRPr="002927A1" w14:paraId="40E691F0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74A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B11. Indicador de resultados para el artículo 11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046E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de desechos que contienen mercurio o compuestos de mercurio objeto de eliminación definitiva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E108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br/>
              <w:t>arreglo al artículo 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A70E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4ACD5F6C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7EF6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B12. Indicador de resultados para el artículo 11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929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con instalaciones para la eliminación definitiva de los desechos que contienen mercurio o compuestos de mercurio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671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br/>
              <w:t>arreglo al artículo 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DF5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46DF2624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88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9E22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B13. Indicador de procesos del artículo 11</w:t>
            </w:r>
          </w:p>
        </w:tc>
        <w:tc>
          <w:tcPr>
            <w:tcW w:w="321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476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adoptado medidas para gestionar los desechos de mercurio de manera ambientalmente racional</w:t>
            </w:r>
          </w:p>
        </w:tc>
        <w:tc>
          <w:tcPr>
            <w:tcW w:w="23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3E7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br/>
              <w:t>arreglo al artículo 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50D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ind w:left="-57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163580C2" w14:textId="77777777" w:rsidTr="00A533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0B57" w14:textId="77777777" w:rsidR="00234819" w:rsidRPr="002927A1" w:rsidRDefault="00234819" w:rsidP="00A53323">
            <w:pPr>
              <w:pStyle w:val="Text"/>
              <w:pBdr>
                <w:right w:val="none" w:sz="0" w:space="0" w:color="auto"/>
              </w:pBd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505" w:type="dxa"/>
            <w:gridSpan w:val="1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07C2" w14:textId="77777777" w:rsidR="00234819" w:rsidRPr="002927A1" w:rsidRDefault="00234819" w:rsidP="00234819">
            <w:pPr>
              <w:pStyle w:val="Text"/>
              <w:numPr>
                <w:ilvl w:val="0"/>
                <w:numId w:val="28"/>
              </w:numPr>
              <w:pBdr>
                <w:lef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Los datos de entidades que no son Partes también podrían ser importantes en algunos casos.</w:t>
            </w:r>
          </w:p>
        </w:tc>
      </w:tr>
      <w:tr w:rsidR="00234819" w:rsidRPr="002927A1" w14:paraId="32C64F52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95" w:type="dxa"/>
            <w:gridSpan w:val="10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5FC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 xml:space="preserve">C: Grupo sobre la demanda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br/>
              <w:t xml:space="preserve">Artículo 4 (productos con mercurio añadido); artículo 5 (procesos de producción en los que se utiliza mercurio o compuestos de mercurio); artículo 7 (extracción de oro artesanal y en pequeña escala) </w:t>
            </w:r>
          </w:p>
        </w:tc>
        <w:tc>
          <w:tcPr>
            <w:tcW w:w="1719" w:type="dxa"/>
            <w:gridSpan w:val="4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26B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br/>
              <w:t>el indicador</w:t>
            </w:r>
          </w:p>
        </w:tc>
        <w:tc>
          <w:tcPr>
            <w:tcW w:w="1593" w:type="dxa"/>
            <w:gridSpan w:val="5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51B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br/>
              <w:t>del indicador</w:t>
            </w:r>
          </w:p>
        </w:tc>
      </w:tr>
      <w:tr w:rsidR="00234819" w:rsidRPr="002927A1" w14:paraId="467D3D09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D53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C1. Indicador intersectorial de procesos para los artículos 4, 5 y 7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129E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Proporción de Partes que han aplicado disposiciones fundamentales en relación con este grupo</w:t>
            </w:r>
          </w:p>
          <w:p w14:paraId="3F5C127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20C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Información sintetizada de los distintos indicadores para los artículos 4, 5 y 7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BD0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5C80708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626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C2. Indicador intersectorial de resultados para los artículos 4, 5 y 7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E4F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Uso mundial del mercurio en la fabricación de productos o procesos, en toneladas por aplicación 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49A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información de fuentes de la industria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392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5BFE064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BF1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4</w:t>
            </w:r>
          </w:p>
        </w:tc>
        <w:tc>
          <w:tcPr>
            <w:tcW w:w="311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D3F5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1D3E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B90D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</w:tr>
      <w:tr w:rsidR="00234819" w:rsidRPr="002927A1" w14:paraId="01B39E94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DAD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C3. Indicador de procesos en relación con el artículo 4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260D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aplican medidas adecuadas para impedir la fabricación, exportación o importación de productos con mercurio añadido incluidos en la parte I del anexo A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802F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858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05B0E86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38C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C4. Indicador de procesos en relación con el artículo 4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202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exenciones por categoría de productos que siguen siendo válidas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84A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Registro de exenciones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110D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05DEE5BF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989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lastRenderedPageBreak/>
              <w:t>C5. Indicador de procesos en relación con el artículo 4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15F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adoptado dos medidas o más en relación con los productos con mercurio añadido incluidos en la parte II del anexo A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6DCF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55C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3BAEB87E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83F0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C6. Indicador adicional de resultados en relación con el artículo 4</w:t>
            </w:r>
          </w:p>
        </w:tc>
        <w:tc>
          <w:tcPr>
            <w:tcW w:w="3117" w:type="dxa"/>
            <w:gridSpan w:val="4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66D4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Volumen, en toneladas de productos con mercurio añadido a) importados y b) exportados, en unidades por año, para cada categoría de productos incluidos en la parte I del anexo A</w:t>
            </w:r>
          </w:p>
        </w:tc>
        <w:tc>
          <w:tcPr>
            <w:tcW w:w="1719" w:type="dxa"/>
            <w:gridSpan w:val="4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A849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Comercio y datos de aduana</w:t>
            </w:r>
          </w:p>
        </w:tc>
        <w:tc>
          <w:tcPr>
            <w:tcW w:w="1593" w:type="dxa"/>
            <w:gridSpan w:val="5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C71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7C64BC0F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89782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5</w:t>
            </w:r>
          </w:p>
        </w:tc>
        <w:tc>
          <w:tcPr>
            <w:tcW w:w="3117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38FB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DE75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1036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</w:tr>
      <w:tr w:rsidR="00234819" w:rsidRPr="002927A1" w14:paraId="6116894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807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C7. Indicador de procesos en relación con el artículo 5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0AC1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con exenciones en relación con procesos incluidos en la parte I del anexo B, que siguen siendo válidas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9C06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Registro de exenciones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9395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6EE93931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53F1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C8. Indicador de procesos en relación con el artículo 5</w:t>
            </w:r>
          </w:p>
        </w:tc>
        <w:tc>
          <w:tcPr>
            <w:tcW w:w="3117" w:type="dxa"/>
            <w:gridSpan w:val="4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14A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cuentan con medidas para impedir el uso de mercurio o compuestos de mercurio en los procesos de fabricación incluidos en la parte I del anexo B</w:t>
            </w:r>
          </w:p>
        </w:tc>
        <w:tc>
          <w:tcPr>
            <w:tcW w:w="1719" w:type="dxa"/>
            <w:gridSpan w:val="4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04D0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779A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798FDFCC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FC5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C9. Indicador de procesos en relación con el artículo 5</w:t>
            </w:r>
          </w:p>
        </w:tc>
        <w:tc>
          <w:tcPr>
            <w:tcW w:w="3117" w:type="dxa"/>
            <w:gridSpan w:val="4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8DD2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Proporción de Partes que tienen procesos sujetos al artículo 5, párr. 3, y que han adoptado todas las medidas necesarias en relación con los respectivos procesos incluidos en la parte II del anexo B</w:t>
            </w:r>
          </w:p>
        </w:tc>
        <w:tc>
          <w:tcPr>
            <w:tcW w:w="1719" w:type="dxa"/>
            <w:gridSpan w:val="4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8BC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217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4431991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8D39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7</w:t>
            </w:r>
          </w:p>
        </w:tc>
        <w:tc>
          <w:tcPr>
            <w:tcW w:w="311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7DC6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0C5E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3A4E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</w:tr>
      <w:tr w:rsidR="00234819" w:rsidRPr="002927A1" w14:paraId="04C8271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615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C10. Indicador de resultados para el artículo 7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6FB0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Cantidad total de mercurio usado en la extracción de oro artesanal y en pequeña escala en todo el mundo, en toneladas por año </w:t>
            </w:r>
          </w:p>
          <w:p w14:paraId="3B06982B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6C50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  <w:p w14:paraId="692FDF80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Planes de acción nacionales sobre extracción de oro artesanal en pequeña escala y su examen</w:t>
            </w:r>
          </w:p>
          <w:p w14:paraId="6C9E124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Notificaciones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2E41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 en la primera evaluación</w:t>
            </w:r>
          </w:p>
        </w:tc>
      </w:tr>
      <w:tr w:rsidR="00234819" w:rsidRPr="002927A1" w14:paraId="2FFF094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6F08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C11. Indicador de procesos en relación con el artículo 7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38E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Proporción de Partes que declaran una extracción de oro artesanal y en pequeña escala poco más que insignificante y que hayan presentado un plan de acción nacional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F70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Notificaciones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797A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60DBBEC0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897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3117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7B4B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Proporción de Partes que han presentado un plan de acción nacional y lo han examinado</w:t>
            </w:r>
          </w:p>
          <w:p w14:paraId="30E5C1E4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12E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Exámenes previstos en el artículo 7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2844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19ABF1D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78" w:type="dxa"/>
            <w:gridSpan w:val="6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A3F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429" w:type="dxa"/>
            <w:gridSpan w:val="13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2660" w14:textId="77777777" w:rsidR="00234819" w:rsidRPr="002927A1" w:rsidRDefault="00234819" w:rsidP="00234819">
            <w:pPr>
              <w:pStyle w:val="Tex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Tal vez no sea fácil obtener algunos datos sobre los productos.</w:t>
            </w:r>
          </w:p>
        </w:tc>
      </w:tr>
      <w:tr w:rsidR="00234819" w:rsidRPr="002927A1" w14:paraId="0FE4407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79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8B1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 xml:space="preserve">D: Grupo temático sobre presión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br/>
              <w:t xml:space="preserve">Artículo 8 (emisiones); artículo 9 (liberaciones); artículo 12 (sitios contaminados) </w:t>
            </w:r>
          </w:p>
        </w:tc>
        <w:tc>
          <w:tcPr>
            <w:tcW w:w="1735" w:type="dxa"/>
            <w:gridSpan w:val="5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BDD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93" w:type="dxa"/>
            <w:gridSpan w:val="5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65E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15A0CA5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E96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D1. Indicador general de procesos para los artículos 8, 9 y 12</w:t>
            </w:r>
          </w:p>
        </w:tc>
        <w:tc>
          <w:tcPr>
            <w:tcW w:w="3095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E10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de Partes que han aplicado disposiciones fundamentales en relación con este grupo</w:t>
            </w:r>
          </w:p>
        </w:tc>
        <w:tc>
          <w:tcPr>
            <w:tcW w:w="1735" w:type="dxa"/>
            <w:gridSpan w:val="5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1C50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278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en la primera evaluación</w:t>
            </w:r>
          </w:p>
        </w:tc>
      </w:tr>
      <w:tr w:rsidR="00234819" w:rsidRPr="002927A1" w14:paraId="1366EB24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A3C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D2. Indicador intersectorial de resultados para los artículos 8, 9 y 12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F54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Cantidad total de mercurio en emisiones y liberaciones 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01BB" w14:textId="77777777" w:rsidR="00234819" w:rsidRPr="002927A1" w:rsidRDefault="00234819" w:rsidP="00A53323">
            <w:pPr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- </w:t>
            </w:r>
            <w:r w:rsidRPr="002927A1">
              <w:rPr>
                <w:i/>
                <w:iCs/>
                <w:sz w:val="18"/>
                <w:szCs w:val="18"/>
              </w:rPr>
              <w:t>Evaluación Mundial del Mercurio</w:t>
            </w:r>
            <w:r w:rsidRPr="002927A1">
              <w:rPr>
                <w:sz w:val="18"/>
                <w:szCs w:val="18"/>
              </w:rPr>
              <w:t xml:space="preserve"> 2018</w:t>
            </w:r>
          </w:p>
          <w:p w14:paraId="382F161C" w14:textId="77777777" w:rsidR="00234819" w:rsidRPr="002927A1" w:rsidRDefault="00234819" w:rsidP="00A53323">
            <w:pPr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Inventarios</w:t>
            </w:r>
          </w:p>
          <w:p w14:paraId="01700C5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- Evaluaciones iniciales del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lastRenderedPageBreak/>
              <w:t>Convenio de Minamata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19C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lastRenderedPageBreak/>
              <w:t>Cantidad en la primera evaluación</w:t>
            </w:r>
          </w:p>
        </w:tc>
      </w:tr>
      <w:tr w:rsidR="00234819" w:rsidRPr="002927A1" w14:paraId="2E69BF0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8307" w:type="dxa"/>
            <w:gridSpan w:val="19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83D7" w14:textId="77777777" w:rsidR="00234819" w:rsidRPr="002927A1" w:rsidRDefault="00234819" w:rsidP="00A53323">
            <w:pPr>
              <w:pStyle w:val="Text"/>
              <w:tabs>
                <w:tab w:val="left" w:pos="1248"/>
                <w:tab w:val="left" w:pos="1814"/>
                <w:tab w:val="left" w:pos="1872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 xml:space="preserve">Artículo 8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(Los indicadores para el artículo 8 deben leerse de consuno con los indicadores de vigilancia pertinentes en el cuadro 4).</w:t>
            </w:r>
          </w:p>
        </w:tc>
      </w:tr>
      <w:tr w:rsidR="00234819" w:rsidRPr="002927A1" w14:paraId="10D91B56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179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D3. Indicador de resultados para el artículo 8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A25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Cantidad total de mercurio en emisiones por cada categoría de fuente puntual del anexo D 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D7ED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  <w:p w14:paraId="78C16886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Inventarios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DD2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5E64E7BB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5BC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D4. Indicador de procesos en relación con el artículo 8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C6B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requieren MTD/MPA o valores límite de las emisiones compatibles con la aplicación de las mejores técnicas disponibles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3EF5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2D18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4D316874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CE1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D5. Indicador de procesos en relación con el artículo 8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59E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puesto en práctica medidas de control para las fuentes existentes (por cada una de las medidas previstas en el artículo 8, párr. 5)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238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A7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6603A035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001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D6. Indicador de procesos en relación con el artículo 8</w:t>
            </w:r>
          </w:p>
        </w:tc>
        <w:tc>
          <w:tcPr>
            <w:tcW w:w="3095" w:type="dxa"/>
            <w:gridSpan w:val="2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0C9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Número de Partes que han realizado -y mantenido- un inventario de las emisiones </w:t>
            </w:r>
          </w:p>
        </w:tc>
        <w:tc>
          <w:tcPr>
            <w:tcW w:w="1735" w:type="dxa"/>
            <w:gridSpan w:val="5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79C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DCB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311CE256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8307" w:type="dxa"/>
            <w:gridSpan w:val="19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01B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1872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 xml:space="preserve">Artículo 9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(Los indicadores del artículo 9 deben leerse junto con los indicadores de vigilancia pertinentes en el cuadro 4).</w:t>
            </w:r>
          </w:p>
        </w:tc>
      </w:tr>
      <w:tr w:rsidR="00234819" w:rsidRPr="002927A1" w14:paraId="4516DD2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C5B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D7. Indicador de resultados en relación con el artículo 9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304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Cantidad total de las liberaciones de mercurio recogida en el inventario de fuentes pertinentes 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F6BA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  <w:p w14:paraId="480F27F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Inventarios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2C3D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3D6EC80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F57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D8. Indicador de procesos en relación con el artículo 9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96F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detectado sitios contaminados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7F8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83A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7E24F97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76C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D9. Indicador de procesos en relación con el artículo 9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A00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realizado -y mantenido- un inventario de liberaciones procedentes de fuentes importantes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664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E3A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12CE2ADF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6A33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12</w:t>
            </w:r>
          </w:p>
        </w:tc>
        <w:tc>
          <w:tcPr>
            <w:tcW w:w="309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1F3D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329E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8780" w14:textId="77777777" w:rsidR="00234819" w:rsidRPr="002927A1" w:rsidRDefault="00234819" w:rsidP="00A53323">
            <w:pPr>
              <w:rPr>
                <w:sz w:val="18"/>
                <w:szCs w:val="18"/>
              </w:rPr>
            </w:pPr>
          </w:p>
        </w:tc>
      </w:tr>
      <w:tr w:rsidR="00234819" w:rsidRPr="002927A1" w14:paraId="2C88A88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59B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D10. Indicador de procesos en relación con el artículo 12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B8B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elaborado estrategias para detectar y evaluar sitios contaminados con mercurio o compuestos de mercurio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5DD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93C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1503C6E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8F2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D11. Indicador de procesos en relación con el artículo 12</w:t>
            </w:r>
          </w:p>
        </w:tc>
        <w:tc>
          <w:tcPr>
            <w:tcW w:w="309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768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elaborado un inventario de los sitios contaminados</w:t>
            </w:r>
          </w:p>
        </w:tc>
        <w:tc>
          <w:tcPr>
            <w:tcW w:w="173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6DF95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213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49E4A1C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84" w:type="dxa"/>
            <w:gridSpan w:val="7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3A8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423" w:type="dxa"/>
            <w:gridSpan w:val="12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315E" w14:textId="77777777" w:rsidR="00234819" w:rsidRPr="002927A1" w:rsidRDefault="00234819" w:rsidP="00234819">
            <w:pPr>
              <w:pStyle w:val="Tex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Es posible que haya algunas deficiencias en los datos, ya que las Partes no están obligadas a compartir la información recopilada como parte de su inventario.</w:t>
            </w:r>
          </w:p>
        </w:tc>
      </w:tr>
      <w:tr w:rsidR="00234819" w:rsidRPr="002927A1" w14:paraId="6C2B014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79" w:type="dxa"/>
            <w:gridSpan w:val="9"/>
            <w:tcBorders>
              <w:top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968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lastRenderedPageBreak/>
              <w:t xml:space="preserve">E: Grupo sobre apoyo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br/>
              <w:t>Artículo 13 (</w:t>
            </w:r>
            <w:proofErr w:type="gramStart"/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recursos financieros y mecanismo financiero</w:t>
            </w:r>
            <w:proofErr w:type="gramEnd"/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 xml:space="preserve">); artículo 14 (creación de capacidad, asistencia técnica y transferencia de tecnología) </w:t>
            </w:r>
          </w:p>
        </w:tc>
        <w:tc>
          <w:tcPr>
            <w:tcW w:w="1746" w:type="dxa"/>
            <w:gridSpan w:val="6"/>
            <w:tcBorders>
              <w:top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9235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82" w:type="dxa"/>
            <w:gridSpan w:val="4"/>
            <w:tcBorders>
              <w:top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DAEF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para el indicador</w:t>
            </w:r>
          </w:p>
        </w:tc>
      </w:tr>
      <w:tr w:rsidR="00234819" w:rsidRPr="002927A1" w14:paraId="6F454AD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D830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13</w:t>
            </w:r>
          </w:p>
        </w:tc>
        <w:tc>
          <w:tcPr>
            <w:tcW w:w="3177" w:type="dxa"/>
            <w:gridSpan w:val="7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94F7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1746" w:type="dxa"/>
            <w:gridSpan w:val="6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6DF2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1582" w:type="dxa"/>
            <w:gridSpan w:val="4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A8D2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</w:tr>
      <w:tr w:rsidR="00234819" w:rsidRPr="002927A1" w14:paraId="04A81779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100B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E1. Indicador de procesos en relación con el artículo 13</w:t>
            </w:r>
          </w:p>
        </w:tc>
        <w:tc>
          <w:tcPr>
            <w:tcW w:w="3177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4C3C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Número de Partes que han: </w:t>
            </w:r>
          </w:p>
          <w:p w14:paraId="655A9C9F" w14:textId="77777777" w:rsidR="00234819" w:rsidRPr="002927A1" w:rsidRDefault="00234819" w:rsidP="00234819">
            <w:pPr>
              <w:pStyle w:val="ListParagraph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ind w:left="283" w:hanging="170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Contribuido al mecanismo financiero a que se hace referencia en el artículo 13, párr. 5 </w:t>
            </w:r>
          </w:p>
          <w:p w14:paraId="60375F25" w14:textId="77777777" w:rsidR="00234819" w:rsidRPr="002927A1" w:rsidRDefault="00234819" w:rsidP="00234819">
            <w:pPr>
              <w:pStyle w:val="ListParagraph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ind w:left="283" w:hanging="170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Recursos recibidos del Fondo para el Medio Ambiente Mundial</w:t>
            </w:r>
          </w:p>
          <w:p w14:paraId="4749F10C" w14:textId="77777777" w:rsidR="00234819" w:rsidRPr="002927A1" w:rsidRDefault="00234819" w:rsidP="00234819">
            <w:pPr>
              <w:pStyle w:val="ListParagraph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814"/>
                <w:tab w:val="left" w:pos="1163"/>
                <w:tab w:val="left" w:pos="1815"/>
              </w:tabs>
              <w:ind w:left="283" w:hanging="170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Recursos recibidos del </w:t>
            </w:r>
            <w:r w:rsidRPr="002927A1">
              <w:rPr>
                <w:bCs/>
                <w:sz w:val="18"/>
                <w:szCs w:val="18"/>
              </w:rPr>
              <w:t>plan de implantación de la estrategia</w:t>
            </w:r>
          </w:p>
          <w:p w14:paraId="7AB134B2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Recursos nacionales movilizados para la aplicación del Convenio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br/>
              <w:t>en el período sobre el que se informa</w:t>
            </w:r>
          </w:p>
        </w:tc>
        <w:tc>
          <w:tcPr>
            <w:tcW w:w="1746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7A9C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ACE1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71EE44B1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275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E2. Indicador de procesos en relación con el artículo 13</w:t>
            </w:r>
          </w:p>
        </w:tc>
        <w:tc>
          <w:tcPr>
            <w:tcW w:w="3177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13A4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Cantidad de recursos facilitados por el: </w:t>
            </w:r>
          </w:p>
          <w:p w14:paraId="0C667A42" w14:textId="77777777" w:rsidR="00234819" w:rsidRPr="002927A1" w:rsidRDefault="00234819" w:rsidP="00234819">
            <w:pPr>
              <w:pStyle w:val="ListParagraph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left" w:pos="1163"/>
                <w:tab w:val="left" w:pos="1248"/>
              </w:tabs>
              <w:ind w:left="283" w:hanging="170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Fondo para el Medio Ambiente Mundial</w:t>
            </w:r>
          </w:p>
          <w:p w14:paraId="526CFD3C" w14:textId="77777777" w:rsidR="00234819" w:rsidRPr="002927A1" w:rsidRDefault="00234819" w:rsidP="00234819">
            <w:pPr>
              <w:pStyle w:val="ListParagraph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left" w:pos="1163"/>
                <w:tab w:val="left" w:pos="1248"/>
              </w:tabs>
              <w:ind w:left="283" w:hanging="170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bCs/>
                <w:sz w:val="18"/>
                <w:szCs w:val="18"/>
              </w:rPr>
              <w:t>Programa Internacional Específico</w:t>
            </w:r>
          </w:p>
          <w:p w14:paraId="3A3BB6AC" w14:textId="77777777" w:rsidR="00234819" w:rsidRPr="002927A1" w:rsidRDefault="00234819" w:rsidP="00234819">
            <w:pPr>
              <w:pStyle w:val="Text"/>
              <w:numPr>
                <w:ilvl w:val="0"/>
                <w:numId w:val="31"/>
              </w:numPr>
              <w:tabs>
                <w:tab w:val="clear" w:pos="1163"/>
                <w:tab w:val="clear" w:pos="1248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Apoyo bilateral en el período que abarca el informe</w:t>
            </w:r>
          </w:p>
        </w:tc>
        <w:tc>
          <w:tcPr>
            <w:tcW w:w="1746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B017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i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  <w:p w14:paraId="49FF2065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Otras fuentes públicas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ABD0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Cantidad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06084151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3D59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E3. Indicador adicional de procesos en relación con el artículo 13</w:t>
            </w:r>
          </w:p>
        </w:tc>
        <w:tc>
          <w:tcPr>
            <w:tcW w:w="3177" w:type="dxa"/>
            <w:gridSpan w:val="7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73B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recomendaciones del examen financiero reproducidas en los documentos normativos del Fondo para el Medio Ambiente Mundial y el Programa Internacional Específico</w:t>
            </w:r>
          </w:p>
        </w:tc>
        <w:tc>
          <w:tcPr>
            <w:tcW w:w="1746" w:type="dxa"/>
            <w:gridSpan w:val="6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50D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Información procedente de los documentos normativos</w:t>
            </w:r>
          </w:p>
        </w:tc>
        <w:tc>
          <w:tcPr>
            <w:tcW w:w="1582" w:type="dxa"/>
            <w:gridSpan w:val="4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79B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Cero</w:t>
            </w:r>
          </w:p>
        </w:tc>
      </w:tr>
      <w:tr w:rsidR="00234819" w:rsidRPr="002927A1" w14:paraId="48DFB7AC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8032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 14</w:t>
            </w:r>
          </w:p>
        </w:tc>
        <w:tc>
          <w:tcPr>
            <w:tcW w:w="3177" w:type="dxa"/>
            <w:gridSpan w:val="7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A161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1746" w:type="dxa"/>
            <w:gridSpan w:val="6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EE51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1582" w:type="dxa"/>
            <w:gridSpan w:val="4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5871" w14:textId="77777777" w:rsidR="00234819" w:rsidRPr="002927A1" w:rsidRDefault="00234819" w:rsidP="00A53323">
            <w:pPr>
              <w:keepNext/>
              <w:keepLines/>
              <w:rPr>
                <w:sz w:val="18"/>
                <w:szCs w:val="18"/>
              </w:rPr>
            </w:pPr>
          </w:p>
        </w:tc>
      </w:tr>
      <w:tr w:rsidR="00234819" w:rsidRPr="002927A1" w14:paraId="52361099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2C68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E4. Indicador de procesos en relación con el artículo 14</w:t>
            </w:r>
          </w:p>
        </w:tc>
        <w:tc>
          <w:tcPr>
            <w:tcW w:w="3177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7357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Número de Partes que han:</w:t>
            </w:r>
          </w:p>
          <w:p w14:paraId="277F971D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27" w:hanging="227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1.</w:t>
            </w:r>
            <w:r w:rsidRPr="002927A1">
              <w:rPr>
                <w:sz w:val="18"/>
                <w:szCs w:val="18"/>
              </w:rPr>
              <w:tab/>
              <w:t>Cooperado prestando asistencia técnica y creando capacidad para otra Parte</w:t>
            </w:r>
          </w:p>
          <w:p w14:paraId="64D50A73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27" w:hanging="227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2.</w:t>
            </w:r>
            <w:r w:rsidRPr="002927A1">
              <w:rPr>
                <w:sz w:val="18"/>
                <w:szCs w:val="18"/>
              </w:rPr>
              <w:tab/>
              <w:t>Solicitado asistencia técnica</w:t>
            </w:r>
          </w:p>
          <w:p w14:paraId="5BFED297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27" w:hanging="227"/>
              <w:rPr>
                <w:rStyle w:val="dn"/>
                <w:rFonts w:eastAsia="Roboto"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3.</w:t>
            </w:r>
            <w:r w:rsidRPr="002927A1">
              <w:rPr>
                <w:sz w:val="18"/>
                <w:szCs w:val="18"/>
              </w:rPr>
              <w:tab/>
              <w:t>Recibido apoyo en materia de creación de capacidad o asistencia técnica</w:t>
            </w:r>
          </w:p>
          <w:p w14:paraId="59E1CB83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left="227" w:hanging="227"/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4.</w:t>
            </w:r>
            <w:r w:rsidRPr="002927A1">
              <w:rPr>
                <w:sz w:val="18"/>
                <w:szCs w:val="18"/>
              </w:rPr>
              <w:tab/>
              <w:t xml:space="preserve">Promovido o facilitado la transferencia de tecnología </w:t>
            </w:r>
          </w:p>
        </w:tc>
        <w:tc>
          <w:tcPr>
            <w:tcW w:w="1746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4691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63"/>
              </w:tabs>
              <w:rPr>
                <w:iCs/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>- Presentación de informes con arreglo al artículo 21</w:t>
            </w:r>
          </w:p>
          <w:p w14:paraId="04250AB0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sz w:val="18"/>
                <w:szCs w:val="18"/>
                <w:lang w:val="es-ES_tradnl"/>
              </w:rPr>
              <w:t>- Otras fuentes públicas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A588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0BE557F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02" w:type="dxa"/>
            <w:gridSpan w:val="2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8E4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505" w:type="dxa"/>
            <w:gridSpan w:val="17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2BAF" w14:textId="77777777" w:rsidR="00234819" w:rsidRPr="002927A1" w:rsidRDefault="00234819" w:rsidP="00234819">
            <w:pPr>
              <w:pStyle w:val="ListParagraph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El ciclo de examen del mecanismo financiero bien puede no coincidir con el ciclo de evaluación de la eficacia. </w:t>
            </w:r>
          </w:p>
          <w:p w14:paraId="6EBAB602" w14:textId="77777777" w:rsidR="00234819" w:rsidRPr="002927A1" w:rsidRDefault="00234819" w:rsidP="00234819">
            <w:pPr>
              <w:pStyle w:val="ListParagraph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72"/>
              </w:tabs>
              <w:rPr>
                <w:sz w:val="18"/>
                <w:szCs w:val="18"/>
              </w:rPr>
            </w:pPr>
            <w:r w:rsidRPr="002927A1">
              <w:rPr>
                <w:sz w:val="18"/>
                <w:szCs w:val="18"/>
              </w:rPr>
              <w:t xml:space="preserve">Como el formato de presentación de informes no solicita valores en dólares para los recursos proporcionados, tal vez haya que consultar a otras fuentes públicas. </w:t>
            </w:r>
          </w:p>
        </w:tc>
      </w:tr>
      <w:tr w:rsidR="00234819" w:rsidRPr="002927A1" w14:paraId="430FE4DE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64" w:type="dxa"/>
            <w:gridSpan w:val="8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BF0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F: Artículo 15 (Comité de Aplicación y Cumplimiento)</w:t>
            </w:r>
          </w:p>
        </w:tc>
        <w:tc>
          <w:tcPr>
            <w:tcW w:w="1750" w:type="dxa"/>
            <w:gridSpan w:val="6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512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93" w:type="dxa"/>
            <w:gridSpan w:val="5"/>
            <w:tcBorders>
              <w:top w:val="single" w:sz="2" w:space="0" w:color="auto"/>
              <w:bottom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D2E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7C6B556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FE6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F1. Indicador de procesos</w:t>
            </w:r>
          </w:p>
        </w:tc>
        <w:tc>
          <w:tcPr>
            <w:tcW w:w="3200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828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de cuestiones que el Comité de Aplicación y Cumplimiento pudo resolver, en particular indicios de problemas sistémicos, de haberlos habido</w:t>
            </w:r>
          </w:p>
        </w:tc>
        <w:tc>
          <w:tcPr>
            <w:tcW w:w="1750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FEA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Informe del Comité de Aplicación y Cumplimiento, a que se hace referencia en el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704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 en la primera evaluación</w:t>
            </w:r>
          </w:p>
        </w:tc>
      </w:tr>
      <w:tr w:rsidR="00234819" w:rsidRPr="002927A1" w14:paraId="0BBEEB4F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64" w:type="dxa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CCD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543" w:type="dxa"/>
            <w:gridSpan w:val="18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9F17" w14:textId="77777777" w:rsidR="00234819" w:rsidRPr="002927A1" w:rsidRDefault="00234819" w:rsidP="00234819">
            <w:pPr>
              <w:pStyle w:val="Tex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La Conferencia de las Partes deberá examinar el mandato del Comité de Aplicación y Cumplimiento en su tercera reunión.</w:t>
            </w:r>
          </w:p>
        </w:tc>
      </w:tr>
      <w:tr w:rsidR="00234819" w:rsidRPr="002927A1" w14:paraId="1B0A8E1C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95" w:type="dxa"/>
            <w:gridSpan w:val="10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E0C9" w14:textId="77777777" w:rsidR="00234819" w:rsidRPr="002927A1" w:rsidRDefault="00234819" w:rsidP="00A53323">
            <w:pPr>
              <w:rPr>
                <w:rStyle w:val="dn"/>
                <w:rFonts w:eastAsia="Roboto"/>
                <w:i/>
                <w:sz w:val="18"/>
                <w:szCs w:val="18"/>
              </w:rPr>
            </w:pPr>
            <w:r w:rsidRPr="002927A1">
              <w:rPr>
                <w:bCs/>
                <w:i/>
                <w:sz w:val="18"/>
                <w:szCs w:val="18"/>
              </w:rPr>
              <w:t>G: Artículo 16 (aspectos relacionados con la salud)</w:t>
            </w:r>
            <w:r w:rsidRPr="002927A1">
              <w:rPr>
                <w:i/>
                <w:sz w:val="18"/>
                <w:szCs w:val="18"/>
              </w:rPr>
              <w:t xml:space="preserve"> </w:t>
            </w:r>
          </w:p>
          <w:p w14:paraId="179D4382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  <w:t>(El indicador relacionado con el artículo 16 debe leerse junto con el indicador de vigilancia correspondiente señalado en el cuadro 4).</w:t>
            </w:r>
          </w:p>
        </w:tc>
        <w:tc>
          <w:tcPr>
            <w:tcW w:w="1719" w:type="dxa"/>
            <w:gridSpan w:val="4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8675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93" w:type="dxa"/>
            <w:gridSpan w:val="5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DAC5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6252BC29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44" w:type="dxa"/>
            <w:gridSpan w:val="5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9A2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lastRenderedPageBreak/>
              <w:t>G1. Indicador de vigilancia</w:t>
            </w:r>
          </w:p>
        </w:tc>
        <w:tc>
          <w:tcPr>
            <w:tcW w:w="3151" w:type="dxa"/>
            <w:gridSpan w:val="5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4C5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Niveles de mercurio en determinadas poblaciones humanas (tal como se definen en los arreglos de vigilancia)</w:t>
            </w:r>
          </w:p>
        </w:tc>
        <w:tc>
          <w:tcPr>
            <w:tcW w:w="1719" w:type="dxa"/>
            <w:gridSpan w:val="4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89C9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- Datos y las actividades de vigilancia existentes</w:t>
            </w:r>
          </w:p>
        </w:tc>
        <w:tc>
          <w:tcPr>
            <w:tcW w:w="1593" w:type="dxa"/>
            <w:gridSpan w:val="5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B850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330FC74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44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6EB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G2. Indicador de procesos</w:t>
            </w:r>
          </w:p>
        </w:tc>
        <w:tc>
          <w:tcPr>
            <w:tcW w:w="315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A1E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adoptado medidas, por ejemplo, servicios de asesoramiento en materia de pesca, para informar al público sobre la exposición al mercurio, de conformidad con el párrafo 1 del artículo 16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9201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 xml:space="preserve">- </w:t>
            </w: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Presentación de informes con arreglo al artículo 21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F29A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0C96991A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44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A82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G3. Indicador de procesos</w:t>
            </w:r>
          </w:p>
        </w:tc>
        <w:tc>
          <w:tcPr>
            <w:tcW w:w="315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5EBF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de Partes que han adoptado medidas para proteger la salud humana, de conformidad con el artículo 16</w:t>
            </w:r>
          </w:p>
        </w:tc>
        <w:tc>
          <w:tcPr>
            <w:tcW w:w="1719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8DFE" w14:textId="77777777" w:rsidR="00234819" w:rsidRPr="002927A1" w:rsidRDefault="00234819" w:rsidP="00A53323">
            <w:pPr>
              <w:rPr>
                <w:iCs/>
                <w:sz w:val="18"/>
                <w:szCs w:val="18"/>
              </w:rPr>
            </w:pPr>
            <w:r w:rsidRPr="002927A1">
              <w:rPr>
                <w:iCs/>
                <w:sz w:val="18"/>
                <w:szCs w:val="18"/>
              </w:rPr>
              <w:t xml:space="preserve">- </w:t>
            </w:r>
            <w:r w:rsidRPr="002927A1">
              <w:rPr>
                <w:sz w:val="18"/>
                <w:szCs w:val="18"/>
              </w:rPr>
              <w:t>Presentación de informes con arreglo al artículo 21</w:t>
            </w:r>
          </w:p>
          <w:p w14:paraId="337F237D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Entrega a la Secretaría</w:t>
            </w:r>
          </w:p>
        </w:tc>
        <w:tc>
          <w:tcPr>
            <w:tcW w:w="1593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4090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0C8E1163" w14:textId="77777777" w:rsidTr="00A53323">
        <w:tblPrEx>
          <w:shd w:val="clear" w:color="auto" w:fill="auto"/>
        </w:tblPrEx>
        <w:trPr>
          <w:trHeight w:val="187"/>
          <w:jc w:val="right"/>
        </w:trPr>
        <w:tc>
          <w:tcPr>
            <w:tcW w:w="1844" w:type="dxa"/>
            <w:gridSpan w:val="5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242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463" w:type="dxa"/>
            <w:gridSpan w:val="14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D939" w14:textId="77777777" w:rsidR="00234819" w:rsidRPr="002927A1" w:rsidRDefault="00234819" w:rsidP="00234819">
            <w:pPr>
              <w:pStyle w:val="Tex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También se han de considerar los niveles de mercurio en la biota. </w:t>
            </w:r>
          </w:p>
        </w:tc>
      </w:tr>
      <w:tr w:rsidR="00234819" w:rsidRPr="002927A1" w14:paraId="0255F5C4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95" w:type="dxa"/>
            <w:gridSpan w:val="10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C6DA" w14:textId="77777777" w:rsidR="00234819" w:rsidRPr="002927A1" w:rsidRDefault="00234819" w:rsidP="00A53323">
            <w:pPr>
              <w:rPr>
                <w:bCs/>
                <w:i/>
                <w:sz w:val="18"/>
                <w:szCs w:val="18"/>
              </w:rPr>
            </w:pPr>
            <w:r w:rsidRPr="002927A1">
              <w:rPr>
                <w:bCs/>
                <w:i/>
                <w:sz w:val="18"/>
                <w:szCs w:val="18"/>
              </w:rPr>
              <w:t xml:space="preserve">H: Grupo sobre información e investigación </w:t>
            </w:r>
          </w:p>
          <w:p w14:paraId="7A02626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 xml:space="preserve">Artículo 17 (intercambio de información); artículo 18 (información pública, sensibilización y formación del público); artículo 19 (investigación, desarrollo y vigilancia) </w:t>
            </w:r>
          </w:p>
        </w:tc>
        <w:tc>
          <w:tcPr>
            <w:tcW w:w="1730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CEA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82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B03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6DA76A66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142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</w:t>
            </w:r>
            <w:r w:rsidRPr="002927A1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17</w:t>
            </w:r>
          </w:p>
        </w:tc>
        <w:tc>
          <w:tcPr>
            <w:tcW w:w="3175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0B1C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08D6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82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E782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34819" w:rsidRPr="002927A1" w14:paraId="5DD07AD3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B4C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H1. </w:t>
            </w: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Indicador de procesos para el artículo 17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1B8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Partes que han designado coordinadores nacionales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A65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311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5BFE8B62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DC5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H2. </w:t>
            </w: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Indicador de procesos para el artículo 17</w:t>
            </w:r>
          </w:p>
        </w:tc>
        <w:tc>
          <w:tcPr>
            <w:tcW w:w="3175" w:type="dxa"/>
            <w:gridSpan w:val="7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36A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 xml:space="preserve">Número de Partes que han facilitado el intercambio de información relacionada con el mercurio </w:t>
            </w:r>
          </w:p>
        </w:tc>
        <w:tc>
          <w:tcPr>
            <w:tcW w:w="1730" w:type="dxa"/>
            <w:gridSpan w:val="5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1C9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305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18F7DD17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2763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</w:t>
            </w:r>
            <w:r w:rsidRPr="002927A1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18</w:t>
            </w:r>
          </w:p>
        </w:tc>
        <w:tc>
          <w:tcPr>
            <w:tcW w:w="3175" w:type="dxa"/>
            <w:gridSpan w:val="7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1D34F" w14:textId="77777777" w:rsidR="00234819" w:rsidRPr="002927A1" w:rsidRDefault="00234819" w:rsidP="00A53323">
            <w:pPr>
              <w:keepNext/>
              <w:keepLines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30" w:type="dxa"/>
            <w:gridSpan w:val="5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6F71" w14:textId="77777777" w:rsidR="00234819" w:rsidRPr="002927A1" w:rsidRDefault="00234819" w:rsidP="00A53323">
            <w:pPr>
              <w:keepNext/>
              <w:keepLines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82" w:type="dxa"/>
            <w:gridSpan w:val="4"/>
            <w:tcBorders>
              <w:top w:val="single" w:sz="2" w:space="0" w:color="auto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11B3" w14:textId="77777777" w:rsidR="00234819" w:rsidRPr="002927A1" w:rsidRDefault="00234819" w:rsidP="00A53323">
            <w:pPr>
              <w:keepNext/>
              <w:keepLines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34819" w:rsidRPr="002927A1" w14:paraId="1AE0ECA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85C2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H3. Indicador de procesos para el artículo 18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4B7A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Partes que han adoptado medidas para aplicar el artículo 18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65A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ABCE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1255D9F9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B54F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H4. Indicador de procesos para el artículo 18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6E17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Promedio de medidas previstas en el párrafo 1 del artículo 18 que están aplicando las Partes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52C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 xml:space="preserve">- Derivada de la presentación de informes con arreglo al artículo 21 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8D4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658A50A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E1C7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H5. Indicador de procesos para el artículo 18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4B3D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Partes que cuentan con información sobre los niveles de mercurio en el aire, los seres humanos y la biota dentro de su territorio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22A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3F33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78C8D8E3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21AA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H6. Indicador de procesos para el artículo 18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2810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Partes que comunican situaciones de riesgo relacionadas con la ingesta de mercurio mediante el consumo de alimentos y agua en su territorio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B538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0328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3F7F8C6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87FB" w14:textId="77777777" w:rsidR="00234819" w:rsidRPr="002927A1" w:rsidRDefault="00234819" w:rsidP="00A53323">
            <w:pPr>
              <w:pStyle w:val="Text"/>
              <w:keepNext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Artículo</w:t>
            </w:r>
            <w:r w:rsidRPr="002927A1">
              <w:rPr>
                <w:rFonts w:asciiTheme="majorBidi" w:hAnsiTheme="majorBidi" w:cstheme="majorBidi"/>
                <w:b/>
                <w:bCs/>
                <w:sz w:val="18"/>
                <w:szCs w:val="18"/>
                <w:lang w:val="es-ES_tradnl"/>
              </w:rPr>
              <w:t xml:space="preserve"> 19</w:t>
            </w:r>
          </w:p>
        </w:tc>
        <w:tc>
          <w:tcPr>
            <w:tcW w:w="3175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8A6A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E35F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82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6557" w14:textId="77777777" w:rsidR="00234819" w:rsidRPr="002927A1" w:rsidRDefault="00234819" w:rsidP="00A5332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34819" w:rsidRPr="002927A1" w14:paraId="6C3A238D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18ED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H7. Indicador de procesos para el artículo 19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021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 xml:space="preserve">Número de Partes que han emprendido la labor de investigación, desarrollo y vigilancia, de conformidad con el párrafo 1 del artículo 19 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AC2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594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4B065782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D6EE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H8. Indicador de procesos para el artículo 19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21EF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Partes que aportan datos y conocimientos a las evaluaciones integradas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8D8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iCs/>
                <w:sz w:val="18"/>
                <w:szCs w:val="18"/>
                <w:lang w:val="es-ES_tradnl"/>
              </w:rPr>
              <w:t>- Redes de vigilancia, bases de datos, datos y publicaciones científicas existentes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C39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1E52A631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FB28" w14:textId="77777777" w:rsidR="00234819" w:rsidRPr="002927A1" w:rsidRDefault="00234819" w:rsidP="00A53323">
            <w:pPr>
              <w:pStyle w:val="Text"/>
              <w:tabs>
                <w:tab w:val="left" w:pos="1163"/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H9. Otro indicador de procesos para el artículo 19 </w:t>
            </w:r>
          </w:p>
        </w:tc>
        <w:tc>
          <w:tcPr>
            <w:tcW w:w="3175" w:type="dxa"/>
            <w:gridSpan w:val="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FAB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Número de regiones que contribuyen al conjunto de datos regionales</w:t>
            </w:r>
          </w:p>
        </w:tc>
        <w:tc>
          <w:tcPr>
            <w:tcW w:w="17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CF0B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  <w:lang w:val="es-ES_tradnl"/>
              </w:rPr>
            </w:pPr>
            <w:r w:rsidRPr="002927A1">
              <w:rPr>
                <w:iCs/>
                <w:sz w:val="18"/>
                <w:szCs w:val="18"/>
                <w:lang w:val="es-ES_tradnl"/>
              </w:rPr>
              <w:t>- Redes de vigilancia, bases de datos, datos y publicaciones científicas existentes</w:t>
            </w:r>
          </w:p>
        </w:tc>
        <w:tc>
          <w:tcPr>
            <w:tcW w:w="1582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91F2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Número en la primera evaluación</w:t>
            </w:r>
          </w:p>
        </w:tc>
      </w:tr>
      <w:tr w:rsidR="00234819" w:rsidRPr="002927A1" w14:paraId="7BCC166B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820" w:type="dxa"/>
            <w:gridSpan w:val="3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5EE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lastRenderedPageBreak/>
              <w:t>Notas</w:t>
            </w:r>
          </w:p>
        </w:tc>
        <w:tc>
          <w:tcPr>
            <w:tcW w:w="6487" w:type="dxa"/>
            <w:gridSpan w:val="16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60C5" w14:textId="77777777" w:rsidR="00234819" w:rsidRPr="002927A1" w:rsidRDefault="00234819" w:rsidP="00234819">
            <w:pPr>
              <w:pStyle w:val="Text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 xml:space="preserve">Comunicaciones enviadas a la Secretaría que complementan la presentación de informes prevista en el artículo 21 </w:t>
            </w:r>
          </w:p>
        </w:tc>
      </w:tr>
      <w:tr w:rsidR="00234819" w:rsidRPr="002927A1" w14:paraId="053125A8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64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F13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Theme="majorBidi" w:hAnsiTheme="majorBidi" w:cstheme="majorBidi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Theme="majorBidi" w:hAnsiTheme="majorBidi" w:cstheme="majorBidi"/>
                <w:bCs/>
                <w:i/>
                <w:sz w:val="18"/>
                <w:szCs w:val="18"/>
                <w:lang w:val="es-ES_tradnl"/>
              </w:rPr>
              <w:t xml:space="preserve">I: Artículo </w:t>
            </w: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20 (</w:t>
            </w:r>
            <w:r w:rsidRPr="002927A1">
              <w:rPr>
                <w:rFonts w:ascii="Times New Roman" w:eastAsia="Roboto" w:hAnsi="Times New Roman" w:cs="Times New Roman"/>
                <w:bCs/>
                <w:i/>
                <w:sz w:val="18"/>
                <w:szCs w:val="18"/>
                <w:lang w:val="es-ES_tradnl"/>
              </w:rPr>
              <w:t>planes de aplicación)</w:t>
            </w:r>
          </w:p>
        </w:tc>
        <w:tc>
          <w:tcPr>
            <w:tcW w:w="1818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DB6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2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399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56FEBBEE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64" w:type="dxa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62A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I1. Indicador de procesos</w:t>
            </w:r>
          </w:p>
        </w:tc>
        <w:tc>
          <w:tcPr>
            <w:tcW w:w="3200" w:type="dxa"/>
            <w:gridSpan w:val="7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FC49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Roboto"/>
                <w:sz w:val="18"/>
                <w:szCs w:val="18"/>
              </w:rPr>
            </w:pPr>
            <w:r w:rsidRPr="002927A1">
              <w:rPr>
                <w:rStyle w:val="dn"/>
                <w:rFonts w:eastAsia="Roboto"/>
                <w:sz w:val="18"/>
                <w:szCs w:val="18"/>
              </w:rPr>
              <w:t>Número de Partes que han presentado planes de aplicación</w:t>
            </w:r>
          </w:p>
          <w:p w14:paraId="4B2A3EE8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818" w:type="dxa"/>
            <w:gridSpan w:val="9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2193" w14:textId="77777777" w:rsidR="00234819" w:rsidRPr="002927A1" w:rsidRDefault="00234819" w:rsidP="00A53323">
            <w:pPr>
              <w:pStyle w:val="Text"/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Informe de la Secretaría a la Conferencia de las Partes sobre la presentación de planes de aplicación</w:t>
            </w:r>
          </w:p>
        </w:tc>
        <w:tc>
          <w:tcPr>
            <w:tcW w:w="1525" w:type="dxa"/>
            <w:gridSpan w:val="2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CF56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Cero</w:t>
            </w:r>
          </w:p>
        </w:tc>
      </w:tr>
      <w:tr w:rsidR="00234819" w:rsidRPr="002927A1" w14:paraId="1DFFBF2F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64" w:type="dxa"/>
            <w:tcBorders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8151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543" w:type="dxa"/>
            <w:gridSpan w:val="18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C177" w14:textId="77777777" w:rsidR="00234819" w:rsidRPr="002927A1" w:rsidRDefault="00234819" w:rsidP="00234819">
            <w:pPr>
              <w:pStyle w:val="Text"/>
              <w:numPr>
                <w:ilvl w:val="0"/>
                <w:numId w:val="35"/>
              </w:num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Las Partes no tienen obligación de preparar un plan de aplicación. Sin embargo, algunas Partes han considerado útil preparar ese plan y presentarlo a la Secretaría.</w:t>
            </w:r>
          </w:p>
        </w:tc>
      </w:tr>
      <w:tr w:rsidR="00234819" w:rsidRPr="002927A1" w14:paraId="507753CC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4960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3674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eastAsia="Roboto" w:hAnsi="Times New Roman" w:cs="Times New Roman"/>
                <w:bCs/>
                <w:i/>
                <w:sz w:val="18"/>
                <w:szCs w:val="18"/>
                <w:lang w:val="es-ES_tradnl"/>
              </w:rPr>
              <w:t>J: Artículo 21 (presentación de informes)</w:t>
            </w:r>
          </w:p>
        </w:tc>
        <w:tc>
          <w:tcPr>
            <w:tcW w:w="1771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EBD0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Fuente de información sobre el indicador</w:t>
            </w:r>
          </w:p>
        </w:tc>
        <w:tc>
          <w:tcPr>
            <w:tcW w:w="15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6527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s-ES_tradnl"/>
              </w:rPr>
              <w:t>Parámetro de referencia del indicador</w:t>
            </w:r>
          </w:p>
        </w:tc>
      </w:tr>
      <w:tr w:rsidR="00234819" w:rsidRPr="002927A1" w14:paraId="7682F415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98" w:type="dxa"/>
            <w:gridSpan w:val="2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8FA8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J1. Indicador de procesos</w:t>
            </w:r>
          </w:p>
        </w:tc>
        <w:tc>
          <w:tcPr>
            <w:tcW w:w="3162" w:type="dxa"/>
            <w:gridSpan w:val="6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CBA4" w14:textId="77777777" w:rsidR="00234819" w:rsidRPr="002927A1" w:rsidRDefault="00234819" w:rsidP="00A5332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Roboto"/>
                <w:sz w:val="18"/>
                <w:szCs w:val="18"/>
              </w:rPr>
            </w:pPr>
            <w:r w:rsidRPr="002927A1">
              <w:rPr>
                <w:rStyle w:val="dn"/>
                <w:rFonts w:eastAsia="Roboto"/>
                <w:sz w:val="18"/>
                <w:szCs w:val="18"/>
              </w:rPr>
              <w:t>Proporción de Partes que presentan informes a tiempo</w:t>
            </w:r>
          </w:p>
          <w:p w14:paraId="42FE217A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771" w:type="dxa"/>
            <w:gridSpan w:val="8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296D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76" w:type="dxa"/>
            <w:gridSpan w:val="3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07D9" w14:textId="77777777" w:rsidR="00234819" w:rsidRPr="002927A1" w:rsidRDefault="00234819" w:rsidP="00A53323">
            <w:pPr>
              <w:pStyle w:val="Text"/>
              <w:keepNext/>
              <w:keepLines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de la primera presentación a tiempo</w:t>
            </w:r>
          </w:p>
        </w:tc>
      </w:tr>
      <w:tr w:rsidR="00234819" w:rsidRPr="002927A1" w14:paraId="7E854CB1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98" w:type="dxa"/>
            <w:gridSpan w:val="2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CB5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J2. Indicador de procesos</w:t>
            </w:r>
          </w:p>
        </w:tc>
        <w:tc>
          <w:tcPr>
            <w:tcW w:w="3162" w:type="dxa"/>
            <w:gridSpan w:val="6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73F8B" w14:textId="77777777" w:rsidR="00234819" w:rsidRPr="002927A1" w:rsidRDefault="00234819" w:rsidP="00A533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Roboto"/>
                <w:sz w:val="18"/>
                <w:szCs w:val="18"/>
              </w:rPr>
            </w:pPr>
            <w:r w:rsidRPr="002927A1">
              <w:rPr>
                <w:rStyle w:val="dn"/>
                <w:rFonts w:eastAsia="Roboto"/>
                <w:sz w:val="18"/>
                <w:szCs w:val="18"/>
              </w:rPr>
              <w:t>Proporción de Partes que presentan informes a tiempo</w:t>
            </w:r>
          </w:p>
          <w:p w14:paraId="3D0D6BCC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771" w:type="dxa"/>
            <w:gridSpan w:val="8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42B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76" w:type="dxa"/>
            <w:gridSpan w:val="3"/>
            <w:tcBorders>
              <w:bottom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EC2E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no disponible en los primeros informes</w:t>
            </w:r>
          </w:p>
        </w:tc>
      </w:tr>
      <w:tr w:rsidR="00234819" w:rsidRPr="002927A1" w14:paraId="0FE4A335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98" w:type="dxa"/>
            <w:gridSpan w:val="2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140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J3. Indicador de procesos</w:t>
            </w:r>
          </w:p>
        </w:tc>
        <w:tc>
          <w:tcPr>
            <w:tcW w:w="3162" w:type="dxa"/>
            <w:gridSpan w:val="6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B9A5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Proporción de Partes que indican que no disponen de información en relación con cuestiones específicas</w:t>
            </w:r>
          </w:p>
        </w:tc>
        <w:tc>
          <w:tcPr>
            <w:tcW w:w="1771" w:type="dxa"/>
            <w:gridSpan w:val="8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CC00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iCs/>
                <w:sz w:val="18"/>
                <w:szCs w:val="18"/>
                <w:lang w:val="es-ES_tradnl"/>
              </w:rPr>
              <w:t>- Presentación de informes con arreglo al artículo 21</w:t>
            </w:r>
          </w:p>
        </w:tc>
        <w:tc>
          <w:tcPr>
            <w:tcW w:w="1576" w:type="dxa"/>
            <w:gridSpan w:val="3"/>
            <w:tcBorders>
              <w:top w:val="single" w:sz="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0CC4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Porcentaje no disponible en los primeros informes</w:t>
            </w:r>
          </w:p>
        </w:tc>
      </w:tr>
      <w:tr w:rsidR="00234819" w:rsidRPr="002927A1" w14:paraId="057CF324" w14:textId="77777777" w:rsidTr="00A53323">
        <w:tblPrEx>
          <w:shd w:val="clear" w:color="auto" w:fill="auto"/>
        </w:tblPrEx>
        <w:trPr>
          <w:trHeight w:val="57"/>
          <w:jc w:val="right"/>
        </w:trPr>
        <w:tc>
          <w:tcPr>
            <w:tcW w:w="1798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E03A" w14:textId="77777777" w:rsidR="00234819" w:rsidRPr="002927A1" w:rsidRDefault="00234819" w:rsidP="00A53323">
            <w:pPr>
              <w:pStyle w:val="Text"/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</w:tabs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_tradnl"/>
              </w:rPr>
              <w:t>Notas</w:t>
            </w:r>
          </w:p>
        </w:tc>
        <w:tc>
          <w:tcPr>
            <w:tcW w:w="6509" w:type="dxa"/>
            <w:gridSpan w:val="17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DED8" w14:textId="77777777" w:rsidR="00234819" w:rsidRPr="002927A1" w:rsidRDefault="00234819" w:rsidP="00234819">
            <w:pPr>
              <w:pStyle w:val="Text"/>
              <w:numPr>
                <w:ilvl w:val="0"/>
                <w:numId w:val="36"/>
              </w:num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2927A1">
              <w:rPr>
                <w:rStyle w:val="dn"/>
                <w:rFonts w:ascii="Times New Roman" w:eastAsia="Roboto" w:hAnsi="Times New Roman" w:cs="Times New Roman"/>
                <w:sz w:val="18"/>
                <w:szCs w:val="18"/>
                <w:lang w:val="es-ES_tradnl"/>
              </w:rPr>
              <w:t>Las Partes no tienen obligación de preparar un plan de aplicación. Sin embargo, algunas Partes han considerado útil preparar ese plan y presentarlo a la Secretaría.</w:t>
            </w:r>
          </w:p>
        </w:tc>
      </w:tr>
    </w:tbl>
    <w:p w14:paraId="25886A6C" w14:textId="77777777" w:rsidR="00234819" w:rsidRPr="002927A1" w:rsidRDefault="00234819" w:rsidP="00234819">
      <w:pPr>
        <w:pStyle w:val="Text"/>
        <w:widowControl w:val="0"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0" w:line="240" w:lineRule="auto"/>
        <w:jc w:val="right"/>
        <w:rPr>
          <w:rFonts w:asciiTheme="majorBidi" w:eastAsia="Times New Roman" w:hAnsiTheme="majorBidi" w:cstheme="majorBidi"/>
          <w:sz w:val="12"/>
          <w:szCs w:val="12"/>
          <w:lang w:val="es-ES_tradnl"/>
        </w:rPr>
      </w:pPr>
    </w:p>
    <w:p w14:paraId="7D676981" w14:textId="77777777" w:rsidR="00234819" w:rsidRPr="002927A1" w:rsidRDefault="00234819" w:rsidP="00234819">
      <w:pPr>
        <w:pStyle w:val="Text"/>
        <w:keepNext/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uppressAutoHyphens/>
        <w:spacing w:before="20" w:after="40" w:line="240" w:lineRule="auto"/>
        <w:ind w:left="1247"/>
        <w:rPr>
          <w:rFonts w:asciiTheme="majorBidi" w:hAnsiTheme="majorBidi" w:cstheme="majorBidi"/>
          <w:lang w:val="es-ES_tradnl"/>
        </w:rPr>
      </w:pPr>
      <w:r w:rsidRPr="002927A1">
        <w:rPr>
          <w:rFonts w:asciiTheme="majorBidi" w:hAnsiTheme="majorBidi" w:cstheme="majorBidi"/>
          <w:i/>
          <w:iCs/>
          <w:sz w:val="17"/>
          <w:szCs w:val="17"/>
          <w:lang w:val="es-ES_tradnl"/>
        </w:rPr>
        <w:t>Abreviaciones:</w:t>
      </w:r>
      <w:r w:rsidRPr="002927A1">
        <w:rPr>
          <w:rFonts w:ascii="Times New Roman" w:hAnsi="Times New Roman" w:cs="Times New Roman"/>
          <w:sz w:val="18"/>
          <w:szCs w:val="18"/>
          <w:lang w:val="es-ES_tradnl"/>
        </w:rPr>
        <w:t xml:space="preserve"> MTD/MPA, mejores técnicas disponibles/mejores prácticas ambientales.</w:t>
      </w:r>
      <w:r w:rsidRPr="002927A1">
        <w:rPr>
          <w:rFonts w:asciiTheme="majorBidi" w:hAnsiTheme="majorBidi" w:cstheme="majorBidi"/>
          <w:lang w:val="es-ES_tradnl"/>
        </w:rPr>
        <w:br w:type="page"/>
      </w:r>
    </w:p>
    <w:p w14:paraId="03476384" w14:textId="77777777" w:rsidR="00234819" w:rsidRPr="002927A1" w:rsidRDefault="00234819" w:rsidP="00234819">
      <w:pPr>
        <w:pStyle w:val="CH1"/>
        <w:spacing w:before="0"/>
        <w:rPr>
          <w:rFonts w:eastAsia="SimSun"/>
          <w:i/>
          <w:lang w:val="es-ES_tradnl"/>
        </w:rPr>
      </w:pPr>
      <w:r w:rsidRPr="002927A1">
        <w:rPr>
          <w:rFonts w:eastAsia="SimSun"/>
          <w:lang w:val="es-ES_tradnl"/>
        </w:rPr>
        <w:lastRenderedPageBreak/>
        <w:tab/>
      </w:r>
      <w:r w:rsidRPr="002927A1">
        <w:rPr>
          <w:rFonts w:eastAsia="SimSun"/>
          <w:lang w:val="es-ES_tradnl"/>
        </w:rPr>
        <w:tab/>
        <w:t>Anexo II a la decisión MC-3/10</w:t>
      </w:r>
    </w:p>
    <w:p w14:paraId="64C176EC" w14:textId="77777777" w:rsidR="00234819" w:rsidRPr="002927A1" w:rsidRDefault="00234819" w:rsidP="00234819">
      <w:pPr>
        <w:pStyle w:val="CH2"/>
        <w:spacing w:before="0" w:after="0"/>
        <w:rPr>
          <w:lang w:val="es-ES_tradnl"/>
        </w:rPr>
      </w:pPr>
      <w:r w:rsidRPr="002927A1">
        <w:rPr>
          <w:lang w:val="es-ES_tradnl"/>
        </w:rPr>
        <w:tab/>
      </w:r>
      <w:r w:rsidRPr="002927A1">
        <w:rPr>
          <w:lang w:val="es-ES_tradnl"/>
        </w:rPr>
        <w:tab/>
        <w:t>Marco para la evaluación de la eficacia del Convenio de Minamata</w:t>
      </w:r>
    </w:p>
    <w:p w14:paraId="6CFC2FE0" w14:textId="77777777" w:rsidR="00234819" w:rsidRPr="002927A1" w:rsidRDefault="00234819" w:rsidP="00234819">
      <w:pPr>
        <w:pStyle w:val="Titlefigure"/>
        <w:rPr>
          <w:lang w:val="es-ES_tradnl"/>
        </w:rPr>
      </w:pPr>
      <w:r w:rsidRPr="002927A1">
        <w:rPr>
          <w:b w:val="0"/>
          <w:lang w:val="es-ES_tradnl"/>
        </w:rPr>
        <w:t xml:space="preserve">Figura 1 </w:t>
      </w:r>
      <w:r w:rsidRPr="002927A1">
        <w:rPr>
          <w:b w:val="0"/>
          <w:lang w:val="es-ES_tradnl"/>
        </w:rPr>
        <w:br/>
      </w:r>
      <w:r w:rsidRPr="002927A1">
        <w:rPr>
          <w:bCs/>
          <w:lang w:val="es-ES_tradnl"/>
        </w:rPr>
        <w:t>Flujo de información y análisis</w:t>
      </w:r>
    </w:p>
    <w:tbl>
      <w:tblPr>
        <w:tblStyle w:val="TableGrid"/>
        <w:tblW w:w="0" w:type="auto"/>
        <w:tblInd w:w="1247" w:type="dxa"/>
        <w:tblLook w:val="04A0" w:firstRow="1" w:lastRow="0" w:firstColumn="1" w:lastColumn="0" w:noHBand="0" w:noVBand="1"/>
      </w:tblPr>
      <w:tblGrid>
        <w:gridCol w:w="7395"/>
      </w:tblGrid>
      <w:tr w:rsidR="00234819" w:rsidRPr="002927A1" w14:paraId="3159AC36" w14:textId="77777777" w:rsidTr="00A53323">
        <w:tc>
          <w:tcPr>
            <w:tcW w:w="7395" w:type="dxa"/>
          </w:tcPr>
          <w:p w14:paraId="21C583B0" w14:textId="77777777" w:rsidR="00234819" w:rsidRPr="002927A1" w:rsidRDefault="00234819" w:rsidP="00A53323">
            <w:pPr>
              <w:pStyle w:val="Normal-pool"/>
              <w:rPr>
                <w:lang w:val="es-ES_tradnl" w:eastAsia="en-GB"/>
              </w:rPr>
            </w:pPr>
            <w:r w:rsidRPr="002927A1">
              <w:rPr>
                <w:noProof/>
                <w:sz w:val="24"/>
                <w:lang w:val="es-ES_tradnl" w:eastAsia="es-ES_tradnl"/>
              </w:rPr>
              <w:drawing>
                <wp:inline distT="0" distB="0" distL="0" distR="0" wp14:anchorId="3FD41739" wp14:editId="468BB4D5">
                  <wp:extent cx="4476584" cy="2732663"/>
                  <wp:effectExtent l="0" t="0" r="63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6164" cy="274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307313" w14:textId="77777777" w:rsidR="00234819" w:rsidRPr="002927A1" w:rsidRDefault="00234819" w:rsidP="00234819">
      <w:pPr>
        <w:pStyle w:val="Normal-pool"/>
        <w:ind w:left="1247"/>
        <w:rPr>
          <w:sz w:val="17"/>
          <w:szCs w:val="17"/>
          <w:lang w:val="es-ES_tradnl"/>
        </w:rPr>
      </w:pPr>
      <w:r w:rsidRPr="002927A1">
        <w:rPr>
          <w:i/>
          <w:sz w:val="17"/>
          <w:szCs w:val="17"/>
          <w:lang w:val="es-ES_tradnl"/>
        </w:rPr>
        <w:t>Abreviaciones</w:t>
      </w:r>
      <w:r w:rsidRPr="002927A1">
        <w:rPr>
          <w:sz w:val="17"/>
          <w:szCs w:val="17"/>
          <w:lang w:val="es-ES_tradnl"/>
        </w:rPr>
        <w:t>: CP, Conferencia de las Partes.</w:t>
      </w:r>
    </w:p>
    <w:p w14:paraId="55BB897A" w14:textId="77777777" w:rsidR="00234819" w:rsidRPr="002927A1" w:rsidRDefault="00234819" w:rsidP="00234819">
      <w:pPr>
        <w:pStyle w:val="CH2"/>
        <w:spacing w:before="120" w:after="0"/>
        <w:rPr>
          <w:rStyle w:val="DeltaViewInsertion"/>
          <w:rFonts w:eastAsia="SimSun"/>
          <w:color w:val="auto"/>
          <w:sz w:val="20"/>
          <w:szCs w:val="20"/>
          <w:u w:val="none"/>
          <w:lang w:val="es-ES_tradnl"/>
        </w:rPr>
      </w:pPr>
      <w:r w:rsidRPr="002927A1">
        <w:rPr>
          <w:lang w:val="es-ES_tradnl"/>
        </w:rPr>
        <w:tab/>
      </w:r>
      <w:r w:rsidRPr="002927A1">
        <w:rPr>
          <w:lang w:val="es-ES_tradnl"/>
        </w:rPr>
        <w:tab/>
      </w:r>
      <w:r w:rsidRPr="002927A1">
        <w:rPr>
          <w:rStyle w:val="DeltaViewInsertion"/>
          <w:rFonts w:eastAsia="SimSun"/>
          <w:b w:val="0"/>
          <w:bCs/>
          <w:color w:val="auto"/>
          <w:sz w:val="20"/>
          <w:szCs w:val="20"/>
          <w:u w:val="none"/>
          <w:lang w:val="es-ES_tradnl"/>
        </w:rPr>
        <w:t>Figura 2</w:t>
      </w:r>
      <w:r w:rsidRPr="002927A1">
        <w:rPr>
          <w:rStyle w:val="DeltaViewInsertion"/>
          <w:rFonts w:eastAsia="SimSun"/>
          <w:color w:val="auto"/>
          <w:sz w:val="20"/>
          <w:szCs w:val="20"/>
          <w:lang w:val="es-ES_tradnl"/>
        </w:rPr>
        <w:t xml:space="preserve"> </w:t>
      </w:r>
      <w:r w:rsidRPr="002927A1">
        <w:rPr>
          <w:rStyle w:val="DeltaViewInsertion"/>
          <w:rFonts w:eastAsia="SimSun"/>
          <w:color w:val="auto"/>
          <w:sz w:val="20"/>
          <w:szCs w:val="20"/>
          <w:lang w:val="es-ES_tradnl"/>
        </w:rPr>
        <w:br/>
      </w:r>
      <w:r w:rsidRPr="002927A1">
        <w:rPr>
          <w:rStyle w:val="DeltaViewInsertion"/>
          <w:rFonts w:eastAsia="SimSun"/>
          <w:color w:val="auto"/>
          <w:sz w:val="20"/>
          <w:szCs w:val="20"/>
          <w:u w:val="none"/>
          <w:lang w:val="es-ES_tradnl"/>
        </w:rPr>
        <w:t>Arreglos institucionales en relación con el marco</w:t>
      </w:r>
    </w:p>
    <w:p w14:paraId="1695E48A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  <w:r w:rsidRPr="002927A1">
        <w:rPr>
          <w:i/>
          <w:iCs/>
          <w:noProof/>
          <w:sz w:val="17"/>
          <w:szCs w:val="17"/>
          <w:lang w:eastAsia="es-ES_trad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A52206" wp14:editId="7217276E">
                <wp:simplePos x="0" y="0"/>
                <wp:positionH relativeFrom="column">
                  <wp:posOffset>-560180</wp:posOffset>
                </wp:positionH>
                <wp:positionV relativeFrom="page">
                  <wp:posOffset>4689613</wp:posOffset>
                </wp:positionV>
                <wp:extent cx="7009765" cy="4783455"/>
                <wp:effectExtent l="38100" t="38100" r="76835" b="17145"/>
                <wp:wrapNone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9765" cy="4783455"/>
                          <a:chOff x="6559" y="-108989"/>
                          <a:chExt cx="12229219" cy="6929988"/>
                        </a:xfrm>
                      </wpg:grpSpPr>
                      <wps:wsp>
                        <wps:cNvPr id="43" name="Right Brace 43"/>
                        <wps:cNvSpPr/>
                        <wps:spPr>
                          <a:xfrm>
                            <a:off x="3001355" y="4505348"/>
                            <a:ext cx="493275" cy="982005"/>
                          </a:xfrm>
                          <a:prstGeom prst="rightBrace">
                            <a:avLst>
                              <a:gd name="adj1" fmla="val 27829"/>
                              <a:gd name="adj2" fmla="val 46752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Right Brace 42"/>
                        <wps:cNvSpPr/>
                        <wps:spPr>
                          <a:xfrm>
                            <a:off x="3001353" y="2053380"/>
                            <a:ext cx="511391" cy="2284301"/>
                          </a:xfrm>
                          <a:prstGeom prst="rightBrace">
                            <a:avLst>
                              <a:gd name="adj1" fmla="val 27829"/>
                              <a:gd name="adj2" fmla="val 5170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41" name="Right Brace 41"/>
                        <wps:cNvSpPr/>
                        <wps:spPr>
                          <a:xfrm>
                            <a:off x="3146005" y="-44589"/>
                            <a:ext cx="348623" cy="1933578"/>
                          </a:xfrm>
                          <a:prstGeom prst="rightBrace">
                            <a:avLst>
                              <a:gd name="adj1" fmla="val 27829"/>
                              <a:gd name="adj2" fmla="val 5170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48" name="Straight Arrow Connector 48"/>
                        <wps:cNvCnPr>
                          <a:cxnSpLocks/>
                        </wps:cNvCnPr>
                        <wps:spPr>
                          <a:xfrm>
                            <a:off x="4531831" y="1025636"/>
                            <a:ext cx="514659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officeArt object" descr="Cuadro de texto 2"/>
                        <wps:cNvSpPr txBox="1"/>
                        <wps:spPr>
                          <a:xfrm>
                            <a:off x="39788" y="-108989"/>
                            <a:ext cx="3139448" cy="207064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2000">
                                <a:srgbClr val="B7B3D9"/>
                              </a:gs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35000">
                                <a:schemeClr val="accent1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1">
                                  <a:tint val="15000"/>
                                  <a:satMod val="350000"/>
                                </a:schemeClr>
                              </a:gs>
                            </a:gsLst>
                          </a:gradFill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B0AD4E" w14:textId="77777777" w:rsidR="00234819" w:rsidRPr="00825438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5438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Informes de los procesos del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</w:r>
                              <w:r w:rsidRPr="00825438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Convenio de Minamata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9" name="officeArt object" descr="Cuadro de texto 2"/>
                        <wps:cNvSpPr txBox="1"/>
                        <wps:spPr>
                          <a:xfrm>
                            <a:off x="105902" y="337095"/>
                            <a:ext cx="2980113" cy="285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txbx>
                          <w:txbxContent>
                            <w:p w14:paraId="78EA2FFF" w14:textId="77777777" w:rsidR="00234819" w:rsidRPr="003A3749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Informe del CAC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0" name="officeArt object" descr="Cuadro de texto 2"/>
                        <wps:cNvSpPr txBox="1"/>
                        <wps:spPr>
                          <a:xfrm>
                            <a:off x="105904" y="670799"/>
                            <a:ext cx="2980111" cy="354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txbx>
                          <w:txbxContent>
                            <w:p w14:paraId="7B9A17A5" w14:textId="77777777" w:rsidR="00234819" w:rsidRPr="00825438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Mecanismo financiero, incluido el art.13</w:t>
                              </w: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11)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1" name="officeArt object" descr="Cuadro de texto 2"/>
                        <wps:cNvSpPr txBox="1"/>
                        <wps:spPr>
                          <a:xfrm>
                            <a:off x="68604" y="1064372"/>
                            <a:ext cx="3017411" cy="451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54C10E" w14:textId="77777777" w:rsidR="00234819" w:rsidRPr="00825438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Creación </w:t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de</w:t>
                              </w: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capacidad, asistencia técnica y transferencia de tecnología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2" name="officeArt object" descr="Cuadro de texto 2"/>
                        <wps:cNvSpPr txBox="1"/>
                        <wps:spPr>
                          <a:xfrm>
                            <a:off x="105902" y="1563250"/>
                            <a:ext cx="2980113" cy="3255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401A90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Otros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0" y="2007033"/>
                            <a:ext cx="3121049" cy="2386429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AEF509" w14:textId="77777777" w:rsidR="00234819" w:rsidRPr="00B131E7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Comunicaciones de las Partes</w:t>
                              </w:r>
                            </w:p>
                          </w:txbxContent>
                        </wps:txbx>
                        <wps:bodyPr rot="0" vert="horz" wrap="square" lIns="45719" tIns="45719" rIns="45719" bIns="45719" numCol="1" anchor="t" anchorCtr="0">
                          <a:noAutofit/>
                        </wps:bodyPr>
                      </wps:wsp>
                      <wps:wsp>
                        <wps:cNvPr id="14" name="officeArt object" descr="Cuadro de texto 2"/>
                        <wps:cNvSpPr txBox="1"/>
                        <wps:spPr>
                          <a:xfrm>
                            <a:off x="88747" y="2281145"/>
                            <a:ext cx="2996711" cy="305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4770A4" w14:textId="77777777" w:rsidR="00234819" w:rsidRPr="00825438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Informes </w:t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previstos</w:t>
                              </w: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en el artículo 21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5" name="officeArt object" descr="Cuadro de texto 2"/>
                        <wps:cNvSpPr txBox="1"/>
                        <wps:spPr>
                          <a:xfrm>
                            <a:off x="88745" y="2615291"/>
                            <a:ext cx="2996433" cy="313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99D25D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825438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Notificaciones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6" name="officeArt object" descr="Cuadro de texto 2"/>
                        <wps:cNvSpPr txBox="1"/>
                        <wps:spPr>
                          <a:xfrm>
                            <a:off x="88747" y="2975065"/>
                            <a:ext cx="2996154" cy="468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0DFD4A" w14:textId="77777777" w:rsidR="00234819" w:rsidRPr="003A3749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Planes </w:t>
                              </w: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de</w:t>
                              </w: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acción nacionales, planes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nacionales de aplicación y otros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7" name="officeArt object" descr="Cuadro de texto 2"/>
                        <wps:cNvSpPr txBox="1"/>
                        <wps:spPr>
                          <a:xfrm>
                            <a:off x="100688" y="3469769"/>
                            <a:ext cx="2985049" cy="5080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6763FEF" w14:textId="77777777" w:rsidR="00234819" w:rsidRPr="003A3749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Evaluaciones iniciales del Convenio de Minamata, aplicaciones del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  <w:r w:rsidRPr="003A3749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PIE otros.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8" name="officeArt object" descr="Cuadro de texto 2"/>
                        <wps:cNvSpPr txBox="1"/>
                        <wps:spPr>
                          <a:xfrm>
                            <a:off x="105892" y="4006910"/>
                            <a:ext cx="2979846" cy="3054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FA129B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Otras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comunicaciones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19" name="officeArt object" descr="Cuadro de texto 2"/>
                        <wps:cNvSpPr txBox="1"/>
                        <wps:spPr>
                          <a:xfrm>
                            <a:off x="6559" y="4460500"/>
                            <a:ext cx="3138876" cy="534494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722FE3" w14:textId="77777777" w:rsidR="00234819" w:rsidRPr="00B131E7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Comunicaciones presentadas por otros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interesados y otras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informaciones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0" name="officeArt object" descr="Cuadro de texto 2"/>
                        <wps:cNvSpPr txBox="1"/>
                        <wps:spPr>
                          <a:xfrm>
                            <a:off x="24670" y="5050835"/>
                            <a:ext cx="3120482" cy="48305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CEF61F" w14:textId="77777777" w:rsidR="00234819" w:rsidRPr="00B131E7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Información disponible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sobre la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vigilancia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1" name="officeArt object" descr="Cuadro de texto 2"/>
                        <wps:cNvSpPr txBox="1"/>
                        <wps:spPr>
                          <a:xfrm>
                            <a:off x="6559" y="5563392"/>
                            <a:ext cx="2972116" cy="34273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0CCD86D8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Niveles 1 y 2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551257" y="672905"/>
                            <a:ext cx="1521709" cy="73263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AF9290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Secretaría</w:t>
                              </w:r>
                            </w:p>
                            <w:p w14:paraId="779687BC" w14:textId="77777777" w:rsidR="00234819" w:rsidRPr="00FC03CF" w:rsidRDefault="00234819" w:rsidP="00234819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Compilaciones y resúmeness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494633" y="2124117"/>
                            <a:ext cx="1634034" cy="1937384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FF97B3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Secretaría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c</w:t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on colaboradores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o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a través de ellos</w:t>
                              </w:r>
                            </w:p>
                            <w:p w14:paraId="326B804D" w14:textId="77777777" w:rsidR="00234819" w:rsidRPr="009916A2" w:rsidRDefault="00234819" w:rsidP="00234819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  <w:szCs w:val="16"/>
                                  <w14:textFill>
                                    <w14:gradFill>
                                      <w14:gsLst>
                                        <w14:gs w14:pos="30000">
                                          <w14:schemeClr w14:val="accent3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44269">
                                          <w14:srgbClr w14:val="DF9975"/>
                                        </w14:gs>
                                        <w14:gs w14:pos="73414">
                                          <w14:srgbClr w14:val="DBB6BC"/>
                                        </w14:gs>
                                        <w14:gs w14:pos="0">
                                          <w14:schemeClr w14:val="accent6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94000">
                                          <w14:schemeClr w14:val="accent4">
                                            <w14:tint w14:val="37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4">
                                            <w14:tint w14:val="15000"/>
                                            <w14:satMod w14:val="350000"/>
                                          </w14:schemeClr>
                                        </w14:gs>
                                      </w14:gsLst>
                                      <w14:lin w14:ang="16200000" w14:scaled="0"/>
                                    </w14:gradFill>
                                  </w14:textFill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  <w:t>Síntesis de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  <w:t xml:space="preserve">indicadores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y otra información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pertinente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4" name="officeArt object" descr="Cuadro de texto 2"/>
                        <wps:cNvSpPr txBox="1"/>
                        <wps:spPr>
                          <a:xfrm>
                            <a:off x="3494629" y="4338101"/>
                            <a:ext cx="1634036" cy="1149982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6B593A" w14:textId="77777777" w:rsidR="00234819" w:rsidRPr="00FC03CF" w:rsidRDefault="00234819" w:rsidP="00234819">
                              <w:pPr>
                                <w:spacing w:before="24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  <w:t>Grupo de vigilancia y elaboración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  <w:t>de modelos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5" name="officeArt object" descr="Cuadro de texto 2"/>
                        <wps:cNvSpPr txBox="1"/>
                        <wps:spPr>
                          <a:xfrm>
                            <a:off x="5501169" y="2655877"/>
                            <a:ext cx="2246676" cy="472404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73414">
                                <a:srgbClr val="DBB6BC"/>
                              </a:gs>
                              <a:gs pos="0">
                                <a:schemeClr val="accent6">
                                  <a:lumMod val="75000"/>
                                </a:schemeClr>
                              </a:gs>
                              <a:gs pos="94000">
                                <a:schemeClr val="accent4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4">
                                  <a:tint val="15000"/>
                                  <a:satMod val="350000"/>
                                </a:schemeClr>
                              </a:gs>
                            </a:gsLst>
                            <a:lin ang="16200000" scaled="1"/>
                          </a:gradFill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1394AD" w14:textId="77777777" w:rsidR="00234819" w:rsidRPr="00FC03CF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C5A39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. Informe sobre emisiones y liberaciones</w:t>
                              </w:r>
                            </w:p>
                            <w:p w14:paraId="293B770F" w14:textId="77777777" w:rsidR="00234819" w:rsidRDefault="00234819" w:rsidP="00234819">
                              <w:pPr>
                                <w:jc w:val="center"/>
                              </w:pPr>
                              <w:r w:rsidRPr="008C5A39">
                                <w:rPr>
                                  <w:rFonts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14:paraId="6953357E" w14:textId="77777777" w:rsidR="00234819" w:rsidRDefault="00234819" w:rsidP="00234819">
                              <w:pPr>
                                <w:jc w:val="center"/>
                              </w:pPr>
                              <w:r w:rsidRPr="008C5A39">
                                <w:rPr>
                                  <w:rFonts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6" name="officeArt object" descr="Cuadro de texto 2"/>
                        <wps:cNvSpPr txBox="1"/>
                        <wps:spPr>
                          <a:xfrm>
                            <a:off x="5501169" y="3207613"/>
                            <a:ext cx="2246675" cy="924027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44269">
                                <a:srgbClr val="DF9975"/>
                              </a:gs>
                              <a:gs pos="73414">
                                <a:srgbClr val="DBB6BC"/>
                              </a:gs>
                              <a:gs pos="0">
                                <a:schemeClr val="accent6">
                                  <a:lumMod val="75000"/>
                                </a:schemeClr>
                              </a:gs>
                              <a:gs pos="94000">
                                <a:schemeClr val="accent4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4">
                                  <a:tint val="15000"/>
                                  <a:satMod val="350000"/>
                                </a:schemeClr>
                              </a:gs>
                            </a:gsLst>
                            <a:lin ang="16200000" scaled="1"/>
                          </a:gradFill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65BE9" w14:textId="77777777" w:rsidR="00234819" w:rsidRPr="00FC03CF" w:rsidRDefault="00234819" w:rsidP="0023481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3</w:t>
                              </w:r>
                              <w:r w:rsidRPr="00FC03CF"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.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Informe sobre comercio, oferta y demanda, que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incluye los flujos y existencias de Hg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27" name="officeArt object" descr="Cuadro de texto 2"/>
                        <wps:cNvSpPr txBox="1"/>
                        <wps:spPr>
                          <a:xfrm>
                            <a:off x="5458037" y="2007481"/>
                            <a:ext cx="2246676" cy="498538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6">
                                  <a:lumMod val="75000"/>
                                </a:schemeClr>
                              </a:gs>
                              <a:gs pos="94000">
                                <a:schemeClr val="accent4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4">
                                  <a:tint val="15000"/>
                                  <a:satMod val="350000"/>
                                </a:schemeClr>
                              </a:gs>
                            </a:gsLst>
                            <a:lin ang="16200000" scaled="1"/>
                          </a:gradFill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4C2075" w14:textId="77777777" w:rsidR="00234819" w:rsidRDefault="00234819" w:rsidP="0023481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1. Informe de síntesis previsto en el artículo 21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8" name="officeArt object" descr="Cuadro de texto 2"/>
                        <wps:cNvSpPr txBox="1"/>
                        <wps:spPr>
                          <a:xfrm>
                            <a:off x="5486655" y="4459775"/>
                            <a:ext cx="2240339" cy="36369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44269">
                                <a:srgbClr val="DF9975"/>
                              </a:gs>
                              <a:gs pos="73414">
                                <a:srgbClr val="DBB6BC"/>
                              </a:gs>
                              <a:gs pos="0">
                                <a:schemeClr val="accent6">
                                  <a:lumMod val="75000"/>
                                </a:schemeClr>
                              </a:gs>
                              <a:gs pos="94000">
                                <a:schemeClr val="accent4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4">
                                  <a:tint val="15000"/>
                                  <a:satMod val="350000"/>
                                </a:schemeClr>
                              </a:gs>
                            </a:gsLst>
                            <a:lin ang="16200000" scaled="1"/>
                          </a:gradFill>
                          <a:ln/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93E3FD" w14:textId="77777777" w:rsidR="00234819" w:rsidRPr="00FC03CF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. Informe de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 w:rsidRPr="00FC03CF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vigilancia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29" name="officeArt object" descr="Cuadro de texto 2"/>
                        <wps:cNvSpPr txBox="1"/>
                        <wps:spPr>
                          <a:xfrm>
                            <a:off x="3494632" y="5563892"/>
                            <a:ext cx="4364191" cy="279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2126480F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Nivel 3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0" name="officeArt object" descr="Cuadro de texto 2"/>
                        <wps:cNvSpPr txBox="1"/>
                        <wps:spPr>
                          <a:xfrm>
                            <a:off x="3494628" y="5925057"/>
                            <a:ext cx="4364189" cy="41679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chemeClr val="tx1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2B5335AA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MX"/>
                                </w:rPr>
                                <w:t xml:space="preserve">Función científica y técnica: </w:t>
                              </w: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u w:val="single"/>
                                  <w:lang w:val="es-MX"/>
                                </w:rPr>
                                <w:t>síntesis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1" name="officeArt object" descr="Cuadro de texto 2"/>
                        <wps:cNvSpPr txBox="1"/>
                        <wps:spPr>
                          <a:xfrm>
                            <a:off x="8151072" y="5563279"/>
                            <a:ext cx="1414748" cy="2801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258CC69E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Nivel 4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2" name="officeArt object" descr="Cuadro de texto 2"/>
                        <wps:cNvSpPr txBox="1"/>
                        <wps:spPr>
                          <a:xfrm>
                            <a:off x="8151072" y="5906661"/>
                            <a:ext cx="1414750" cy="91433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05D88552" w14:textId="77777777" w:rsidR="00234819" w:rsidRPr="00B131E7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 xml:space="preserve">Función científica y técnica: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u w:val="single"/>
                                  <w:lang w:val="es-ES"/>
                                </w:rPr>
                                <w:t>atribución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34" name="officeArt object" descr="Cuadro de texto 2"/>
                        <wps:cNvSpPr txBox="1"/>
                        <wps:spPr>
                          <a:xfrm>
                            <a:off x="9678419" y="5562595"/>
                            <a:ext cx="1449638" cy="2808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55071715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Nivel 5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5" name="officeArt object" descr="Cuadro de texto 2"/>
                        <wps:cNvSpPr txBox="1"/>
                        <wps:spPr>
                          <a:xfrm>
                            <a:off x="9678422" y="5906667"/>
                            <a:ext cx="1449635" cy="9136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76D604F4" w14:textId="77777777" w:rsidR="00234819" w:rsidRPr="00B131E7" w:rsidRDefault="00234819" w:rsidP="0023481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Función</w:t>
                              </w:r>
                              <w:r w:rsidRPr="00B131E7">
                                <w:rPr>
                                  <w:rFonts w:eastAsia="SimSun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 xml:space="preserve">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científica</w:t>
                              </w:r>
                              <w:r w:rsidRPr="00B131E7">
                                <w:rPr>
                                  <w:rFonts w:eastAsia="SimSun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 xml:space="preserve">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 xml:space="preserve">y técnica: </w:t>
                              </w:r>
                              <w:r w:rsidRPr="00B131E7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u w:val="single"/>
                                  <w:lang w:val="es-ES"/>
                                </w:rPr>
                                <w:t>integración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6" name="officeArt object" descr="Cuadro de texto 2"/>
                        <wps:cNvSpPr txBox="1"/>
                        <wps:spPr>
                          <a:xfrm>
                            <a:off x="11194522" y="161768"/>
                            <a:ext cx="1041256" cy="5325587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E7F719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CP</w:t>
                              </w:r>
                            </w:p>
                            <w:p w14:paraId="7DFF4E4C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 </w:t>
                              </w:r>
                            </w:p>
                            <w:p w14:paraId="466BC01B" w14:textId="77777777" w:rsidR="00234819" w:rsidRPr="00997BCE" w:rsidRDefault="00234819" w:rsidP="00234819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997BCE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Políticas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7" name="officeArt object" descr="Cuadro de texto 2"/>
                        <wps:cNvSpPr txBox="1"/>
                        <wps:spPr>
                          <a:xfrm>
                            <a:off x="11194518" y="5568571"/>
                            <a:ext cx="1041256" cy="27487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 cap="flat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txbx>
                          <w:txbxContent>
                            <w:p w14:paraId="09E59FE0" w14:textId="77777777" w:rsidR="00234819" w:rsidRPr="009075A4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9075A4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Nivel 6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39" name="officeArt object" descr="Cuadro de texto 2"/>
                        <wps:cNvSpPr txBox="1"/>
                        <wps:spPr>
                          <a:xfrm>
                            <a:off x="8431491" y="3658967"/>
                            <a:ext cx="1134330" cy="4681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ysClr val="windowText" lastClr="000000"/>
                            </a:solidFill>
                            <a:prstDash val="sysDash"/>
                            <a:round/>
                          </a:ln>
                          <a:effectLst/>
                        </wps:spPr>
                        <wps:txbx>
                          <w:txbxContent>
                            <w:p w14:paraId="481CACB5" w14:textId="77777777" w:rsidR="00234819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it-IT"/>
                                </w:rPr>
                                <w:t>Otra</w:t>
                              </w:r>
                            </w:p>
                            <w:p w14:paraId="0F1A8615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información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  <wps:wsp>
                        <wps:cNvPr id="40" name="officeArt object" descr="Cuadro de texto 2"/>
                        <wps:cNvSpPr txBox="1"/>
                        <wps:spPr>
                          <a:xfrm>
                            <a:off x="8232176" y="4616794"/>
                            <a:ext cx="1245027" cy="871289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44269">
                                <a:srgbClr val="DF9975"/>
                              </a:gs>
                              <a:gs pos="73414">
                                <a:srgbClr val="DBB6BC"/>
                              </a:gs>
                              <a:gs pos="0">
                                <a:schemeClr val="accent6">
                                  <a:lumMod val="75000"/>
                                </a:schemeClr>
                              </a:gs>
                              <a:gs pos="94000">
                                <a:schemeClr val="accent4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accent4">
                                  <a:tint val="15000"/>
                                  <a:satMod val="350000"/>
                                </a:schemeClr>
                              </a:gs>
                            </a:gsLst>
                            <a:lin ang="16200000" scaled="1"/>
                          </a:gradFill>
                          <a:ln/>
                          <a:extLst>
                            <a:ext uri="{C572A759-6A51-4108-AA02-DFA0A04FC94B}">
                              <ma14:wrappingTextBoxFlag xmlns:arto="http://schemas.microsoft.com/office/word/2006/arto" xmlns:p="http://schemas.openxmlformats.org/presentationml/2006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val="1"/>
                            </a:ext>
                          </a:extLst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57192A" w14:textId="77777777" w:rsidR="00234819" w:rsidRPr="008A5F6A" w:rsidRDefault="00234819" w:rsidP="00234819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 xml:space="preserve">5. </w:t>
                              </w: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Informe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 w:rsidRPr="008A5F6A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s-ES"/>
                                </w:rPr>
                                <w:t>sobre elaboración de modelos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s:wsp>
                        <wps:cNvPr id="44" name="Straight Arrow Connector 44"/>
                        <wps:cNvCnPr>
                          <a:cxnSpLocks/>
                        </wps:cNvCnPr>
                        <wps:spPr>
                          <a:xfrm>
                            <a:off x="5114153" y="2370812"/>
                            <a:ext cx="37250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>
                          <a:cxnSpLocks/>
                        </wps:cNvCnPr>
                        <wps:spPr>
                          <a:xfrm>
                            <a:off x="5128667" y="2928930"/>
                            <a:ext cx="37250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Arrow Connector 46"/>
                        <wps:cNvCnPr>
                          <a:cxnSpLocks/>
                        </wps:cNvCnPr>
                        <wps:spPr>
                          <a:xfrm>
                            <a:off x="5128667" y="3443816"/>
                            <a:ext cx="37250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Arrow Connector 47"/>
                        <wps:cNvCnPr>
                          <a:cxnSpLocks/>
                        </wps:cNvCnPr>
                        <wps:spPr>
                          <a:xfrm>
                            <a:off x="5128667" y="4603775"/>
                            <a:ext cx="37250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Right Brace 49"/>
                        <wps:cNvSpPr/>
                        <wps:spPr>
                          <a:xfrm>
                            <a:off x="7704714" y="2053584"/>
                            <a:ext cx="370903" cy="2696727"/>
                          </a:xfrm>
                          <a:prstGeom prst="rightBrace">
                            <a:avLst>
                              <a:gd name="adj1" fmla="val 81952"/>
                              <a:gd name="adj2" fmla="val 50669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51" name="Straight Arrow Connector 51"/>
                        <wps:cNvCnPr>
                          <a:cxnSpLocks/>
                        </wps:cNvCnPr>
                        <wps:spPr>
                          <a:xfrm>
                            <a:off x="9107931" y="4061501"/>
                            <a:ext cx="0" cy="54227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Arrow Connector 54"/>
                        <wps:cNvCnPr>
                          <a:cxnSpLocks/>
                        </wps:cNvCnPr>
                        <wps:spPr>
                          <a:xfrm>
                            <a:off x="8357274" y="1036102"/>
                            <a:ext cx="3374" cy="358069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Arrow Connector 55"/>
                        <wps:cNvCnPr>
                          <a:cxnSpLocks/>
                        </wps:cNvCnPr>
                        <wps:spPr>
                          <a:xfrm>
                            <a:off x="5114153" y="4926348"/>
                            <a:ext cx="311168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9678425" y="161631"/>
                            <a:ext cx="1334601" cy="5326266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778CF9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Comité de Evaluación</w:t>
                              </w:r>
                              <w:r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ES"/>
                                </w:rPr>
                                <w:t xml:space="preserve"> </w:t>
                              </w:r>
                              <w:r w:rsidRPr="00DC479E">
                                <w:rPr>
                                  <w:rFonts w:ascii="Arial Narrow" w:eastAsia="SimSun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de la Eficacia</w:t>
                              </w:r>
                            </w:p>
                            <w:p w14:paraId="0467F225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Narrow" w:eastAsia="SimSun" w:hAnsi="Arial Narrow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ES"/>
                                </w:rPr>
                                <w:t> </w:t>
                              </w:r>
                            </w:p>
                            <w:p w14:paraId="22C12612" w14:textId="77777777" w:rsidR="00234819" w:rsidRPr="00DC479E" w:rsidRDefault="00234819" w:rsidP="0023481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C479E">
                                <w:rPr>
                                  <w:rFonts w:ascii="Arial Narrow" w:eastAsia="SimSun" w:hAnsi="Arial Narrow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s-ES"/>
                                </w:rPr>
                                <w:t>Conclusiones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0" name="Straight Arrow Connector 50"/>
                        <wps:cNvCnPr>
                          <a:cxnSpLocks/>
                        </wps:cNvCnPr>
                        <wps:spPr>
                          <a:xfrm>
                            <a:off x="8357275" y="3482984"/>
                            <a:ext cx="1321149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Arrow Connector 53"/>
                        <wps:cNvCnPr>
                          <a:cxnSpLocks/>
                        </wps:cNvCnPr>
                        <wps:spPr>
                          <a:xfrm>
                            <a:off x="10950824" y="3054094"/>
                            <a:ext cx="403028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>
                          <a:cxnSpLocks/>
                        </wps:cNvCnPr>
                        <wps:spPr>
                          <a:xfrm>
                            <a:off x="9477204" y="5051747"/>
                            <a:ext cx="372502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52206" id="Group 7" o:spid="_x0000_s1026" style="position:absolute;margin-left:-44.1pt;margin-top:369.25pt;width:551.95pt;height:376.65pt;z-index:251659264;mso-position-vertical-relative:page;mso-width-relative:margin;mso-height-relative:margin" coordorigin="65,-1089" coordsize="122292,69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43" o:spid="_x0000_s1027" type="#_x0000_t88" style="position:absolute;left:30013;top:45053;width:4933;height:9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" adj="3019,10098" strokecolor="#4579b8 [3044]" strokeweight="4.5pt"/>
                <v:shape id="Right Brace 42" o:spid="_x0000_s1028" type="#_x0000_t88" style="position:absolute;left:30013;top:20533;width:5114;height:228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" adj="1346,11168" strokecolor="#4579b8 [3044]" strokeweight="4.5pt"/>
                <v:shape id="Right Brace 41" o:spid="_x0000_s1029" type="#_x0000_t88" style="position:absolute;left:31460;top:-445;width:3486;height:19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" adj="1084,11168" strokecolor="#4579b8 [3044]" strokeweight="4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8" o:spid="_x0000_s1030" type="#_x0000_t32" style="position:absolute;left:45318;top:10256;width:514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" strokecolor="#4579b8 [3044]" strokeweight="4.5pt">
                  <v:stroke endarrow="block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fficeArt object" o:spid="_x0000_s1031" type="#_x0000_t202" alt="Cuadro de texto 2" style="position:absolute;left:397;top:-1089;width:31395;height:20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" fillcolor="#b2a1c7 [1943]" strokecolor="#4579b8 [3044]">
                  <v:fill color2="#e4ecf5 [500]" rotate="t" angle="180" colors="0 #b3a2c7;1311f #b7b3d9;22938f #bfd5ff;1 #e5eeff" focus="100%" type="gradient"/>
                  <v:shadow on="t" color="black" opacity="24903f" origin=",.5" offset="0,.55556mm"/>
                  <v:textbox inset="1.27mm,1.27mm,1.27mm,1.27mm">
                    <w:txbxContent>
                      <w:p w14:paraId="42B0AD4E" w14:textId="77777777" w:rsidR="00234819" w:rsidRPr="00825438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25438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Informes de los procesos del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br/>
                        </w:r>
                        <w:r w:rsidRPr="00825438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Convenio de Minamata</w:t>
                        </w:r>
                      </w:p>
                    </w:txbxContent>
                  </v:textbox>
                </v:shape>
                <v:shape id="officeArt object" o:spid="_x0000_s1032" type="#_x0000_t202" alt="Cuadro de texto 2" style="position:absolute;left:1059;top:3370;width:29801;height:2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">
                  <v:textbox inset="1.27mm,1.27mm,1.27mm,1.27mm">
                    <w:txbxContent>
                      <w:p w14:paraId="78EA2FFF" w14:textId="77777777" w:rsidR="00234819" w:rsidRPr="003A3749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Informe del CAC</w:t>
                        </w:r>
                      </w:p>
                    </w:txbxContent>
                  </v:textbox>
                </v:shape>
                <v:shape id="officeArt object" o:spid="_x0000_s1033" type="#_x0000_t202" alt="Cuadro de texto 2" style="position:absolute;left:1059;top:6707;width:29801;height:3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">
                  <v:textbox inset="1.27mm,1.27mm,1.27mm,1.27mm">
                    <w:txbxContent>
                      <w:p w14:paraId="7B9A17A5" w14:textId="77777777" w:rsidR="00234819" w:rsidRPr="00825438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Mecanismo financiero, incluido el art.13</w:t>
                        </w: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11)</w:t>
                        </w:r>
                      </w:p>
                    </w:txbxContent>
                  </v:textbox>
                </v:shape>
                <v:shape id="officeArt object" o:spid="_x0000_s1034" type="#_x0000_t202" alt="Cuadro de texto 2" style="position:absolute;left:686;top:10643;width:30174;height:4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">
                  <v:textbox inset="1.27mm,1.27mm,1.27mm,1.27mm">
                    <w:txbxContent>
                      <w:p w14:paraId="0654C10E" w14:textId="77777777" w:rsidR="00234819" w:rsidRPr="00825438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Creación </w:t>
                        </w: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de</w:t>
                        </w: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capacidad, asistencia técnica y transferencia de tecnología</w:t>
                        </w:r>
                      </w:p>
                    </w:txbxContent>
                  </v:textbox>
                </v:shape>
                <v:shape id="officeArt object" o:spid="_x0000_s1035" type="#_x0000_t202" alt="Cuadro de texto 2" style="position:absolute;left:1059;top:15632;width:29801;height:3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">
                  <v:textbox inset="1.27mm,1.27mm,1.27mm,1.27mm">
                    <w:txbxContent>
                      <w:p w14:paraId="2D401A90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Otros</w:t>
                        </w:r>
                      </w:p>
                    </w:txbxContent>
                  </v:textbox>
                </v:shape>
                <v:shape id="Text Box 2" o:spid="_x0000_s1036" type="#_x0000_t202" style="position:absolute;left:246;top:20070;width:31211;height:2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" fillcolor="#ccc0d9 [1303]" strokecolor="#4579b8 [3044]">
                  <v:shadow on="t" color="black" opacity="24903f" origin=",.5" offset="0,.55556mm"/>
                  <v:textbox inset="1.27mm,1.27mm,1.27mm,1.27mm">
                    <w:txbxContent>
                      <w:p w14:paraId="4FAEF509" w14:textId="77777777" w:rsidR="00234819" w:rsidRPr="00B131E7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Comunicaciones de las Partes</w:t>
                        </w:r>
                      </w:p>
                    </w:txbxContent>
                  </v:textbox>
                </v:shape>
                <v:shape id="officeArt object" o:spid="_x0000_s1037" type="#_x0000_t202" alt="Cuadro de texto 2" style="position:absolute;left:887;top:22811;width:29967;height:3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">
                  <v:textbox inset="1.27mm,1.27mm,1.27mm,1.27mm">
                    <w:txbxContent>
                      <w:p w14:paraId="104770A4" w14:textId="77777777" w:rsidR="00234819" w:rsidRPr="00825438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Informes </w:t>
                        </w: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previstos</w:t>
                        </w: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en el artículo 21</w:t>
                        </w:r>
                      </w:p>
                    </w:txbxContent>
                  </v:textbox>
                </v:shape>
                <v:shape id="officeArt object" o:spid="_x0000_s1038" type="#_x0000_t202" alt="Cuadro de texto 2" style="position:absolute;left:887;top:26152;width:29964;height:3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">
                  <v:textbox inset="1.27mm,1.27mm,1.27mm,1.27mm">
                    <w:txbxContent>
                      <w:p w14:paraId="1799D25D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825438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Notificaciones</w:t>
                        </w:r>
                      </w:p>
                    </w:txbxContent>
                  </v:textbox>
                </v:shape>
                <v:shape id="officeArt object" o:spid="_x0000_s1039" type="#_x0000_t202" alt="Cuadro de texto 2" style="position:absolute;left:887;top:29750;width:2996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">
                  <v:textbox inset="1.27mm,1.27mm,1.27mm,1.27mm">
                    <w:txbxContent>
                      <w:p w14:paraId="2D0DFD4A" w14:textId="77777777" w:rsidR="00234819" w:rsidRPr="003A3749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Planes </w:t>
                        </w: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de</w:t>
                        </w: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acción nacionales, planes</w:t>
                        </w:r>
                        <w:r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nacionales de aplicación y otros</w:t>
                        </w:r>
                      </w:p>
                    </w:txbxContent>
                  </v:textbox>
                </v:shape>
                <v:shape id="officeArt object" o:spid="_x0000_s1040" type="#_x0000_t202" alt="Cuadro de texto 2" style="position:absolute;left:1006;top:34697;width:29851;height:5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">
                  <v:textbox inset="1.27mm,1.27mm,1.27mm,1.27mm">
                    <w:txbxContent>
                      <w:p w14:paraId="76763FEF" w14:textId="77777777" w:rsidR="00234819" w:rsidRPr="003A3749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Evaluaciones iniciales del Convenio de Minamata, aplicaciones del</w:t>
                        </w:r>
                        <w:r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  <w:r w:rsidRPr="003A3749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PIE otros.</w:t>
                        </w:r>
                      </w:p>
                    </w:txbxContent>
                  </v:textbox>
                </v:shape>
                <v:shape id="officeArt object" o:spid="_x0000_s1041" type="#_x0000_t202" alt="Cuadro de texto 2" style="position:absolute;left:1058;top:40069;width:29799;height:3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">
                  <v:textbox inset="1.27mm,1.27mm,1.27mm,1.27mm">
                    <w:txbxContent>
                      <w:p w14:paraId="06FA129B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Otras</w:t>
                        </w:r>
                        <w:r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DC479E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comunicaciones</w:t>
                        </w:r>
                      </w:p>
                    </w:txbxContent>
                  </v:textbox>
                </v:shape>
                <v:shape id="officeArt object" o:spid="_x0000_s1042" type="#_x0000_t202" alt="Cuadro de texto 2" style="position:absolute;left:65;top:44605;width:31389;height:5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" fillcolor="#ccc0d9 [1303]" strokecolor="#4579b8 [3044]">
                  <v:shadow on="t" color="black" opacity="24903f" origin=",.5" offset="0,.55556mm"/>
                  <v:textbox inset="1.27mm,1.27mm,1.27mm,1.27mm">
                    <w:txbxContent>
                      <w:p w14:paraId="56722FE3" w14:textId="77777777" w:rsidR="00234819" w:rsidRPr="00B131E7" w:rsidRDefault="00234819" w:rsidP="00234819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Comunicaciones presentadas por otros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interesados y otras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informaciones</w:t>
                        </w:r>
                      </w:p>
                    </w:txbxContent>
                  </v:textbox>
                </v:shape>
                <v:shape id="officeArt object" o:spid="_x0000_s1043" type="#_x0000_t202" alt="Cuadro de texto 2" style="position:absolute;left:246;top:50508;width:31205;height:4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" fillcolor="#ccc0d9 [1303]" strokecolor="#4579b8 [3044]">
                  <v:shadow on="t" color="black" opacity="24903f" origin=",.5" offset="0,.55556mm"/>
                  <v:textbox inset="1.27mm,1.27mm,1.27mm,1.27mm">
                    <w:txbxContent>
                      <w:p w14:paraId="2CCEF61F" w14:textId="77777777" w:rsidR="00234819" w:rsidRPr="00B131E7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Información disponible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sobre la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vigilancia</w:t>
                        </w:r>
                      </w:p>
                    </w:txbxContent>
                  </v:textbox>
                </v:shape>
                <v:shape id="officeArt object" o:spid="_x0000_s1044" type="#_x0000_t202" alt="Cuadro de texto 2" style="position:absolute;left:65;top:55633;width:29721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0CCD86D8" w14:textId="77777777" w:rsidR="00234819" w:rsidRPr="008A5F6A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Niveles 1 y 2</w:t>
                        </w:r>
                      </w:p>
                    </w:txbxContent>
                  </v:textbox>
                </v:shape>
                <v:rect id="Rectangle 22" o:spid="_x0000_s1045" style="position:absolute;left:35512;top:6729;width:15217;height:7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" fillcolor="#c2d69b [1942]" strokecolor="#f68c36 [3049]">
                  <v:shadow on="t" color="black" opacity="24903f" origin=",.5" offset="0,.55556mm"/>
                  <v:textbox>
                    <w:txbxContent>
                      <w:p w14:paraId="71AF9290" w14:textId="77777777" w:rsidR="00234819" w:rsidRPr="00DC479E" w:rsidRDefault="00234819" w:rsidP="0023481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Secretaría</w:t>
                        </w:r>
                      </w:p>
                      <w:p w14:paraId="779687BC" w14:textId="77777777" w:rsidR="00234819" w:rsidRPr="00FC03CF" w:rsidRDefault="00234819" w:rsidP="00234819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Compilaciones y resúmeness</w:t>
                        </w:r>
                      </w:p>
                    </w:txbxContent>
                  </v:textbox>
                </v:rect>
                <v:rect id="Rectangle 23" o:spid="_x0000_s1046" style="position:absolute;left:34946;top:21241;width:16340;height:19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" fillcolor="#c2d69b [1942]" strokecolor="#f68c36 [3049]">
                  <v:shadow on="t" color="black" opacity="24903f" origin=",.5" offset="0,.55556mm"/>
                  <v:textbox>
                    <w:txbxContent>
                      <w:p w14:paraId="52FF97B3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Secretaría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c</w:t>
                        </w: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on colaboradores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o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a través de ellos</w:t>
                        </w:r>
                      </w:p>
                      <w:p w14:paraId="326B804D" w14:textId="77777777" w:rsidR="00234819" w:rsidRPr="009916A2" w:rsidRDefault="00234819" w:rsidP="00234819">
                        <w:pPr>
                          <w:spacing w:before="120"/>
                          <w:jc w:val="center"/>
                          <w:rPr>
                            <w:sz w:val="16"/>
                            <w:szCs w:val="16"/>
                            <w14:textFill>
                              <w14:gradFill>
                                <w14:gsLst>
                                  <w14:gs w14:pos="30000"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44269">
                                    <w14:srgbClr w14:val="DF9975"/>
                                  </w14:gs>
                                  <w14:gs w14:pos="73414">
                                    <w14:srgbClr w14:val="DBB6BC"/>
                                  </w14:gs>
                                  <w14:gs w14:pos="0">
                                    <w14:schemeClr w14:val="accent6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94000">
                                    <w14:schemeClr w14:val="accent4">
                                      <w14:tint w14:val="37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4">
                                      <w14:tint w14:val="15000"/>
                                      <w14:satMod w14:val="350000"/>
                                    </w14:schemeClr>
                                  </w14:gs>
                                </w14:gsLst>
                                <w14:lin w14:ang="16200000" w14:scaled="0"/>
                              </w14:gradFill>
                            </w14:textFill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  <w:t>Síntesis de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  <w:t xml:space="preserve">indicadores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y otra información</w:t>
                        </w:r>
                        <w:r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pertinente</w:t>
                        </w:r>
                      </w:p>
                    </w:txbxContent>
                  </v:textbox>
                </v:rect>
                <v:shape id="officeArt object" o:spid="_x0000_s1047" type="#_x0000_t202" alt="Cuadro de texto 2" style="position:absolute;left:34946;top:43381;width:16340;height:11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" fillcolor="#c2d69b [1942]" strokecolor="#f68c36 [3049]">
                  <v:shadow on="t" color="black" opacity="24903f" origin=",.5" offset="0,.55556mm"/>
                  <v:textbox>
                    <w:txbxContent>
                      <w:p w14:paraId="026B593A" w14:textId="77777777" w:rsidR="00234819" w:rsidRPr="00FC03CF" w:rsidRDefault="00234819" w:rsidP="00234819">
                        <w:pPr>
                          <w:spacing w:before="24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  <w:t>Grupo de vigilancia y elaboración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  <w:t>de modelos</w:t>
                        </w:r>
                      </w:p>
                    </w:txbxContent>
                  </v:textbox>
                </v:shape>
                <v:shape id="officeArt object" o:spid="_x0000_s1048" type="#_x0000_t202" alt="Cuadro de texto 2" style="position:absolute;left:55011;top:26558;width:22467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" fillcolor="#e36c0a [2409]" strokecolor="#795d9b [3047]">
                  <v:fill color2="#ece7f1 [503]" rotate="t" angle="180" colors="0 #e46c0a;48113f #dbb6bc;61604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2B1394AD" w14:textId="77777777" w:rsidR="00234819" w:rsidRPr="00FC03CF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C5A39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. Informe sobre emisiones y liberaciones</w:t>
                        </w:r>
                      </w:p>
                      <w:p w14:paraId="293B770F" w14:textId="77777777" w:rsidR="00234819" w:rsidRDefault="00234819" w:rsidP="00234819">
                        <w:pPr>
                          <w:jc w:val="center"/>
                        </w:pPr>
                        <w:r w:rsidRPr="008C5A39">
                          <w:rPr>
                            <w:rFonts w:cstheme="minorBidi"/>
                            <w:color w:val="000000"/>
                            <w:kern w:val="24"/>
                            <w:sz w:val="28"/>
                            <w:szCs w:val="28"/>
                          </w:rPr>
                          <w:t> </w:t>
                        </w:r>
                      </w:p>
                      <w:p w14:paraId="6953357E" w14:textId="77777777" w:rsidR="00234819" w:rsidRDefault="00234819" w:rsidP="00234819">
                        <w:pPr>
                          <w:jc w:val="center"/>
                        </w:pPr>
                        <w:r w:rsidRPr="008C5A39">
                          <w:rPr>
                            <w:rFonts w:cstheme="minorBidi"/>
                            <w:color w:val="000000"/>
                            <w:kern w:val="24"/>
                            <w:sz w:val="28"/>
                            <w:szCs w:val="28"/>
                          </w:rPr>
                          <w:t> </w:t>
                        </w:r>
                      </w:p>
                    </w:txbxContent>
                  </v:textbox>
                </v:shape>
                <v:shape id="officeArt object" o:spid="_x0000_s1049" type="#_x0000_t202" alt="Cuadro de texto 2" style="position:absolute;left:55011;top:32076;width:22467;height:9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" fillcolor="#e36c0a [2409]" strokecolor="#795d9b [3047]">
                  <v:fill color2="#ece7f1 [503]" rotate="t" angle="180" colors="0 #e46c0a;29012f #df9975;48113f #dbb6bc;61604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57A65BE9" w14:textId="77777777" w:rsidR="00234819" w:rsidRPr="00FC03CF" w:rsidRDefault="00234819" w:rsidP="0023481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3</w:t>
                        </w:r>
                        <w:r w:rsidRPr="00FC03CF">
                          <w:rPr>
                            <w:rFonts w:ascii="Arial Narrow" w:hAnsi="Arial Narrow" w:cstheme="minorBidi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.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Informe sobre comercio, oferta y demanda, que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incluye los flujos y existencias de Hg</w:t>
                        </w:r>
                      </w:p>
                    </w:txbxContent>
                  </v:textbox>
                </v:shape>
                <v:shape id="officeArt object" o:spid="_x0000_s1050" type="#_x0000_t202" alt="Cuadro de texto 2" style="position:absolute;left:54580;top:20074;width:22467;height: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" fillcolor="#e36c0a [2409]" strokecolor="#795d9b [3047]">
                  <v:fill color2="#ece7f1 [503]" rotate="t" angle="180" colors="0 #e46c0a;61604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1E4C2075" w14:textId="77777777" w:rsidR="00234819" w:rsidRDefault="00234819" w:rsidP="00234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1. Informe de síntesis previsto en el artículo 21</w:t>
                        </w:r>
                      </w:p>
                    </w:txbxContent>
                  </v:textbox>
                </v:shape>
                <v:shape id="officeArt object" o:spid="_x0000_s1051" type="#_x0000_t202" alt="Cuadro de texto 2" style="position:absolute;left:54866;top:44597;width:22403;height:3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" fillcolor="#e36c0a [2409]" strokecolor="#795d9b [3047]">
                  <v:fill color2="#ece7f1 [503]" rotate="t" angle="180" colors="0 #e46c0a;29012f #df9975;48113f #dbb6bc;61604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5193E3FD" w14:textId="77777777" w:rsidR="00234819" w:rsidRPr="00FC03CF" w:rsidRDefault="00234819" w:rsidP="00234819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n-US"/>
                          </w:rPr>
                          <w:t>4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. Informe de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FC03CF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vigilancia</w:t>
                        </w:r>
                      </w:p>
                    </w:txbxContent>
                  </v:textbox>
                </v:shape>
                <v:shape id="officeArt object" o:spid="_x0000_s1052" type="#_x0000_t202" alt="Cuadro de texto 2" style="position:absolute;left:34946;top:55638;width:43642;height:2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2126480F" w14:textId="77777777" w:rsidR="00234819" w:rsidRPr="008A5F6A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Nivel 3</w:t>
                        </w:r>
                      </w:p>
                    </w:txbxContent>
                  </v:textbox>
                </v:shape>
                <v:shape id="officeArt object" o:spid="_x0000_s1053" type="#_x0000_t202" alt="Cuadro de texto 2" style="position:absolute;left:34946;top:59250;width:43642;height:4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" filled="f" strokecolor="black [3213]" strokeweight="1pt">
                  <v:stroke dashstyle="3 1" joinstyle="round"/>
                  <v:textbox inset="1.27mm,1.27mm,1.27mm,1.27mm">
                    <w:txbxContent>
                      <w:p w14:paraId="2B5335AA" w14:textId="77777777" w:rsidR="00234819" w:rsidRPr="008A5F6A" w:rsidRDefault="00234819" w:rsidP="0023481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MX"/>
                          </w:rPr>
                          <w:t xml:space="preserve">Función científica y técnica: </w:t>
                        </w: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u w:val="single"/>
                            <w:lang w:val="es-MX"/>
                          </w:rPr>
                          <w:t>síntesis</w:t>
                        </w:r>
                      </w:p>
                    </w:txbxContent>
                  </v:textbox>
                </v:shape>
                <v:shape id="officeArt object" o:spid="_x0000_s1054" type="#_x0000_t202" alt="Cuadro de texto 2" style="position:absolute;left:81510;top:55632;width:14148;height:2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" fillcolor="#a5a5a5 [2092]" strokecolor="black [3213]" strokeweight=".25pt">
                  <v:stroke joinstyle="round"/>
                  <v:textbox inset="1.27mm,1.27mm,1.27mm,1.27mm">
                    <w:txbxContent>
                      <w:p w14:paraId="258CC69E" w14:textId="77777777" w:rsidR="00234819" w:rsidRPr="008A5F6A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Nivel 4</w:t>
                        </w:r>
                      </w:p>
                    </w:txbxContent>
                  </v:textbox>
                </v:shape>
                <v:shape id="officeArt object" o:spid="_x0000_s1055" type="#_x0000_t202" alt="Cuadro de texto 2" style="position:absolute;left:81510;top:59066;width:14148;height:9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" filled="f" strokecolor="windowText" strokeweight="1pt">
                  <v:stroke dashstyle="3 1" joinstyle="round"/>
                  <v:textbox inset="1.27mm,1.27mm,1.27mm,1.27mm">
                    <w:txbxContent>
                      <w:p w14:paraId="05D88552" w14:textId="77777777" w:rsidR="00234819" w:rsidRPr="00B131E7" w:rsidRDefault="00234819" w:rsidP="0023481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 xml:space="preserve">Función científica y técnica: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u w:val="single"/>
                            <w:lang w:val="es-ES"/>
                          </w:rPr>
                          <w:t>atribución</w:t>
                        </w:r>
                      </w:p>
                    </w:txbxContent>
                  </v:textbox>
                </v:shape>
                <v:shape id="officeArt object" o:spid="_x0000_s1056" type="#_x0000_t202" alt="Cuadro de texto 2" style="position:absolute;left:96784;top:55625;width:14496;height:2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" fillcolor="#a5a5a5 [2092]" strokecolor="black [3213]" strokeweight=".25pt">
                  <v:stroke joinstyle="round"/>
                  <v:textbox inset="1.27mm,1.27mm,1.27mm,1.27mm">
                    <w:txbxContent>
                      <w:p w14:paraId="55071715" w14:textId="77777777" w:rsidR="00234819" w:rsidRPr="008A5F6A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Nivel 5</w:t>
                        </w:r>
                      </w:p>
                    </w:txbxContent>
                  </v:textbox>
                </v:shape>
                <v:shape id="officeArt object" o:spid="_x0000_s1057" type="#_x0000_t202" alt="Cuadro de texto 2" style="position:absolute;left:96784;top:59066;width:14496;height:9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" filled="f" strokecolor="windowText" strokeweight="1pt">
                  <v:stroke dashstyle="3 1" joinstyle="round"/>
                  <v:textbox inset="1.27mm,1.27mm,1.27mm,1.27mm">
                    <w:txbxContent>
                      <w:p w14:paraId="76D604F4" w14:textId="77777777" w:rsidR="00234819" w:rsidRPr="00B131E7" w:rsidRDefault="00234819" w:rsidP="0023481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Función</w:t>
                        </w:r>
                        <w:r w:rsidRPr="00B131E7">
                          <w:rPr>
                            <w:rFonts w:eastAsia="SimSun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 xml:space="preserve">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científica</w:t>
                        </w:r>
                        <w:r w:rsidRPr="00B131E7">
                          <w:rPr>
                            <w:rFonts w:eastAsia="SimSun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 xml:space="preserve">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 xml:space="preserve">y técnica: </w:t>
                        </w:r>
                        <w:r w:rsidRPr="00B131E7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u w:val="single"/>
                            <w:lang w:val="es-ES"/>
                          </w:rPr>
                          <w:t>integración</w:t>
                        </w:r>
                      </w:p>
                    </w:txbxContent>
                  </v:textbox>
                </v:shape>
                <v:shape id="officeArt object" o:spid="_x0000_s1058" type="#_x0000_t202" alt="Cuadro de texto 2" style="position:absolute;left:111945;top:1617;width:10412;height:5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" fillcolor="#9bbb59 [3206]" strokecolor="#f68c36 [3049]">
                  <v:shadow on="t" color="black" opacity="24903f" origin=",.5" offset="0,.55556mm"/>
                  <v:textbox>
                    <w:txbxContent>
                      <w:p w14:paraId="20E7F719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CP</w:t>
                        </w:r>
                      </w:p>
                      <w:p w14:paraId="7DFF4E4C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 </w:t>
                        </w:r>
                      </w:p>
                      <w:p w14:paraId="466BC01B" w14:textId="77777777" w:rsidR="00234819" w:rsidRPr="00997BCE" w:rsidRDefault="00234819" w:rsidP="00234819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 w:rsidRPr="00997BCE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Políticas</w:t>
                        </w:r>
                      </w:p>
                    </w:txbxContent>
                  </v:textbox>
                </v:shape>
                <v:shape id="officeArt object" o:spid="_x0000_s1059" type="#_x0000_t202" alt="Cuadro de texto 2" style="position:absolute;left:111945;top:55685;width:10412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" fillcolor="#a5a5a5 [2092]" strokecolor="black [3213]" strokeweight=".25pt">
                  <v:stroke joinstyle="round"/>
                  <v:textbox inset="1.27mm,1.27mm,1.27mm,1.27mm">
                    <w:txbxContent>
                      <w:p w14:paraId="09E59FE0" w14:textId="77777777" w:rsidR="00234819" w:rsidRPr="009075A4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</w:pPr>
                        <w:r w:rsidRPr="009075A4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Nivel 6</w:t>
                        </w:r>
                      </w:p>
                    </w:txbxContent>
                  </v:textbox>
                </v:shape>
                <v:shape id="officeArt object" o:spid="_x0000_s1060" type="#_x0000_t202" alt="Cuadro de texto 2" style="position:absolute;left:84314;top:36589;width:11344;height:4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" filled="f" strokecolor="windowText" strokeweight="1pt">
                  <v:stroke dashstyle="3 1" joinstyle="round"/>
                  <v:textbox inset="1.27mm,1.27mm,1.27mm,1.27mm">
                    <w:txbxContent>
                      <w:p w14:paraId="481CACB5" w14:textId="77777777" w:rsidR="00234819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it-IT"/>
                          </w:rPr>
                          <w:t>Otra</w:t>
                        </w:r>
                      </w:p>
                      <w:p w14:paraId="0F1A8615" w14:textId="77777777" w:rsidR="00234819" w:rsidRPr="008A5F6A" w:rsidRDefault="00234819" w:rsidP="00234819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información</w:t>
                        </w:r>
                      </w:p>
                    </w:txbxContent>
                  </v:textbox>
                </v:shape>
                <v:shape id="officeArt object" o:spid="_x0000_s1061" type="#_x0000_t202" alt="Cuadro de texto 2" style="position:absolute;left:82321;top:46167;width:12451;height:8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" fillcolor="#e36c0a [2409]" strokecolor="#795d9b [3047]">
                  <v:fill color2="#ece7f1 [503]" rotate="t" angle="180" colors="0 #e46c0a;29012f #df9975;48113f #dbb6bc;61604f #d9cbee;1 #f0eaf9" focus="100%" type="gradient"/>
                  <v:shadow on="t" color="black" opacity="24903f" origin=",.5" offset="0,.55556mm"/>
                  <v:textbox inset="1.27mm,1.27mm,1.27mm,1.27mm">
                    <w:txbxContent>
                      <w:p w14:paraId="3357192A" w14:textId="77777777" w:rsidR="00234819" w:rsidRPr="008A5F6A" w:rsidRDefault="00234819" w:rsidP="0023481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n-US"/>
                          </w:rPr>
                          <w:t xml:space="preserve">5. </w:t>
                        </w: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Informe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8A5F6A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lang w:val="es-ES"/>
                          </w:rPr>
                          <w:t>sobre elaboración de modelos</w:t>
                        </w:r>
                      </w:p>
                    </w:txbxContent>
                  </v:textbox>
                </v:shape>
                <v:shape id="Straight Arrow Connector 44" o:spid="_x0000_s1062" type="#_x0000_t32" style="position:absolute;left:51141;top:23708;width:3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" strokecolor="#4579b8 [3044]" strokeweight="4.5pt">
                  <v:stroke endarrow="block"/>
                  <o:lock v:ext="edit" shapetype="f"/>
                </v:shape>
                <v:shape id="Straight Arrow Connector 45" o:spid="_x0000_s1063" type="#_x0000_t32" style="position:absolute;left:51286;top:29289;width:3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" strokecolor="#4579b8 [3044]" strokeweight="4.5pt">
                  <v:stroke endarrow="block"/>
                  <o:lock v:ext="edit" shapetype="f"/>
                </v:shape>
                <v:shape id="Straight Arrow Connector 46" o:spid="_x0000_s1064" type="#_x0000_t32" style="position:absolute;left:51286;top:34438;width:3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" strokecolor="#4579b8 [3044]" strokeweight="4.5pt">
                  <v:stroke endarrow="block"/>
                  <o:lock v:ext="edit" shapetype="f"/>
                </v:shape>
                <v:shape id="Straight Arrow Connector 47" o:spid="_x0000_s1065" type="#_x0000_t32" style="position:absolute;left:51286;top:46037;width:3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" strokecolor="#4579b8 [3044]" strokeweight="4.5pt">
                  <v:stroke endarrow="block"/>
                  <o:lock v:ext="edit" shapetype="f"/>
                </v:shape>
                <v:shape id="Right Brace 49" o:spid="_x0000_s1066" type="#_x0000_t88" style="position:absolute;left:77047;top:20535;width:3709;height:26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" adj="2435,10945" strokecolor="#4579b8 [3044]" strokeweight="4.5pt"/>
                <v:shape id="Straight Arrow Connector 51" o:spid="_x0000_s1067" type="#_x0000_t32" style="position:absolute;left:91079;top:40615;width:0;height:5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" strokecolor="#7f7f7f [1612]" strokeweight="2.25pt">
                  <v:stroke endarrow="block"/>
                  <o:lock v:ext="edit" shapetype="f"/>
                </v:shape>
                <v:shape id="Straight Arrow Connector 54" o:spid="_x0000_s1068" type="#_x0000_t32" style="position:absolute;left:83572;top:10361;width:34;height:358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" strokecolor="#7f7f7f [1612]" strokeweight="2.25pt">
                  <v:stroke endarrow="block"/>
                  <o:lock v:ext="edit" shapetype="f"/>
                </v:shape>
                <v:shape id="Straight Arrow Connector 55" o:spid="_x0000_s1069" type="#_x0000_t32" style="position:absolute;left:51141;top:49263;width:311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" strokecolor="#4579b8 [3044]" strokeweight="4.5pt">
                  <v:stroke endarrow="block"/>
                  <o:lock v:ext="edit" shapetype="f"/>
                </v:shape>
                <v:rect id="Rectangle 33" o:spid="_x0000_s1070" style="position:absolute;left:96784;top:1616;width:13346;height:53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" fillcolor="#9bbb59 [3206]" strokecolor="#f68c36 [3049]">
                  <v:shadow on="t" color="black" opacity="24903f" origin=",.5" offset="0,.55556mm"/>
                  <v:textbox>
                    <w:txbxContent>
                      <w:p w14:paraId="0B778CF9" w14:textId="77777777" w:rsidR="00234819" w:rsidRPr="00DC479E" w:rsidRDefault="00234819" w:rsidP="00234819">
                        <w:pPr>
                          <w:jc w:val="center"/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Comité de Evaluación</w:t>
                        </w:r>
                        <w:r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s-ES"/>
                          </w:rPr>
                          <w:t xml:space="preserve"> </w:t>
                        </w:r>
                        <w:r w:rsidRPr="00DC479E">
                          <w:rPr>
                            <w:rFonts w:ascii="Arial Narrow" w:eastAsia="SimSun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it-IT"/>
                          </w:rPr>
                          <w:t>de la Eficacia</w:t>
                        </w:r>
                      </w:p>
                      <w:p w14:paraId="0467F225" w14:textId="77777777" w:rsidR="00234819" w:rsidRPr="00DC479E" w:rsidRDefault="00234819" w:rsidP="0023481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eastAsia="SimSun" w:hAnsi="Arial Narrow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s-ES"/>
                          </w:rPr>
                          <w:t> </w:t>
                        </w:r>
                      </w:p>
                      <w:p w14:paraId="22C12612" w14:textId="77777777" w:rsidR="00234819" w:rsidRPr="00DC479E" w:rsidRDefault="00234819" w:rsidP="0023481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C479E">
                          <w:rPr>
                            <w:rFonts w:ascii="Arial Narrow" w:eastAsia="SimSun" w:hAnsi="Arial Narrow" w:cstheme="minorBidi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es-ES"/>
                          </w:rPr>
                          <w:t>Conclusiones</w:t>
                        </w:r>
                      </w:p>
                    </w:txbxContent>
                  </v:textbox>
                </v:rect>
                <v:shape id="Straight Arrow Connector 50" o:spid="_x0000_s1071" type="#_x0000_t32" style="position:absolute;left:83572;top:34829;width:132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" strokecolor="#4579b8 [3044]" strokeweight="4.5pt">
                  <v:stroke endarrow="block"/>
                  <o:lock v:ext="edit" shapetype="f"/>
                </v:shape>
                <v:shape id="Straight Arrow Connector 53" o:spid="_x0000_s1072" type="#_x0000_t32" style="position:absolute;left:109508;top:30540;width:40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" strokecolor="#4579b8 [3044]" strokeweight="4.5pt">
                  <v:stroke endarrow="block"/>
                  <o:lock v:ext="edit" shapetype="f"/>
                </v:shape>
                <v:shape id="Straight Arrow Connector 52" o:spid="_x0000_s1073" type="#_x0000_t32" style="position:absolute;left:94772;top:50517;width:3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" strokecolor="#4579b8 [3044]" strokeweight="4.5pt">
                  <v:stroke endarrow="block"/>
                  <o:lock v:ext="edit" shapetype="f"/>
                </v:shape>
                <w10:wrap anchory="page"/>
              </v:group>
            </w:pict>
          </mc:Fallback>
        </mc:AlternateContent>
      </w:r>
    </w:p>
    <w:p w14:paraId="0F6D4619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E26D6E4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30ED04D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4A5A1455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CCACC1B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0B050FBD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5C3976BD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238D0987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4B343DA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1C3EEACC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34C25D77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1F887167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507347B8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1934CBC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3AF3C1E8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3462B3A1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4991F2DE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F1EFE25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308C6ED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2C46B1B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244DD210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58806ED3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52288BA3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881D722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28273B46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0419B317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8F837D8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1583460B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822CF0A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1A6D9192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787646D5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6C884D71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440FCFD4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2DA4C186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24A0EC6D" w14:textId="77777777" w:rsidR="00234819" w:rsidRPr="00FA5D35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-851"/>
        <w:rPr>
          <w:rFonts w:ascii="Arial Narrow" w:hAnsi="Arial Narrow"/>
          <w:sz w:val="17"/>
          <w:szCs w:val="17"/>
        </w:rPr>
      </w:pPr>
      <w:r w:rsidRPr="00FA5D35">
        <w:rPr>
          <w:rFonts w:ascii="Arial Narrow" w:hAnsi="Arial Narrow"/>
          <w:sz w:val="17"/>
          <w:szCs w:val="17"/>
        </w:rPr>
        <w:t>Figura 2</w:t>
      </w:r>
    </w:p>
    <w:p w14:paraId="4C9AD4A8" w14:textId="77777777" w:rsidR="00234819" w:rsidRPr="00FA5D35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-851"/>
        <w:rPr>
          <w:rFonts w:ascii="Arial Narrow" w:hAnsi="Arial Narrow"/>
          <w:sz w:val="17"/>
          <w:szCs w:val="17"/>
        </w:rPr>
      </w:pPr>
      <w:r w:rsidRPr="00FA5D35">
        <w:rPr>
          <w:rFonts w:ascii="Arial Narrow" w:hAnsi="Arial Narrow"/>
          <w:sz w:val="17"/>
          <w:szCs w:val="17"/>
        </w:rPr>
        <w:t xml:space="preserve">Arreglos institucionales en </w:t>
      </w:r>
      <w:r>
        <w:rPr>
          <w:rFonts w:ascii="Arial Narrow" w:hAnsi="Arial Narrow"/>
          <w:sz w:val="17"/>
          <w:szCs w:val="17"/>
        </w:rPr>
        <w:t>r</w:t>
      </w:r>
      <w:r w:rsidRPr="00FA5D35">
        <w:rPr>
          <w:rFonts w:ascii="Arial Narrow" w:hAnsi="Arial Narrow"/>
          <w:sz w:val="17"/>
          <w:szCs w:val="17"/>
        </w:rPr>
        <w:t xml:space="preserve">elación con </w:t>
      </w:r>
      <w:r>
        <w:rPr>
          <w:rFonts w:ascii="Arial Narrow" w:hAnsi="Arial Narrow"/>
          <w:sz w:val="17"/>
          <w:szCs w:val="17"/>
        </w:rPr>
        <w:br/>
      </w:r>
      <w:r w:rsidRPr="00FA5D35">
        <w:rPr>
          <w:rFonts w:ascii="Arial Narrow" w:hAnsi="Arial Narrow"/>
          <w:sz w:val="17"/>
          <w:szCs w:val="17"/>
        </w:rPr>
        <w:t>el marco</w:t>
      </w:r>
    </w:p>
    <w:p w14:paraId="6ADD20AC" w14:textId="77777777" w:rsid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i/>
          <w:iCs/>
          <w:sz w:val="17"/>
          <w:szCs w:val="17"/>
        </w:rPr>
      </w:pPr>
    </w:p>
    <w:p w14:paraId="55AA1BF3" w14:textId="5C9EB7DA" w:rsidR="00CB2628" w:rsidRPr="00234819" w:rsidRDefault="00234819" w:rsidP="002348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7"/>
          <w:szCs w:val="17"/>
        </w:rPr>
      </w:pPr>
      <w:r w:rsidRPr="00997BCE">
        <w:rPr>
          <w:i/>
          <w:iCs/>
          <w:sz w:val="17"/>
          <w:szCs w:val="17"/>
        </w:rPr>
        <w:t>Abreviaciones:</w:t>
      </w:r>
      <w:r w:rsidRPr="00997BCE">
        <w:rPr>
          <w:sz w:val="17"/>
          <w:szCs w:val="17"/>
        </w:rPr>
        <w:t xml:space="preserve"> CAC, Comité de Aplicación y Cumplimiento; PIE, CP, Conferencia de </w:t>
      </w:r>
      <w:r w:rsidRPr="00997BCE">
        <w:rPr>
          <w:sz w:val="17"/>
          <w:szCs w:val="17"/>
        </w:rPr>
        <w:br/>
        <w:t>las Partes en el Convenio de Minamata sobre el Mercurio; Programa Internacional Específico</w:t>
      </w:r>
      <w:r>
        <w:rPr>
          <w:sz w:val="17"/>
          <w:szCs w:val="17"/>
        </w:rPr>
        <w:t>.</w:t>
      </w:r>
    </w:p>
    <w:sectPr w:rsidR="00CB2628" w:rsidRPr="00234819" w:rsidSect="00C450D1">
      <w:headerReference w:type="even" r:id="rId14"/>
      <w:headerReference w:type="default" r:id="rId15"/>
      <w:headerReference w:type="first" r:id="rId16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7A182" w14:textId="77777777" w:rsidR="00FB5914" w:rsidRDefault="00FB5914">
      <w:r>
        <w:separator/>
      </w:r>
    </w:p>
  </w:endnote>
  <w:endnote w:type="continuationSeparator" w:id="0">
    <w:p w14:paraId="01580208" w14:textId="77777777" w:rsidR="00FB5914" w:rsidRDefault="00FB5914">
      <w:r>
        <w:continuationSeparator/>
      </w:r>
    </w:p>
  </w:endnote>
  <w:endnote w:type="continuationNotice" w:id="1">
    <w:p w14:paraId="05C596EF" w14:textId="77777777" w:rsidR="00FB5914" w:rsidRDefault="00FB5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5F77D" w14:textId="77777777" w:rsidR="00FB5914" w:rsidRPr="008D1ED6" w:rsidRDefault="00FB5914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3777D618" w14:textId="77777777" w:rsidR="00FB5914" w:rsidRDefault="00FB5914">
      <w:r>
        <w:continuationSeparator/>
      </w:r>
    </w:p>
  </w:footnote>
  <w:footnote w:type="continuationNotice" w:id="1">
    <w:p w14:paraId="0FF49CF2" w14:textId="77777777" w:rsidR="00FB5914" w:rsidRDefault="00FB5914"/>
  </w:footnote>
  <w:footnote w:id="2">
    <w:p w14:paraId="7D508C7C" w14:textId="77777777" w:rsidR="00234819" w:rsidRPr="00FB6282" w:rsidRDefault="00234819" w:rsidP="00234819">
      <w:pPr>
        <w:pStyle w:val="Text"/>
        <w:tabs>
          <w:tab w:val="left" w:pos="624"/>
        </w:tabs>
        <w:spacing w:before="20" w:after="40" w:line="240" w:lineRule="auto"/>
        <w:ind w:left="1247"/>
        <w:rPr>
          <w:rFonts w:ascii="Times New Roman" w:hAnsi="Times New Roman" w:cs="Times New Roman"/>
          <w:sz w:val="18"/>
          <w:szCs w:val="18"/>
        </w:rPr>
      </w:pPr>
      <w:r w:rsidRPr="00157E17">
        <w:rPr>
          <w:rFonts w:ascii="Times New Roman" w:eastAsia="Calibri Light" w:hAnsi="Times New Roman" w:cs="Times New Roman"/>
          <w:sz w:val="18"/>
          <w:szCs w:val="18"/>
          <w:vertAlign w:val="superscript"/>
          <w:lang w:val="es-ES_tradnl"/>
        </w:rPr>
        <w:footnoteRef/>
      </w:r>
      <w:r w:rsidRPr="00FB6282">
        <w:rPr>
          <w:rFonts w:ascii="Times New Roman" w:hAnsi="Times New Roman" w:cs="Times New Roman"/>
          <w:sz w:val="18"/>
          <w:szCs w:val="18"/>
        </w:rPr>
        <w:t xml:space="preserve"> UNEP/MC/COP.3/14.</w:t>
      </w:r>
    </w:p>
  </w:footnote>
  <w:footnote w:id="3">
    <w:p w14:paraId="162A760C" w14:textId="77777777" w:rsidR="00234819" w:rsidRPr="00FB6282" w:rsidRDefault="00234819" w:rsidP="00234819">
      <w:pPr>
        <w:pStyle w:val="Text"/>
        <w:tabs>
          <w:tab w:val="left" w:pos="624"/>
        </w:tabs>
        <w:spacing w:before="20" w:after="40" w:line="240" w:lineRule="auto"/>
        <w:ind w:left="1247"/>
        <w:rPr>
          <w:sz w:val="18"/>
          <w:szCs w:val="18"/>
        </w:rPr>
      </w:pPr>
      <w:r w:rsidRPr="00157E17">
        <w:rPr>
          <w:rFonts w:ascii="Times New Roman" w:eastAsia="Calibri Light" w:hAnsi="Times New Roman" w:cs="Times New Roman"/>
          <w:sz w:val="18"/>
          <w:szCs w:val="18"/>
          <w:vertAlign w:val="superscript"/>
          <w:lang w:val="es-ES_tradnl"/>
        </w:rPr>
        <w:footnoteRef/>
      </w:r>
      <w:r w:rsidRPr="00FB6282">
        <w:rPr>
          <w:rFonts w:ascii="Times New Roman" w:hAnsi="Times New Roman" w:cs="Times New Roman"/>
          <w:sz w:val="18"/>
          <w:szCs w:val="18"/>
        </w:rPr>
        <w:t xml:space="preserve"> UNEP/MC/COP.3/INF/15.</w:t>
      </w:r>
    </w:p>
  </w:footnote>
  <w:footnote w:id="4">
    <w:p w14:paraId="75FF6DB8" w14:textId="77777777" w:rsidR="00234819" w:rsidRPr="00FB6282" w:rsidRDefault="00234819" w:rsidP="00234819">
      <w:pPr>
        <w:pStyle w:val="FootnoteText"/>
        <w:rPr>
          <w:szCs w:val="18"/>
          <w:lang w:val="en-US"/>
        </w:rPr>
      </w:pPr>
      <w:r w:rsidRPr="00157E17">
        <w:rPr>
          <w:rStyle w:val="FootnoteReference"/>
          <w:sz w:val="18"/>
          <w:lang w:val="es-ES_tradnl"/>
        </w:rPr>
        <w:footnoteRef/>
      </w:r>
      <w:r w:rsidRPr="00FB6282">
        <w:rPr>
          <w:szCs w:val="18"/>
          <w:lang w:val="en-US"/>
        </w:rPr>
        <w:t xml:space="preserve"> UNEP/MC/ COP.3/INF/15.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1B5569AD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234819">
      <w:rPr>
        <w:szCs w:val="18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E0887CB" w:rsidR="00454804" w:rsidRPr="00417FE2" w:rsidRDefault="00454804" w:rsidP="00E8784C">
    <w:pPr>
      <w:pStyle w:val="Header"/>
      <w:ind w:right="90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7B399A">
      <w:rPr>
        <w:szCs w:val="1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59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2940"/>
    <w:rsid w:val="000E4923"/>
    <w:rsid w:val="000E74B4"/>
    <w:rsid w:val="000F08DC"/>
    <w:rsid w:val="000F2A9B"/>
    <w:rsid w:val="000F3CE2"/>
    <w:rsid w:val="000F4829"/>
    <w:rsid w:val="000F6915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4D9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68A6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96A16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819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2783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521C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D5B2F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054D3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67BC9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024A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399A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37B6B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21CF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010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5C96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2417"/>
    <w:rsid w:val="00BB409D"/>
    <w:rsid w:val="00BB4ABB"/>
    <w:rsid w:val="00BB4D62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679FB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84C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6CDC"/>
    <w:rsid w:val="00F47865"/>
    <w:rsid w:val="00F5120B"/>
    <w:rsid w:val="00F519E9"/>
    <w:rsid w:val="00F51DBE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5914"/>
    <w:rsid w:val="00FB6282"/>
    <w:rsid w:val="00FB65ED"/>
    <w:rsid w:val="00FB7E46"/>
    <w:rsid w:val="00FC03CF"/>
    <w:rsid w:val="00FC0AA8"/>
    <w:rsid w:val="00FD1385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065B52-39DA-4085-8782-581E3D3A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3390</Words>
  <Characters>19327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4</cp:revision>
  <cp:lastPrinted>2020-03-02T13:04:00Z</cp:lastPrinted>
  <dcterms:created xsi:type="dcterms:W3CDTF">2021-01-13T16:42:00Z</dcterms:created>
  <dcterms:modified xsi:type="dcterms:W3CDTF">2021-01-13T16:44:00Z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