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42BB61CB"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w:t>
            </w:r>
            <w:r w:rsidR="001C403C">
              <w:t>6</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w:t>
            </w:r>
            <w:bookmarkStart w:id="0" w:name="_GoBack"/>
            <w:bookmarkEnd w:id="0"/>
            <w:r w:rsidRPr="00A7082A">
              <w:t>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5EEFA594" w14:textId="77777777" w:rsidR="001C403C" w:rsidRDefault="00CB2628" w:rsidP="001C403C">
      <w:pPr>
        <w:pStyle w:val="CH1"/>
      </w:pPr>
      <w:r w:rsidRPr="00A7082A">
        <w:rPr>
          <w:bCs/>
        </w:rPr>
        <w:tab/>
      </w:r>
      <w:r w:rsidRPr="00A7082A">
        <w:rPr>
          <w:bCs/>
        </w:rPr>
        <w:tab/>
      </w:r>
      <w:bookmarkStart w:id="1" w:name="_Toc7079446"/>
      <w:r w:rsidR="001C403C">
        <w:t>MC-2/6: Environmentally sound interim storage of mercury other than waste mercury</w:t>
      </w:r>
      <w:bookmarkEnd w:id="1"/>
    </w:p>
    <w:p w14:paraId="2AAFF948" w14:textId="77777777" w:rsidR="001C403C" w:rsidRDefault="001C403C" w:rsidP="001C403C">
      <w:pPr>
        <w:pStyle w:val="Normal-pool"/>
        <w:spacing w:after="120"/>
        <w:ind w:left="1247" w:firstLine="624"/>
        <w:rPr>
          <w:i/>
        </w:rPr>
      </w:pPr>
      <w:r>
        <w:rPr>
          <w:i/>
        </w:rPr>
        <w:t>The Conference of the Parties,</w:t>
      </w:r>
    </w:p>
    <w:p w14:paraId="3BFB02D1" w14:textId="77777777" w:rsidR="001C403C" w:rsidRDefault="001C403C" w:rsidP="001C403C">
      <w:pPr>
        <w:pStyle w:val="Normal-pool"/>
        <w:spacing w:after="120"/>
        <w:ind w:left="1247" w:firstLine="624"/>
      </w:pPr>
      <w:r>
        <w:rPr>
          <w:i/>
        </w:rPr>
        <w:t xml:space="preserve">Recognizing </w:t>
      </w:r>
      <w:r>
        <w:t>the need to assist parties in the environmentally sound interim storage of mercury other than waste mercury through the provision of guidelines,</w:t>
      </w:r>
    </w:p>
    <w:p w14:paraId="613A28FB" w14:textId="77777777" w:rsidR="001C403C" w:rsidRDefault="001C403C" w:rsidP="001C403C">
      <w:pPr>
        <w:pStyle w:val="Normal-pool"/>
        <w:numPr>
          <w:ilvl w:val="0"/>
          <w:numId w:val="102"/>
        </w:numPr>
        <w:tabs>
          <w:tab w:val="left" w:pos="624"/>
        </w:tabs>
        <w:spacing w:after="120"/>
        <w:ind w:left="1247" w:firstLine="624"/>
      </w:pPr>
      <w:r>
        <w:rPr>
          <w:i/>
        </w:rPr>
        <w:t>Adopts</w:t>
      </w:r>
      <w:r>
        <w:t xml:space="preserve"> the guidelines on the environmentally sound interim storage of mercury other than waste mercury</w:t>
      </w:r>
      <w:r>
        <w:rPr>
          <w:rFonts w:eastAsiaTheme="minorEastAsia"/>
          <w:vertAlign w:val="superscript"/>
        </w:rPr>
        <w:footnoteReference w:id="2"/>
      </w:r>
      <w:r>
        <w:t xml:space="preserve"> and calls upon parties to take them into account in complying with their obligation to take measures to ensure that the interim storage of such mercury and mercury compounds intended for a use allowed to a party under the Convention is undertaken in an environmentally sound manner;</w:t>
      </w:r>
    </w:p>
    <w:p w14:paraId="6F460073" w14:textId="00DE0A34" w:rsidR="001C403C" w:rsidRPr="001C403C" w:rsidRDefault="001C403C" w:rsidP="001C403C">
      <w:pPr>
        <w:pStyle w:val="Normal-pool"/>
        <w:numPr>
          <w:ilvl w:val="0"/>
          <w:numId w:val="102"/>
        </w:numPr>
        <w:tabs>
          <w:tab w:val="left" w:pos="624"/>
        </w:tabs>
        <w:spacing w:after="120"/>
        <w:ind w:left="1247" w:firstLine="624"/>
      </w:pPr>
      <w:r w:rsidRPr="001C403C">
        <w:rPr>
          <w:i/>
        </w:rPr>
        <w:t xml:space="preserve">Notes </w:t>
      </w:r>
      <w:r w:rsidRPr="001C403C">
        <w:rPr>
          <w:iCs/>
        </w:rPr>
        <w:t xml:space="preserve">that the guidelines may need to be </w:t>
      </w:r>
      <w:r w:rsidRPr="001C403C">
        <w:t>revised</w:t>
      </w:r>
      <w:r w:rsidRPr="001C403C">
        <w:rPr>
          <w:iCs/>
        </w:rPr>
        <w:t xml:space="preserve"> in the future to ensure that they continue to reflect best practice.</w:t>
      </w:r>
      <w:r w:rsidRPr="001C403C">
        <w:rPr>
          <w:sz w:val="24"/>
          <w:szCs w:val="24"/>
          <w:lang w:val="en-US" w:eastAsia="zh-CN"/>
        </w:rPr>
        <w:t xml:space="preserve"> </w:t>
      </w:r>
    </w:p>
    <w:p w14:paraId="74A2DEE9" w14:textId="6B8C348F" w:rsidR="003F4DA7" w:rsidRPr="001C403C" w:rsidRDefault="003F4DA7" w:rsidP="001C403C">
      <w:pPr>
        <w:pStyle w:val="CH1"/>
        <w:rPr>
          <w:sz w:val="24"/>
          <w:lang w:val="en-US"/>
        </w:rPr>
      </w:pPr>
    </w:p>
    <w:sectPr w:rsidR="003F4DA7" w:rsidRPr="001C403C"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9AC8" w14:textId="77777777" w:rsidR="00B2441D" w:rsidRDefault="00B2441D">
      <w:r>
        <w:separator/>
      </w:r>
    </w:p>
  </w:endnote>
  <w:endnote w:type="continuationSeparator" w:id="0">
    <w:p w14:paraId="1E2F11E5" w14:textId="77777777" w:rsidR="00B2441D" w:rsidRDefault="00B2441D">
      <w:r>
        <w:continuationSeparator/>
      </w:r>
    </w:p>
  </w:endnote>
  <w:endnote w:type="continuationNotice" w:id="1">
    <w:p w14:paraId="1717E183" w14:textId="77777777" w:rsidR="00B2441D" w:rsidRDefault="00B24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8B00" w14:textId="77777777" w:rsidR="00B2441D" w:rsidRPr="008D1ED6" w:rsidRDefault="00B2441D"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2648991D" w14:textId="77777777" w:rsidR="00B2441D" w:rsidRDefault="00B2441D">
      <w:r>
        <w:continuationSeparator/>
      </w:r>
    </w:p>
  </w:footnote>
  <w:footnote w:type="continuationNotice" w:id="1">
    <w:p w14:paraId="4B87ED62" w14:textId="77777777" w:rsidR="00B2441D" w:rsidRDefault="00B2441D"/>
  </w:footnote>
  <w:footnote w:id="2">
    <w:p w14:paraId="7CC94AA8" w14:textId="77777777" w:rsidR="001C403C" w:rsidRDefault="001C403C" w:rsidP="001C403C">
      <w:pPr>
        <w:pStyle w:val="Normal-pool"/>
        <w:tabs>
          <w:tab w:val="left" w:pos="624"/>
        </w:tabs>
        <w:spacing w:before="20" w:after="40"/>
        <w:ind w:left="1247"/>
        <w:rPr>
          <w:sz w:val="18"/>
          <w:szCs w:val="18"/>
        </w:rPr>
      </w:pPr>
      <w:r>
        <w:rPr>
          <w:rFonts w:eastAsiaTheme="minorEastAsia"/>
          <w:sz w:val="18"/>
          <w:szCs w:val="18"/>
          <w:vertAlign w:val="superscript"/>
        </w:rPr>
        <w:footnoteRef/>
      </w:r>
      <w:r>
        <w:rPr>
          <w:sz w:val="18"/>
          <w:szCs w:val="18"/>
        </w:rPr>
        <w:t xml:space="preserve"> The guidelines adopted by the Conference of the Parties at its second meeting were developed on the basis of the revised draft guidelines contained in document UNEP/MC/COP.2/5 and are set out in document UNEP/MC/COP.2/5/Rev.1, which is available on the website of the Minamata Convention on Mercury.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1DF52B7A"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DC9294B"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5E159AA5"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1C403C">
      <w:rPr>
        <w:szCs w:val="1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57B5EA1"/>
    <w:multiLevelType w:val="hybridMultilevel"/>
    <w:tmpl w:val="2638BFC6"/>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9"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3"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4" w15:restartNumberingAfterBreak="0">
    <w:nsid w:val="569C5C68"/>
    <w:multiLevelType w:val="hybridMultilevel"/>
    <w:tmpl w:val="BB7626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7"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5"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12"/>
  </w:num>
  <w:num w:numId="3">
    <w:abstractNumId w:val="27"/>
  </w:num>
  <w:num w:numId="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2"/>
  </w:num>
  <w:num w:numId="9">
    <w:abstractNumId w:val="17"/>
  </w:num>
  <w:num w:numId="10">
    <w:abstractNumId w:val="36"/>
  </w:num>
  <w:num w:numId="11">
    <w:abstractNumId w:val="3"/>
  </w:num>
  <w:num w:numId="12">
    <w:abstractNumId w:val="64"/>
  </w:num>
  <w:num w:numId="13">
    <w:abstractNumId w:val="45"/>
  </w:num>
  <w:num w:numId="14">
    <w:abstractNumId w:val="29"/>
  </w:num>
  <w:num w:numId="15">
    <w:abstractNumId w:val="8"/>
  </w:num>
  <w:num w:numId="16">
    <w:abstractNumId w:val="60"/>
  </w:num>
  <w:num w:numId="1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9"/>
  </w:num>
  <w:num w:numId="19">
    <w:abstractNumId w:val="18"/>
  </w:num>
  <w:num w:numId="20">
    <w:abstractNumId w:val="51"/>
  </w:num>
  <w:num w:numId="21">
    <w:abstractNumId w:val="15"/>
  </w:num>
  <w:num w:numId="2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0"/>
  </w:num>
  <w:num w:numId="28">
    <w:abstractNumId w:val="57"/>
  </w:num>
  <w:num w:numId="29">
    <w:abstractNumId w:val="30"/>
  </w:num>
  <w:num w:numId="30">
    <w:abstractNumId w:val="53"/>
  </w:num>
  <w:num w:numId="31">
    <w:abstractNumId w:val="47"/>
  </w:num>
  <w:num w:numId="32">
    <w:abstractNumId w:val="65"/>
  </w:num>
  <w:num w:numId="33">
    <w:abstractNumId w:val="33"/>
  </w:num>
  <w:num w:numId="34">
    <w:abstractNumId w:val="24"/>
  </w:num>
  <w:num w:numId="35">
    <w:abstractNumId w:val="9"/>
  </w:num>
  <w:num w:numId="36">
    <w:abstractNumId w:val="46"/>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43"/>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3"/>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6"/>
  </w:num>
  <w:num w:numId="44">
    <w:abstractNumId w:val="26"/>
  </w:num>
  <w:num w:numId="45">
    <w:abstractNumId w:val="55"/>
  </w:num>
  <w:num w:numId="46">
    <w:abstractNumId w:val="37"/>
  </w:num>
  <w:num w:numId="47">
    <w:abstractNumId w:val="21"/>
  </w:num>
  <w:num w:numId="48">
    <w:abstractNumId w:val="0"/>
  </w:num>
  <w:num w:numId="49">
    <w:abstractNumId w:val="39"/>
  </w:num>
  <w:num w:numId="50">
    <w:abstractNumId w:val="41"/>
  </w:num>
  <w:num w:numId="51">
    <w:abstractNumId w:val="40"/>
  </w:num>
  <w:num w:numId="52">
    <w:abstractNumId w:val="48"/>
  </w:num>
  <w:num w:numId="53">
    <w:abstractNumId w:val="50"/>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1"/>
  </w:num>
  <w:num w:numId="58">
    <w:abstractNumId w:val="38"/>
  </w:num>
  <w:num w:numId="59">
    <w:abstractNumId w:val="5"/>
  </w:num>
  <w:num w:numId="60">
    <w:abstractNumId w:val="35"/>
  </w:num>
  <w:num w:numId="61">
    <w:abstractNumId w:val="16"/>
  </w:num>
  <w:num w:numId="62">
    <w:abstractNumId w:val="22"/>
  </w:num>
  <w:num w:numId="63">
    <w:abstractNumId w:val="34"/>
  </w:num>
  <w:num w:numId="64">
    <w:abstractNumId w:val="4"/>
  </w:num>
  <w:num w:numId="6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4"/>
  </w:num>
  <w:num w:numId="94">
    <w:abstractNumId w:val="62"/>
  </w:num>
  <w:num w:numId="95">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8"/>
  </w:num>
  <w:num w:numId="100">
    <w:abstractNumId w:val="2"/>
  </w:num>
  <w:num w:numId="101">
    <w:abstractNumId w:val="28"/>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403C"/>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37258"/>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05736425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3.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D1AFD5-837A-412A-B71F-275F4CC9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1</Pages>
  <Words>181</Words>
  <Characters>941</Characters>
  <Application>Microsoft Office Word</Application>
  <DocSecurity>0</DocSecurity>
  <Lines>36</Lines>
  <Paragraphs>19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1103</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19</cp:revision>
  <cp:lastPrinted>2020-05-15T11:26:00Z</cp:lastPrinted>
  <dcterms:created xsi:type="dcterms:W3CDTF">2020-10-15T16:27:00Z</dcterms:created>
  <dcterms:modified xsi:type="dcterms:W3CDTF">2020-10-29T12:41:00Z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