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041"/>
        <w:gridCol w:w="992"/>
        <w:gridCol w:w="2749"/>
        <w:gridCol w:w="1651"/>
        <w:gridCol w:w="1410"/>
      </w:tblGrid>
      <w:tr w:rsidR="0015442E" w:rsidRPr="00D705C8" w14:paraId="66DCC6F4" w14:textId="77777777" w:rsidTr="0059162C">
        <w:trPr>
          <w:trHeight w:val="57"/>
          <w:jc w:val="right"/>
        </w:trPr>
        <w:tc>
          <w:tcPr>
            <w:tcW w:w="2694" w:type="dxa"/>
            <w:gridSpan w:val="2"/>
          </w:tcPr>
          <w:p w14:paraId="320BB4A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right="-57"/>
              <w:rPr>
                <w:rFonts w:ascii="Arial" w:hAnsi="Arial" w:cs="Arial"/>
                <w:b/>
                <w:bCs/>
                <w:sz w:val="27"/>
                <w:szCs w:val="27"/>
                <w:lang w:val="ru-RU"/>
              </w:rPr>
            </w:pPr>
            <w:bookmarkStart w:id="0" w:name="_Hlk74571254"/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5392" w:type="dxa"/>
            <w:gridSpan w:val="3"/>
          </w:tcPr>
          <w:p w14:paraId="061F1376" w14:textId="77777777" w:rsidR="0015442E" w:rsidRPr="00FE0852" w:rsidRDefault="006C2B82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/>
              <w:rPr>
                <w:lang w:val="en-US"/>
              </w:rPr>
            </w:pPr>
            <w:r w:rsidRPr="00FE0852">
              <w:rPr>
                <w:noProof/>
                <w:lang w:val="en-US"/>
              </w:rPr>
              <w:drawing>
                <wp:inline distT="0" distB="0" distL="0" distR="0" wp14:anchorId="0141F5FF" wp14:editId="5A86EB69">
                  <wp:extent cx="1267200" cy="57043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N-UNEP_RU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7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713A5BB3" w14:textId="77777777" w:rsidR="0015442E" w:rsidRPr="00FE0852" w:rsidRDefault="00F60EA5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</w:pPr>
            <w:r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M</w:t>
            </w:r>
            <w:r w:rsidR="0015442E"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C</w:t>
            </w:r>
          </w:p>
        </w:tc>
      </w:tr>
      <w:tr w:rsidR="0015442E" w:rsidRPr="00D705C8" w14:paraId="7D28D3C0" w14:textId="77777777" w:rsidTr="005C7D1D">
        <w:trPr>
          <w:trHeight w:val="57"/>
          <w:jc w:val="right"/>
        </w:trPr>
        <w:tc>
          <w:tcPr>
            <w:tcW w:w="1653" w:type="dxa"/>
            <w:tcBorders>
              <w:bottom w:val="single" w:sz="4" w:space="0" w:color="auto"/>
            </w:tcBorders>
          </w:tcPr>
          <w:p w14:paraId="3EC97241" w14:textId="77777777" w:rsidR="0015442E" w:rsidRPr="00487B54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</w:tcPr>
          <w:p w14:paraId="51310BDE" w14:textId="7777777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61A11ED6" w14:textId="49547FB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FE0852">
              <w:rPr>
                <w:b/>
                <w:bCs/>
                <w:sz w:val="28"/>
                <w:szCs w:val="28"/>
                <w:lang w:val="en-US"/>
              </w:rPr>
              <w:t>UNEP</w:t>
            </w:r>
            <w:r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MC</w:t>
            </w:r>
            <w:r w:rsidR="008659A0"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COP.</w:t>
            </w:r>
            <w:r w:rsidR="000F4549">
              <w:rPr>
                <w:lang w:val="en-US"/>
              </w:rPr>
              <w:t>4</w:t>
            </w:r>
            <w:r w:rsidR="001C3E7A" w:rsidRPr="00FE0852">
              <w:rPr>
                <w:lang w:val="en-US"/>
              </w:rPr>
              <w:t>/</w:t>
            </w:r>
            <w:r w:rsidR="00F37BD7">
              <w:rPr>
                <w:lang w:val="en-US"/>
              </w:rPr>
              <w:t>Dec.</w:t>
            </w:r>
            <w:r w:rsidR="003608D4">
              <w:rPr>
                <w:lang w:val="en-US"/>
              </w:rPr>
              <w:t>7</w:t>
            </w:r>
          </w:p>
        </w:tc>
      </w:tr>
      <w:tr w:rsidR="0015442E" w:rsidRPr="00D705C8" w14:paraId="35376371" w14:textId="77777777" w:rsidTr="0006181A">
        <w:trPr>
          <w:trHeight w:val="57"/>
          <w:jc w:val="right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2506F0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240"/>
              <w:ind w:left="-85"/>
              <w:rPr>
                <w:sz w:val="22"/>
                <w:lang w:val="en-US"/>
              </w:rPr>
            </w:pPr>
            <w:r w:rsidRPr="00FE0852">
              <w:rPr>
                <w:noProof/>
                <w:sz w:val="22"/>
                <w:lang w:val="en-US"/>
              </w:rPr>
              <w:drawing>
                <wp:inline distT="0" distB="0" distL="0" distR="0" wp14:anchorId="050208B2" wp14:editId="3A1442AC">
                  <wp:extent cx="2203450" cy="10287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INAMATA-BW_R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2C11AC5" w14:textId="77777777" w:rsidR="0015442E" w:rsidRPr="00746753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40" w:after="480"/>
              <w:rPr>
                <w:rFonts w:ascii="Arial" w:hAnsi="Arial" w:cs="Arial"/>
                <w:lang w:val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ED6EC7" w14:textId="77777777" w:rsidR="00A70B56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Distr.</w:t>
            </w:r>
            <w:r w:rsidR="00E317A4" w:rsidRPr="00FE0852">
              <w:rPr>
                <w:lang w:val="en-US"/>
              </w:rPr>
              <w:t>:</w:t>
            </w:r>
            <w:r w:rsidRPr="00FE0852">
              <w:rPr>
                <w:lang w:val="en-US"/>
              </w:rPr>
              <w:t xml:space="preserve"> </w:t>
            </w:r>
            <w:r w:rsidR="00E317A4" w:rsidRPr="00FE0852">
              <w:rPr>
                <w:lang w:val="en-US"/>
              </w:rPr>
              <w:t>G</w:t>
            </w:r>
            <w:r w:rsidRPr="00FE0852">
              <w:rPr>
                <w:lang w:val="en-US"/>
              </w:rPr>
              <w:t>eneral</w:t>
            </w:r>
          </w:p>
          <w:p w14:paraId="452CB143" w14:textId="69DE5485" w:rsidR="0015442E" w:rsidRPr="00FE0852" w:rsidRDefault="004C653D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 April</w:t>
            </w:r>
            <w:r w:rsidR="001C3E7A" w:rsidRPr="00FE0852">
              <w:rPr>
                <w:iCs/>
                <w:lang w:val="en-US"/>
              </w:rPr>
              <w:t xml:space="preserve"> 202</w:t>
            </w:r>
            <w:r w:rsidR="00522FC4">
              <w:rPr>
                <w:iCs/>
                <w:lang w:val="en-US"/>
              </w:rPr>
              <w:t>2</w:t>
            </w:r>
          </w:p>
          <w:p w14:paraId="5C2261EC" w14:textId="77777777" w:rsidR="00A70B56" w:rsidRDefault="00E317A4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Russian</w:t>
            </w:r>
            <w:r w:rsidR="005C7D1D" w:rsidRPr="00FE0852">
              <w:rPr>
                <w:lang w:val="en-US"/>
              </w:rPr>
              <w:t xml:space="preserve"> </w:t>
            </w:r>
          </w:p>
          <w:p w14:paraId="5E992BEF" w14:textId="47E94C56" w:rsidR="0015442E" w:rsidRPr="00FE0852" w:rsidRDefault="0015442E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22"/>
                <w:lang w:val="en-US"/>
              </w:rPr>
            </w:pPr>
            <w:r w:rsidRPr="00FE0852">
              <w:rPr>
                <w:lang w:val="en-US"/>
              </w:rPr>
              <w:t xml:space="preserve">Original: </w:t>
            </w:r>
            <w:r w:rsidR="00E317A4" w:rsidRPr="00FE0852">
              <w:rPr>
                <w:lang w:val="en-US"/>
              </w:rPr>
              <w:t>English</w:t>
            </w:r>
          </w:p>
        </w:tc>
      </w:tr>
    </w:tbl>
    <w:p w14:paraId="28EEA3F1" w14:textId="77777777" w:rsidR="00962471" w:rsidRPr="00FE0852" w:rsidRDefault="0059162C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 xml:space="preserve">Конференция Сторон </w:t>
      </w:r>
      <w:proofErr w:type="spellStart"/>
      <w:r w:rsidRPr="00FE0852">
        <w:rPr>
          <w:b/>
          <w:bCs/>
          <w:lang w:val="ru-RU"/>
        </w:rPr>
        <w:t>Минаматской</w:t>
      </w:r>
      <w:proofErr w:type="spellEnd"/>
      <w:r w:rsidRPr="00FE0852">
        <w:rPr>
          <w:b/>
          <w:bCs/>
          <w:lang w:val="ru-RU"/>
        </w:rPr>
        <w:t xml:space="preserve"> </w:t>
      </w:r>
      <w:r w:rsidR="00E317A4" w:rsidRPr="00FE0852">
        <w:rPr>
          <w:b/>
          <w:bCs/>
          <w:lang w:val="ru-RU"/>
        </w:rPr>
        <w:br/>
      </w:r>
      <w:r w:rsidRPr="00FE0852">
        <w:rPr>
          <w:b/>
          <w:bCs/>
          <w:lang w:val="ru-RU"/>
        </w:rPr>
        <w:t>конвенции о ртути</w:t>
      </w:r>
    </w:p>
    <w:bookmarkEnd w:id="0"/>
    <w:p w14:paraId="66142FBD" w14:textId="62514BC0" w:rsidR="00962471" w:rsidRPr="00FE0852" w:rsidRDefault="001C3E7A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>Четвертое</w:t>
      </w:r>
      <w:r w:rsidR="00962471" w:rsidRPr="00FE0852">
        <w:rPr>
          <w:b/>
          <w:bCs/>
          <w:lang w:val="ru-RU"/>
        </w:rPr>
        <w:t xml:space="preserve"> </w:t>
      </w:r>
      <w:r w:rsidR="00375D74" w:rsidRPr="00FE0852">
        <w:rPr>
          <w:b/>
          <w:bCs/>
          <w:lang w:val="ru-RU"/>
        </w:rPr>
        <w:t>совещание</w:t>
      </w:r>
    </w:p>
    <w:p w14:paraId="543F444E" w14:textId="137F42E9" w:rsidR="00EB6A99" w:rsidRPr="009459E3" w:rsidRDefault="003C1CBA" w:rsidP="00134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4536"/>
        <w:rPr>
          <w:lang w:val="ru-RU"/>
        </w:rPr>
      </w:pPr>
      <w:r>
        <w:rPr>
          <w:bCs/>
          <w:lang w:val="ru-RU"/>
        </w:rPr>
        <w:t xml:space="preserve">В онлайн-режиме, 1-5 ноября 2021 года, </w:t>
      </w:r>
      <w:r w:rsidR="007B33B3">
        <w:rPr>
          <w:bCs/>
          <w:lang w:val="ru-RU"/>
        </w:rPr>
        <w:br/>
      </w:r>
      <w:r w:rsidR="001346DB">
        <w:rPr>
          <w:bCs/>
          <w:lang w:val="ru-RU"/>
        </w:rPr>
        <w:t xml:space="preserve">и </w:t>
      </w:r>
      <w:r>
        <w:rPr>
          <w:bCs/>
          <w:lang w:val="ru-RU"/>
        </w:rPr>
        <w:t>Бали, Индонезия, 21-25 марта 2022 года</w:t>
      </w:r>
    </w:p>
    <w:p w14:paraId="29547FE7" w14:textId="77777777" w:rsidR="001064A3" w:rsidRPr="00611117" w:rsidRDefault="001064A3" w:rsidP="00611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 xml:space="preserve">Решения, принятые четвертым совещанием Конференции Сторон </w:t>
      </w:r>
      <w:proofErr w:type="spellStart"/>
      <w:r w:rsidRPr="00611117">
        <w:rPr>
          <w:b/>
          <w:bCs/>
          <w:sz w:val="28"/>
          <w:szCs w:val="28"/>
          <w:lang w:val="ru-RU"/>
        </w:rPr>
        <w:t>Минаматской</w:t>
      </w:r>
      <w:proofErr w:type="spellEnd"/>
      <w:r w:rsidRPr="00611117">
        <w:rPr>
          <w:b/>
          <w:bCs/>
          <w:sz w:val="28"/>
          <w:szCs w:val="28"/>
          <w:lang w:val="ru-RU"/>
        </w:rPr>
        <w:t xml:space="preserve"> конвенции о ртути</w:t>
      </w:r>
    </w:p>
    <w:p w14:paraId="22D9F6EE" w14:textId="77777777" w:rsidR="00207BAF" w:rsidRPr="00985FE8" w:rsidRDefault="001064A3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rPr>
          <w:rFonts w:eastAsia="SimSun"/>
          <w:b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ab/>
      </w:r>
      <w:bookmarkStart w:id="1" w:name="_Toc99982080"/>
      <w:r w:rsidR="00207BAF" w:rsidRPr="00985FE8">
        <w:rPr>
          <w:rFonts w:eastAsia="SimSun"/>
          <w:b/>
          <w:bCs/>
          <w:sz w:val="28"/>
          <w:szCs w:val="28"/>
          <w:lang w:val="ru-RU"/>
        </w:rPr>
        <w:t>МК-4/7: Второй обзор механизма финансирования</w:t>
      </w:r>
      <w:bookmarkEnd w:id="1"/>
    </w:p>
    <w:p w14:paraId="1EE2D8F0" w14:textId="77777777" w:rsidR="00207BAF" w:rsidRPr="00985FE8" w:rsidRDefault="00207BAF" w:rsidP="00207B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iCs/>
          <w:lang w:val="ru-RU"/>
        </w:rPr>
      </w:pPr>
      <w:r w:rsidRPr="00985FE8">
        <w:rPr>
          <w:rFonts w:eastAsia="SimSun"/>
          <w:i/>
          <w:iCs/>
          <w:lang w:val="ru-RU"/>
        </w:rPr>
        <w:t>Конференция Сторон</w:t>
      </w:r>
      <w:r w:rsidRPr="00985FE8">
        <w:rPr>
          <w:rFonts w:eastAsia="SimSun"/>
          <w:lang w:val="ru-RU"/>
        </w:rPr>
        <w:t>,</w:t>
      </w:r>
    </w:p>
    <w:p w14:paraId="7FA925CF" w14:textId="77777777" w:rsidR="00207BAF" w:rsidRPr="00985FE8" w:rsidRDefault="00207BAF" w:rsidP="00207BA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985FE8">
        <w:rPr>
          <w:rFonts w:eastAsia="SimSun"/>
          <w:i/>
          <w:iCs/>
          <w:lang w:val="ru-RU"/>
        </w:rPr>
        <w:t>принимая во внимание</w:t>
      </w:r>
      <w:r w:rsidRPr="00985FE8">
        <w:rPr>
          <w:rFonts w:eastAsia="SimSun"/>
          <w:lang w:val="ru-RU"/>
        </w:rPr>
        <w:t xml:space="preserve"> пункт 11 статьи 13 об обзоре механизма финансирования,</w:t>
      </w:r>
    </w:p>
    <w:p w14:paraId="171C6000" w14:textId="77777777" w:rsidR="00207BAF" w:rsidRPr="00985FE8" w:rsidRDefault="00207BAF" w:rsidP="00207B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985FE8">
        <w:rPr>
          <w:rFonts w:eastAsia="SimSun"/>
          <w:i/>
          <w:iCs/>
          <w:lang w:val="ru-RU"/>
        </w:rPr>
        <w:t>принимает</w:t>
      </w:r>
      <w:r w:rsidRPr="00985FE8">
        <w:rPr>
          <w:rFonts w:eastAsia="SimSun"/>
          <w:lang w:val="ru-RU"/>
        </w:rPr>
        <w:t xml:space="preserve"> Положение о проведении второго обзора механизма финансирования, изложенное в приложении к настоящему решению; </w:t>
      </w:r>
    </w:p>
    <w:p w14:paraId="369BA5C2" w14:textId="77777777" w:rsidR="00207BAF" w:rsidRPr="00985FE8" w:rsidRDefault="00207BAF" w:rsidP="00207B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985FE8">
        <w:rPr>
          <w:rFonts w:eastAsia="SimSun"/>
          <w:i/>
          <w:iCs/>
          <w:lang w:val="ru-RU"/>
        </w:rPr>
        <w:t>предлагает</w:t>
      </w:r>
      <w:r w:rsidRPr="00985FE8">
        <w:rPr>
          <w:rFonts w:eastAsia="SimSun"/>
          <w:lang w:val="ru-RU"/>
        </w:rPr>
        <w:t xml:space="preserve"> Сторонам, межправительственным организациям, неправительственным организациям и заинтересованным сторонам как можно скорее, но не позднее 30 сентября 2022 года представить информацию, соответствующую Положению о проведении обзора и оформленную в соответствии с перечисленными критериями эффективности, об их опыте взаимодействия с механизмом финансирования; </w:t>
      </w:r>
    </w:p>
    <w:p w14:paraId="0C32E171" w14:textId="77777777" w:rsidR="00207BAF" w:rsidRPr="00985FE8" w:rsidRDefault="00207BAF" w:rsidP="00207BAF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985FE8">
        <w:rPr>
          <w:rFonts w:eastAsia="SimSun"/>
          <w:i/>
          <w:iCs/>
          <w:lang w:val="ru-RU"/>
        </w:rPr>
        <w:t>поручает</w:t>
      </w:r>
      <w:r w:rsidRPr="00985FE8">
        <w:rPr>
          <w:rFonts w:eastAsia="SimSun"/>
          <w:lang w:val="ru-RU"/>
        </w:rPr>
        <w:t xml:space="preserve"> секретариату собрать информацию, относящуюся ко второму обзору механизма финансирования, и представить ее Конференции Сторон для рассмотрения на ее пятом совещании. </w:t>
      </w:r>
    </w:p>
    <w:p w14:paraId="16FF56FD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rPr>
          <w:rFonts w:eastAsia="SimSun"/>
          <w:b/>
          <w:sz w:val="24"/>
          <w:szCs w:val="24"/>
          <w:lang w:val="ru-RU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>Приложение к решению МК-4/7</w:t>
      </w:r>
    </w:p>
    <w:p w14:paraId="5CB8DE75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rPr>
          <w:rFonts w:eastAsia="SimSun"/>
          <w:b/>
          <w:sz w:val="24"/>
          <w:szCs w:val="24"/>
          <w:lang w:val="ru-RU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>Положение о проведении второго обзора механизма финансирования</w:t>
      </w:r>
      <w:r w:rsidRPr="00985FE8">
        <w:rPr>
          <w:rFonts w:eastAsia="SimSun"/>
          <w:b/>
          <w:sz w:val="24"/>
          <w:szCs w:val="24"/>
          <w:lang w:val="ru-RU"/>
        </w:rPr>
        <w:t xml:space="preserve"> </w:t>
      </w:r>
    </w:p>
    <w:p w14:paraId="3B3B1156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uppressAutoHyphens/>
        <w:spacing w:after="120"/>
        <w:ind w:left="1247" w:right="284" w:hanging="1247"/>
        <w:rPr>
          <w:rFonts w:eastAsia="SimSun"/>
          <w:b/>
          <w:sz w:val="24"/>
          <w:szCs w:val="24"/>
          <w:lang w:val="en-GB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ab/>
        <w:t>A.</w:t>
      </w:r>
      <w:r w:rsidRPr="00985FE8">
        <w:rPr>
          <w:rFonts w:eastAsia="SimSun"/>
          <w:b/>
          <w:sz w:val="24"/>
          <w:szCs w:val="24"/>
          <w:lang w:val="ru-RU"/>
        </w:rPr>
        <w:tab/>
      </w:r>
      <w:r w:rsidRPr="00985FE8">
        <w:rPr>
          <w:rFonts w:eastAsia="SimSun"/>
          <w:b/>
          <w:bCs/>
          <w:sz w:val="24"/>
          <w:szCs w:val="24"/>
          <w:lang w:val="ru-RU"/>
        </w:rPr>
        <w:t>Цель</w:t>
      </w:r>
      <w:r w:rsidRPr="00985FE8">
        <w:rPr>
          <w:rFonts w:eastAsia="SimSun"/>
          <w:b/>
          <w:sz w:val="24"/>
          <w:szCs w:val="24"/>
          <w:lang w:val="ru-RU"/>
        </w:rPr>
        <w:t xml:space="preserve"> </w:t>
      </w:r>
    </w:p>
    <w:p w14:paraId="6414DA1F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en-GB"/>
        </w:rPr>
      </w:pPr>
      <w:r w:rsidRPr="00985FE8">
        <w:rPr>
          <w:lang w:val="ru-RU"/>
        </w:rPr>
        <w:t xml:space="preserve">В соответствии с пунктом 11 статьи 13 </w:t>
      </w:r>
      <w:proofErr w:type="spellStart"/>
      <w:r w:rsidRPr="00985FE8">
        <w:rPr>
          <w:lang w:val="ru-RU"/>
        </w:rPr>
        <w:t>Минаматской</w:t>
      </w:r>
      <w:proofErr w:type="spellEnd"/>
      <w:r w:rsidRPr="00985FE8">
        <w:rPr>
          <w:lang w:val="ru-RU"/>
        </w:rPr>
        <w:t xml:space="preserve"> конвенции о ртути Конференция Сторон проводит обзор механизма финансирования, учрежденного согласно статье 13 для поддержки Сторон в осуществлении Конвенции, с целью принятия, при необходимости, соответствующих мер для повышения эффективности механизма финансирования. В соответствии с пунктом 11 статьи 13, обзор включает анализ: </w:t>
      </w:r>
    </w:p>
    <w:p w14:paraId="0F00B4DA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en-GB"/>
        </w:rPr>
      </w:pPr>
      <w:r w:rsidRPr="00985FE8">
        <w:rPr>
          <w:lang w:val="ru-RU"/>
        </w:rPr>
        <w:t xml:space="preserve">уровня финансирования; </w:t>
      </w:r>
    </w:p>
    <w:p w14:paraId="2926BDA7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способности механизма финансирования мобилизовать ресурсы из всех источников, уровня и типа финансирования, включая дифференциацию между целевыми и нецелевыми добровольными взносами;</w:t>
      </w:r>
    </w:p>
    <w:p w14:paraId="4E467AD2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руководящих указаний Конференции Сторон для Глобального экологического фонда и Целевой международной программы для поддержки процессов создания потенциала и оказания технической помощи как субъектов, которым поручено обеспечивать работоспособность механизма; </w:t>
      </w:r>
    </w:p>
    <w:p w14:paraId="00E2AB40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lastRenderedPageBreak/>
        <w:t>эффективности и результативности Глобального экологического фонда и Целевой международной программы как субъектов, которым поручено обеспечивать работоспособность механизма финансирования;</w:t>
      </w:r>
    </w:p>
    <w:p w14:paraId="12D06B61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способности этих субъектов механизма финансирования удовлетворять изменяющиеся потребности Сторон, являющихся развивающимися странами, и Сторон с переходной экономикой. </w:t>
      </w:r>
    </w:p>
    <w:p w14:paraId="60B41365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uppressAutoHyphens/>
        <w:spacing w:after="120"/>
        <w:ind w:left="1247" w:right="284" w:hanging="1247"/>
        <w:rPr>
          <w:rFonts w:eastAsia="SimSun"/>
          <w:b/>
          <w:sz w:val="24"/>
          <w:szCs w:val="24"/>
          <w:lang w:val="en-GB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ab/>
        <w:t>B.</w:t>
      </w:r>
      <w:r w:rsidRPr="00985FE8">
        <w:rPr>
          <w:rFonts w:eastAsia="SimSun"/>
          <w:b/>
          <w:sz w:val="24"/>
          <w:szCs w:val="24"/>
          <w:lang w:val="ru-RU"/>
        </w:rPr>
        <w:tab/>
      </w:r>
      <w:r w:rsidRPr="00985FE8">
        <w:rPr>
          <w:rFonts w:eastAsia="SimSun"/>
          <w:b/>
          <w:bCs/>
          <w:sz w:val="24"/>
          <w:szCs w:val="24"/>
          <w:lang w:val="ru-RU"/>
        </w:rPr>
        <w:t>Методология</w:t>
      </w:r>
      <w:r w:rsidRPr="00985FE8">
        <w:rPr>
          <w:rFonts w:eastAsia="SimSun"/>
          <w:b/>
          <w:sz w:val="24"/>
          <w:szCs w:val="24"/>
          <w:lang w:val="ru-RU"/>
        </w:rPr>
        <w:t xml:space="preserve"> </w:t>
      </w:r>
    </w:p>
    <w:p w14:paraId="77590702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>Обзор будет охватывать работу механизма финансирования за период с августа 2019</w:t>
      </w:r>
      <w:r w:rsidRPr="00985FE8">
        <w:rPr>
          <w:lang w:val="en-US"/>
        </w:rPr>
        <w:t> </w:t>
      </w:r>
      <w:r w:rsidRPr="00985FE8">
        <w:rPr>
          <w:lang w:val="ru-RU"/>
        </w:rPr>
        <w:t xml:space="preserve">года по июль 2022 года, который представляет собой период времени с момента завершения первого обзора механизма финансирования до окончания периода седьмого пополнения целевого фонда Глобального экологического фонда и охватывает первые три раунда подачи заявок на участие в Целевой международной программе, с особым акцентом на те мероприятия, осуществление которых было завершено в течение этого периода. </w:t>
      </w:r>
    </w:p>
    <w:p w14:paraId="2D6EBCE2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При проведении обзора будут использованы, в частности, следующие источники информации: </w:t>
      </w:r>
    </w:p>
    <w:p w14:paraId="0C50E5F9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информация, представленная Сторонами об их опыте взаимодействия с механизмом финансирования, оформленная в соответствии с критериями эффективности, изложенными в разделе D настоящего положения; </w:t>
      </w:r>
    </w:p>
    <w:p w14:paraId="169339F5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доклады, представленные Конференции Сторон субъектами, которым поручено обеспечивать работоспособность механизма финансирования; </w:t>
      </w:r>
    </w:p>
    <w:p w14:paraId="29231DD5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другие доклады, представленные субъектами, которым поручено обеспечивать работоспособность механизма финансирования, включая, среди прочего, доклады Управления независимой оценки Глобального экологического фонда, заключительные оценки завершенных проектов Целевой международной программы и доклады о текущих проектах Целевой международной программы; </w:t>
      </w:r>
    </w:p>
    <w:p w14:paraId="433C4633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en-GB"/>
        </w:rPr>
      </w:pPr>
      <w:r w:rsidRPr="00985FE8">
        <w:rPr>
          <w:lang w:val="ru-RU"/>
        </w:rPr>
        <w:t xml:space="preserve">соответствующие доклады и информация, представляемые межправительственными и неправительственными организациями; заинтересованными сторонами; другими субъектами, оказывающими многостороннюю, региональную и двустороннюю финансовую и техническую помощь в соответствии с пунктами 1 и 3 статьи 13 Конвенции; Специальной программой для оказания поддержки деятельности по укреплению институционального потенциала на национальном уровне в интересах осуществления Базельской, Роттердамской и Стокгольмской конвенций, </w:t>
      </w:r>
      <w:proofErr w:type="spellStart"/>
      <w:r w:rsidRPr="00985FE8">
        <w:rPr>
          <w:lang w:val="ru-RU"/>
        </w:rPr>
        <w:t>Минаматской</w:t>
      </w:r>
      <w:proofErr w:type="spellEnd"/>
      <w:r w:rsidRPr="00985FE8">
        <w:rPr>
          <w:lang w:val="ru-RU"/>
        </w:rPr>
        <w:t xml:space="preserve"> конвенции и Стратегического подхода к международному регулированию химических веществ (с учетом взаимодополняемости и предупреждения дублирования); Глобального партнерства по ртути (относительно его взаимодействия с механизмом финансирования в содействии осуществлению Конвенции); </w:t>
      </w:r>
    </w:p>
    <w:p w14:paraId="7A5DF9DA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color w:val="000000"/>
          <w:lang w:val="ru-RU"/>
        </w:rPr>
      </w:pPr>
      <w:r w:rsidRPr="00985FE8">
        <w:rPr>
          <w:lang w:val="ru-RU"/>
        </w:rPr>
        <w:t>доклады, представляемые Сторонами во исполнение статьи 21 Конвенции;</w:t>
      </w:r>
    </w:p>
    <w:p w14:paraId="02470C8C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color w:val="000000"/>
          <w:lang w:val="ru-RU"/>
        </w:rPr>
      </w:pPr>
      <w:r w:rsidRPr="00985FE8">
        <w:rPr>
          <w:lang w:val="ru-RU"/>
        </w:rPr>
        <w:t xml:space="preserve">доклад Директора-исполнителя Программы Организации Объединенных Наций по окружающей среде «Укрепление Целевой международной программы для поддержки процессов создания потенциала и оказания технической помощи </w:t>
      </w:r>
      <w:proofErr w:type="spellStart"/>
      <w:r w:rsidRPr="00985FE8">
        <w:rPr>
          <w:lang w:val="ru-RU"/>
        </w:rPr>
        <w:t>Минаматской</w:t>
      </w:r>
      <w:proofErr w:type="spellEnd"/>
      <w:r w:rsidRPr="00985FE8">
        <w:rPr>
          <w:lang w:val="ru-RU"/>
        </w:rPr>
        <w:t xml:space="preserve"> конвенции о ртути: повышение эффективности функционирования Программы» (UNEP/MC/COP.4/13).</w:t>
      </w:r>
    </w:p>
    <w:p w14:paraId="7AB8FD25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Во исполнение настоящего положения секретариат, при условии наличия ресурсов: </w:t>
      </w:r>
    </w:p>
    <w:p w14:paraId="25D46DAE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принимает надлежащие организационные меры для того, чтобы проведение второго обзора механизма финансирования носило независимый, транспарентный, эффективный и результативный характер; </w:t>
      </w:r>
    </w:p>
    <w:p w14:paraId="618072B7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нанимает консультанта для подготовки проекта доклада о представленной информации; </w:t>
      </w:r>
    </w:p>
    <w:p w14:paraId="17BDD3C3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представляет проект доклада об обзоре Конференции Сторон для рассмотрения на ее пятом совещании. </w:t>
      </w:r>
    </w:p>
    <w:p w14:paraId="6871AE4A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Субъектам, которым поручено обеспечивать функционирование механизма финансирования, поручается своевременно предоставлять информацию, относящуюся к этому обзору. </w:t>
      </w:r>
    </w:p>
    <w:p w14:paraId="6C382D8A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К Сторонам обращается просьба представить информацию во исполнение пункта 3 а) выше как можно скорее, но не позднее 30 сентября 2022 года. </w:t>
      </w:r>
    </w:p>
    <w:p w14:paraId="4237ED1C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lastRenderedPageBreak/>
        <w:t>Межправительственным и неправительственным организациям, заинтересованным сторонам, Целевой программе, Глобальному партнерству по ртути и соответствующим субъектам, оказывающим многостороннюю, региональную и двустороннюю финансовую и техническую помощь, предлагается представить соответствующую информацию в соответствии с целями настоящего обзора как можно скорее и не позднее 30 сентября 2022</w:t>
      </w:r>
      <w:r w:rsidRPr="00985FE8">
        <w:rPr>
          <w:lang w:val="en-US"/>
        </w:rPr>
        <w:t> </w:t>
      </w:r>
      <w:r w:rsidRPr="00985FE8">
        <w:rPr>
          <w:lang w:val="ru-RU"/>
        </w:rPr>
        <w:t xml:space="preserve">года. </w:t>
      </w:r>
    </w:p>
    <w:p w14:paraId="76902D40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uppressAutoHyphens/>
        <w:spacing w:after="120"/>
        <w:ind w:left="1247" w:right="284" w:hanging="1247"/>
        <w:rPr>
          <w:rFonts w:eastAsia="SimSun"/>
          <w:b/>
          <w:sz w:val="24"/>
          <w:szCs w:val="24"/>
          <w:lang w:val="en-GB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ab/>
        <w:t>C.</w:t>
      </w:r>
      <w:r w:rsidRPr="00985FE8">
        <w:rPr>
          <w:rFonts w:eastAsia="SimSun"/>
          <w:b/>
          <w:sz w:val="24"/>
          <w:szCs w:val="24"/>
          <w:lang w:val="ru-RU"/>
        </w:rPr>
        <w:tab/>
      </w:r>
      <w:r w:rsidRPr="00985FE8">
        <w:rPr>
          <w:rFonts w:eastAsia="SimSun"/>
          <w:b/>
          <w:bCs/>
          <w:sz w:val="24"/>
          <w:szCs w:val="24"/>
          <w:lang w:val="ru-RU"/>
        </w:rPr>
        <w:t>Доклад</w:t>
      </w:r>
      <w:r w:rsidRPr="00985FE8">
        <w:rPr>
          <w:rFonts w:eastAsia="SimSun"/>
          <w:b/>
          <w:sz w:val="24"/>
          <w:szCs w:val="24"/>
          <w:lang w:val="ru-RU"/>
        </w:rPr>
        <w:t xml:space="preserve"> </w:t>
      </w:r>
    </w:p>
    <w:p w14:paraId="1424E78A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Доклад о втором обзоре будет включать следующие элементы: </w:t>
      </w:r>
    </w:p>
    <w:p w14:paraId="66D35333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обзор элементов, указанных в подпунктах a)-</w:t>
      </w:r>
      <w:r>
        <w:rPr>
          <w:lang w:val="en-US"/>
        </w:rPr>
        <w:t>e</w:t>
      </w:r>
      <w:r w:rsidRPr="00985FE8">
        <w:rPr>
          <w:lang w:val="ru-RU"/>
        </w:rPr>
        <w:t xml:space="preserve">) пункта 1 выше; </w:t>
      </w:r>
    </w:p>
    <w:p w14:paraId="542BC2F6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анализ уроков, извлеченных из опыта осуществления мероприятий, финансируемых по линии механизма финансирования в течение охватываемого обзором периода; </w:t>
      </w:r>
    </w:p>
    <w:p w14:paraId="2DE345BD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оценка принципов Глобального экологического фонда, касающихся дополнительных издержек и глобальных экологических преимуществ, применительно к мероприятиям по выполнению обязательств в рамках Конвенции, наряду с уроками, извлеченными из докладов об оценке деятельности Глобального экологического фонда, итоговых докладов и докладов об оценке завершенных проектов в рамках Целевой международной программы; </w:t>
      </w:r>
    </w:p>
    <w:p w14:paraId="02F72C7F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оценка устойчивости, транспарентности и доступности финансирования, предоставляемого в рамках механизма финансирования для осуществления целей Конвенции;</w:t>
      </w:r>
    </w:p>
    <w:p w14:paraId="5F72A687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определение ресурсов, мобилизованных непосредственно механизмом финансирования, включая взносы натурой и совместное финансирование, и, по возможности, количественная и (или) качественная оценка ресурсов, мобилизованных косвенным образом благодаря мерам, принятым частным сектором и другими заинтересованными сторонами;</w:t>
      </w:r>
    </w:p>
    <w:p w14:paraId="4C6B7132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рекомендации по повышению эффективности и результативности механизма финансирования в деле достижения цели Конвенции; </w:t>
      </w:r>
    </w:p>
    <w:p w14:paraId="50E26813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 xml:space="preserve">оценка на основании критериев эффективности, изложенных в пункте 10 ниже. </w:t>
      </w:r>
    </w:p>
    <w:p w14:paraId="18BF83BC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color w:val="000000"/>
          <w:lang w:val="ru-RU"/>
        </w:rPr>
      </w:pPr>
      <w:r w:rsidRPr="00985FE8">
        <w:rPr>
          <w:lang w:val="ru-RU"/>
        </w:rPr>
        <w:t xml:space="preserve">Секретариат представит упомянутый выше доклад Конференции Сторон для рассмотрения на ее пятом совещании. </w:t>
      </w:r>
    </w:p>
    <w:p w14:paraId="062D8D2E" w14:textId="77777777" w:rsidR="00207BAF" w:rsidRPr="00985FE8" w:rsidRDefault="00207BAF" w:rsidP="00207BAF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uppressAutoHyphens/>
        <w:spacing w:after="120"/>
        <w:ind w:left="1247" w:right="284" w:hanging="1247"/>
        <w:rPr>
          <w:rFonts w:eastAsia="SimSun"/>
          <w:b/>
          <w:sz w:val="24"/>
          <w:szCs w:val="24"/>
          <w:lang w:val="en-GB"/>
        </w:rPr>
      </w:pPr>
      <w:r w:rsidRPr="00985FE8">
        <w:rPr>
          <w:rFonts w:eastAsia="SimSun"/>
          <w:b/>
          <w:bCs/>
          <w:sz w:val="24"/>
          <w:szCs w:val="24"/>
          <w:lang w:val="ru-RU"/>
        </w:rPr>
        <w:tab/>
        <w:t>D.</w:t>
      </w:r>
      <w:r w:rsidRPr="00985FE8">
        <w:rPr>
          <w:rFonts w:eastAsia="SimSun"/>
          <w:b/>
          <w:sz w:val="24"/>
          <w:szCs w:val="24"/>
          <w:lang w:val="ru-RU"/>
        </w:rPr>
        <w:tab/>
      </w:r>
      <w:r w:rsidRPr="00985FE8">
        <w:rPr>
          <w:rFonts w:eastAsia="SimSun"/>
          <w:b/>
          <w:bCs/>
          <w:sz w:val="24"/>
          <w:szCs w:val="24"/>
          <w:lang w:val="ru-RU"/>
        </w:rPr>
        <w:t>Критерии эффективности</w:t>
      </w:r>
      <w:r w:rsidRPr="00985FE8">
        <w:rPr>
          <w:rFonts w:eastAsia="SimSun"/>
          <w:b/>
          <w:sz w:val="24"/>
          <w:szCs w:val="24"/>
          <w:lang w:val="ru-RU"/>
        </w:rPr>
        <w:t xml:space="preserve"> </w:t>
      </w:r>
    </w:p>
    <w:p w14:paraId="1C8DD4F0" w14:textId="77777777" w:rsidR="00207BAF" w:rsidRPr="00985FE8" w:rsidRDefault="00207BAF" w:rsidP="00207BAF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ru-RU"/>
        </w:rPr>
      </w:pPr>
      <w:r w:rsidRPr="00985FE8">
        <w:rPr>
          <w:lang w:val="ru-RU"/>
        </w:rPr>
        <w:t xml:space="preserve">Эффективность и результативность механизма финансирования будет оцениваться, среди прочего, на основе следующих критериев: </w:t>
      </w:r>
    </w:p>
    <w:p w14:paraId="082EA9A6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чуткость реагирования Глобального экологического фонда и Целевой международной программы на руководящие указания, принятые или предоставленные Конференцией Сторон;</w:t>
      </w:r>
    </w:p>
    <w:p w14:paraId="012EEA19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степень, в которой проекты, финансируемые в рамках механизма финансирования, уже сократили или, как ожидается, сократят объем предложения и применения ртути, а также ее выбросов и высвобождений и обеспечат другие преимущества с точки зрения осуществления Конвенции;</w:t>
      </w:r>
    </w:p>
    <w:p w14:paraId="7FD77BAC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транспарентность и своевременность процесса утверждения проектов;</w:t>
      </w:r>
    </w:p>
    <w:p w14:paraId="08B07757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наличие простых, гибких и оперативных процедур получения доступа к финансовым средствам, осуществления проектов и представления информации о них;</w:t>
      </w:r>
    </w:p>
    <w:p w14:paraId="74DEFB60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достаточный объем и устойчивость имеющихся ресурсов;</w:t>
      </w:r>
    </w:p>
    <w:p w14:paraId="295E899D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национальная ответственность стран за мероприятия, финансируемые по линии механизма финансирования;</w:t>
      </w:r>
    </w:p>
    <w:p w14:paraId="2AD209B4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en-GB"/>
        </w:rPr>
      </w:pPr>
      <w:r w:rsidRPr="00985FE8">
        <w:rPr>
          <w:lang w:val="ru-RU"/>
        </w:rPr>
        <w:t>уровень участия заинтересованных сторон;</w:t>
      </w:r>
    </w:p>
    <w:p w14:paraId="56CB04AC" w14:textId="77777777" w:rsidR="00207BAF" w:rsidRPr="00985FE8" w:rsidRDefault="00207BAF" w:rsidP="00207BAF">
      <w:pPr>
        <w:numPr>
          <w:ilvl w:val="1"/>
          <w:numId w:val="1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lang w:val="ru-RU"/>
        </w:rPr>
      </w:pPr>
      <w:r w:rsidRPr="00985FE8">
        <w:rPr>
          <w:lang w:val="ru-RU"/>
        </w:rPr>
        <w:t>любые другие существенные вопросы, поднятые Сторонами.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087F339E" w14:textId="77777777" w:rsidTr="0015442E">
        <w:tc>
          <w:tcPr>
            <w:tcW w:w="1897" w:type="dxa"/>
          </w:tcPr>
          <w:p w14:paraId="33450BE6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</w:tcPr>
          <w:p w14:paraId="7AE652CA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1030039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80"/>
            </w:pPr>
          </w:p>
        </w:tc>
        <w:tc>
          <w:tcPr>
            <w:tcW w:w="1897" w:type="dxa"/>
          </w:tcPr>
          <w:p w14:paraId="1B2C79D4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8" w:type="dxa"/>
          </w:tcPr>
          <w:p w14:paraId="144A7BE1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</w:tr>
    </w:tbl>
    <w:p w14:paraId="12EBF5D0" w14:textId="77777777" w:rsidR="008659A0" w:rsidRDefault="008659A0" w:rsidP="00EB015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</w:p>
    <w:sectPr w:rsidR="008659A0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780B" w14:textId="77777777" w:rsidR="00DD6217" w:rsidRDefault="00DD6217">
      <w:r>
        <w:separator/>
      </w:r>
    </w:p>
  </w:endnote>
  <w:endnote w:type="continuationSeparator" w:id="0">
    <w:p w14:paraId="6E97C72A" w14:textId="77777777" w:rsidR="00DD6217" w:rsidRDefault="00DD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E00" w14:textId="457F0645" w:rsidR="00123699" w:rsidRPr="003B5910" w:rsidRDefault="00123699" w:rsidP="00A70B56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rPr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F7542C" w:rsidRPr="003B5910">
      <w:rPr>
        <w:rStyle w:val="PageNumber"/>
        <w:b/>
        <w:noProof/>
        <w:lang w:val="en-US"/>
      </w:rPr>
      <w:t>2</w:t>
    </w:r>
    <w:r w:rsidRPr="003B5910">
      <w:rPr>
        <w:rStyle w:val="PageNumber"/>
        <w:b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0E42" w14:textId="77777777" w:rsidR="00123699" w:rsidRPr="003B5910" w:rsidRDefault="00123699" w:rsidP="003B5910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jc w:val="right"/>
      <w:rPr>
        <w:b w:val="0"/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250B6D" w:rsidRPr="003B5910">
      <w:rPr>
        <w:rStyle w:val="PageNumber"/>
        <w:b/>
        <w:noProof/>
        <w:lang w:val="en-US"/>
      </w:rPr>
      <w:t>3</w:t>
    </w:r>
    <w:r w:rsidRPr="003B5910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0173" w14:textId="1E34943E" w:rsidR="0015442E" w:rsidRPr="003B5910" w:rsidRDefault="0015442E" w:rsidP="00A70B56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  <w:rPr>
        <w:lang w:val="en-US"/>
      </w:rPr>
    </w:pPr>
    <w:r w:rsidRPr="003B5910">
      <w:rPr>
        <w:lang w:val="en-US"/>
      </w:rPr>
      <w:tab/>
    </w:r>
    <w:r w:rsidR="00875E6E" w:rsidRPr="00207BAF">
      <w:rPr>
        <w:lang w:val="en-US"/>
      </w:rPr>
      <w:t>0</w:t>
    </w:r>
    <w:r w:rsidR="00207BAF" w:rsidRPr="00207BAF">
      <w:rPr>
        <w:lang w:val="en-US"/>
      </w:rPr>
      <w:t>311</w:t>
    </w:r>
    <w:r w:rsidR="00A70B56" w:rsidRPr="00207BAF"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D753" w14:textId="77777777" w:rsidR="00DD6217" w:rsidRPr="0072353B" w:rsidRDefault="00DD6217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21CE3F51" w14:textId="77777777" w:rsidR="00DD6217" w:rsidRDefault="00DD6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E274" w14:textId="2E981252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rPr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207BAF">
      <w:rPr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E950" w14:textId="72718179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jc w:val="right"/>
      <w:rPr>
        <w:szCs w:val="18"/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207BAF">
      <w:rPr>
        <w:lang w:val="en-US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26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2AB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53B7225"/>
    <w:multiLevelType w:val="hybridMultilevel"/>
    <w:tmpl w:val="3596141A"/>
    <w:lvl w:ilvl="0" w:tplc="A008EDF4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35F0"/>
    <w:multiLevelType w:val="hybridMultilevel"/>
    <w:tmpl w:val="0484BBD2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3C69BE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30635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5D1D76CE"/>
    <w:multiLevelType w:val="hybridMultilevel"/>
    <w:tmpl w:val="C1F0A142"/>
    <w:lvl w:ilvl="0" w:tplc="CA8E303C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91BF8"/>
    <w:multiLevelType w:val="multilevel"/>
    <w:tmpl w:val="F4ACF36E"/>
    <w:numStyleLink w:val="Normallist"/>
  </w:abstractNum>
  <w:abstractNum w:abstractNumId="10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C0369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 w:numId="13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670"/>
          </w:tabs>
          <w:ind w:left="135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4">
    <w:abstractNumId w:val="12"/>
  </w:num>
  <w:num w:numId="15">
    <w:abstractNumId w:val="7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96"/>
          </w:tabs>
          <w:ind w:left="1276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proofState w:spelling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B2"/>
    <w:rsid w:val="00003BCB"/>
    <w:rsid w:val="000149E6"/>
    <w:rsid w:val="000247B0"/>
    <w:rsid w:val="00026997"/>
    <w:rsid w:val="00033E0B"/>
    <w:rsid w:val="00035EDE"/>
    <w:rsid w:val="00037460"/>
    <w:rsid w:val="00044340"/>
    <w:rsid w:val="000503BC"/>
    <w:rsid w:val="000509B4"/>
    <w:rsid w:val="0006035B"/>
    <w:rsid w:val="0006181A"/>
    <w:rsid w:val="000669FB"/>
    <w:rsid w:val="00071886"/>
    <w:rsid w:val="000742BC"/>
    <w:rsid w:val="00082A0C"/>
    <w:rsid w:val="00083504"/>
    <w:rsid w:val="000843C6"/>
    <w:rsid w:val="000941E5"/>
    <w:rsid w:val="0009640C"/>
    <w:rsid w:val="000B22A2"/>
    <w:rsid w:val="000B6914"/>
    <w:rsid w:val="000C0F46"/>
    <w:rsid w:val="000C2A52"/>
    <w:rsid w:val="000D0733"/>
    <w:rsid w:val="000D33C0"/>
    <w:rsid w:val="000D6941"/>
    <w:rsid w:val="000E4868"/>
    <w:rsid w:val="000F4549"/>
    <w:rsid w:val="001064A3"/>
    <w:rsid w:val="001202E3"/>
    <w:rsid w:val="00123699"/>
    <w:rsid w:val="0012644F"/>
    <w:rsid w:val="0013059D"/>
    <w:rsid w:val="001346DB"/>
    <w:rsid w:val="00141A55"/>
    <w:rsid w:val="001446A3"/>
    <w:rsid w:val="00145960"/>
    <w:rsid w:val="0015442E"/>
    <w:rsid w:val="00155395"/>
    <w:rsid w:val="00160D74"/>
    <w:rsid w:val="00167D02"/>
    <w:rsid w:val="00181EC8"/>
    <w:rsid w:val="00184349"/>
    <w:rsid w:val="00193DC9"/>
    <w:rsid w:val="00195E9F"/>
    <w:rsid w:val="00195F33"/>
    <w:rsid w:val="001B1617"/>
    <w:rsid w:val="001B504B"/>
    <w:rsid w:val="001B69D4"/>
    <w:rsid w:val="001B7D42"/>
    <w:rsid w:val="001C3E7A"/>
    <w:rsid w:val="001D3874"/>
    <w:rsid w:val="001D4C3C"/>
    <w:rsid w:val="001D7E75"/>
    <w:rsid w:val="001E56D2"/>
    <w:rsid w:val="001E7D56"/>
    <w:rsid w:val="001F75DE"/>
    <w:rsid w:val="00200D58"/>
    <w:rsid w:val="002013BE"/>
    <w:rsid w:val="002063A4"/>
    <w:rsid w:val="00207BAF"/>
    <w:rsid w:val="0021145B"/>
    <w:rsid w:val="00222F26"/>
    <w:rsid w:val="00234B59"/>
    <w:rsid w:val="002431AE"/>
    <w:rsid w:val="00243D36"/>
    <w:rsid w:val="00247707"/>
    <w:rsid w:val="00250B6D"/>
    <w:rsid w:val="0026018E"/>
    <w:rsid w:val="00260799"/>
    <w:rsid w:val="00270AAF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28D0"/>
    <w:rsid w:val="002F4761"/>
    <w:rsid w:val="002F5C79"/>
    <w:rsid w:val="003019E2"/>
    <w:rsid w:val="0031413F"/>
    <w:rsid w:val="003148BB"/>
    <w:rsid w:val="00317976"/>
    <w:rsid w:val="00321398"/>
    <w:rsid w:val="00324B1A"/>
    <w:rsid w:val="00336111"/>
    <w:rsid w:val="00342FBF"/>
    <w:rsid w:val="00350ADA"/>
    <w:rsid w:val="00355EA9"/>
    <w:rsid w:val="003578DE"/>
    <w:rsid w:val="003608D4"/>
    <w:rsid w:val="00362047"/>
    <w:rsid w:val="0036669D"/>
    <w:rsid w:val="00372781"/>
    <w:rsid w:val="00375D74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910"/>
    <w:rsid w:val="003B5FFF"/>
    <w:rsid w:val="003B7D67"/>
    <w:rsid w:val="003C1CBA"/>
    <w:rsid w:val="003C409D"/>
    <w:rsid w:val="003C5BA6"/>
    <w:rsid w:val="003D104A"/>
    <w:rsid w:val="003E4593"/>
    <w:rsid w:val="003E6F41"/>
    <w:rsid w:val="003E7DE3"/>
    <w:rsid w:val="003F06BB"/>
    <w:rsid w:val="003F09D4"/>
    <w:rsid w:val="003F0E85"/>
    <w:rsid w:val="00410C55"/>
    <w:rsid w:val="00416854"/>
    <w:rsid w:val="00417725"/>
    <w:rsid w:val="004267BF"/>
    <w:rsid w:val="00430726"/>
    <w:rsid w:val="00437F26"/>
    <w:rsid w:val="00443D04"/>
    <w:rsid w:val="00444097"/>
    <w:rsid w:val="00445487"/>
    <w:rsid w:val="00454769"/>
    <w:rsid w:val="0046322E"/>
    <w:rsid w:val="00466991"/>
    <w:rsid w:val="0047064C"/>
    <w:rsid w:val="004A42E1"/>
    <w:rsid w:val="004B162C"/>
    <w:rsid w:val="004B614E"/>
    <w:rsid w:val="004C3DBE"/>
    <w:rsid w:val="004C5C96"/>
    <w:rsid w:val="004C653D"/>
    <w:rsid w:val="004C794B"/>
    <w:rsid w:val="004D06A4"/>
    <w:rsid w:val="004D69D1"/>
    <w:rsid w:val="004E1B24"/>
    <w:rsid w:val="004F1A81"/>
    <w:rsid w:val="0050052E"/>
    <w:rsid w:val="005064EF"/>
    <w:rsid w:val="0050733D"/>
    <w:rsid w:val="005218D9"/>
    <w:rsid w:val="00522FC4"/>
    <w:rsid w:val="00536186"/>
    <w:rsid w:val="005369CB"/>
    <w:rsid w:val="005421B9"/>
    <w:rsid w:val="00544CBB"/>
    <w:rsid w:val="005472A3"/>
    <w:rsid w:val="00550D07"/>
    <w:rsid w:val="00551104"/>
    <w:rsid w:val="00561676"/>
    <w:rsid w:val="00566B59"/>
    <w:rsid w:val="0057315F"/>
    <w:rsid w:val="005746EA"/>
    <w:rsid w:val="00576104"/>
    <w:rsid w:val="0059162C"/>
    <w:rsid w:val="005B42A6"/>
    <w:rsid w:val="005C5835"/>
    <w:rsid w:val="005C67C8"/>
    <w:rsid w:val="005C7D1D"/>
    <w:rsid w:val="005D0249"/>
    <w:rsid w:val="005D1DA1"/>
    <w:rsid w:val="005D6E8C"/>
    <w:rsid w:val="005F100C"/>
    <w:rsid w:val="005F68DA"/>
    <w:rsid w:val="0060773B"/>
    <w:rsid w:val="00611117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717E6"/>
    <w:rsid w:val="00673665"/>
    <w:rsid w:val="00680611"/>
    <w:rsid w:val="00692E2A"/>
    <w:rsid w:val="006A76F2"/>
    <w:rsid w:val="006C2B82"/>
    <w:rsid w:val="006D4F04"/>
    <w:rsid w:val="006D7EFB"/>
    <w:rsid w:val="006E6672"/>
    <w:rsid w:val="006E6722"/>
    <w:rsid w:val="006F5276"/>
    <w:rsid w:val="007027B9"/>
    <w:rsid w:val="00715E88"/>
    <w:rsid w:val="0072353B"/>
    <w:rsid w:val="00734CAA"/>
    <w:rsid w:val="00734DC8"/>
    <w:rsid w:val="00741B20"/>
    <w:rsid w:val="00746753"/>
    <w:rsid w:val="00751150"/>
    <w:rsid w:val="0075533C"/>
    <w:rsid w:val="00757581"/>
    <w:rsid w:val="007611A0"/>
    <w:rsid w:val="0076147A"/>
    <w:rsid w:val="007828A5"/>
    <w:rsid w:val="007841F5"/>
    <w:rsid w:val="00785D9B"/>
    <w:rsid w:val="00795B9D"/>
    <w:rsid w:val="00796D3F"/>
    <w:rsid w:val="007A1683"/>
    <w:rsid w:val="007A5C12"/>
    <w:rsid w:val="007A7CB0"/>
    <w:rsid w:val="007B24F8"/>
    <w:rsid w:val="007B33B3"/>
    <w:rsid w:val="007B68A3"/>
    <w:rsid w:val="007C2541"/>
    <w:rsid w:val="007C521D"/>
    <w:rsid w:val="007D66A8"/>
    <w:rsid w:val="007E003F"/>
    <w:rsid w:val="007F2D08"/>
    <w:rsid w:val="008164F2"/>
    <w:rsid w:val="008201A2"/>
    <w:rsid w:val="00821395"/>
    <w:rsid w:val="00824FC7"/>
    <w:rsid w:val="00830E26"/>
    <w:rsid w:val="008311DD"/>
    <w:rsid w:val="00843576"/>
    <w:rsid w:val="00843B64"/>
    <w:rsid w:val="008478FC"/>
    <w:rsid w:val="008659A0"/>
    <w:rsid w:val="00867BFF"/>
    <w:rsid w:val="00875E6E"/>
    <w:rsid w:val="0088480A"/>
    <w:rsid w:val="0088757A"/>
    <w:rsid w:val="008957DD"/>
    <w:rsid w:val="00897D98"/>
    <w:rsid w:val="008A1E92"/>
    <w:rsid w:val="008A3441"/>
    <w:rsid w:val="008A6DF2"/>
    <w:rsid w:val="008A7807"/>
    <w:rsid w:val="008B4CC9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4F9B"/>
    <w:rsid w:val="009564A6"/>
    <w:rsid w:val="00962471"/>
    <w:rsid w:val="00967621"/>
    <w:rsid w:val="00967E6A"/>
    <w:rsid w:val="00984069"/>
    <w:rsid w:val="009876DF"/>
    <w:rsid w:val="009906E7"/>
    <w:rsid w:val="00992DE3"/>
    <w:rsid w:val="009B3D8D"/>
    <w:rsid w:val="009B4A0F"/>
    <w:rsid w:val="009C11D2"/>
    <w:rsid w:val="009C6C70"/>
    <w:rsid w:val="009D0B63"/>
    <w:rsid w:val="009D2DCF"/>
    <w:rsid w:val="009E24BE"/>
    <w:rsid w:val="009E2F3F"/>
    <w:rsid w:val="009E307E"/>
    <w:rsid w:val="009F308C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4034"/>
    <w:rsid w:val="00A55B01"/>
    <w:rsid w:val="00A56B5B"/>
    <w:rsid w:val="00A603FF"/>
    <w:rsid w:val="00A657DD"/>
    <w:rsid w:val="00A666A6"/>
    <w:rsid w:val="00A675FD"/>
    <w:rsid w:val="00A706CF"/>
    <w:rsid w:val="00A70B56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15CEE"/>
    <w:rsid w:val="00B17AE1"/>
    <w:rsid w:val="00B22C93"/>
    <w:rsid w:val="00B27589"/>
    <w:rsid w:val="00B405B7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49E3"/>
    <w:rsid w:val="00B91EE1"/>
    <w:rsid w:val="00B925AB"/>
    <w:rsid w:val="00BA0090"/>
    <w:rsid w:val="00BA1A67"/>
    <w:rsid w:val="00BA7128"/>
    <w:rsid w:val="00BC6590"/>
    <w:rsid w:val="00BD0DB2"/>
    <w:rsid w:val="00BD7742"/>
    <w:rsid w:val="00BE5B5F"/>
    <w:rsid w:val="00BF17E5"/>
    <w:rsid w:val="00C059F0"/>
    <w:rsid w:val="00C120EE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4042"/>
    <w:rsid w:val="00C84759"/>
    <w:rsid w:val="00C86D73"/>
    <w:rsid w:val="00CA6C7F"/>
    <w:rsid w:val="00CB36CC"/>
    <w:rsid w:val="00CC10A6"/>
    <w:rsid w:val="00CD5EB8"/>
    <w:rsid w:val="00CD7044"/>
    <w:rsid w:val="00CE08B9"/>
    <w:rsid w:val="00CE3103"/>
    <w:rsid w:val="00CE524C"/>
    <w:rsid w:val="00CE61E7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14F4"/>
    <w:rsid w:val="00D33365"/>
    <w:rsid w:val="00D34DE9"/>
    <w:rsid w:val="00D35F94"/>
    <w:rsid w:val="00D44172"/>
    <w:rsid w:val="00D44E88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1767"/>
    <w:rsid w:val="00DC46FF"/>
    <w:rsid w:val="00DC5254"/>
    <w:rsid w:val="00DD1A4F"/>
    <w:rsid w:val="00DD3107"/>
    <w:rsid w:val="00DD3619"/>
    <w:rsid w:val="00DD6217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ADA"/>
    <w:rsid w:val="00E276A4"/>
    <w:rsid w:val="00E317A4"/>
    <w:rsid w:val="00E32F59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39E5"/>
    <w:rsid w:val="00EB0150"/>
    <w:rsid w:val="00EB6A99"/>
    <w:rsid w:val="00EC3017"/>
    <w:rsid w:val="00EC5A46"/>
    <w:rsid w:val="00EC63E2"/>
    <w:rsid w:val="00EE0374"/>
    <w:rsid w:val="00EE30F2"/>
    <w:rsid w:val="00EF22B3"/>
    <w:rsid w:val="00F03B69"/>
    <w:rsid w:val="00F041C8"/>
    <w:rsid w:val="00F05C85"/>
    <w:rsid w:val="00F07A50"/>
    <w:rsid w:val="00F113DA"/>
    <w:rsid w:val="00F116A8"/>
    <w:rsid w:val="00F11AC1"/>
    <w:rsid w:val="00F25AE4"/>
    <w:rsid w:val="00F34719"/>
    <w:rsid w:val="00F37BD7"/>
    <w:rsid w:val="00F37DC8"/>
    <w:rsid w:val="00F439B3"/>
    <w:rsid w:val="00F55451"/>
    <w:rsid w:val="00F60EA5"/>
    <w:rsid w:val="00F650C3"/>
    <w:rsid w:val="00F65D85"/>
    <w:rsid w:val="00F66957"/>
    <w:rsid w:val="00F7542C"/>
    <w:rsid w:val="00F8091E"/>
    <w:rsid w:val="00F839A2"/>
    <w:rsid w:val="00F83EA1"/>
    <w:rsid w:val="00F8615C"/>
    <w:rsid w:val="00F873F8"/>
    <w:rsid w:val="00F92E48"/>
    <w:rsid w:val="00F96910"/>
    <w:rsid w:val="00F969E5"/>
    <w:rsid w:val="00FA6BB0"/>
    <w:rsid w:val="00FB49C6"/>
    <w:rsid w:val="00FB7DD2"/>
    <w:rsid w:val="00FC1521"/>
    <w:rsid w:val="00FC41AC"/>
    <w:rsid w:val="00FD03FA"/>
    <w:rsid w:val="00FD5860"/>
    <w:rsid w:val="00FE0852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26B1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375D74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375D74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375D74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375D74"/>
    <w:pPr>
      <w:keepNext/>
      <w:outlineLvl w:val="3"/>
    </w:pPr>
  </w:style>
  <w:style w:type="paragraph" w:styleId="Heading5">
    <w:name w:val="heading 5"/>
    <w:basedOn w:val="Normal"/>
    <w:next w:val="Normal"/>
    <w:qFormat/>
    <w:rsid w:val="00375D74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375D74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375D74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375D74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375D74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75D74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75D74"/>
    <w:pPr>
      <w:spacing w:before="40" w:after="40"/>
    </w:pPr>
    <w:rPr>
      <w:sz w:val="18"/>
      <w:szCs w:val="18"/>
      <w:lang w:val="en-US"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375D74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375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375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CH4">
    <w:name w:val="CH4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table" w:customStyle="1" w:styleId="Footertable">
    <w:name w:val="Footer_table"/>
    <w:basedOn w:val="TableNormal"/>
    <w:semiHidden/>
    <w:rsid w:val="00375D74"/>
    <w:rPr>
      <w:rFonts w:ascii="Arial" w:hAnsi="Arial"/>
      <w:sz w:val="16"/>
      <w:lang w:val="en-US"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Footerpool">
    <w:name w:val="Footer_pool"/>
    <w:basedOn w:val="Normal"/>
    <w:next w:val="Normal"/>
    <w:semiHidden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ru-RU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375D74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semiHidden/>
    <w:rsid w:val="00250B6D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75D74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375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375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375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375D74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75D74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75D74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375D74"/>
    <w:pPr>
      <w:spacing w:after="120"/>
      <w:ind w:left="1247"/>
    </w:pPr>
  </w:style>
  <w:style w:type="paragraph" w:customStyle="1" w:styleId="Normalnumber">
    <w:name w:val="Normal_number"/>
    <w:basedOn w:val="Normal-pool"/>
    <w:qFormat/>
    <w:rsid w:val="00375D74"/>
    <w:pPr>
      <w:numPr>
        <w:numId w:val="4"/>
      </w:numPr>
      <w:spacing w:after="120"/>
    </w:pPr>
  </w:style>
  <w:style w:type="paragraph" w:customStyle="1" w:styleId="Titletable">
    <w:name w:val="Title_table"/>
    <w:basedOn w:val="Normal-pool"/>
    <w:qFormat/>
    <w:rsid w:val="00375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unhideWhenUsed/>
    <w:rsid w:val="00375D74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  <w:lang w:val="fr-CA"/>
    </w:rPr>
  </w:style>
  <w:style w:type="paragraph" w:styleId="TOC2">
    <w:name w:val="toc 2"/>
    <w:basedOn w:val="Normal"/>
    <w:next w:val="Normal"/>
    <w:unhideWhenUsed/>
    <w:rsid w:val="00375D74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  <w:lang w:val="fr-CA"/>
    </w:rPr>
  </w:style>
  <w:style w:type="paragraph" w:styleId="TOC4">
    <w:name w:val="toc 4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375D74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qFormat/>
    <w:rsid w:val="00375D74"/>
    <w:rPr>
      <w:b/>
      <w:bCs/>
      <w:sz w:val="28"/>
      <w:szCs w:val="22"/>
    </w:rPr>
  </w:style>
  <w:style w:type="paragraph" w:customStyle="1" w:styleId="ZZAnxtitle">
    <w:name w:val="ZZ_Anx_title"/>
    <w:basedOn w:val="Normal-pool"/>
    <w:qFormat/>
    <w:rsid w:val="00375D74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locked/>
    <w:rsid w:val="0012644F"/>
    <w:rPr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375D74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-Text">
    <w:name w:val="Footnote-Text"/>
    <w:basedOn w:val="Normal-pool"/>
    <w:rsid w:val="001064A3"/>
    <w:pPr>
      <w:spacing w:before="20" w:after="40"/>
      <w:ind w:left="1247"/>
    </w:pPr>
    <w:rPr>
      <w:sz w:val="18"/>
      <w:lang w:val="en-US"/>
    </w:rPr>
  </w:style>
  <w:style w:type="character" w:customStyle="1" w:styleId="Normal-poolChar">
    <w:name w:val="Normal-pool Char"/>
    <w:link w:val="Normal-pool"/>
    <w:locked/>
    <w:rsid w:val="001064A3"/>
    <w:rPr>
      <w:lang w:val="ru-RU" w:eastAsia="en-US"/>
    </w:rPr>
  </w:style>
  <w:style w:type="numbering" w:customStyle="1" w:styleId="Normallist111">
    <w:name w:val="Normal_list111"/>
    <w:basedOn w:val="NoList"/>
    <w:rsid w:val="00207BA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kalovn\AppData\Local\Microsoft\Windows\INetCache\Content.Outlook\9FA7NKUY\UNEP-MC-COP_RU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32776-3547-499D-8017-9BCDD6635DBC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2.xml><?xml version="1.0" encoding="utf-8"?>
<ds:datastoreItem xmlns:ds="http://schemas.openxmlformats.org/officeDocument/2006/customXml" ds:itemID="{95DF0FD8-0DF0-43DF-A18B-E3E54A742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F751DE-1853-48C5-A75E-4A00751BDD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D1AA38-59FF-4711-9D7E-96293D41A5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UNEP-MC-COP_RU-CORR.dotm</Template>
  <TotalTime>0</TotalTime>
  <Pages>3</Pages>
  <Words>1301</Words>
  <Characters>7292</Characters>
  <Application>Microsoft Office Word</Application>
  <DocSecurity>0</DocSecurity>
  <Lines>127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2022-07-12T05:53:00Z</dcterms:created>
  <dcterms:modified xsi:type="dcterms:W3CDTF">2022-11-03T10:25:00Z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0x010100B02834EECE41684AACCF26BD9C8A42B6</vt:lpwstr>
  </property>
  <property fmtid="{D5CDD505-2E9C-101B-9397-08002B2CF9AE}" pid="3" name="MediaServiceImageTags">
    <vt:lpwstr/>
  </property>
</Properties>
</file>