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33153E25" w:rsidR="00BE29CF" w:rsidRDefault="00772B38">
            <w:pPr>
              <w:pStyle w:val="Normal-pool"/>
            </w:pPr>
            <w:r>
              <w:rPr>
                <w:b/>
                <w:bCs/>
                <w:sz w:val="28"/>
                <w:szCs w:val="28"/>
              </w:rPr>
              <w:t>UNEP</w:t>
            </w:r>
            <w:r>
              <w:t>/MC/COP.4/Dec.</w:t>
            </w:r>
            <w:r w:rsidR="00620C7A">
              <w:t>7</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338BDA3B" w:rsidR="00BE29CF" w:rsidRDefault="00772B38">
            <w:pPr>
              <w:pStyle w:val="AText"/>
              <w:rPr>
                <w:lang w:val="en-GB"/>
              </w:rPr>
            </w:pPr>
            <w:r>
              <w:rPr>
                <w:lang w:val="en-GB"/>
              </w:rPr>
              <w:t xml:space="preserve">Distr.: General </w:t>
            </w:r>
            <w:r>
              <w:rPr>
                <w:lang w:val="en-GB"/>
              </w:rPr>
              <w:br/>
            </w:r>
            <w:r w:rsidR="004C7978">
              <w:rPr>
                <w:lang w:val="en-GB"/>
              </w:rPr>
              <w:t>8 April</w:t>
            </w:r>
            <w:r>
              <w:rPr>
                <w:lang w:val="en-GB"/>
              </w:rPr>
              <w:t xml:space="preserve"> 2022</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w:t>
      </w:r>
      <w:proofErr w:type="gramStart"/>
      <w:r>
        <w:rPr>
          <w:rFonts w:eastAsia="SimHei"/>
          <w:bCs/>
          <w:sz w:val="32"/>
          <w:szCs w:val="32"/>
          <w:lang w:val="zh-CN" w:eastAsia="zh-CN"/>
        </w:rPr>
        <w:t>俣</w:t>
      </w:r>
      <w:proofErr w:type="gramEnd"/>
      <w:r>
        <w:rPr>
          <w:rFonts w:eastAsia="SimHei"/>
          <w:bCs/>
          <w:sz w:val="32"/>
          <w:szCs w:val="32"/>
          <w:lang w:val="zh-CN" w:eastAsia="zh-CN"/>
        </w:rPr>
        <w:t>公约缔约方大会第四次会议通过的决定</w:t>
      </w:r>
    </w:p>
    <w:p w14:paraId="35CEF19F" w14:textId="77777777" w:rsidR="006B6376" w:rsidRPr="00AF4282" w:rsidRDefault="006B6376" w:rsidP="006B6376">
      <w:pPr>
        <w:pStyle w:val="CH1"/>
        <w:ind w:left="1253" w:right="288" w:firstLine="0"/>
        <w:rPr>
          <w:rFonts w:eastAsia="SimHei"/>
          <w:bCs/>
          <w:sz w:val="32"/>
          <w:szCs w:val="32"/>
          <w:lang w:val="zh-CN" w:eastAsia="zh-CN"/>
        </w:rPr>
      </w:pPr>
      <w:bookmarkStart w:id="0" w:name="_Toc99982080"/>
      <w:r w:rsidRPr="00AF4282">
        <w:rPr>
          <w:rFonts w:eastAsia="SimHei"/>
          <w:bCs/>
          <w:sz w:val="32"/>
          <w:szCs w:val="32"/>
          <w:lang w:val="zh-CN" w:eastAsia="zh-CN"/>
        </w:rPr>
        <w:t>MC-4/7</w:t>
      </w:r>
      <w:r w:rsidRPr="00AF4282">
        <w:rPr>
          <w:rFonts w:eastAsia="SimHei"/>
          <w:bCs/>
          <w:sz w:val="32"/>
          <w:szCs w:val="32"/>
          <w:lang w:val="zh-CN" w:eastAsia="zh-CN"/>
        </w:rPr>
        <w:t>：资金机制第二次审查</w:t>
      </w:r>
      <w:bookmarkEnd w:id="0"/>
    </w:p>
    <w:p w14:paraId="5F183C53" w14:textId="77777777" w:rsidR="006B6376" w:rsidRPr="00AF4282" w:rsidRDefault="006B6376" w:rsidP="006B6376">
      <w:pPr>
        <w:pStyle w:val="Normal-pool"/>
        <w:tabs>
          <w:tab w:val="clear" w:pos="1247"/>
          <w:tab w:val="clear" w:pos="1814"/>
          <w:tab w:val="clear" w:pos="2381"/>
          <w:tab w:val="clear" w:pos="2948"/>
          <w:tab w:val="clear" w:pos="3515"/>
          <w:tab w:val="clear" w:pos="4082"/>
        </w:tabs>
        <w:spacing w:after="120"/>
        <w:ind w:left="1247" w:firstLine="624"/>
        <w:rPr>
          <w:rFonts w:ascii="KaiTi" w:eastAsia="KaiTi" w:hAnsi="KaiTi"/>
          <w:sz w:val="24"/>
          <w:szCs w:val="24"/>
          <w:lang w:eastAsia="zh-CN"/>
        </w:rPr>
      </w:pPr>
      <w:r w:rsidRPr="00AF4282">
        <w:rPr>
          <w:rFonts w:ascii="KaiTi" w:eastAsia="KaiTi" w:hAnsi="KaiTi"/>
          <w:sz w:val="24"/>
          <w:szCs w:val="24"/>
          <w:lang w:val="zh-CN" w:eastAsia="zh-CN"/>
        </w:rPr>
        <w:t>缔约方大会，</w:t>
      </w:r>
    </w:p>
    <w:p w14:paraId="3FCF14A5" w14:textId="77777777" w:rsidR="006B6376" w:rsidRPr="00AF4282" w:rsidRDefault="006B6376" w:rsidP="006B6376">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考虑到</w:t>
      </w:r>
      <w:r w:rsidRPr="00AF4282">
        <w:rPr>
          <w:sz w:val="24"/>
          <w:szCs w:val="24"/>
          <w:lang w:val="zh-CN" w:eastAsia="zh-CN"/>
        </w:rPr>
        <w:t>关于审查资金机制的第</w:t>
      </w:r>
      <w:r w:rsidRPr="00AF4282">
        <w:rPr>
          <w:sz w:val="24"/>
          <w:szCs w:val="24"/>
          <w:lang w:val="zh-CN" w:eastAsia="zh-CN"/>
        </w:rPr>
        <w:t>13</w:t>
      </w:r>
      <w:r w:rsidRPr="00AF4282">
        <w:rPr>
          <w:sz w:val="24"/>
          <w:szCs w:val="24"/>
          <w:lang w:val="zh-CN" w:eastAsia="zh-CN"/>
        </w:rPr>
        <w:t>条第</w:t>
      </w:r>
      <w:r w:rsidRPr="00AF4282">
        <w:rPr>
          <w:sz w:val="24"/>
          <w:szCs w:val="24"/>
          <w:lang w:val="zh-CN" w:eastAsia="zh-CN"/>
        </w:rPr>
        <w:t>11</w:t>
      </w:r>
      <w:r w:rsidRPr="00AF4282">
        <w:rPr>
          <w:sz w:val="24"/>
          <w:szCs w:val="24"/>
          <w:lang w:val="zh-CN" w:eastAsia="zh-CN"/>
        </w:rPr>
        <w:t>款，</w:t>
      </w:r>
    </w:p>
    <w:p w14:paraId="0657C547" w14:textId="77777777" w:rsidR="006B6376" w:rsidRPr="00AF4282" w:rsidRDefault="006B6376" w:rsidP="006B6376">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通过</w:t>
      </w:r>
      <w:r w:rsidRPr="00AF4282">
        <w:rPr>
          <w:sz w:val="24"/>
          <w:szCs w:val="24"/>
          <w:lang w:val="zh-CN" w:eastAsia="zh-CN"/>
        </w:rPr>
        <w:t>本决定附件所载的资金机制第二次审查的职权范围；</w:t>
      </w:r>
    </w:p>
    <w:p w14:paraId="7037E545" w14:textId="77777777" w:rsidR="006B6376" w:rsidRPr="00AF4282" w:rsidRDefault="006B6376" w:rsidP="006B6376">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邀请</w:t>
      </w:r>
      <w:r w:rsidRPr="00AF4282">
        <w:rPr>
          <w:sz w:val="24"/>
          <w:szCs w:val="24"/>
          <w:lang w:val="zh-CN" w:eastAsia="zh-CN"/>
        </w:rPr>
        <w:t>缔约方、政府间组织、非政府组织和利益攸关方根据审查的职权范围并按照列出的业绩标准，尽快且不迟于</w:t>
      </w:r>
      <w:r w:rsidRPr="00AF4282">
        <w:rPr>
          <w:sz w:val="24"/>
          <w:szCs w:val="24"/>
          <w:lang w:val="zh-CN" w:eastAsia="zh-CN"/>
        </w:rPr>
        <w:t>2022</w:t>
      </w:r>
      <w:r w:rsidRPr="00AF4282">
        <w:rPr>
          <w:sz w:val="24"/>
          <w:szCs w:val="24"/>
          <w:lang w:val="zh-CN" w:eastAsia="zh-CN"/>
        </w:rPr>
        <w:t>年</w:t>
      </w:r>
      <w:r w:rsidRPr="00AF4282">
        <w:rPr>
          <w:sz w:val="24"/>
          <w:szCs w:val="24"/>
          <w:lang w:val="zh-CN" w:eastAsia="zh-CN"/>
        </w:rPr>
        <w:t>9</w:t>
      </w:r>
      <w:r w:rsidRPr="00AF4282">
        <w:rPr>
          <w:sz w:val="24"/>
          <w:szCs w:val="24"/>
          <w:lang w:val="zh-CN" w:eastAsia="zh-CN"/>
        </w:rPr>
        <w:t>月</w:t>
      </w:r>
      <w:r w:rsidRPr="00AF4282">
        <w:rPr>
          <w:sz w:val="24"/>
          <w:szCs w:val="24"/>
          <w:lang w:val="zh-CN" w:eastAsia="zh-CN"/>
        </w:rPr>
        <w:t>30</w:t>
      </w:r>
      <w:r w:rsidRPr="00AF4282">
        <w:rPr>
          <w:sz w:val="24"/>
          <w:szCs w:val="24"/>
          <w:lang w:val="zh-CN" w:eastAsia="zh-CN"/>
        </w:rPr>
        <w:t>日提交关于它们与资金机制互动的经验的信息；</w:t>
      </w:r>
    </w:p>
    <w:p w14:paraId="2B6375EA" w14:textId="77777777" w:rsidR="006B6376" w:rsidRPr="00AF4282" w:rsidRDefault="006B6376" w:rsidP="006B6376">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请</w:t>
      </w:r>
      <w:r w:rsidRPr="00AF4282">
        <w:rPr>
          <w:sz w:val="24"/>
          <w:szCs w:val="24"/>
          <w:lang w:val="zh-CN" w:eastAsia="zh-CN"/>
        </w:rPr>
        <w:t>秘书处汇编与资金机制第二次审查相关的信息，并提交缔约方大会第五次会议审议。</w:t>
      </w:r>
    </w:p>
    <w:p w14:paraId="21AF5093" w14:textId="77777777" w:rsidR="006B6376" w:rsidRPr="00AF4282" w:rsidRDefault="006B6376" w:rsidP="006B6376">
      <w:pPr>
        <w:pStyle w:val="CH1"/>
        <w:rPr>
          <w:rFonts w:eastAsia="SimHei"/>
          <w:lang w:eastAsia="zh-CN"/>
        </w:rPr>
      </w:pPr>
      <w:r w:rsidRPr="00AF4282">
        <w:rPr>
          <w:lang w:val="zh-CN" w:eastAsia="zh-CN"/>
        </w:rPr>
        <w:tab/>
      </w:r>
      <w:r w:rsidRPr="00AF4282">
        <w:rPr>
          <w:lang w:val="zh-CN" w:eastAsia="zh-CN"/>
        </w:rPr>
        <w:tab/>
      </w:r>
      <w:r w:rsidRPr="00AF4282">
        <w:rPr>
          <w:rFonts w:eastAsia="SimHei"/>
          <w:bCs/>
          <w:lang w:val="zh-CN" w:eastAsia="zh-CN"/>
        </w:rPr>
        <w:t>MC-4/7</w:t>
      </w:r>
      <w:r w:rsidRPr="00AF4282">
        <w:rPr>
          <w:rFonts w:eastAsia="SimHei"/>
          <w:bCs/>
          <w:lang w:val="zh-CN" w:eastAsia="zh-CN"/>
        </w:rPr>
        <w:t>号决定附件</w:t>
      </w:r>
    </w:p>
    <w:p w14:paraId="5DB2E494" w14:textId="77777777" w:rsidR="006B6376" w:rsidRPr="00AF4282" w:rsidRDefault="006B6376" w:rsidP="006B6376">
      <w:pPr>
        <w:pStyle w:val="CH1"/>
        <w:rPr>
          <w:rFonts w:eastAsia="SimHei"/>
          <w:lang w:eastAsia="zh-CN"/>
        </w:rPr>
      </w:pPr>
      <w:r w:rsidRPr="00AF4282">
        <w:rPr>
          <w:rFonts w:eastAsia="SimHei"/>
          <w:lang w:val="zh-CN" w:eastAsia="zh-CN"/>
        </w:rPr>
        <w:tab/>
      </w:r>
      <w:r w:rsidRPr="00AF4282">
        <w:rPr>
          <w:rFonts w:eastAsia="SimHei"/>
          <w:lang w:val="zh-CN" w:eastAsia="zh-CN"/>
        </w:rPr>
        <w:tab/>
      </w:r>
      <w:r w:rsidRPr="00AF4282">
        <w:rPr>
          <w:rFonts w:eastAsia="SimHei"/>
          <w:bCs/>
          <w:lang w:val="zh-CN" w:eastAsia="zh-CN"/>
        </w:rPr>
        <w:t>资金机制第二次审查的职权范围</w:t>
      </w:r>
    </w:p>
    <w:p w14:paraId="32F7DF0D" w14:textId="77777777" w:rsidR="006B6376" w:rsidRPr="00AF4282" w:rsidRDefault="006B6376" w:rsidP="006B6376">
      <w:pPr>
        <w:pStyle w:val="CH2"/>
        <w:rPr>
          <w:rFonts w:eastAsia="SimHei"/>
        </w:rPr>
      </w:pPr>
      <w:r w:rsidRPr="00AF4282">
        <w:rPr>
          <w:rFonts w:eastAsia="SimHei"/>
          <w:bCs/>
          <w:lang w:val="zh-CN" w:eastAsia="zh-CN"/>
        </w:rPr>
        <w:t xml:space="preserve">           </w:t>
      </w:r>
      <w:r w:rsidRPr="00AF4282">
        <w:rPr>
          <w:rFonts w:eastAsia="SimHei"/>
          <w:bCs/>
          <w:lang w:val="zh-CN"/>
        </w:rPr>
        <w:t>A.</w:t>
      </w:r>
      <w:r w:rsidRPr="00AF4282">
        <w:rPr>
          <w:rFonts w:eastAsia="SimHei"/>
          <w:lang w:val="zh-CN"/>
        </w:rPr>
        <w:tab/>
      </w:r>
      <w:proofErr w:type="spellStart"/>
      <w:r w:rsidRPr="00AF4282">
        <w:rPr>
          <w:rFonts w:eastAsia="SimHei"/>
          <w:bCs/>
          <w:lang w:val="zh-CN"/>
        </w:rPr>
        <w:t>目标</w:t>
      </w:r>
      <w:proofErr w:type="spellEnd"/>
    </w:p>
    <w:p w14:paraId="6A34D507"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sz w:val="24"/>
          <w:szCs w:val="24"/>
        </w:rPr>
      </w:pPr>
      <w:r w:rsidRPr="00AF4282">
        <w:rPr>
          <w:sz w:val="24"/>
          <w:szCs w:val="24"/>
          <w:lang w:val="zh-CN"/>
        </w:rPr>
        <w:t>缔约方大会将根据《关于汞的水俣公约》第</w:t>
      </w:r>
      <w:r w:rsidRPr="00AF4282">
        <w:rPr>
          <w:sz w:val="24"/>
          <w:szCs w:val="24"/>
          <w:lang w:val="zh-CN"/>
        </w:rPr>
        <w:t>13</w:t>
      </w:r>
      <w:r w:rsidRPr="00AF4282">
        <w:rPr>
          <w:sz w:val="24"/>
          <w:szCs w:val="24"/>
          <w:lang w:val="zh-CN"/>
        </w:rPr>
        <w:t>条第</w:t>
      </w:r>
      <w:r w:rsidRPr="00AF4282">
        <w:rPr>
          <w:sz w:val="24"/>
          <w:szCs w:val="24"/>
          <w:lang w:val="zh-CN"/>
        </w:rPr>
        <w:t>11</w:t>
      </w:r>
      <w:r w:rsidRPr="00AF4282">
        <w:rPr>
          <w:sz w:val="24"/>
          <w:szCs w:val="24"/>
          <w:lang w:val="zh-CN"/>
        </w:rPr>
        <w:t>款，审查依照第</w:t>
      </w:r>
      <w:r w:rsidRPr="00AF4282">
        <w:rPr>
          <w:sz w:val="24"/>
          <w:szCs w:val="24"/>
          <w:lang w:val="zh-CN"/>
        </w:rPr>
        <w:t>13</w:t>
      </w:r>
      <w:r w:rsidRPr="00AF4282">
        <w:rPr>
          <w:sz w:val="24"/>
          <w:szCs w:val="24"/>
          <w:lang w:val="zh-CN"/>
        </w:rPr>
        <w:t>条设立的旨在支持缔约</w:t>
      </w:r>
      <w:proofErr w:type="gramStart"/>
      <w:r w:rsidRPr="00AF4282">
        <w:rPr>
          <w:sz w:val="24"/>
          <w:szCs w:val="24"/>
          <w:lang w:val="zh-CN"/>
        </w:rPr>
        <w:t>方执行</w:t>
      </w:r>
      <w:proofErr w:type="gramEnd"/>
      <w:r w:rsidRPr="00AF4282">
        <w:rPr>
          <w:sz w:val="24"/>
          <w:szCs w:val="24"/>
          <w:lang w:val="zh-CN"/>
        </w:rPr>
        <w:t>《公约》的资金机制，以期在必要时采取适当行动，提高资金机制的成效。根据第</w:t>
      </w:r>
      <w:r w:rsidRPr="00AF4282">
        <w:rPr>
          <w:sz w:val="24"/>
          <w:szCs w:val="24"/>
          <w:lang w:val="zh-CN"/>
        </w:rPr>
        <w:t>13</w:t>
      </w:r>
      <w:r w:rsidRPr="00AF4282">
        <w:rPr>
          <w:sz w:val="24"/>
          <w:szCs w:val="24"/>
          <w:lang w:val="zh-CN"/>
        </w:rPr>
        <w:t>条第</w:t>
      </w:r>
      <w:r w:rsidRPr="00AF4282">
        <w:rPr>
          <w:sz w:val="24"/>
          <w:szCs w:val="24"/>
          <w:lang w:val="zh-CN"/>
        </w:rPr>
        <w:t>11</w:t>
      </w:r>
      <w:r w:rsidRPr="00AF4282">
        <w:rPr>
          <w:sz w:val="24"/>
          <w:szCs w:val="24"/>
          <w:lang w:val="zh-CN"/>
        </w:rPr>
        <w:t>款，审查将包括对以下各项的分析：</w:t>
      </w:r>
    </w:p>
    <w:p w14:paraId="07DD6F8C"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供资水平；</w:t>
      </w:r>
    </w:p>
    <w:p w14:paraId="550D06F4"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资金机制从所有来源调动资源的能力、供资的水平和类型，包括专用和非专用自愿捐款之间的区别；</w:t>
      </w:r>
    </w:p>
    <w:p w14:paraId="6FD0A836"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缔约方大会向受托负责资金机制运作的实体</w:t>
      </w:r>
      <w:r w:rsidRPr="00AF4282">
        <w:rPr>
          <w:rFonts w:hint="eastAsia"/>
          <w:sz w:val="24"/>
          <w:szCs w:val="24"/>
          <w:lang w:val="zh-CN"/>
        </w:rPr>
        <w:t>，即</w:t>
      </w:r>
      <w:r w:rsidRPr="00AF4282">
        <w:rPr>
          <w:sz w:val="24"/>
          <w:szCs w:val="24"/>
          <w:lang w:val="zh-CN"/>
        </w:rPr>
        <w:t>全球环境基金</w:t>
      </w:r>
      <w:r w:rsidRPr="00AF4282">
        <w:rPr>
          <w:rFonts w:hint="eastAsia"/>
          <w:sz w:val="24"/>
          <w:szCs w:val="24"/>
          <w:lang w:val="zh-CN"/>
        </w:rPr>
        <w:t>以及</w:t>
      </w:r>
      <w:r w:rsidRPr="00AF4282">
        <w:rPr>
          <w:sz w:val="24"/>
          <w:szCs w:val="24"/>
          <w:lang w:val="zh-CN"/>
        </w:rPr>
        <w:t>支持能力建设和技术援助</w:t>
      </w:r>
      <w:r w:rsidRPr="00AF4282">
        <w:rPr>
          <w:rFonts w:hint="eastAsia"/>
          <w:sz w:val="24"/>
          <w:szCs w:val="24"/>
          <w:lang w:val="zh-CN"/>
        </w:rPr>
        <w:t>的</w:t>
      </w:r>
      <w:r w:rsidRPr="00AF4282">
        <w:rPr>
          <w:sz w:val="24"/>
          <w:szCs w:val="24"/>
          <w:lang w:val="zh-CN"/>
        </w:rPr>
        <w:t>专门国际方案</w:t>
      </w:r>
      <w:r w:rsidRPr="00AF4282">
        <w:rPr>
          <w:rFonts w:hint="eastAsia"/>
          <w:sz w:val="24"/>
          <w:szCs w:val="24"/>
          <w:lang w:val="zh-CN"/>
        </w:rPr>
        <w:t>，</w:t>
      </w:r>
      <w:r w:rsidRPr="00AF4282">
        <w:rPr>
          <w:sz w:val="24"/>
          <w:szCs w:val="24"/>
          <w:lang w:val="zh-CN"/>
        </w:rPr>
        <w:t>提供的指导意见；</w:t>
      </w:r>
    </w:p>
    <w:p w14:paraId="32D21D33"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lastRenderedPageBreak/>
        <w:t>全球环境基金</w:t>
      </w:r>
      <w:r w:rsidRPr="00AF4282">
        <w:rPr>
          <w:rFonts w:hint="eastAsia"/>
          <w:sz w:val="24"/>
          <w:szCs w:val="24"/>
          <w:lang w:val="zh-CN"/>
        </w:rPr>
        <w:t>和</w:t>
      </w:r>
      <w:r w:rsidRPr="00AF4282">
        <w:rPr>
          <w:sz w:val="24"/>
          <w:szCs w:val="24"/>
          <w:lang w:val="zh-CN"/>
        </w:rPr>
        <w:t>专门国际方案</w:t>
      </w:r>
      <w:r w:rsidRPr="00AF4282">
        <w:rPr>
          <w:rFonts w:hint="eastAsia"/>
          <w:sz w:val="24"/>
          <w:szCs w:val="24"/>
          <w:lang w:val="zh-CN"/>
        </w:rPr>
        <w:t>作为</w:t>
      </w:r>
      <w:r w:rsidRPr="00AF4282">
        <w:rPr>
          <w:sz w:val="24"/>
          <w:szCs w:val="24"/>
          <w:lang w:val="zh-CN"/>
        </w:rPr>
        <w:t>受托负责资金机制运作</w:t>
      </w:r>
      <w:r w:rsidRPr="00AF4282">
        <w:rPr>
          <w:rFonts w:hint="eastAsia"/>
          <w:sz w:val="24"/>
          <w:szCs w:val="24"/>
          <w:lang w:val="zh-CN"/>
        </w:rPr>
        <w:t>的</w:t>
      </w:r>
      <w:r w:rsidRPr="00AF4282">
        <w:rPr>
          <w:sz w:val="24"/>
          <w:szCs w:val="24"/>
          <w:lang w:val="zh-CN"/>
        </w:rPr>
        <w:t>实体的效率和成效；</w:t>
      </w:r>
    </w:p>
    <w:p w14:paraId="41B6F17D"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资金机制两个实体满足发展中国家缔约方和经济转型缔约方不断变化的</w:t>
      </w:r>
      <w:r w:rsidRPr="00AF4282">
        <w:rPr>
          <w:rFonts w:hint="eastAsia"/>
          <w:sz w:val="24"/>
          <w:szCs w:val="24"/>
          <w:lang w:val="zh-CN"/>
        </w:rPr>
        <w:t>需求</w:t>
      </w:r>
      <w:r w:rsidRPr="00AF4282">
        <w:rPr>
          <w:sz w:val="24"/>
          <w:szCs w:val="24"/>
          <w:lang w:val="zh-CN"/>
        </w:rPr>
        <w:t>的能力。</w:t>
      </w:r>
    </w:p>
    <w:p w14:paraId="225B1896" w14:textId="77777777" w:rsidR="006B6376" w:rsidRPr="00AF4282" w:rsidRDefault="006B6376" w:rsidP="006B6376">
      <w:pPr>
        <w:pStyle w:val="CH2"/>
        <w:rPr>
          <w:rFonts w:eastAsia="SimHei"/>
          <w:bCs/>
          <w:lang w:val="zh-CN"/>
        </w:rPr>
      </w:pPr>
      <w:r w:rsidRPr="00AF4282">
        <w:rPr>
          <w:rFonts w:eastAsia="SimHei"/>
          <w:bCs/>
          <w:lang w:val="zh-CN" w:eastAsia="zh-CN"/>
        </w:rPr>
        <w:t xml:space="preserve">           </w:t>
      </w:r>
      <w:r w:rsidRPr="00AF4282">
        <w:rPr>
          <w:rFonts w:eastAsia="SimHei"/>
          <w:bCs/>
          <w:lang w:val="zh-CN"/>
        </w:rPr>
        <w:t>B.</w:t>
      </w:r>
      <w:r w:rsidRPr="00AF4282">
        <w:rPr>
          <w:rFonts w:eastAsia="SimHei"/>
          <w:bCs/>
          <w:lang w:val="zh-CN"/>
        </w:rPr>
        <w:tab/>
      </w:r>
      <w:proofErr w:type="spellStart"/>
      <w:r w:rsidRPr="00AF4282">
        <w:rPr>
          <w:rFonts w:eastAsia="SimHei"/>
          <w:bCs/>
          <w:lang w:val="zh-CN"/>
        </w:rPr>
        <w:t>方法</w:t>
      </w:r>
      <w:proofErr w:type="spellEnd"/>
    </w:p>
    <w:p w14:paraId="1BCAF39B"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审查将涵盖资金机制</w:t>
      </w:r>
      <w:r w:rsidRPr="00AF4282">
        <w:rPr>
          <w:sz w:val="24"/>
          <w:szCs w:val="24"/>
          <w:lang w:val="zh-CN"/>
        </w:rPr>
        <w:t>2019</w:t>
      </w:r>
      <w:r w:rsidRPr="00AF4282">
        <w:rPr>
          <w:sz w:val="24"/>
          <w:szCs w:val="24"/>
          <w:lang w:val="zh-CN"/>
        </w:rPr>
        <w:t>年</w:t>
      </w:r>
      <w:r w:rsidRPr="00AF4282">
        <w:rPr>
          <w:sz w:val="24"/>
          <w:szCs w:val="24"/>
          <w:lang w:val="zh-CN"/>
        </w:rPr>
        <w:t>8</w:t>
      </w:r>
      <w:r w:rsidRPr="00AF4282">
        <w:rPr>
          <w:sz w:val="24"/>
          <w:szCs w:val="24"/>
          <w:lang w:val="zh-CN"/>
        </w:rPr>
        <w:t>月至</w:t>
      </w:r>
      <w:r w:rsidRPr="00AF4282">
        <w:rPr>
          <w:sz w:val="24"/>
          <w:szCs w:val="24"/>
          <w:lang w:val="zh-CN"/>
        </w:rPr>
        <w:t>2022</w:t>
      </w:r>
      <w:r w:rsidRPr="00AF4282">
        <w:rPr>
          <w:sz w:val="24"/>
          <w:szCs w:val="24"/>
          <w:lang w:val="zh-CN"/>
        </w:rPr>
        <w:t>年</w:t>
      </w:r>
      <w:r w:rsidRPr="00AF4282">
        <w:rPr>
          <w:sz w:val="24"/>
          <w:szCs w:val="24"/>
          <w:lang w:val="zh-CN"/>
        </w:rPr>
        <w:t>7</w:t>
      </w:r>
      <w:r w:rsidRPr="00AF4282">
        <w:rPr>
          <w:sz w:val="24"/>
          <w:szCs w:val="24"/>
          <w:lang w:val="zh-CN"/>
        </w:rPr>
        <w:t>月期间（即从资金机制第一次审查结束到全球环境基金信托基金第七次充资期结束的这段时间）的活动，包括专门国际方案的前三轮申请，尤其重点关注在这一期间完成的活动。</w:t>
      </w:r>
    </w:p>
    <w:p w14:paraId="53F0553A"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除其他外，审查将利用以下信息来源：</w:t>
      </w:r>
    </w:p>
    <w:p w14:paraId="46027CB1"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缔约方提交的、按本职权范围</w:t>
      </w:r>
      <w:r w:rsidRPr="00AF4282">
        <w:rPr>
          <w:sz w:val="24"/>
          <w:szCs w:val="24"/>
          <w:lang w:val="zh-CN"/>
        </w:rPr>
        <w:t>D</w:t>
      </w:r>
      <w:r w:rsidRPr="00AF4282">
        <w:rPr>
          <w:sz w:val="24"/>
          <w:szCs w:val="24"/>
          <w:lang w:val="zh-CN"/>
        </w:rPr>
        <w:t>节规定的业绩标准编列的、关于与资金机制互动的经验的信息；</w:t>
      </w:r>
      <w:bookmarkStart w:id="1" w:name="_Hlk73977916"/>
    </w:p>
    <w:bookmarkEnd w:id="1"/>
    <w:p w14:paraId="68767E58"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受托负责资金机制运作的实体向缔约方大会提交的报告；</w:t>
      </w:r>
    </w:p>
    <w:p w14:paraId="24D9F353"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受托负责资金机制运作的实体提供的其他报告，除其他外，包括全球环境基金独立评估办公室的报告、专门国际方案已完成项目的终期评价以及专门国际方案正在进行的项目的报告；</w:t>
      </w:r>
    </w:p>
    <w:p w14:paraId="58588C92"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以下各方提交的相关报告和信息：政府间组织和非政府组织；利益攸关方；根据《公约》第</w:t>
      </w:r>
      <w:r w:rsidRPr="00AF4282">
        <w:rPr>
          <w:sz w:val="24"/>
          <w:szCs w:val="24"/>
          <w:lang w:val="zh-CN"/>
        </w:rPr>
        <w:t>13</w:t>
      </w:r>
      <w:r w:rsidRPr="00AF4282">
        <w:rPr>
          <w:sz w:val="24"/>
          <w:szCs w:val="24"/>
          <w:lang w:val="zh-CN"/>
        </w:rPr>
        <w:t>条第</w:t>
      </w:r>
      <w:r w:rsidRPr="00AF4282">
        <w:rPr>
          <w:sz w:val="24"/>
          <w:szCs w:val="24"/>
          <w:lang w:val="zh-CN"/>
        </w:rPr>
        <w:t>1</w:t>
      </w:r>
      <w:r w:rsidRPr="00AF4282">
        <w:rPr>
          <w:sz w:val="24"/>
          <w:szCs w:val="24"/>
          <w:lang w:val="zh-CN"/>
        </w:rPr>
        <w:t>款和第</w:t>
      </w:r>
      <w:r w:rsidRPr="00AF4282">
        <w:rPr>
          <w:sz w:val="24"/>
          <w:szCs w:val="24"/>
          <w:lang w:val="zh-CN"/>
        </w:rPr>
        <w:t>3</w:t>
      </w:r>
      <w:r w:rsidRPr="00AF4282">
        <w:rPr>
          <w:sz w:val="24"/>
          <w:szCs w:val="24"/>
          <w:lang w:val="zh-CN"/>
        </w:rPr>
        <w:t>款提供多边、区域和双边资金和技术援助的其他实体；支持在国家一级加强体制以执行巴塞尔、鹿特丹和斯德哥尔摩公约、水</w:t>
      </w:r>
      <w:proofErr w:type="gramStart"/>
      <w:r w:rsidRPr="00AF4282">
        <w:rPr>
          <w:sz w:val="24"/>
          <w:szCs w:val="24"/>
          <w:lang w:val="zh-CN"/>
        </w:rPr>
        <w:t>俣</w:t>
      </w:r>
      <w:proofErr w:type="gramEnd"/>
      <w:r w:rsidRPr="00AF4282">
        <w:rPr>
          <w:sz w:val="24"/>
          <w:szCs w:val="24"/>
          <w:lang w:val="zh-CN"/>
        </w:rPr>
        <w:t>公约及国际化学品管理战略方针的特别方案（关于加强互补性和避免重复）；全球汞伙伴关系（关于它为推动《公约》执行工作与资金机制开展的互动）；</w:t>
      </w:r>
    </w:p>
    <w:p w14:paraId="58159993"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color w:val="000000"/>
          <w:sz w:val="24"/>
          <w:szCs w:val="24"/>
        </w:rPr>
      </w:pPr>
      <w:r w:rsidRPr="00AF4282">
        <w:rPr>
          <w:sz w:val="24"/>
          <w:szCs w:val="24"/>
          <w:lang w:val="zh-CN"/>
        </w:rPr>
        <w:t>缔约方根据《公约》第</w:t>
      </w:r>
      <w:r w:rsidRPr="00AF4282">
        <w:rPr>
          <w:sz w:val="24"/>
          <w:szCs w:val="24"/>
          <w:lang w:val="zh-CN"/>
        </w:rPr>
        <w:t>21</w:t>
      </w:r>
      <w:r w:rsidRPr="00AF4282">
        <w:rPr>
          <w:sz w:val="24"/>
          <w:szCs w:val="24"/>
          <w:lang w:val="zh-CN"/>
        </w:rPr>
        <w:t>条提交的报告</w:t>
      </w:r>
      <w:r w:rsidRPr="00AF4282">
        <w:rPr>
          <w:rFonts w:hint="eastAsia"/>
          <w:sz w:val="24"/>
          <w:szCs w:val="24"/>
          <w:lang w:val="zh-CN"/>
        </w:rPr>
        <w:t>；</w:t>
      </w:r>
    </w:p>
    <w:p w14:paraId="4FB182C1"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color w:val="000000"/>
          <w:sz w:val="24"/>
          <w:szCs w:val="24"/>
        </w:rPr>
      </w:pPr>
      <w:r w:rsidRPr="00AF4282">
        <w:rPr>
          <w:sz w:val="24"/>
          <w:szCs w:val="24"/>
          <w:lang w:val="zh-CN"/>
        </w:rPr>
        <w:t>联合国环境规划署执行主任题为</w:t>
      </w:r>
      <w:r w:rsidRPr="00AF4282">
        <w:rPr>
          <w:rFonts w:ascii="SimSun" w:hAnsi="SimSun"/>
          <w:sz w:val="24"/>
          <w:szCs w:val="24"/>
          <w:lang w:val="zh-CN"/>
        </w:rPr>
        <w:t>“加强关于汞的水</w:t>
      </w:r>
      <w:proofErr w:type="gramStart"/>
      <w:r w:rsidRPr="00AF4282">
        <w:rPr>
          <w:rFonts w:ascii="SimSun" w:hAnsi="SimSun"/>
          <w:sz w:val="24"/>
          <w:szCs w:val="24"/>
          <w:lang w:val="zh-CN"/>
        </w:rPr>
        <w:t>俣</w:t>
      </w:r>
      <w:proofErr w:type="gramEnd"/>
      <w:r w:rsidRPr="00AF4282">
        <w:rPr>
          <w:rFonts w:ascii="SimSun" w:hAnsi="SimSun"/>
          <w:sz w:val="24"/>
          <w:szCs w:val="24"/>
          <w:lang w:val="zh-CN"/>
        </w:rPr>
        <w:t>公约的支持能力建设和技术援助的专门国际方案：提高方案运作的成效”</w:t>
      </w:r>
      <w:r w:rsidRPr="00AF4282">
        <w:rPr>
          <w:sz w:val="24"/>
          <w:szCs w:val="24"/>
          <w:lang w:val="zh-CN"/>
        </w:rPr>
        <w:t>的报告（</w:t>
      </w:r>
      <w:r w:rsidRPr="00AF4282">
        <w:rPr>
          <w:sz w:val="24"/>
          <w:szCs w:val="24"/>
          <w:lang w:val="zh-CN"/>
        </w:rPr>
        <w:t>UNEP/</w:t>
      </w:r>
      <w:r>
        <w:rPr>
          <w:sz w:val="24"/>
          <w:szCs w:val="24"/>
          <w:lang w:val="zh-CN"/>
        </w:rPr>
        <w:t xml:space="preserve"> </w:t>
      </w:r>
      <w:r w:rsidRPr="00AF4282">
        <w:rPr>
          <w:sz w:val="24"/>
          <w:szCs w:val="24"/>
          <w:lang w:val="zh-CN"/>
        </w:rPr>
        <w:t>MC/COP.4/13</w:t>
      </w:r>
      <w:r w:rsidRPr="00AF4282">
        <w:rPr>
          <w:sz w:val="24"/>
          <w:szCs w:val="24"/>
          <w:lang w:val="zh-CN"/>
        </w:rPr>
        <w:t>）</w:t>
      </w:r>
      <w:r w:rsidRPr="00AF4282">
        <w:rPr>
          <w:rFonts w:hint="eastAsia"/>
          <w:sz w:val="24"/>
          <w:szCs w:val="24"/>
          <w:lang w:val="zh-CN"/>
        </w:rPr>
        <w:t>。</w:t>
      </w:r>
    </w:p>
    <w:p w14:paraId="67F20499"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根据这些职权范围，秘书处将在资源允许的情况下：</w:t>
      </w:r>
    </w:p>
    <w:p w14:paraId="4AA73D4B"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proofErr w:type="gramStart"/>
      <w:r w:rsidRPr="00AF4282">
        <w:rPr>
          <w:sz w:val="24"/>
          <w:szCs w:val="24"/>
          <w:lang w:val="zh-CN"/>
        </w:rPr>
        <w:t>作出</w:t>
      </w:r>
      <w:proofErr w:type="gramEnd"/>
      <w:r w:rsidRPr="00AF4282">
        <w:rPr>
          <w:sz w:val="24"/>
          <w:szCs w:val="24"/>
          <w:lang w:val="zh-CN"/>
        </w:rPr>
        <w:t>适当安排，确保资金机制的第二次审查以独立和透明、有效和高效的方式进行；</w:t>
      </w:r>
    </w:p>
    <w:p w14:paraId="0CE74CAD"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聘用一名顾问，就提交的信息编写一份报告草案；</w:t>
      </w:r>
    </w:p>
    <w:p w14:paraId="207547F1"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将审查报告草案提交给缔约方大会第五次会议审议。</w:t>
      </w:r>
    </w:p>
    <w:p w14:paraId="4E5599C7"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rFonts w:hint="eastAsia"/>
          <w:sz w:val="24"/>
          <w:szCs w:val="24"/>
          <w:lang w:val="zh-CN"/>
        </w:rPr>
        <w:t>请</w:t>
      </w:r>
      <w:r w:rsidRPr="00AF4282">
        <w:rPr>
          <w:sz w:val="24"/>
          <w:szCs w:val="24"/>
          <w:lang w:val="zh-CN"/>
        </w:rPr>
        <w:t>受托负责资金机制运作的实体及时提供与审查有关的信息。</w:t>
      </w:r>
    </w:p>
    <w:p w14:paraId="44F94E18"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请缔约方尽快且不迟于</w:t>
      </w:r>
      <w:r w:rsidRPr="00AF4282">
        <w:rPr>
          <w:sz w:val="24"/>
          <w:szCs w:val="24"/>
          <w:lang w:val="zh-CN"/>
        </w:rPr>
        <w:t>2022</w:t>
      </w:r>
      <w:r w:rsidRPr="00AF4282">
        <w:rPr>
          <w:sz w:val="24"/>
          <w:szCs w:val="24"/>
          <w:lang w:val="zh-CN"/>
        </w:rPr>
        <w:t>年</w:t>
      </w:r>
      <w:r w:rsidRPr="00AF4282">
        <w:rPr>
          <w:sz w:val="24"/>
          <w:szCs w:val="24"/>
          <w:lang w:val="zh-CN"/>
        </w:rPr>
        <w:t>9</w:t>
      </w:r>
      <w:r w:rsidRPr="00AF4282">
        <w:rPr>
          <w:sz w:val="24"/>
          <w:szCs w:val="24"/>
          <w:lang w:val="zh-CN"/>
        </w:rPr>
        <w:t>月</w:t>
      </w:r>
      <w:r w:rsidRPr="00AF4282">
        <w:rPr>
          <w:sz w:val="24"/>
          <w:szCs w:val="24"/>
          <w:lang w:val="zh-CN"/>
        </w:rPr>
        <w:t>30</w:t>
      </w:r>
      <w:r w:rsidRPr="00AF4282">
        <w:rPr>
          <w:sz w:val="24"/>
          <w:szCs w:val="24"/>
          <w:lang w:val="zh-CN"/>
        </w:rPr>
        <w:t>日根据上文第</w:t>
      </w:r>
      <w:r w:rsidRPr="00AF4282">
        <w:rPr>
          <w:sz w:val="24"/>
          <w:szCs w:val="24"/>
          <w:lang w:val="zh-CN"/>
        </w:rPr>
        <w:t>3</w:t>
      </w:r>
      <w:r>
        <w:rPr>
          <w:sz w:val="24"/>
          <w:szCs w:val="24"/>
          <w:lang w:val="zh-CN"/>
        </w:rPr>
        <w:t xml:space="preserve"> </w:t>
      </w:r>
      <w:r w:rsidRPr="00AF4282">
        <w:rPr>
          <w:sz w:val="24"/>
          <w:szCs w:val="24"/>
          <w:lang w:val="zh-CN"/>
        </w:rPr>
        <w:t>(a)</w:t>
      </w:r>
      <w:r w:rsidRPr="00AF4282">
        <w:rPr>
          <w:sz w:val="24"/>
          <w:szCs w:val="24"/>
          <w:lang w:val="zh-CN"/>
        </w:rPr>
        <w:t>段提供信息。</w:t>
      </w:r>
    </w:p>
    <w:p w14:paraId="2B35D0A7"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请政府间组织和非政府组织、利益攸关方、特别方案、全球汞伙伴关系以及提供多边、区域和双边资金和技术援助的相关实体尽快且不迟于</w:t>
      </w:r>
      <w:r w:rsidRPr="00AF4282">
        <w:rPr>
          <w:sz w:val="24"/>
          <w:szCs w:val="24"/>
          <w:lang w:val="zh-CN"/>
        </w:rPr>
        <w:t>2022</w:t>
      </w:r>
      <w:r w:rsidRPr="00AF4282">
        <w:rPr>
          <w:sz w:val="24"/>
          <w:szCs w:val="24"/>
          <w:lang w:val="zh-CN"/>
        </w:rPr>
        <w:t>年</w:t>
      </w:r>
      <w:r w:rsidRPr="00AF4282">
        <w:rPr>
          <w:sz w:val="24"/>
          <w:szCs w:val="24"/>
          <w:lang w:val="zh-CN"/>
        </w:rPr>
        <w:t>9</w:t>
      </w:r>
      <w:r w:rsidRPr="00AF4282">
        <w:rPr>
          <w:sz w:val="24"/>
          <w:szCs w:val="24"/>
          <w:lang w:val="zh-CN"/>
        </w:rPr>
        <w:t>月</w:t>
      </w:r>
      <w:r w:rsidRPr="00AF4282">
        <w:rPr>
          <w:sz w:val="24"/>
          <w:szCs w:val="24"/>
          <w:lang w:val="zh-CN"/>
        </w:rPr>
        <w:t>30</w:t>
      </w:r>
      <w:r w:rsidRPr="00AF4282">
        <w:rPr>
          <w:sz w:val="24"/>
          <w:szCs w:val="24"/>
          <w:lang w:val="zh-CN"/>
        </w:rPr>
        <w:t>日根据本次审查的目标提供相关信息。</w:t>
      </w:r>
    </w:p>
    <w:p w14:paraId="4A9259A7" w14:textId="77777777" w:rsidR="006B6376" w:rsidRPr="00AF4282" w:rsidRDefault="006B6376" w:rsidP="006B6376">
      <w:pPr>
        <w:pStyle w:val="CH2"/>
        <w:rPr>
          <w:rFonts w:eastAsia="SimHei"/>
          <w:bCs/>
          <w:lang w:val="zh-CN"/>
        </w:rPr>
      </w:pPr>
      <w:r w:rsidRPr="00AF4282">
        <w:rPr>
          <w:rFonts w:eastAsia="SimHei"/>
          <w:bCs/>
          <w:lang w:val="zh-CN" w:eastAsia="zh-CN"/>
        </w:rPr>
        <w:t xml:space="preserve">           </w:t>
      </w:r>
      <w:r w:rsidRPr="00AF4282">
        <w:rPr>
          <w:rFonts w:eastAsia="SimHei"/>
          <w:bCs/>
          <w:lang w:val="zh-CN"/>
        </w:rPr>
        <w:t>C.</w:t>
      </w:r>
      <w:r w:rsidRPr="00AF4282">
        <w:rPr>
          <w:rFonts w:eastAsia="SimHei"/>
          <w:bCs/>
          <w:lang w:val="zh-CN"/>
        </w:rPr>
        <w:tab/>
      </w:r>
      <w:proofErr w:type="spellStart"/>
      <w:r w:rsidRPr="00AF4282">
        <w:rPr>
          <w:rFonts w:eastAsia="SimHei"/>
          <w:bCs/>
          <w:lang w:val="zh-CN"/>
        </w:rPr>
        <w:t>报告</w:t>
      </w:r>
      <w:proofErr w:type="spellEnd"/>
    </w:p>
    <w:p w14:paraId="6B864457"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第二次审查的报告将包含以下内容：</w:t>
      </w:r>
    </w:p>
    <w:p w14:paraId="18F8B44B"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概述上文第</w:t>
      </w:r>
      <w:r w:rsidRPr="00AF4282">
        <w:rPr>
          <w:sz w:val="24"/>
          <w:szCs w:val="24"/>
          <w:lang w:val="zh-CN"/>
        </w:rPr>
        <w:t>1</w:t>
      </w:r>
      <w:r w:rsidRPr="00AF4282">
        <w:rPr>
          <w:sz w:val="24"/>
          <w:szCs w:val="24"/>
          <w:lang w:val="zh-CN"/>
        </w:rPr>
        <w:t>段</w:t>
      </w:r>
      <w:r>
        <w:rPr>
          <w:rFonts w:hint="cs"/>
          <w:sz w:val="24"/>
          <w:szCs w:val="24"/>
          <w:lang w:val="zh-CN"/>
        </w:rPr>
        <w:t xml:space="preserve"> </w:t>
      </w:r>
      <w:r w:rsidRPr="00AF4282">
        <w:rPr>
          <w:sz w:val="24"/>
          <w:szCs w:val="24"/>
          <w:lang w:val="zh-CN"/>
        </w:rPr>
        <w:t>(a)</w:t>
      </w:r>
      <w:r>
        <w:rPr>
          <w:sz w:val="24"/>
          <w:szCs w:val="24"/>
          <w:lang w:val="zh-CN"/>
        </w:rPr>
        <w:t xml:space="preserve"> </w:t>
      </w:r>
      <w:r w:rsidRPr="00AF4282">
        <w:rPr>
          <w:sz w:val="24"/>
          <w:szCs w:val="24"/>
          <w:lang w:val="zh-CN"/>
        </w:rPr>
        <w:t>至</w:t>
      </w:r>
      <w:r>
        <w:rPr>
          <w:rFonts w:hint="eastAsia"/>
          <w:sz w:val="24"/>
          <w:szCs w:val="24"/>
          <w:lang w:val="zh-CN"/>
        </w:rPr>
        <w:t xml:space="preserve"> </w:t>
      </w:r>
      <w:r w:rsidRPr="00AF4282">
        <w:rPr>
          <w:sz w:val="24"/>
          <w:szCs w:val="24"/>
          <w:lang w:val="zh-CN"/>
        </w:rPr>
        <w:t>(</w:t>
      </w:r>
      <w:r>
        <w:rPr>
          <w:sz w:val="24"/>
          <w:szCs w:val="24"/>
          <w:lang w:val="zh-CN"/>
        </w:rPr>
        <w:t>e</w:t>
      </w:r>
      <w:r w:rsidRPr="00AF4282">
        <w:rPr>
          <w:sz w:val="24"/>
          <w:szCs w:val="24"/>
          <w:lang w:val="zh-CN"/>
        </w:rPr>
        <w:t>)</w:t>
      </w:r>
      <w:r>
        <w:rPr>
          <w:sz w:val="24"/>
          <w:szCs w:val="24"/>
          <w:lang w:val="zh-CN"/>
        </w:rPr>
        <w:t xml:space="preserve"> </w:t>
      </w:r>
      <w:r w:rsidRPr="00AF4282">
        <w:rPr>
          <w:sz w:val="24"/>
          <w:szCs w:val="24"/>
          <w:lang w:val="zh-CN"/>
        </w:rPr>
        <w:t>项；</w:t>
      </w:r>
    </w:p>
    <w:p w14:paraId="1829704C"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lastRenderedPageBreak/>
        <w:t>分析本次审查所</w:t>
      </w:r>
      <w:proofErr w:type="gramStart"/>
      <w:r w:rsidRPr="00AF4282">
        <w:rPr>
          <w:sz w:val="24"/>
          <w:szCs w:val="24"/>
          <w:lang w:val="zh-CN"/>
        </w:rPr>
        <w:t>涉期间</w:t>
      </w:r>
      <w:proofErr w:type="gramEnd"/>
      <w:r w:rsidRPr="00AF4282">
        <w:rPr>
          <w:rFonts w:hint="eastAsia"/>
          <w:sz w:val="24"/>
          <w:szCs w:val="24"/>
          <w:lang w:val="zh-CN"/>
        </w:rPr>
        <w:t>由</w:t>
      </w:r>
      <w:r w:rsidRPr="00AF4282">
        <w:rPr>
          <w:sz w:val="24"/>
          <w:szCs w:val="24"/>
          <w:lang w:val="zh-CN"/>
        </w:rPr>
        <w:t>资金机制</w:t>
      </w:r>
      <w:r w:rsidRPr="00AF4282">
        <w:rPr>
          <w:rFonts w:hint="eastAsia"/>
          <w:sz w:val="24"/>
          <w:szCs w:val="24"/>
          <w:lang w:val="zh-CN"/>
        </w:rPr>
        <w:t>供资的</w:t>
      </w:r>
      <w:r w:rsidRPr="00AF4282">
        <w:rPr>
          <w:sz w:val="24"/>
          <w:szCs w:val="24"/>
          <w:lang w:val="zh-CN"/>
        </w:rPr>
        <w:t>活动</w:t>
      </w:r>
      <w:r w:rsidRPr="00AF4282">
        <w:rPr>
          <w:rFonts w:hint="eastAsia"/>
          <w:sz w:val="24"/>
          <w:szCs w:val="24"/>
          <w:lang w:val="zh-CN"/>
        </w:rPr>
        <w:t>得出</w:t>
      </w:r>
      <w:r w:rsidRPr="00AF4282">
        <w:rPr>
          <w:sz w:val="24"/>
          <w:szCs w:val="24"/>
          <w:lang w:val="zh-CN"/>
        </w:rPr>
        <w:t>的经验教训；</w:t>
      </w:r>
    </w:p>
    <w:p w14:paraId="08C5DF4A"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评估全球环境基金中与履行《公约》义务的活动有关的增量成本和全球环境效益原则，同时评估通过全球环境基金活动评价报告以及专门国际方案已完成项目的最后报告和评价报告获取的经验教训；</w:t>
      </w:r>
    </w:p>
    <w:p w14:paraId="2A13DEE5"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评估资金机制为实现《公约》目标而提供的资金的可持续性、透明度和可得性；</w:t>
      </w:r>
    </w:p>
    <w:p w14:paraId="575AB5D5"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确定</w:t>
      </w:r>
      <w:r w:rsidRPr="00AF4282">
        <w:rPr>
          <w:rFonts w:hint="eastAsia"/>
          <w:sz w:val="24"/>
          <w:szCs w:val="24"/>
          <w:lang w:val="zh-CN"/>
        </w:rPr>
        <w:t>由</w:t>
      </w:r>
      <w:r w:rsidRPr="00AF4282">
        <w:rPr>
          <w:sz w:val="24"/>
          <w:szCs w:val="24"/>
          <w:lang w:val="zh-CN"/>
        </w:rPr>
        <w:t>资金机制直接筹集的资源，包括实物捐助和共同筹资，并尽可能对通过私营部门和其他利益攸关方的行动间接筹集的资源进行定量和</w:t>
      </w:r>
      <w:r w:rsidRPr="00AF4282">
        <w:rPr>
          <w:rFonts w:hint="eastAsia"/>
          <w:sz w:val="24"/>
          <w:szCs w:val="24"/>
          <w:lang w:val="zh-CN"/>
        </w:rPr>
        <w:t>（</w:t>
      </w:r>
      <w:r w:rsidRPr="00AF4282">
        <w:rPr>
          <w:sz w:val="24"/>
          <w:szCs w:val="24"/>
          <w:lang w:val="zh-CN"/>
        </w:rPr>
        <w:t>或</w:t>
      </w:r>
      <w:r w:rsidRPr="00AF4282">
        <w:rPr>
          <w:rFonts w:hint="eastAsia"/>
          <w:sz w:val="24"/>
          <w:szCs w:val="24"/>
          <w:lang w:val="zh-CN"/>
        </w:rPr>
        <w:t>）</w:t>
      </w:r>
      <w:r w:rsidRPr="00AF4282">
        <w:rPr>
          <w:sz w:val="24"/>
          <w:szCs w:val="24"/>
          <w:lang w:val="zh-CN"/>
        </w:rPr>
        <w:t>定性评估；</w:t>
      </w:r>
      <w:r w:rsidRPr="00AF4282">
        <w:rPr>
          <w:rFonts w:hint="eastAsia"/>
          <w:sz w:val="24"/>
          <w:szCs w:val="24"/>
          <w:lang w:val="zh-CN"/>
        </w:rPr>
        <w:t xml:space="preserve"> </w:t>
      </w:r>
    </w:p>
    <w:p w14:paraId="4DFE8086"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就提高资金机制在实现《公约》目标方面的成效和效率提出建议；</w:t>
      </w:r>
    </w:p>
    <w:p w14:paraId="37956DD8"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按下文第</w:t>
      </w:r>
      <w:r w:rsidRPr="00AF4282">
        <w:rPr>
          <w:sz w:val="24"/>
          <w:szCs w:val="24"/>
          <w:lang w:val="zh-CN"/>
        </w:rPr>
        <w:t>10</w:t>
      </w:r>
      <w:r w:rsidRPr="00AF4282">
        <w:rPr>
          <w:sz w:val="24"/>
          <w:szCs w:val="24"/>
          <w:lang w:val="zh-CN"/>
        </w:rPr>
        <w:t>段提出的业绩标准进行评估。</w:t>
      </w:r>
    </w:p>
    <w:p w14:paraId="7AA3D726"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color w:val="000000"/>
          <w:sz w:val="24"/>
          <w:szCs w:val="24"/>
        </w:rPr>
      </w:pPr>
      <w:r w:rsidRPr="00AF4282">
        <w:rPr>
          <w:sz w:val="24"/>
          <w:szCs w:val="24"/>
          <w:lang w:val="zh-CN"/>
        </w:rPr>
        <w:t>秘书处将把上述报告提交缔约方大会第五次会议审议。</w:t>
      </w:r>
    </w:p>
    <w:p w14:paraId="7A81CB48" w14:textId="77777777" w:rsidR="006B6376" w:rsidRPr="00AF4282" w:rsidRDefault="006B6376" w:rsidP="006B6376">
      <w:pPr>
        <w:pStyle w:val="CH2"/>
        <w:rPr>
          <w:rFonts w:eastAsia="SimHei"/>
          <w:bCs/>
          <w:lang w:val="zh-CN"/>
        </w:rPr>
      </w:pPr>
      <w:r w:rsidRPr="00AF4282">
        <w:rPr>
          <w:rFonts w:eastAsia="SimHei"/>
          <w:bCs/>
          <w:lang w:val="zh-CN" w:eastAsia="zh-CN"/>
        </w:rPr>
        <w:t xml:space="preserve">           </w:t>
      </w:r>
      <w:r w:rsidRPr="00AF4282">
        <w:rPr>
          <w:rFonts w:eastAsia="SimHei"/>
          <w:bCs/>
          <w:lang w:val="zh-CN"/>
        </w:rPr>
        <w:t>D.</w:t>
      </w:r>
      <w:r w:rsidRPr="00AF4282">
        <w:rPr>
          <w:rFonts w:eastAsia="SimHei"/>
          <w:bCs/>
          <w:lang w:val="zh-CN"/>
        </w:rPr>
        <w:tab/>
      </w:r>
      <w:proofErr w:type="spellStart"/>
      <w:r w:rsidRPr="00AF4282">
        <w:rPr>
          <w:rFonts w:eastAsia="SimHei"/>
          <w:bCs/>
          <w:lang w:val="zh-CN"/>
        </w:rPr>
        <w:t>业绩标准</w:t>
      </w:r>
      <w:proofErr w:type="spellEnd"/>
    </w:p>
    <w:p w14:paraId="60607A5F" w14:textId="77777777" w:rsidR="006B6376" w:rsidRPr="00AF4282" w:rsidRDefault="006B6376" w:rsidP="006B6376">
      <w:pPr>
        <w:pStyle w:val="Normalnumber"/>
        <w:numPr>
          <w:ilvl w:val="0"/>
          <w:numId w:val="25"/>
        </w:numPr>
        <w:tabs>
          <w:tab w:val="clear" w:pos="567"/>
          <w:tab w:val="clear" w:pos="1247"/>
          <w:tab w:val="clear" w:pos="1814"/>
          <w:tab w:val="clear" w:pos="2381"/>
          <w:tab w:val="clear" w:pos="2948"/>
          <w:tab w:val="clear" w:pos="3515"/>
          <w:tab w:val="clear" w:pos="4082"/>
          <w:tab w:val="left" w:pos="624"/>
        </w:tabs>
        <w:spacing w:line="240" w:lineRule="auto"/>
        <w:rPr>
          <w:sz w:val="24"/>
          <w:szCs w:val="24"/>
        </w:rPr>
      </w:pPr>
      <w:r w:rsidRPr="00AF4282">
        <w:rPr>
          <w:sz w:val="24"/>
          <w:szCs w:val="24"/>
          <w:lang w:val="zh-CN"/>
        </w:rPr>
        <w:t>资金机制的成效和效率将</w:t>
      </w:r>
      <w:r w:rsidRPr="00AF4282">
        <w:rPr>
          <w:rFonts w:hint="eastAsia"/>
          <w:sz w:val="24"/>
          <w:szCs w:val="24"/>
          <w:lang w:val="zh-CN"/>
        </w:rPr>
        <w:t>得到</w:t>
      </w:r>
      <w:r w:rsidRPr="00AF4282">
        <w:rPr>
          <w:sz w:val="24"/>
          <w:szCs w:val="24"/>
          <w:lang w:val="zh-CN"/>
        </w:rPr>
        <w:t>评估，除其他外，将考虑：</w:t>
      </w:r>
    </w:p>
    <w:p w14:paraId="70437A08"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全球环境基金和专门国际方案是否对缔约方大会通过或提供的指导意见</w:t>
      </w:r>
      <w:proofErr w:type="gramStart"/>
      <w:r w:rsidRPr="00AF4282">
        <w:rPr>
          <w:sz w:val="24"/>
          <w:szCs w:val="24"/>
          <w:lang w:val="zh-CN"/>
        </w:rPr>
        <w:t>作出</w:t>
      </w:r>
      <w:proofErr w:type="gramEnd"/>
      <w:r w:rsidRPr="00AF4282">
        <w:rPr>
          <w:sz w:val="24"/>
          <w:szCs w:val="24"/>
          <w:lang w:val="zh-CN"/>
        </w:rPr>
        <w:t>响应；</w:t>
      </w:r>
    </w:p>
    <w:p w14:paraId="67AD77D8"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由资金机制供资的项目在多大程度上减少或</w:t>
      </w:r>
      <w:r w:rsidRPr="00AF4282">
        <w:rPr>
          <w:rFonts w:hint="eastAsia"/>
          <w:sz w:val="24"/>
          <w:szCs w:val="24"/>
          <w:lang w:val="zh-CN"/>
        </w:rPr>
        <w:t>预计</w:t>
      </w:r>
      <w:r w:rsidRPr="00AF4282">
        <w:rPr>
          <w:sz w:val="24"/>
          <w:szCs w:val="24"/>
          <w:lang w:val="zh-CN"/>
        </w:rPr>
        <w:t>减少汞的供应、使用、排放和释放，并对《公约》执行工作产生其他惠益；</w:t>
      </w:r>
    </w:p>
    <w:p w14:paraId="04DB8BE3"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项目批准过程的透明度和及时性；</w:t>
      </w:r>
    </w:p>
    <w:p w14:paraId="759244F3"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获取资金以及执行项目和提交报告的程序是否简单、灵活和</w:t>
      </w:r>
      <w:r w:rsidRPr="00AF4282">
        <w:rPr>
          <w:rFonts w:hint="eastAsia"/>
          <w:sz w:val="24"/>
          <w:szCs w:val="24"/>
          <w:lang w:val="zh-CN"/>
        </w:rPr>
        <w:t>便捷</w:t>
      </w:r>
      <w:r w:rsidRPr="00AF4282">
        <w:rPr>
          <w:sz w:val="24"/>
          <w:szCs w:val="24"/>
          <w:lang w:val="zh-CN"/>
        </w:rPr>
        <w:t>；</w:t>
      </w:r>
    </w:p>
    <w:p w14:paraId="076C150B"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可用资源的充足性和</w:t>
      </w:r>
      <w:proofErr w:type="gramStart"/>
      <w:r w:rsidRPr="00AF4282">
        <w:rPr>
          <w:sz w:val="24"/>
          <w:szCs w:val="24"/>
          <w:lang w:val="zh-CN"/>
        </w:rPr>
        <w:t>可</w:t>
      </w:r>
      <w:proofErr w:type="gramEnd"/>
      <w:r w:rsidRPr="00AF4282">
        <w:rPr>
          <w:sz w:val="24"/>
          <w:szCs w:val="24"/>
          <w:lang w:val="zh-CN"/>
        </w:rPr>
        <w:t>持续性；</w:t>
      </w:r>
    </w:p>
    <w:p w14:paraId="586FF6B9"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各国对资金机制供资的活动享有自主权；</w:t>
      </w:r>
    </w:p>
    <w:p w14:paraId="5A590C18"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利益攸关方的参与程度；</w:t>
      </w:r>
    </w:p>
    <w:p w14:paraId="2531DC59" w14:textId="77777777" w:rsidR="006B6376" w:rsidRPr="00AF4282" w:rsidRDefault="006B6376" w:rsidP="006B637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缔约方提出的其他任何重要问题。</w:t>
      </w:r>
    </w:p>
    <w:p w14:paraId="37EB92E8" w14:textId="0AF07096" w:rsidR="00CD27FB" w:rsidRPr="00CD27FB" w:rsidRDefault="00CD27FB" w:rsidP="00B21106">
      <w:pPr>
        <w:tabs>
          <w:tab w:val="clear" w:pos="1247"/>
          <w:tab w:val="clear" w:pos="1814"/>
          <w:tab w:val="clear" w:pos="2381"/>
          <w:tab w:val="clear" w:pos="2948"/>
          <w:tab w:val="clear" w:pos="3515"/>
          <w:tab w:val="left" w:pos="624"/>
        </w:tabs>
        <w:spacing w:before="240" w:line="240" w:lineRule="auto"/>
        <w:ind w:left="1247"/>
        <w:rPr>
          <w:sz w:val="24"/>
          <w:szCs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2987" w14:textId="77777777" w:rsidR="00B30081" w:rsidRDefault="00B30081">
      <w:pPr>
        <w:spacing w:line="240" w:lineRule="auto"/>
      </w:pPr>
      <w:r>
        <w:separator/>
      </w:r>
    </w:p>
  </w:endnote>
  <w:endnote w:type="continuationSeparator" w:id="0">
    <w:p w14:paraId="18A062E9" w14:textId="77777777" w:rsidR="00B30081" w:rsidRDefault="00B300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35DFF68A" w:rsidR="00BE29CF" w:rsidRDefault="00772B38">
    <w:pPr>
      <w:pStyle w:val="Normal-pool"/>
    </w:pPr>
    <w:bookmarkStart w:id="2" w:name="FooterJobDate"/>
    <w:r>
      <w:tab/>
    </w:r>
    <w:r w:rsidR="000963F9" w:rsidRPr="006B6376">
      <w:t>0</w:t>
    </w:r>
    <w:r w:rsidR="006B6376" w:rsidRPr="006B6376">
      <w:t>311</w:t>
    </w:r>
    <w:r w:rsidRPr="006B6376">
      <w:t>22</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6A62" w14:textId="77777777" w:rsidR="00B30081" w:rsidRDefault="00B30081">
      <w:pPr>
        <w:spacing w:after="0" w:line="240" w:lineRule="auto"/>
      </w:pPr>
      <w:r>
        <w:tab/>
      </w:r>
      <w:r>
        <w:separator/>
      </w:r>
    </w:p>
  </w:footnote>
  <w:footnote w:type="continuationSeparator" w:id="0">
    <w:p w14:paraId="7DA2030A" w14:textId="77777777" w:rsidR="00B30081" w:rsidRDefault="00B30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678889FC" w:rsidR="00BE29CF" w:rsidRDefault="00772B38">
    <w:pPr>
      <w:pStyle w:val="Header-pool"/>
      <w:spacing w:line="240" w:lineRule="auto"/>
      <w:jc w:val="left"/>
      <w:rPr>
        <w:sz w:val="20"/>
        <w:szCs w:val="20"/>
      </w:rPr>
    </w:pPr>
    <w:r>
      <w:rPr>
        <w:sz w:val="20"/>
        <w:szCs w:val="20"/>
      </w:rPr>
      <w:t>UNEP/MC/COP.4/Dec.</w:t>
    </w:r>
    <w:r w:rsidR="006B6376">
      <w:rPr>
        <w:sz w:val="20"/>
        <w:szCs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1DDB4A2E" w:rsidR="00BE29CF" w:rsidRDefault="00772B38">
    <w:pPr>
      <w:pStyle w:val="Header-pool"/>
      <w:spacing w:line="240" w:lineRule="auto"/>
      <w:jc w:val="right"/>
      <w:rPr>
        <w:sz w:val="20"/>
        <w:szCs w:val="20"/>
      </w:rPr>
    </w:pPr>
    <w:r>
      <w:rPr>
        <w:sz w:val="20"/>
        <w:szCs w:val="20"/>
      </w:rPr>
      <w:t>UNEP/MC/COP.4/Dec.</w:t>
    </w:r>
    <w:r w:rsidR="006B6376">
      <w:rPr>
        <w:sz w:val="20"/>
        <w:szCs w:val="20"/>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8"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0"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1"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8C0369"/>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7"/>
  </w:num>
  <w:num w:numId="3">
    <w:abstractNumId w:val="13"/>
    <w:lvlOverride w:ilvl="0">
      <w:lvl w:ilvl="0">
        <w:start w:val="1"/>
        <w:numFmt w:val="decimal"/>
        <w:lvlText w:val="%1."/>
        <w:lvlJc w:val="left"/>
        <w:pPr>
          <w:ind w:left="720" w:hanging="360"/>
        </w:pPr>
      </w:lvl>
    </w:lvlOverride>
  </w:num>
  <w:num w:numId="4">
    <w:abstractNumId w:val="16"/>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1"/>
    <w:lvlOverride w:ilvl="0">
      <w:lvl w:ilvl="0">
        <w:start w:val="1"/>
        <w:numFmt w:val="lowerLetter"/>
        <w:lvlText w:val="(%1)"/>
        <w:lvlJc w:val="left"/>
        <w:pPr>
          <w:ind w:left="720" w:hanging="360"/>
        </w:pPr>
        <w:rPr>
          <w:rFonts w:hint="default"/>
        </w:rPr>
      </w:lvl>
    </w:lvlOverride>
  </w:num>
  <w:num w:numId="6">
    <w:abstractNumId w:val="15"/>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18"/>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2"/>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17"/>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19"/>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21"/>
    <w:lvlOverride w:ilvl="0">
      <w:lvl w:ilvl="0" w:tplc="0809000F">
        <w:start w:val="1"/>
        <w:numFmt w:val="decimal"/>
        <w:lvlText w:val="%1."/>
        <w:lvlJc w:val="left"/>
        <w:pPr>
          <w:ind w:left="720" w:hanging="360"/>
        </w:pPr>
      </w:lvl>
    </w:lvlOverride>
  </w:num>
  <w:num w:numId="14">
    <w:abstractNumId w:val="14"/>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22"/>
    <w:lvlOverride w:ilvl="0">
      <w:lvl w:ilvl="0" w:tplc="0809000F">
        <w:start w:val="1"/>
        <w:numFmt w:val="decimal"/>
        <w:lvlText w:val="%1."/>
        <w:lvlJc w:val="left"/>
        <w:pPr>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504B"/>
    <w:rsid w:val="001B76B5"/>
    <w:rsid w:val="001B7D42"/>
    <w:rsid w:val="001D3874"/>
    <w:rsid w:val="001D7E75"/>
    <w:rsid w:val="001E56D2"/>
    <w:rsid w:val="001E7D56"/>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A42E1"/>
    <w:rsid w:val="004B162C"/>
    <w:rsid w:val="004B614E"/>
    <w:rsid w:val="004B6AD0"/>
    <w:rsid w:val="004C3DBE"/>
    <w:rsid w:val="004C5C96"/>
    <w:rsid w:val="004C7978"/>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0C7A"/>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B6376"/>
    <w:rsid w:val="006D4F04"/>
    <w:rsid w:val="006D7EFB"/>
    <w:rsid w:val="006E6672"/>
    <w:rsid w:val="006E6722"/>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30081"/>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6008A"/>
    <w:rsid w:val="00F650C3"/>
    <w:rsid w:val="00F65D85"/>
    <w:rsid w:val="00F7542C"/>
    <w:rsid w:val="00F8091E"/>
    <w:rsid w:val="00F839A2"/>
    <w:rsid w:val="00F8615C"/>
    <w:rsid w:val="00F873F8"/>
    <w:rsid w:val="00F92E48"/>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4" w:qFormat="1"/>
    <w:lsdException w:name="heading 6" w:qFormat="1"/>
    <w:lsdException w:name="toc 1"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uiPriority="99"/>
    <w:lsdException w:name="annotation text" w:unhideWhenUsed="1"/>
    <w:lsdException w:name="header" w:semiHidden="1"/>
    <w:lsdException w:name="footer" w:semiHidden="1"/>
    <w:lsdException w:name="caption" w:semiHidden="1" w:unhideWhenUsed="1" w:qFormat="1"/>
    <w:lsdException w:name="table of figures" w:semiHidden="1"/>
    <w:lsdException w:name="footnote reference" w:qFormat="1"/>
    <w:lsdException w:name="annotation reference"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pPr>
      <w:keepNext/>
      <w:numPr>
        <w:ilvl w:val="1"/>
        <w:numId w:val="1"/>
      </w:numPr>
      <w:spacing w:before="240"/>
      <w:outlineLvl w:val="1"/>
    </w:pPr>
    <w:rPr>
      <w:b/>
      <w:sz w:val="24"/>
      <w:szCs w:val="24"/>
    </w:rPr>
  </w:style>
  <w:style w:type="paragraph" w:styleId="Heading3">
    <w:name w:val="heading 3"/>
    <w:basedOn w:val="Normal"/>
    <w:next w:val="Normalnumber"/>
    <w:link w:val="Heading3Char"/>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basedOn w:val="Normal"/>
    <w:link w:val="FootnoteTextChar"/>
    <w:uiPriority w:val="99"/>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semiHidden/>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basedOn w:val="DefaultParagraphFont"/>
    <w:link w:val="FootnoteText"/>
    <w:uiPriority w:val="99"/>
    <w:locked/>
    <w:rPr>
      <w:rFonts w:eastAsia="SimSun"/>
      <w:sz w:val="18"/>
      <w:lang w:val="fr-CA" w:eastAsia="en-US"/>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semiHidden/>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rPr>
      <w:rFonts w:eastAsia="SimSun"/>
      <w:snapToGrid w:val="0"/>
      <w:u w:val="single"/>
      <w:lang w:eastAsia="zh-CN"/>
    </w:rPr>
  </w:style>
  <w:style w:type="character" w:customStyle="1" w:styleId="Heading8Char">
    <w:name w:val="Heading 8 Char"/>
    <w:basedOn w:val="DefaultParagraphFont"/>
    <w:link w:val="Heading8"/>
    <w:rPr>
      <w:rFonts w:eastAsia="SimSun"/>
      <w:snapToGrid w:val="0"/>
      <w:u w:val="single"/>
      <w:lang w:eastAsia="zh-CN"/>
    </w:rPr>
  </w:style>
  <w:style w:type="character" w:customStyle="1" w:styleId="Heading9Char">
    <w:name w:val="Heading 9 Char"/>
    <w:basedOn w:val="DefaultParagraphFont"/>
    <w:link w:val="Heading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CH2Char">
    <w:name w:val="CH2 Char"/>
    <w:link w:val="CH2"/>
    <w:rsid w:val="006B6376"/>
    <w:rPr>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5.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41</TotalTime>
  <Pages>3</Pages>
  <Words>319</Words>
  <Characters>1816</Characters>
  <Application>Microsoft Office Word</Application>
  <DocSecurity>0</DocSecurity>
  <Lines>34</Lines>
  <Paragraphs>24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45</cp:revision>
  <cp:lastPrinted>2022-10-04T21:02:00Z</cp:lastPrinted>
  <dcterms:created xsi:type="dcterms:W3CDTF">2022-09-06T11:21:00Z</dcterms:created>
  <dcterms:modified xsi:type="dcterms:W3CDTF">2022-11-03T10:20:00Z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