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right"/>
        <w:tblLayout w:type="fixed"/>
        <w:tblLook w:val="0000" w:firstRow="0" w:lastRow="0" w:firstColumn="0" w:lastColumn="0" w:noHBand="0" w:noVBand="0"/>
      </w:tblPr>
      <w:tblGrid>
        <w:gridCol w:w="1653"/>
        <w:gridCol w:w="1041"/>
        <w:gridCol w:w="992"/>
        <w:gridCol w:w="2749"/>
        <w:gridCol w:w="1651"/>
        <w:gridCol w:w="1410"/>
      </w:tblGrid>
      <w:tr w:rsidR="0015442E" w:rsidRPr="00D705C8" w14:paraId="66DCC6F4" w14:textId="77777777" w:rsidTr="0059162C">
        <w:trPr>
          <w:trHeight w:val="57"/>
          <w:jc w:val="right"/>
        </w:trPr>
        <w:tc>
          <w:tcPr>
            <w:tcW w:w="2694" w:type="dxa"/>
            <w:gridSpan w:val="2"/>
          </w:tcPr>
          <w:p w14:paraId="320BB4AD" w14:textId="77777777" w:rsidR="0015442E" w:rsidRPr="00FE0852" w:rsidRDefault="0059162C" w:rsidP="001C3E7A">
            <w:pPr>
              <w:tabs>
                <w:tab w:val="clear" w:pos="1247"/>
                <w:tab w:val="clear" w:pos="1814"/>
                <w:tab w:val="clear" w:pos="2381"/>
                <w:tab w:val="clear" w:pos="2948"/>
                <w:tab w:val="clear" w:pos="3515"/>
              </w:tabs>
              <w:ind w:right="-57"/>
              <w:rPr>
                <w:rFonts w:ascii="Arial" w:hAnsi="Arial" w:cs="Arial"/>
                <w:b/>
                <w:bCs/>
                <w:sz w:val="27"/>
                <w:szCs w:val="27"/>
                <w:lang w:val="ru-RU"/>
              </w:rPr>
            </w:pPr>
            <w:bookmarkStart w:id="0" w:name="_Hlk74571254"/>
            <w:r w:rsidRPr="00FE0852">
              <w:rPr>
                <w:rFonts w:ascii="Arial" w:hAnsi="Arial"/>
                <w:b/>
                <w:sz w:val="27"/>
                <w:szCs w:val="27"/>
                <w:lang w:val="ru-RU"/>
              </w:rPr>
              <w:t>ОРГАНИЗАЦИЯ</w:t>
            </w:r>
            <w:r w:rsidRPr="00FE0852">
              <w:rPr>
                <w:rFonts w:ascii="Arial" w:hAnsi="Arial"/>
                <w:b/>
                <w:sz w:val="27"/>
                <w:szCs w:val="27"/>
                <w:lang w:val="ru-RU"/>
              </w:rPr>
              <w:br/>
              <w:t>ОБЪЕДИНЕННЫХ</w:t>
            </w:r>
            <w:r w:rsidRPr="00FE0852">
              <w:rPr>
                <w:rFonts w:ascii="Arial" w:hAnsi="Arial"/>
                <w:b/>
                <w:sz w:val="27"/>
                <w:szCs w:val="27"/>
                <w:lang w:val="ru-RU"/>
              </w:rPr>
              <w:br/>
              <w:t>НАЦИЙ</w:t>
            </w:r>
          </w:p>
        </w:tc>
        <w:tc>
          <w:tcPr>
            <w:tcW w:w="5392" w:type="dxa"/>
            <w:gridSpan w:val="3"/>
          </w:tcPr>
          <w:p w14:paraId="061F1376" w14:textId="77777777" w:rsidR="0015442E" w:rsidRPr="00FE0852" w:rsidRDefault="006C2B82" w:rsidP="001C3E7A">
            <w:pPr>
              <w:tabs>
                <w:tab w:val="clear" w:pos="1247"/>
                <w:tab w:val="clear" w:pos="1814"/>
                <w:tab w:val="clear" w:pos="2381"/>
                <w:tab w:val="clear" w:pos="2948"/>
                <w:tab w:val="clear" w:pos="3515"/>
              </w:tabs>
              <w:spacing w:before="20"/>
              <w:rPr>
                <w:lang w:val="en-US"/>
              </w:rPr>
            </w:pPr>
            <w:r w:rsidRPr="00FE0852">
              <w:rPr>
                <w:noProof/>
                <w:lang w:val="en-US"/>
              </w:rPr>
              <w:drawing>
                <wp:inline distT="0" distB="0" distL="0" distR="0" wp14:anchorId="0141F5FF" wp14:editId="5A86EB69">
                  <wp:extent cx="1267200" cy="570436"/>
                  <wp:effectExtent l="0" t="0" r="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UNEP_RU-small.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67200" cy="570436"/>
                          </a:xfrm>
                          <a:prstGeom prst="rect">
                            <a:avLst/>
                          </a:prstGeom>
                        </pic:spPr>
                      </pic:pic>
                    </a:graphicData>
                  </a:graphic>
                </wp:inline>
              </w:drawing>
            </w:r>
          </w:p>
        </w:tc>
        <w:tc>
          <w:tcPr>
            <w:tcW w:w="1410" w:type="dxa"/>
          </w:tcPr>
          <w:p w14:paraId="713A5BB3" w14:textId="77777777" w:rsidR="0015442E" w:rsidRPr="00FE0852" w:rsidRDefault="00F60EA5" w:rsidP="001C3E7A">
            <w:pPr>
              <w:tabs>
                <w:tab w:val="clear" w:pos="1247"/>
                <w:tab w:val="clear" w:pos="1814"/>
                <w:tab w:val="clear" w:pos="2381"/>
                <w:tab w:val="clear" w:pos="2948"/>
                <w:tab w:val="clear" w:pos="3515"/>
              </w:tabs>
              <w:jc w:val="right"/>
              <w:rPr>
                <w:rFonts w:ascii="Arial" w:hAnsi="Arial" w:cs="Arial"/>
                <w:b/>
                <w:bCs/>
                <w:sz w:val="64"/>
                <w:szCs w:val="64"/>
                <w:lang w:val="en-US"/>
              </w:rPr>
            </w:pPr>
            <w:r w:rsidRPr="00FE0852">
              <w:rPr>
                <w:rFonts w:ascii="Arial" w:hAnsi="Arial" w:cs="Arial"/>
                <w:b/>
                <w:bCs/>
                <w:sz w:val="64"/>
                <w:szCs w:val="64"/>
                <w:lang w:val="en-US"/>
              </w:rPr>
              <w:t>M</w:t>
            </w:r>
            <w:r w:rsidR="0015442E" w:rsidRPr="00FE0852">
              <w:rPr>
                <w:rFonts w:ascii="Arial" w:hAnsi="Arial" w:cs="Arial"/>
                <w:b/>
                <w:bCs/>
                <w:sz w:val="64"/>
                <w:szCs w:val="64"/>
                <w:lang w:val="en-US"/>
              </w:rPr>
              <w:t>C</w:t>
            </w:r>
          </w:p>
        </w:tc>
      </w:tr>
      <w:tr w:rsidR="0015442E" w:rsidRPr="00D705C8" w14:paraId="7D28D3C0" w14:textId="77777777" w:rsidTr="005C7D1D">
        <w:trPr>
          <w:trHeight w:val="57"/>
          <w:jc w:val="right"/>
        </w:trPr>
        <w:tc>
          <w:tcPr>
            <w:tcW w:w="1653" w:type="dxa"/>
            <w:tcBorders>
              <w:bottom w:val="single" w:sz="4" w:space="0" w:color="auto"/>
            </w:tcBorders>
          </w:tcPr>
          <w:p w14:paraId="3EC97241" w14:textId="77777777" w:rsidR="0015442E" w:rsidRPr="00487B54" w:rsidRDefault="0015442E" w:rsidP="001C3E7A">
            <w:pPr>
              <w:tabs>
                <w:tab w:val="clear" w:pos="1247"/>
                <w:tab w:val="clear" w:pos="1814"/>
                <w:tab w:val="clear" w:pos="2381"/>
                <w:tab w:val="clear" w:pos="2948"/>
                <w:tab w:val="clear" w:pos="3515"/>
              </w:tabs>
            </w:pPr>
          </w:p>
        </w:tc>
        <w:tc>
          <w:tcPr>
            <w:tcW w:w="4782" w:type="dxa"/>
            <w:gridSpan w:val="3"/>
            <w:tcBorders>
              <w:bottom w:val="single" w:sz="4" w:space="0" w:color="auto"/>
            </w:tcBorders>
          </w:tcPr>
          <w:p w14:paraId="51310BDE" w14:textId="77777777" w:rsidR="0015442E" w:rsidRPr="00FE0852" w:rsidRDefault="0015442E" w:rsidP="001C3E7A">
            <w:pPr>
              <w:tabs>
                <w:tab w:val="clear" w:pos="1247"/>
                <w:tab w:val="clear" w:pos="1814"/>
                <w:tab w:val="clear" w:pos="2381"/>
                <w:tab w:val="clear" w:pos="2948"/>
                <w:tab w:val="clear" w:pos="3515"/>
              </w:tabs>
              <w:rPr>
                <w:lang w:val="en-US"/>
              </w:rPr>
            </w:pPr>
          </w:p>
        </w:tc>
        <w:tc>
          <w:tcPr>
            <w:tcW w:w="3061" w:type="dxa"/>
            <w:gridSpan w:val="2"/>
            <w:tcBorders>
              <w:bottom w:val="single" w:sz="4" w:space="0" w:color="auto"/>
            </w:tcBorders>
          </w:tcPr>
          <w:p w14:paraId="61A11ED6" w14:textId="3856C507" w:rsidR="0015442E" w:rsidRPr="00FE0852" w:rsidRDefault="0015442E" w:rsidP="001C3E7A">
            <w:pPr>
              <w:tabs>
                <w:tab w:val="clear" w:pos="1247"/>
                <w:tab w:val="clear" w:pos="1814"/>
                <w:tab w:val="clear" w:pos="2381"/>
                <w:tab w:val="clear" w:pos="2948"/>
                <w:tab w:val="clear" w:pos="3515"/>
              </w:tabs>
              <w:rPr>
                <w:lang w:val="en-US"/>
              </w:rPr>
            </w:pPr>
            <w:r w:rsidRPr="00FE0852">
              <w:rPr>
                <w:b/>
                <w:bCs/>
                <w:sz w:val="28"/>
                <w:szCs w:val="28"/>
                <w:lang w:val="en-US"/>
              </w:rPr>
              <w:t>UNEP</w:t>
            </w:r>
            <w:r w:rsidRPr="00FE0852">
              <w:rPr>
                <w:lang w:val="en-US"/>
              </w:rPr>
              <w:t>/</w:t>
            </w:r>
            <w:r w:rsidR="00962471" w:rsidRPr="00FE0852">
              <w:rPr>
                <w:lang w:val="en-US"/>
              </w:rPr>
              <w:t>MC</w:t>
            </w:r>
            <w:r w:rsidR="008659A0" w:rsidRPr="00FE0852">
              <w:rPr>
                <w:lang w:val="en-US"/>
              </w:rPr>
              <w:t>/</w:t>
            </w:r>
            <w:r w:rsidR="00962471" w:rsidRPr="00FE0852">
              <w:rPr>
                <w:lang w:val="en-US"/>
              </w:rPr>
              <w:t>COP.</w:t>
            </w:r>
            <w:r w:rsidR="000F4549">
              <w:rPr>
                <w:lang w:val="en-US"/>
              </w:rPr>
              <w:t>4</w:t>
            </w:r>
            <w:r w:rsidR="001C3E7A" w:rsidRPr="00FE0852">
              <w:rPr>
                <w:lang w:val="en-US"/>
              </w:rPr>
              <w:t>/</w:t>
            </w:r>
            <w:r w:rsidR="00F37BD7">
              <w:rPr>
                <w:lang w:val="en-US"/>
              </w:rPr>
              <w:t>Dec.</w:t>
            </w:r>
            <w:r w:rsidR="008A1E92">
              <w:rPr>
                <w:lang w:val="en-US"/>
              </w:rPr>
              <w:t>6</w:t>
            </w:r>
          </w:p>
        </w:tc>
      </w:tr>
      <w:tr w:rsidR="0015442E" w:rsidRPr="00D705C8" w14:paraId="35376371" w14:textId="77777777" w:rsidTr="0006181A">
        <w:trPr>
          <w:trHeight w:val="57"/>
          <w:jc w:val="right"/>
        </w:trPr>
        <w:tc>
          <w:tcPr>
            <w:tcW w:w="3686" w:type="dxa"/>
            <w:gridSpan w:val="3"/>
            <w:tcBorders>
              <w:top w:val="single" w:sz="4" w:space="0" w:color="auto"/>
              <w:bottom w:val="single" w:sz="18" w:space="0" w:color="auto"/>
            </w:tcBorders>
            <w:shd w:val="clear" w:color="auto" w:fill="auto"/>
          </w:tcPr>
          <w:p w14:paraId="22506F0D" w14:textId="77777777" w:rsidR="0015442E" w:rsidRPr="00FE0852" w:rsidRDefault="0059162C" w:rsidP="001C3E7A">
            <w:pPr>
              <w:tabs>
                <w:tab w:val="clear" w:pos="1247"/>
                <w:tab w:val="clear" w:pos="1814"/>
                <w:tab w:val="clear" w:pos="2381"/>
                <w:tab w:val="clear" w:pos="2948"/>
                <w:tab w:val="clear" w:pos="3515"/>
              </w:tabs>
              <w:spacing w:before="120" w:after="240"/>
              <w:ind w:left="-85"/>
              <w:rPr>
                <w:sz w:val="22"/>
                <w:lang w:val="en-US"/>
              </w:rPr>
            </w:pPr>
            <w:r w:rsidRPr="00FE0852">
              <w:rPr>
                <w:noProof/>
                <w:sz w:val="22"/>
                <w:lang w:val="en-US"/>
              </w:rPr>
              <w:drawing>
                <wp:inline distT="0" distB="0" distL="0" distR="0" wp14:anchorId="050208B2" wp14:editId="3A1442AC">
                  <wp:extent cx="2203450" cy="1028700"/>
                  <wp:effectExtent l="0" t="0" r="635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INAMATA-BW_RU.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3450" cy="1028700"/>
                          </a:xfrm>
                          <a:prstGeom prst="rect">
                            <a:avLst/>
                          </a:prstGeom>
                        </pic:spPr>
                      </pic:pic>
                    </a:graphicData>
                  </a:graphic>
                </wp:inline>
              </w:drawing>
            </w:r>
          </w:p>
        </w:tc>
        <w:tc>
          <w:tcPr>
            <w:tcW w:w="2749" w:type="dxa"/>
            <w:tcBorders>
              <w:top w:val="single" w:sz="4" w:space="0" w:color="auto"/>
              <w:bottom w:val="single" w:sz="18" w:space="0" w:color="auto"/>
            </w:tcBorders>
            <w:shd w:val="clear" w:color="auto" w:fill="auto"/>
          </w:tcPr>
          <w:p w14:paraId="02C11AC5" w14:textId="77777777" w:rsidR="0015442E" w:rsidRPr="00746753" w:rsidRDefault="0015442E" w:rsidP="001C3E7A">
            <w:pPr>
              <w:tabs>
                <w:tab w:val="clear" w:pos="1247"/>
                <w:tab w:val="clear" w:pos="1814"/>
                <w:tab w:val="clear" w:pos="2381"/>
                <w:tab w:val="clear" w:pos="2948"/>
                <w:tab w:val="clear" w:pos="3515"/>
              </w:tabs>
              <w:spacing w:before="240" w:after="480"/>
              <w:rPr>
                <w:rFonts w:ascii="Arial" w:hAnsi="Arial" w:cs="Arial"/>
                <w:lang w:val="en-US"/>
              </w:rPr>
            </w:pPr>
          </w:p>
        </w:tc>
        <w:tc>
          <w:tcPr>
            <w:tcW w:w="3061" w:type="dxa"/>
            <w:gridSpan w:val="2"/>
            <w:tcBorders>
              <w:top w:val="single" w:sz="4" w:space="0" w:color="auto"/>
              <w:bottom w:val="single" w:sz="18" w:space="0" w:color="auto"/>
            </w:tcBorders>
          </w:tcPr>
          <w:p w14:paraId="18ED6EC7" w14:textId="77777777" w:rsidR="00A70B56" w:rsidRDefault="0015442E" w:rsidP="001C3E7A">
            <w:pPr>
              <w:tabs>
                <w:tab w:val="clear" w:pos="1247"/>
                <w:tab w:val="clear" w:pos="1814"/>
                <w:tab w:val="clear" w:pos="2381"/>
                <w:tab w:val="clear" w:pos="2948"/>
                <w:tab w:val="clear" w:pos="3515"/>
              </w:tabs>
              <w:spacing w:before="120"/>
              <w:rPr>
                <w:lang w:val="en-US"/>
              </w:rPr>
            </w:pPr>
            <w:r w:rsidRPr="00FE0852">
              <w:rPr>
                <w:lang w:val="en-US"/>
              </w:rPr>
              <w:t>Distr.</w:t>
            </w:r>
            <w:r w:rsidR="00E317A4" w:rsidRPr="00FE0852">
              <w:rPr>
                <w:lang w:val="en-US"/>
              </w:rPr>
              <w:t>:</w:t>
            </w:r>
            <w:r w:rsidRPr="00FE0852">
              <w:rPr>
                <w:lang w:val="en-US"/>
              </w:rPr>
              <w:t xml:space="preserve"> </w:t>
            </w:r>
            <w:r w:rsidR="00E317A4" w:rsidRPr="00FE0852">
              <w:rPr>
                <w:lang w:val="en-US"/>
              </w:rPr>
              <w:t>G</w:t>
            </w:r>
            <w:r w:rsidRPr="00FE0852">
              <w:rPr>
                <w:lang w:val="en-US"/>
              </w:rPr>
              <w:t>eneral</w:t>
            </w:r>
          </w:p>
          <w:p w14:paraId="452CB143" w14:textId="4B57535C" w:rsidR="0015442E" w:rsidRPr="00FE0852" w:rsidRDefault="00420315" w:rsidP="00A70B56">
            <w:pPr>
              <w:tabs>
                <w:tab w:val="clear" w:pos="1247"/>
                <w:tab w:val="clear" w:pos="1814"/>
                <w:tab w:val="clear" w:pos="2381"/>
                <w:tab w:val="clear" w:pos="2948"/>
                <w:tab w:val="clear" w:pos="3515"/>
              </w:tabs>
              <w:rPr>
                <w:iCs/>
                <w:lang w:val="en-US"/>
              </w:rPr>
            </w:pPr>
            <w:r>
              <w:rPr>
                <w:iCs/>
                <w:lang w:val="en-US"/>
              </w:rPr>
              <w:t>8 April</w:t>
            </w:r>
            <w:r w:rsidR="001C3E7A" w:rsidRPr="00FE0852">
              <w:rPr>
                <w:iCs/>
                <w:lang w:val="en-US"/>
              </w:rPr>
              <w:t xml:space="preserve"> 202</w:t>
            </w:r>
            <w:r w:rsidR="00522FC4">
              <w:rPr>
                <w:iCs/>
                <w:lang w:val="en-US"/>
              </w:rPr>
              <w:t>2</w:t>
            </w:r>
          </w:p>
          <w:p w14:paraId="5C2261EC" w14:textId="77777777" w:rsidR="00A70B56" w:rsidRDefault="00E317A4" w:rsidP="001C3E7A">
            <w:pPr>
              <w:tabs>
                <w:tab w:val="clear" w:pos="1247"/>
                <w:tab w:val="clear" w:pos="1814"/>
                <w:tab w:val="clear" w:pos="2381"/>
                <w:tab w:val="clear" w:pos="2948"/>
                <w:tab w:val="clear" w:pos="3515"/>
              </w:tabs>
              <w:spacing w:before="120"/>
              <w:rPr>
                <w:lang w:val="en-US"/>
              </w:rPr>
            </w:pPr>
            <w:r w:rsidRPr="00FE0852">
              <w:rPr>
                <w:lang w:val="en-US"/>
              </w:rPr>
              <w:t>Russian</w:t>
            </w:r>
            <w:r w:rsidR="005C7D1D" w:rsidRPr="00FE0852">
              <w:rPr>
                <w:lang w:val="en-US"/>
              </w:rPr>
              <w:t xml:space="preserve"> </w:t>
            </w:r>
          </w:p>
          <w:p w14:paraId="5E992BEF" w14:textId="47E94C56" w:rsidR="0015442E" w:rsidRPr="00FE0852" w:rsidRDefault="0015442E" w:rsidP="00A70B56">
            <w:pPr>
              <w:tabs>
                <w:tab w:val="clear" w:pos="1247"/>
                <w:tab w:val="clear" w:pos="1814"/>
                <w:tab w:val="clear" w:pos="2381"/>
                <w:tab w:val="clear" w:pos="2948"/>
                <w:tab w:val="clear" w:pos="3515"/>
              </w:tabs>
              <w:rPr>
                <w:sz w:val="22"/>
                <w:lang w:val="en-US"/>
              </w:rPr>
            </w:pPr>
            <w:r w:rsidRPr="00FE0852">
              <w:rPr>
                <w:lang w:val="en-US"/>
              </w:rPr>
              <w:t xml:space="preserve">Original: </w:t>
            </w:r>
            <w:r w:rsidR="00E317A4" w:rsidRPr="00FE0852">
              <w:rPr>
                <w:lang w:val="en-US"/>
              </w:rPr>
              <w:t>English</w:t>
            </w:r>
          </w:p>
        </w:tc>
      </w:tr>
    </w:tbl>
    <w:p w14:paraId="28EEA3F1" w14:textId="77777777" w:rsidR="00962471" w:rsidRPr="00FE0852" w:rsidRDefault="0059162C" w:rsidP="00A70B56">
      <w:pPr>
        <w:tabs>
          <w:tab w:val="clear" w:pos="1247"/>
          <w:tab w:val="clear" w:pos="1814"/>
          <w:tab w:val="clear" w:pos="2381"/>
          <w:tab w:val="clear" w:pos="2948"/>
          <w:tab w:val="clear" w:pos="3515"/>
        </w:tabs>
        <w:ind w:right="4536"/>
        <w:rPr>
          <w:b/>
          <w:bCs/>
          <w:lang w:val="ru-RU"/>
        </w:rPr>
      </w:pPr>
      <w:r w:rsidRPr="00FE0852">
        <w:rPr>
          <w:b/>
          <w:bCs/>
          <w:lang w:val="ru-RU"/>
        </w:rPr>
        <w:t xml:space="preserve">Конференция Сторон </w:t>
      </w:r>
      <w:proofErr w:type="spellStart"/>
      <w:r w:rsidRPr="00FE0852">
        <w:rPr>
          <w:b/>
          <w:bCs/>
          <w:lang w:val="ru-RU"/>
        </w:rPr>
        <w:t>Минаматской</w:t>
      </w:r>
      <w:proofErr w:type="spellEnd"/>
      <w:r w:rsidRPr="00FE0852">
        <w:rPr>
          <w:b/>
          <w:bCs/>
          <w:lang w:val="ru-RU"/>
        </w:rPr>
        <w:t xml:space="preserve"> </w:t>
      </w:r>
      <w:r w:rsidR="00E317A4" w:rsidRPr="00FE0852">
        <w:rPr>
          <w:b/>
          <w:bCs/>
          <w:lang w:val="ru-RU"/>
        </w:rPr>
        <w:br/>
      </w:r>
      <w:r w:rsidRPr="00FE0852">
        <w:rPr>
          <w:b/>
          <w:bCs/>
          <w:lang w:val="ru-RU"/>
        </w:rPr>
        <w:t>конвенции о ртути</w:t>
      </w:r>
    </w:p>
    <w:bookmarkEnd w:id="0"/>
    <w:p w14:paraId="66142FBD" w14:textId="62514BC0" w:rsidR="00962471" w:rsidRPr="00FE0852" w:rsidRDefault="001C3E7A" w:rsidP="00A70B56">
      <w:pPr>
        <w:tabs>
          <w:tab w:val="clear" w:pos="1247"/>
          <w:tab w:val="clear" w:pos="1814"/>
          <w:tab w:val="clear" w:pos="2381"/>
          <w:tab w:val="clear" w:pos="2948"/>
          <w:tab w:val="clear" w:pos="3515"/>
        </w:tabs>
        <w:ind w:right="4536"/>
        <w:rPr>
          <w:b/>
          <w:bCs/>
          <w:lang w:val="ru-RU"/>
        </w:rPr>
      </w:pPr>
      <w:r w:rsidRPr="00FE0852">
        <w:rPr>
          <w:b/>
          <w:bCs/>
          <w:lang w:val="ru-RU"/>
        </w:rPr>
        <w:t>Четвертое</w:t>
      </w:r>
      <w:r w:rsidR="00962471" w:rsidRPr="00FE0852">
        <w:rPr>
          <w:b/>
          <w:bCs/>
          <w:lang w:val="ru-RU"/>
        </w:rPr>
        <w:t xml:space="preserve"> </w:t>
      </w:r>
      <w:r w:rsidR="00375D74" w:rsidRPr="00FE0852">
        <w:rPr>
          <w:b/>
          <w:bCs/>
          <w:lang w:val="ru-RU"/>
        </w:rPr>
        <w:t>совещание</w:t>
      </w:r>
    </w:p>
    <w:p w14:paraId="543F444E" w14:textId="137F42E9" w:rsidR="00EB6A99" w:rsidRPr="009459E3" w:rsidRDefault="003C1CBA" w:rsidP="001346DB">
      <w:pPr>
        <w:tabs>
          <w:tab w:val="clear" w:pos="1247"/>
          <w:tab w:val="clear" w:pos="1814"/>
          <w:tab w:val="clear" w:pos="2381"/>
          <w:tab w:val="clear" w:pos="2948"/>
          <w:tab w:val="clear" w:pos="3515"/>
        </w:tabs>
        <w:spacing w:after="120"/>
        <w:ind w:right="4536"/>
        <w:rPr>
          <w:lang w:val="ru-RU"/>
        </w:rPr>
      </w:pPr>
      <w:r>
        <w:rPr>
          <w:bCs/>
          <w:lang w:val="ru-RU"/>
        </w:rPr>
        <w:t xml:space="preserve">В онлайн-режиме, </w:t>
      </w:r>
      <w:proofErr w:type="gramStart"/>
      <w:r>
        <w:rPr>
          <w:bCs/>
          <w:lang w:val="ru-RU"/>
        </w:rPr>
        <w:t>1-5</w:t>
      </w:r>
      <w:proofErr w:type="gramEnd"/>
      <w:r>
        <w:rPr>
          <w:bCs/>
          <w:lang w:val="ru-RU"/>
        </w:rPr>
        <w:t xml:space="preserve"> ноября 2021 года, </w:t>
      </w:r>
      <w:r w:rsidR="007B33B3">
        <w:rPr>
          <w:bCs/>
          <w:lang w:val="ru-RU"/>
        </w:rPr>
        <w:br/>
      </w:r>
      <w:r w:rsidR="001346DB">
        <w:rPr>
          <w:bCs/>
          <w:lang w:val="ru-RU"/>
        </w:rPr>
        <w:t xml:space="preserve">и </w:t>
      </w:r>
      <w:r>
        <w:rPr>
          <w:bCs/>
          <w:lang w:val="ru-RU"/>
        </w:rPr>
        <w:t>Бали, Индонезия, 21-25 марта 2022 года</w:t>
      </w:r>
    </w:p>
    <w:p w14:paraId="29547FE7" w14:textId="77777777" w:rsidR="001064A3" w:rsidRPr="00611117" w:rsidRDefault="001064A3" w:rsidP="00611117">
      <w:pPr>
        <w:tabs>
          <w:tab w:val="clear" w:pos="1247"/>
          <w:tab w:val="clear" w:pos="1814"/>
          <w:tab w:val="clear" w:pos="2381"/>
          <w:tab w:val="clear" w:pos="2948"/>
          <w:tab w:val="clear" w:pos="3515"/>
        </w:tabs>
        <w:spacing w:before="320" w:after="240"/>
        <w:ind w:left="1247" w:right="567"/>
        <w:rPr>
          <w:b/>
          <w:bCs/>
          <w:sz w:val="28"/>
          <w:szCs w:val="28"/>
          <w:lang w:val="ru-RU"/>
        </w:rPr>
      </w:pPr>
      <w:r w:rsidRPr="00611117">
        <w:rPr>
          <w:b/>
          <w:bCs/>
          <w:sz w:val="28"/>
          <w:szCs w:val="28"/>
          <w:lang w:val="ru-RU"/>
        </w:rPr>
        <w:t xml:space="preserve">Решения, принятые четвертым совещанием Конференции Сторон </w:t>
      </w:r>
      <w:proofErr w:type="spellStart"/>
      <w:r w:rsidRPr="00611117">
        <w:rPr>
          <w:b/>
          <w:bCs/>
          <w:sz w:val="28"/>
          <w:szCs w:val="28"/>
          <w:lang w:val="ru-RU"/>
        </w:rPr>
        <w:t>Минаматской</w:t>
      </w:r>
      <w:proofErr w:type="spellEnd"/>
      <w:r w:rsidRPr="00611117">
        <w:rPr>
          <w:b/>
          <w:bCs/>
          <w:sz w:val="28"/>
          <w:szCs w:val="28"/>
          <w:lang w:val="ru-RU"/>
        </w:rPr>
        <w:t xml:space="preserve"> конвенции о ртути</w:t>
      </w:r>
    </w:p>
    <w:p w14:paraId="5A244C82" w14:textId="77777777" w:rsidR="00A12269" w:rsidRPr="00985FE8" w:rsidRDefault="001064A3" w:rsidP="00A12269">
      <w:pPr>
        <w:keepNext/>
        <w:keepLines/>
        <w:tabs>
          <w:tab w:val="clear" w:pos="1247"/>
          <w:tab w:val="clear" w:pos="1814"/>
          <w:tab w:val="clear" w:pos="2381"/>
          <w:tab w:val="clear" w:pos="2948"/>
          <w:tab w:val="clear" w:pos="3515"/>
        </w:tabs>
        <w:suppressAutoHyphens/>
        <w:spacing w:after="120"/>
        <w:ind w:left="1247"/>
        <w:rPr>
          <w:rFonts w:eastAsia="SimSun"/>
          <w:b/>
          <w:sz w:val="28"/>
          <w:szCs w:val="28"/>
          <w:lang w:val="ru-RU"/>
        </w:rPr>
      </w:pPr>
      <w:r w:rsidRPr="00611117">
        <w:rPr>
          <w:b/>
          <w:bCs/>
          <w:sz w:val="28"/>
          <w:szCs w:val="28"/>
          <w:lang w:val="ru-RU"/>
        </w:rPr>
        <w:tab/>
      </w:r>
      <w:bookmarkStart w:id="1" w:name="_Toc99982079"/>
      <w:r w:rsidR="00A12269" w:rsidRPr="00985FE8">
        <w:rPr>
          <w:rFonts w:eastAsia="SimSun"/>
          <w:b/>
          <w:bCs/>
          <w:sz w:val="28"/>
          <w:szCs w:val="28"/>
          <w:lang w:val="ru-RU"/>
        </w:rPr>
        <w:t>MК-4/6: Пороговые значения для ртутных отходов</w:t>
      </w:r>
      <w:bookmarkEnd w:id="1"/>
    </w:p>
    <w:p w14:paraId="3D9801ED" w14:textId="77777777" w:rsidR="00A12269" w:rsidRPr="00985FE8" w:rsidRDefault="00A12269" w:rsidP="00A12269">
      <w:pPr>
        <w:tabs>
          <w:tab w:val="clear" w:pos="1247"/>
          <w:tab w:val="clear" w:pos="1814"/>
          <w:tab w:val="clear" w:pos="2381"/>
          <w:tab w:val="clear" w:pos="2948"/>
          <w:tab w:val="clear" w:pos="3515"/>
        </w:tabs>
        <w:spacing w:after="120"/>
        <w:ind w:left="1247" w:firstLine="624"/>
        <w:rPr>
          <w:i/>
          <w:lang w:val="ru-RU"/>
        </w:rPr>
      </w:pPr>
      <w:r w:rsidRPr="00985FE8">
        <w:rPr>
          <w:rFonts w:eastAsia="SimSun"/>
          <w:i/>
          <w:iCs/>
          <w:lang w:val="ru-RU"/>
        </w:rPr>
        <w:t>Конференция Сторон</w:t>
      </w:r>
      <w:r w:rsidRPr="00985FE8">
        <w:rPr>
          <w:rFonts w:eastAsia="SimSun"/>
          <w:lang w:val="ru-RU"/>
        </w:rPr>
        <w:t xml:space="preserve">, </w:t>
      </w:r>
    </w:p>
    <w:p w14:paraId="0B8EADC1" w14:textId="77777777" w:rsidR="00A12269" w:rsidRPr="00985FE8" w:rsidRDefault="00A12269" w:rsidP="00A12269">
      <w:pPr>
        <w:tabs>
          <w:tab w:val="clear" w:pos="1247"/>
          <w:tab w:val="clear" w:pos="1814"/>
          <w:tab w:val="clear" w:pos="2381"/>
          <w:tab w:val="clear" w:pos="2948"/>
          <w:tab w:val="clear" w:pos="3515"/>
        </w:tabs>
        <w:spacing w:after="120"/>
        <w:ind w:left="1247" w:firstLine="624"/>
        <w:rPr>
          <w:iCs/>
          <w:lang w:val="ru-RU"/>
        </w:rPr>
      </w:pPr>
      <w:r w:rsidRPr="00985FE8">
        <w:rPr>
          <w:rFonts w:eastAsia="SimSun"/>
          <w:i/>
          <w:iCs/>
          <w:lang w:val="ru-RU"/>
        </w:rPr>
        <w:t>ссылаясь</w:t>
      </w:r>
      <w:r w:rsidRPr="00985FE8">
        <w:rPr>
          <w:rFonts w:eastAsia="SimSun"/>
          <w:lang w:val="ru-RU"/>
        </w:rPr>
        <w:t xml:space="preserve"> на пороговые значения для некоторых категорий отходов, предусмотренные Конференцией Сторон в решении МК-3/5, а также на работу, выполненную группой технических экспертов, учрежденной согласно решению МК-2/2, и секретариатом для обеспечения возможности дальнейшего рассмотрения пороговых значений для ртутных отходов Конференцией Сторон на ее четвертом совещании,</w:t>
      </w:r>
    </w:p>
    <w:p w14:paraId="7BAC719E" w14:textId="77777777" w:rsidR="00A12269" w:rsidRPr="00985FE8" w:rsidRDefault="00A12269" w:rsidP="00A12269">
      <w:pPr>
        <w:tabs>
          <w:tab w:val="clear" w:pos="1247"/>
          <w:tab w:val="clear" w:pos="1814"/>
          <w:tab w:val="clear" w:pos="2381"/>
          <w:tab w:val="clear" w:pos="2948"/>
          <w:tab w:val="clear" w:pos="3515"/>
        </w:tabs>
        <w:spacing w:after="120"/>
        <w:ind w:left="1247" w:firstLine="624"/>
        <w:rPr>
          <w:iCs/>
          <w:lang w:val="ru-RU"/>
        </w:rPr>
      </w:pPr>
      <w:r w:rsidRPr="00985FE8">
        <w:rPr>
          <w:rFonts w:eastAsia="SimSun"/>
          <w:i/>
          <w:iCs/>
          <w:lang w:val="ru-RU"/>
        </w:rPr>
        <w:t>приветствуя</w:t>
      </w:r>
      <w:r w:rsidRPr="00985FE8">
        <w:rPr>
          <w:rFonts w:eastAsia="SimSun"/>
          <w:lang w:val="ru-RU"/>
        </w:rPr>
        <w:t xml:space="preserve"> доклад группы технических экспертов по пороговым значениям для ртутных отходов, </w:t>
      </w:r>
    </w:p>
    <w:p w14:paraId="218FB68F" w14:textId="77777777" w:rsidR="00A12269" w:rsidRPr="00985FE8" w:rsidRDefault="00A12269" w:rsidP="00A12269">
      <w:pPr>
        <w:tabs>
          <w:tab w:val="clear" w:pos="1247"/>
          <w:tab w:val="clear" w:pos="1814"/>
          <w:tab w:val="clear" w:pos="2381"/>
          <w:tab w:val="clear" w:pos="2948"/>
          <w:tab w:val="clear" w:pos="3515"/>
        </w:tabs>
        <w:spacing w:after="120"/>
        <w:ind w:left="1247" w:firstLine="624"/>
        <w:rPr>
          <w:iCs/>
          <w:lang w:val="ru-RU"/>
        </w:rPr>
      </w:pPr>
      <w:r w:rsidRPr="00985FE8">
        <w:rPr>
          <w:rFonts w:eastAsia="SimSun"/>
          <w:i/>
          <w:iCs/>
          <w:lang w:val="ru-RU"/>
        </w:rPr>
        <w:t>отмечая</w:t>
      </w:r>
      <w:r w:rsidRPr="00985FE8">
        <w:rPr>
          <w:rFonts w:eastAsia="SimSun"/>
          <w:lang w:val="ru-RU"/>
        </w:rPr>
        <w:t>, что в соответствии с решением 3/5 работа группы технических экспертов по пороговым значениям для ртутных отходов при рассмотрении порогового значения для ртутных отходов, подпадающих под действие подпункта 2 c) статьи 11, была сосредоточена главным образом на подходе, основанном на общей концентрации ртути,</w:t>
      </w:r>
    </w:p>
    <w:p w14:paraId="215B3EAE" w14:textId="77777777" w:rsidR="00A12269" w:rsidRPr="00985FE8" w:rsidRDefault="00A12269" w:rsidP="00A12269">
      <w:pPr>
        <w:tabs>
          <w:tab w:val="clear" w:pos="1247"/>
          <w:tab w:val="clear" w:pos="1814"/>
          <w:tab w:val="clear" w:pos="2381"/>
          <w:tab w:val="clear" w:pos="2948"/>
          <w:tab w:val="clear" w:pos="3515"/>
        </w:tabs>
        <w:spacing w:after="120"/>
        <w:ind w:left="1247" w:firstLine="624"/>
        <w:rPr>
          <w:iCs/>
          <w:lang w:val="ru-RU"/>
        </w:rPr>
      </w:pPr>
      <w:r w:rsidRPr="00985FE8">
        <w:rPr>
          <w:rFonts w:eastAsia="SimSun"/>
          <w:i/>
          <w:iCs/>
          <w:lang w:val="ru-RU"/>
        </w:rPr>
        <w:t>отмечая также</w:t>
      </w:r>
      <w:r w:rsidRPr="00985FE8">
        <w:rPr>
          <w:rFonts w:eastAsia="SimSun"/>
          <w:lang w:val="ru-RU"/>
        </w:rPr>
        <w:t>, что некоторые Стороны выразили желание расширить область работы группы технических экспертов, чтобы охватить иные подходы, отличные от основанных на общей концентрации ртути, включая ориентированные на риски,</w:t>
      </w:r>
    </w:p>
    <w:p w14:paraId="44804B90" w14:textId="77777777" w:rsidR="00A12269" w:rsidRPr="00985FE8" w:rsidRDefault="00A12269" w:rsidP="00A12269">
      <w:pPr>
        <w:tabs>
          <w:tab w:val="clear" w:pos="1247"/>
          <w:tab w:val="clear" w:pos="1814"/>
          <w:tab w:val="clear" w:pos="2381"/>
          <w:tab w:val="clear" w:pos="2948"/>
          <w:tab w:val="clear" w:pos="3515"/>
        </w:tabs>
        <w:spacing w:after="120"/>
        <w:ind w:left="1247" w:firstLine="624"/>
        <w:rPr>
          <w:iCs/>
          <w:lang w:val="ru-RU"/>
        </w:rPr>
      </w:pPr>
      <w:r w:rsidRPr="00985FE8">
        <w:rPr>
          <w:rFonts w:eastAsia="SimSun"/>
          <w:i/>
          <w:iCs/>
          <w:lang w:val="ru-RU"/>
        </w:rPr>
        <w:t>отмечая далее</w:t>
      </w:r>
      <w:r w:rsidRPr="00985FE8">
        <w:rPr>
          <w:rFonts w:eastAsia="SimSun"/>
          <w:lang w:val="ru-RU"/>
        </w:rPr>
        <w:t>, что отходы, загрязненные ртутью или ртутными соединениями, могут представлять риск для здоровья человека или окружающей среды, если они размещаются или рассеиваются на земной поверхности без надлежащих мер регулирования,</w:t>
      </w:r>
    </w:p>
    <w:p w14:paraId="08DFAF8E" w14:textId="77777777" w:rsidR="00A12269" w:rsidRPr="00985FE8" w:rsidRDefault="00A12269" w:rsidP="00A12269">
      <w:pPr>
        <w:tabs>
          <w:tab w:val="clear" w:pos="1247"/>
          <w:tab w:val="clear" w:pos="1814"/>
          <w:tab w:val="clear" w:pos="2381"/>
          <w:tab w:val="clear" w:pos="2948"/>
          <w:tab w:val="clear" w:pos="3515"/>
        </w:tabs>
        <w:spacing w:after="120"/>
        <w:ind w:left="1247" w:firstLine="624"/>
        <w:rPr>
          <w:iCs/>
          <w:lang w:val="ru-RU"/>
        </w:rPr>
      </w:pPr>
      <w:r w:rsidRPr="00985FE8">
        <w:rPr>
          <w:rFonts w:eastAsia="SimSun"/>
          <w:i/>
          <w:iCs/>
          <w:lang w:val="ru-RU"/>
        </w:rPr>
        <w:t>подчеркивая</w:t>
      </w:r>
      <w:r w:rsidRPr="00985FE8">
        <w:rPr>
          <w:rFonts w:eastAsia="SimSun"/>
          <w:lang w:val="ru-RU"/>
        </w:rPr>
        <w:t xml:space="preserve"> необходимость того, чтобы Стороны, особенно из числа развивающихся стран, могли выявлять ртутные отходы, поступающие в их страны, дабы защитить наиболее уязвимые слои населения от ртутного загрязнения, </w:t>
      </w:r>
    </w:p>
    <w:p w14:paraId="085E7EB5" w14:textId="77777777" w:rsidR="00A12269" w:rsidRPr="00985FE8" w:rsidRDefault="00A12269" w:rsidP="00A12269">
      <w:pPr>
        <w:tabs>
          <w:tab w:val="clear" w:pos="1247"/>
          <w:tab w:val="clear" w:pos="1814"/>
          <w:tab w:val="clear" w:pos="2381"/>
          <w:tab w:val="clear" w:pos="2948"/>
          <w:tab w:val="clear" w:pos="3515"/>
        </w:tabs>
        <w:spacing w:after="120"/>
        <w:ind w:left="1247" w:firstLine="624"/>
        <w:rPr>
          <w:iCs/>
          <w:lang w:val="ru-RU"/>
        </w:rPr>
      </w:pPr>
      <w:r w:rsidRPr="00985FE8">
        <w:rPr>
          <w:rFonts w:eastAsia="SimSun"/>
          <w:i/>
          <w:iCs/>
          <w:lang w:val="ru-RU"/>
        </w:rPr>
        <w:t>признавая</w:t>
      </w:r>
      <w:r w:rsidRPr="00985FE8">
        <w:rPr>
          <w:rFonts w:eastAsia="SimSun"/>
          <w:lang w:val="ru-RU"/>
        </w:rPr>
        <w:t xml:space="preserve">, что Конференция Сторон на ее четвертом совещании не смогла принять решение в отношении пороговых значений, предложенных </w:t>
      </w:r>
      <w:proofErr w:type="gramStart"/>
      <w:r w:rsidRPr="00985FE8">
        <w:rPr>
          <w:rFonts w:eastAsia="SimSun"/>
          <w:lang w:val="ru-RU"/>
        </w:rPr>
        <w:t>на текущий момент</w:t>
      </w:r>
      <w:proofErr w:type="gramEnd"/>
      <w:r w:rsidRPr="00985FE8">
        <w:rPr>
          <w:rFonts w:eastAsia="SimSun"/>
          <w:lang w:val="ru-RU"/>
        </w:rPr>
        <w:t xml:space="preserve"> группой технических экспертов, </w:t>
      </w:r>
    </w:p>
    <w:p w14:paraId="2C2F87FF" w14:textId="77777777" w:rsidR="00A12269" w:rsidRPr="00985FE8" w:rsidRDefault="00A12269" w:rsidP="00A12269">
      <w:pPr>
        <w:tabs>
          <w:tab w:val="clear" w:pos="1247"/>
          <w:tab w:val="clear" w:pos="1814"/>
          <w:tab w:val="clear" w:pos="2381"/>
          <w:tab w:val="clear" w:pos="2948"/>
          <w:tab w:val="clear" w:pos="3515"/>
        </w:tabs>
        <w:spacing w:after="120"/>
        <w:ind w:left="1247" w:firstLine="624"/>
        <w:rPr>
          <w:iCs/>
          <w:lang w:val="ru-RU"/>
        </w:rPr>
      </w:pPr>
      <w:r w:rsidRPr="00985FE8">
        <w:rPr>
          <w:rFonts w:eastAsia="SimSun"/>
          <w:i/>
          <w:iCs/>
          <w:lang w:val="ru-RU"/>
        </w:rPr>
        <w:t>принимая во внимание</w:t>
      </w:r>
      <w:r w:rsidRPr="00985FE8">
        <w:rPr>
          <w:rFonts w:eastAsia="SimSun"/>
          <w:lang w:val="ru-RU"/>
        </w:rPr>
        <w:t xml:space="preserve"> доклад группы технических экспертов по пороговым значениям для ртутных отходов, изложенный в приложении II к записке секретариата о докладе о межсессионной работе по ртутным отходам</w:t>
      </w:r>
      <w:r w:rsidRPr="00985FE8">
        <w:rPr>
          <w:iCs/>
          <w:szCs w:val="18"/>
          <w:vertAlign w:val="superscript"/>
          <w:lang w:val="ru-RU"/>
        </w:rPr>
        <w:footnoteReference w:id="1"/>
      </w:r>
      <w:r w:rsidRPr="00985FE8">
        <w:rPr>
          <w:rFonts w:eastAsia="SimSun"/>
          <w:lang w:val="ru-RU"/>
        </w:rPr>
        <w:t>,</w:t>
      </w:r>
    </w:p>
    <w:p w14:paraId="36811BDA" w14:textId="77777777" w:rsidR="00A12269" w:rsidRPr="00985FE8" w:rsidRDefault="00A12269" w:rsidP="00A12269">
      <w:pPr>
        <w:numPr>
          <w:ilvl w:val="0"/>
          <w:numId w:val="13"/>
        </w:numPr>
        <w:tabs>
          <w:tab w:val="clear" w:pos="1247"/>
          <w:tab w:val="clear" w:pos="1814"/>
          <w:tab w:val="clear" w:pos="2381"/>
          <w:tab w:val="clear" w:pos="2948"/>
          <w:tab w:val="clear" w:pos="3515"/>
        </w:tabs>
        <w:spacing w:after="120"/>
        <w:ind w:left="1247" w:firstLine="624"/>
        <w:rPr>
          <w:rFonts w:eastAsia="MS PGothic"/>
          <w:lang w:val="ru-RU"/>
        </w:rPr>
      </w:pPr>
      <w:r w:rsidRPr="00985FE8">
        <w:rPr>
          <w:rFonts w:eastAsia="SimSun"/>
          <w:i/>
          <w:iCs/>
          <w:lang w:val="ru-RU"/>
        </w:rPr>
        <w:t>постановляет</w:t>
      </w:r>
      <w:r w:rsidRPr="00985FE8">
        <w:rPr>
          <w:rFonts w:eastAsia="SimSun"/>
          <w:lang w:val="ru-RU"/>
        </w:rPr>
        <w:t xml:space="preserve">, с целью подготовки рекомендаций и содействия принятию решения об отходах, относящихся к подкатегории 2 с) статьи 11, на пятом совещании </w:t>
      </w:r>
      <w:r w:rsidRPr="00985FE8">
        <w:rPr>
          <w:rFonts w:eastAsia="SimSun"/>
          <w:lang w:val="ru-RU"/>
        </w:rPr>
        <w:lastRenderedPageBreak/>
        <w:t>Конференции Сторон или в возможно кратчайшие сроки после этого, продлить мандат группы технических экспертов, чтобы они могли разработать и рассмотреть новые информацию и возможности для представления их в докладе для Конференции Сторон;</w:t>
      </w:r>
    </w:p>
    <w:p w14:paraId="12164859" w14:textId="77777777" w:rsidR="00A12269" w:rsidRPr="00985FE8" w:rsidRDefault="00A12269" w:rsidP="00A12269">
      <w:pPr>
        <w:numPr>
          <w:ilvl w:val="0"/>
          <w:numId w:val="13"/>
        </w:numPr>
        <w:tabs>
          <w:tab w:val="clear" w:pos="1247"/>
          <w:tab w:val="clear" w:pos="1814"/>
          <w:tab w:val="clear" w:pos="2381"/>
          <w:tab w:val="clear" w:pos="2948"/>
          <w:tab w:val="clear" w:pos="3515"/>
        </w:tabs>
        <w:spacing w:after="120"/>
        <w:ind w:left="1247" w:firstLine="624"/>
        <w:rPr>
          <w:rFonts w:eastAsia="MS PGothic"/>
          <w:lang w:val="ru-RU"/>
        </w:rPr>
      </w:pPr>
      <w:r w:rsidRPr="00985FE8">
        <w:rPr>
          <w:rFonts w:eastAsia="SimSun"/>
          <w:i/>
          <w:iCs/>
          <w:lang w:val="ru-RU"/>
        </w:rPr>
        <w:t>предлагает</w:t>
      </w:r>
      <w:r w:rsidRPr="00985FE8">
        <w:rPr>
          <w:rFonts w:eastAsia="SimSun"/>
          <w:lang w:val="ru-RU"/>
        </w:rPr>
        <w:t xml:space="preserve"> Сторонам поделиться информацией и данными о категориях отходов, перечисленных в ориентировочном перечне, содержащемся в таблице 3 приложения к решению MК-3/5, в том числе применительно к любым релевантным национальным или местным пороговым значениям и их установлению, и поручает секретариату как можно скорее собрать такую информацию и распространить ее среди группы технических экспертов, а также сделать ее доступной в электронном виде; </w:t>
      </w:r>
    </w:p>
    <w:p w14:paraId="7BE2431D" w14:textId="77777777" w:rsidR="00A12269" w:rsidRPr="00985FE8" w:rsidRDefault="00A12269" w:rsidP="00A12269">
      <w:pPr>
        <w:numPr>
          <w:ilvl w:val="0"/>
          <w:numId w:val="13"/>
        </w:numPr>
        <w:tabs>
          <w:tab w:val="clear" w:pos="1247"/>
          <w:tab w:val="clear" w:pos="1814"/>
          <w:tab w:val="clear" w:pos="2381"/>
          <w:tab w:val="clear" w:pos="2948"/>
          <w:tab w:val="clear" w:pos="3515"/>
        </w:tabs>
        <w:spacing w:after="120"/>
        <w:ind w:left="1247" w:firstLine="624"/>
        <w:rPr>
          <w:rFonts w:eastAsia="MS PGothic"/>
          <w:lang w:val="ru-RU"/>
        </w:rPr>
      </w:pPr>
      <w:r w:rsidRPr="00985FE8">
        <w:rPr>
          <w:rFonts w:eastAsia="SimSun"/>
          <w:i/>
          <w:iCs/>
          <w:lang w:val="ru-RU"/>
        </w:rPr>
        <w:t>просит</w:t>
      </w:r>
      <w:r w:rsidRPr="00985FE8">
        <w:rPr>
          <w:rFonts w:eastAsia="SimSun"/>
          <w:lang w:val="ru-RU"/>
        </w:rPr>
        <w:t xml:space="preserve"> заинтересованные Стороны представлять в секретариат информацию о подходах, отличных от подхода, основанного на общей концентрации ртути, при необходимости или по просьбе группы технических экспертов;</w:t>
      </w:r>
    </w:p>
    <w:p w14:paraId="3235A5FF" w14:textId="77777777" w:rsidR="00A12269" w:rsidRPr="00985FE8" w:rsidRDefault="00A12269" w:rsidP="00A12269">
      <w:pPr>
        <w:numPr>
          <w:ilvl w:val="0"/>
          <w:numId w:val="13"/>
        </w:numPr>
        <w:tabs>
          <w:tab w:val="clear" w:pos="1247"/>
          <w:tab w:val="clear" w:pos="1814"/>
          <w:tab w:val="clear" w:pos="2381"/>
          <w:tab w:val="clear" w:pos="2948"/>
          <w:tab w:val="clear" w:pos="3515"/>
        </w:tabs>
        <w:spacing w:after="120"/>
        <w:ind w:left="1247" w:firstLine="624"/>
        <w:rPr>
          <w:rFonts w:eastAsia="MS PGothic"/>
          <w:lang w:val="ru-RU"/>
        </w:rPr>
      </w:pPr>
      <w:r w:rsidRPr="00985FE8">
        <w:rPr>
          <w:rFonts w:eastAsia="SimSun"/>
          <w:i/>
          <w:iCs/>
          <w:lang w:val="ru-RU"/>
        </w:rPr>
        <w:t>постановляет</w:t>
      </w:r>
      <w:r w:rsidRPr="00985FE8">
        <w:rPr>
          <w:rFonts w:eastAsia="SimSun"/>
          <w:lang w:val="ru-RU"/>
        </w:rPr>
        <w:t>, что до пятого совещания Конференции Сторон группа технических экспертов должна:</w:t>
      </w:r>
    </w:p>
    <w:p w14:paraId="4F2E0838" w14:textId="77777777" w:rsidR="00A12269" w:rsidRPr="00985FE8" w:rsidRDefault="00A12269" w:rsidP="00A12269">
      <w:pPr>
        <w:numPr>
          <w:ilvl w:val="0"/>
          <w:numId w:val="14"/>
        </w:numPr>
        <w:tabs>
          <w:tab w:val="clear" w:pos="1247"/>
          <w:tab w:val="clear" w:pos="1814"/>
          <w:tab w:val="clear" w:pos="2381"/>
          <w:tab w:val="clear" w:pos="2948"/>
          <w:tab w:val="clear" w:pos="3515"/>
        </w:tabs>
        <w:spacing w:after="120"/>
        <w:ind w:left="1247" w:firstLine="624"/>
        <w:rPr>
          <w:rFonts w:eastAsia="SimSun"/>
          <w:lang w:val="ru-RU"/>
        </w:rPr>
      </w:pPr>
      <w:r w:rsidRPr="00985FE8">
        <w:rPr>
          <w:rFonts w:eastAsia="SimSun"/>
          <w:lang w:val="ru-RU"/>
        </w:rPr>
        <w:t xml:space="preserve">стремиться к сотрудничеству, по мере необходимости, с небольшой межсессионной рабочей группой, созданной по линии Базельской конвенции решением БК-14/8 о технических руководящих принципах экологически обоснованного регулирования отходов, состоящих из ртути или ртутных соединений, содержащих их или загрязненных ими, с целью обмена информацией и во избежание дублирования усилий; </w:t>
      </w:r>
    </w:p>
    <w:p w14:paraId="33FE2B5B" w14:textId="77777777" w:rsidR="00A12269" w:rsidRPr="00985FE8" w:rsidRDefault="00A12269" w:rsidP="00A12269">
      <w:pPr>
        <w:numPr>
          <w:ilvl w:val="0"/>
          <w:numId w:val="14"/>
        </w:numPr>
        <w:tabs>
          <w:tab w:val="clear" w:pos="1247"/>
          <w:tab w:val="clear" w:pos="1814"/>
          <w:tab w:val="clear" w:pos="2381"/>
          <w:tab w:val="clear" w:pos="2948"/>
          <w:tab w:val="clear" w:pos="3515"/>
        </w:tabs>
        <w:spacing w:after="120"/>
        <w:ind w:left="1247" w:firstLine="624"/>
        <w:rPr>
          <w:rFonts w:eastAsia="SimSun"/>
          <w:lang w:val="ru-RU"/>
        </w:rPr>
      </w:pPr>
      <w:r w:rsidRPr="00985FE8">
        <w:rPr>
          <w:rFonts w:eastAsia="SimSun"/>
          <w:lang w:val="ru-RU"/>
        </w:rPr>
        <w:t>использовать ориентировочный перечень типов отходов, загрязненных ртутью или ртутными соединениями, для выявления соответствующей информации или данных, которые могут обеспечить группе основу для обсуждений пороговых уровней ртути, признавая возможность того, что группа может рекомендовать различные пороговые уровни для разных категорий отходов в зависимости от обстоятельств, и отмечая, что группа должна уделять приоритетное внимание отходам, которые распространены у Сторон и могут представлять риск для здоровья человека или окружающей среды, и должна учитывать, что Стороны обладают различным потенциалом в сфере регулирования отходов;</w:t>
      </w:r>
    </w:p>
    <w:p w14:paraId="38D201D3" w14:textId="77777777" w:rsidR="00A12269" w:rsidRPr="00985FE8" w:rsidRDefault="00A12269" w:rsidP="00A12269">
      <w:pPr>
        <w:numPr>
          <w:ilvl w:val="0"/>
          <w:numId w:val="14"/>
        </w:numPr>
        <w:tabs>
          <w:tab w:val="clear" w:pos="1247"/>
          <w:tab w:val="clear" w:pos="1814"/>
          <w:tab w:val="clear" w:pos="2381"/>
          <w:tab w:val="clear" w:pos="2948"/>
          <w:tab w:val="clear" w:pos="3515"/>
        </w:tabs>
        <w:spacing w:after="120"/>
        <w:ind w:left="1247" w:firstLine="624"/>
        <w:rPr>
          <w:rFonts w:eastAsia="SimSun"/>
          <w:lang w:val="ru-RU"/>
        </w:rPr>
      </w:pPr>
      <w:r w:rsidRPr="00985FE8">
        <w:rPr>
          <w:rFonts w:eastAsia="SimSun"/>
          <w:lang w:val="ru-RU"/>
        </w:rPr>
        <w:t xml:space="preserve">собрать и включить дополнительную информацию или провести дальнейший анализ, если это необходимо и доступно, для дополнения информации, представленной Сторонами в ответ на пункт 1 настоящего решения; </w:t>
      </w:r>
    </w:p>
    <w:p w14:paraId="6B9CC53B" w14:textId="77777777" w:rsidR="00A12269" w:rsidRPr="00985FE8" w:rsidRDefault="00A12269" w:rsidP="00A12269">
      <w:pPr>
        <w:numPr>
          <w:ilvl w:val="0"/>
          <w:numId w:val="14"/>
        </w:numPr>
        <w:tabs>
          <w:tab w:val="clear" w:pos="1247"/>
          <w:tab w:val="clear" w:pos="1814"/>
          <w:tab w:val="clear" w:pos="2381"/>
          <w:tab w:val="clear" w:pos="2948"/>
          <w:tab w:val="clear" w:pos="3515"/>
        </w:tabs>
        <w:spacing w:after="120"/>
        <w:ind w:left="1247" w:firstLine="624"/>
        <w:rPr>
          <w:rFonts w:eastAsia="SimSun"/>
          <w:lang w:val="ru-RU"/>
        </w:rPr>
      </w:pPr>
      <w:r w:rsidRPr="00985FE8">
        <w:rPr>
          <w:rFonts w:eastAsia="SimSun"/>
          <w:lang w:val="ru-RU"/>
        </w:rPr>
        <w:t xml:space="preserve">рассмотреть ситуацию Сторон, которые уже регулируют ртутные отходы экологически безопасным образом, в том числе с использованием подхода, основанного на оценке рисков, учитывающего потенциал выщелачивания; </w:t>
      </w:r>
    </w:p>
    <w:p w14:paraId="78475082" w14:textId="77777777" w:rsidR="00A12269" w:rsidRPr="00985FE8" w:rsidRDefault="00A12269" w:rsidP="00A12269">
      <w:pPr>
        <w:numPr>
          <w:ilvl w:val="0"/>
          <w:numId w:val="13"/>
        </w:numPr>
        <w:tabs>
          <w:tab w:val="clear" w:pos="1247"/>
          <w:tab w:val="clear" w:pos="1814"/>
          <w:tab w:val="clear" w:pos="2381"/>
          <w:tab w:val="clear" w:pos="2948"/>
          <w:tab w:val="clear" w:pos="3515"/>
        </w:tabs>
        <w:spacing w:after="120"/>
        <w:ind w:left="1247" w:firstLine="624"/>
        <w:rPr>
          <w:rFonts w:eastAsia="MS PGothic"/>
          <w:iCs/>
          <w:lang w:val="ru-RU"/>
        </w:rPr>
      </w:pPr>
      <w:r w:rsidRPr="00985FE8">
        <w:rPr>
          <w:rFonts w:eastAsia="SimSun"/>
          <w:i/>
          <w:iCs/>
          <w:lang w:val="ru-RU"/>
        </w:rPr>
        <w:t>постановляет</w:t>
      </w:r>
      <w:r w:rsidRPr="00985FE8">
        <w:rPr>
          <w:rFonts w:eastAsia="SimSun"/>
          <w:lang w:val="ru-RU"/>
        </w:rPr>
        <w:t>, что в отношении отвалов, образующихся в результате кустарной и мелкомасштабной золотодобычи, при которой для извлечения золота из руды используется ртутное амальгамирование, нет необходимости устанавливать пороговые значения и что все отвалы, образующиеся в результате такой добычи, должны регулироваться экологически обоснованным образом в соответствии со статьей 7 и согласно национальным планам действий, которые соответствующие Стороны разрабатывают с использованием руководящего документа по подготовке национального плана действий в отношении кустарной и мелкомасштабной золотодобычи</w:t>
      </w:r>
      <w:r w:rsidRPr="00985FE8">
        <w:rPr>
          <w:rFonts w:eastAsia="MS PGothic"/>
          <w:iCs/>
          <w:szCs w:val="18"/>
          <w:vertAlign w:val="superscript"/>
          <w:lang w:val="ru-RU"/>
        </w:rPr>
        <w:footnoteReference w:id="2"/>
      </w:r>
      <w:r w:rsidRPr="00985FE8">
        <w:rPr>
          <w:rFonts w:eastAsia="SimSun"/>
          <w:lang w:val="ru-RU"/>
        </w:rPr>
        <w:t>;</w:t>
      </w:r>
    </w:p>
    <w:p w14:paraId="62E8709A" w14:textId="77777777" w:rsidR="00A12269" w:rsidRPr="00985FE8" w:rsidRDefault="00A12269" w:rsidP="00A12269">
      <w:pPr>
        <w:numPr>
          <w:ilvl w:val="0"/>
          <w:numId w:val="13"/>
        </w:numPr>
        <w:tabs>
          <w:tab w:val="clear" w:pos="1247"/>
          <w:tab w:val="clear" w:pos="1814"/>
          <w:tab w:val="clear" w:pos="2381"/>
          <w:tab w:val="clear" w:pos="2948"/>
          <w:tab w:val="clear" w:pos="3515"/>
        </w:tabs>
        <w:spacing w:after="120"/>
        <w:ind w:left="1247" w:firstLine="624"/>
        <w:rPr>
          <w:rFonts w:eastAsia="MS PGothic"/>
          <w:iCs/>
          <w:lang w:val="ru-RU"/>
        </w:rPr>
      </w:pPr>
      <w:r w:rsidRPr="00985FE8">
        <w:rPr>
          <w:rFonts w:eastAsia="SimSun"/>
          <w:i/>
          <w:iCs/>
          <w:lang w:val="ru-RU"/>
        </w:rPr>
        <w:t xml:space="preserve">постановляет </w:t>
      </w:r>
      <w:r w:rsidRPr="00985FE8">
        <w:rPr>
          <w:rFonts w:eastAsia="SimSun"/>
          <w:lang w:val="ru-RU"/>
        </w:rPr>
        <w:t>определить следующие двухуровневые пороговые значения, при превышении которых отвалы, образующиеся в процессе добычи, помимо первичной добычи ртути, не исключаются из определения ртутных отходов в соответствии с пунктом 2 статьи 11:</w:t>
      </w:r>
    </w:p>
    <w:p w14:paraId="0A34BB03" w14:textId="77777777" w:rsidR="00A12269" w:rsidRPr="00985FE8" w:rsidRDefault="00A12269" w:rsidP="00A12269">
      <w:pPr>
        <w:numPr>
          <w:ilvl w:val="0"/>
          <w:numId w:val="15"/>
        </w:numPr>
        <w:tabs>
          <w:tab w:val="clear" w:pos="1247"/>
          <w:tab w:val="clear" w:pos="1814"/>
          <w:tab w:val="clear" w:pos="2381"/>
          <w:tab w:val="clear" w:pos="2948"/>
          <w:tab w:val="clear" w:pos="3515"/>
        </w:tabs>
        <w:spacing w:after="120"/>
        <w:ind w:left="1247" w:firstLine="624"/>
        <w:rPr>
          <w:rFonts w:eastAsia="SimSun"/>
          <w:lang w:val="ru-RU"/>
        </w:rPr>
      </w:pPr>
      <w:r w:rsidRPr="00985FE8">
        <w:rPr>
          <w:rFonts w:eastAsia="SimSun"/>
          <w:lang w:val="ru-RU"/>
        </w:rPr>
        <w:t>пороговое значение уровня 1, которое применяется первым: общее содержание ртути 25 мг/кг;</w:t>
      </w:r>
    </w:p>
    <w:p w14:paraId="23F70742" w14:textId="77777777" w:rsidR="00A12269" w:rsidRPr="00985FE8" w:rsidRDefault="00A12269" w:rsidP="00A12269">
      <w:pPr>
        <w:numPr>
          <w:ilvl w:val="0"/>
          <w:numId w:val="15"/>
        </w:numPr>
        <w:tabs>
          <w:tab w:val="clear" w:pos="1247"/>
          <w:tab w:val="clear" w:pos="1814"/>
          <w:tab w:val="clear" w:pos="2381"/>
          <w:tab w:val="clear" w:pos="2948"/>
          <w:tab w:val="clear" w:pos="3515"/>
        </w:tabs>
        <w:spacing w:after="120"/>
        <w:ind w:left="1247" w:firstLine="624"/>
        <w:rPr>
          <w:rFonts w:eastAsia="SimSun"/>
          <w:lang w:val="ru-RU"/>
        </w:rPr>
      </w:pPr>
      <w:r w:rsidRPr="00985FE8">
        <w:rPr>
          <w:rFonts w:eastAsia="SimSun"/>
          <w:lang w:val="ru-RU"/>
        </w:rPr>
        <w:t>пороговое значение уровня 2, применяемое к отвалам при превышении порогового значения уровня 1: 0,15 мг/л в фильтрате с использованием соответствующего метода испытаний, имитирующего выщелачивание ртути на участке, на котором размещаются отвалы;</w:t>
      </w:r>
    </w:p>
    <w:p w14:paraId="56DE260C" w14:textId="77777777" w:rsidR="00A12269" w:rsidRPr="00985FE8" w:rsidRDefault="00A12269" w:rsidP="00A12269">
      <w:pPr>
        <w:numPr>
          <w:ilvl w:val="0"/>
          <w:numId w:val="13"/>
        </w:numPr>
        <w:tabs>
          <w:tab w:val="clear" w:pos="1247"/>
          <w:tab w:val="clear" w:pos="1814"/>
          <w:tab w:val="clear" w:pos="2381"/>
          <w:tab w:val="clear" w:pos="2948"/>
          <w:tab w:val="clear" w:pos="3515"/>
        </w:tabs>
        <w:spacing w:after="120"/>
        <w:ind w:left="1247" w:firstLine="624"/>
        <w:rPr>
          <w:rFonts w:eastAsia="MS PGothic"/>
          <w:iCs/>
          <w:lang w:val="ru-RU"/>
        </w:rPr>
      </w:pPr>
      <w:r w:rsidRPr="00985FE8">
        <w:rPr>
          <w:rFonts w:eastAsia="SimSun"/>
          <w:i/>
          <w:iCs/>
          <w:lang w:val="ru-RU"/>
        </w:rPr>
        <w:t>поручает</w:t>
      </w:r>
      <w:r w:rsidRPr="00985FE8">
        <w:rPr>
          <w:rFonts w:eastAsia="SimSun"/>
          <w:lang w:val="ru-RU"/>
        </w:rPr>
        <w:t xml:space="preserve"> группе технических экспертов разработать руководящий документ о методах испытаний, которые будут использоваться применительно к пороговым значениям уровня 2 для отвалов, образующихся в результате добычи, помимо первичной добычи ртути;</w:t>
      </w:r>
    </w:p>
    <w:p w14:paraId="2366879B" w14:textId="77777777" w:rsidR="00A12269" w:rsidRPr="00985FE8" w:rsidRDefault="00A12269" w:rsidP="00A12269">
      <w:pPr>
        <w:numPr>
          <w:ilvl w:val="0"/>
          <w:numId w:val="13"/>
        </w:numPr>
        <w:tabs>
          <w:tab w:val="clear" w:pos="1247"/>
          <w:tab w:val="clear" w:pos="1814"/>
          <w:tab w:val="clear" w:pos="2381"/>
          <w:tab w:val="clear" w:pos="2948"/>
          <w:tab w:val="clear" w:pos="3515"/>
        </w:tabs>
        <w:spacing w:after="120"/>
        <w:ind w:left="1247" w:firstLine="624"/>
        <w:rPr>
          <w:rFonts w:eastAsia="MS PGothic"/>
          <w:lang w:val="ru-RU"/>
        </w:rPr>
      </w:pPr>
      <w:r w:rsidRPr="00985FE8">
        <w:rPr>
          <w:rFonts w:eastAsia="SimSun"/>
          <w:i/>
          <w:iCs/>
          <w:lang w:val="ru-RU"/>
        </w:rPr>
        <w:lastRenderedPageBreak/>
        <w:t xml:space="preserve">предлагает </w:t>
      </w:r>
      <w:r w:rsidRPr="00985FE8">
        <w:rPr>
          <w:rFonts w:eastAsia="SimSun"/>
          <w:lang w:val="ru-RU"/>
        </w:rPr>
        <w:t>Сторонам, по мере необходимости, проводить обзор членского состава группы технических экспертов и сообщать секретариату через представителей пяти регионов Организации Объединенных Наций в Бюро о любых изменениях членского состава;</w:t>
      </w:r>
    </w:p>
    <w:p w14:paraId="2F6D18B5" w14:textId="77777777" w:rsidR="00A12269" w:rsidRPr="00985FE8" w:rsidRDefault="00A12269" w:rsidP="00A12269">
      <w:pPr>
        <w:numPr>
          <w:ilvl w:val="0"/>
          <w:numId w:val="13"/>
        </w:numPr>
        <w:tabs>
          <w:tab w:val="clear" w:pos="1247"/>
          <w:tab w:val="clear" w:pos="1814"/>
          <w:tab w:val="clear" w:pos="2381"/>
          <w:tab w:val="clear" w:pos="2948"/>
          <w:tab w:val="clear" w:pos="3515"/>
        </w:tabs>
        <w:spacing w:after="120"/>
        <w:ind w:left="1247" w:firstLine="624"/>
        <w:rPr>
          <w:rFonts w:eastAsia="MS PGothic"/>
          <w:lang w:val="ru-RU"/>
        </w:rPr>
      </w:pPr>
      <w:r w:rsidRPr="00985FE8">
        <w:rPr>
          <w:rFonts w:eastAsia="SimSun"/>
          <w:i/>
          <w:iCs/>
          <w:lang w:val="ru-RU"/>
        </w:rPr>
        <w:t xml:space="preserve">поручает </w:t>
      </w:r>
      <w:r w:rsidRPr="00985FE8">
        <w:rPr>
          <w:rFonts w:eastAsia="SimSun"/>
          <w:lang w:val="ru-RU"/>
        </w:rPr>
        <w:t>группе технических экспертов привлекать, по мере необходимости, к научной и технической работе дополнительных экспертов из перечня, определенного Сторонами;</w:t>
      </w:r>
    </w:p>
    <w:p w14:paraId="0759919A" w14:textId="77777777" w:rsidR="00A12269" w:rsidRPr="00985FE8" w:rsidRDefault="00A12269" w:rsidP="00A12269">
      <w:pPr>
        <w:numPr>
          <w:ilvl w:val="0"/>
          <w:numId w:val="13"/>
        </w:numPr>
        <w:tabs>
          <w:tab w:val="clear" w:pos="1247"/>
          <w:tab w:val="clear" w:pos="1814"/>
          <w:tab w:val="clear" w:pos="2381"/>
          <w:tab w:val="clear" w:pos="2948"/>
          <w:tab w:val="clear" w:pos="3515"/>
        </w:tabs>
        <w:spacing w:after="120"/>
        <w:ind w:left="1247" w:firstLine="624"/>
        <w:rPr>
          <w:rFonts w:eastAsia="MS PGothic"/>
          <w:iCs/>
          <w:lang w:val="ru-RU"/>
        </w:rPr>
      </w:pPr>
      <w:r w:rsidRPr="00985FE8">
        <w:rPr>
          <w:rFonts w:eastAsia="SimSun"/>
          <w:i/>
          <w:iCs/>
          <w:lang w:val="ru-RU"/>
        </w:rPr>
        <w:t xml:space="preserve">также поручает </w:t>
      </w:r>
      <w:r w:rsidRPr="00985FE8">
        <w:rPr>
          <w:rFonts w:eastAsia="SimSun"/>
          <w:lang w:val="ru-RU"/>
        </w:rPr>
        <w:t xml:space="preserve">группе технических экспертов продолжить работу главным образом с помощью электронных средств и провести одно очное совещание достаточной продолжительности для рассмотрения ртутных отходов, подпадающих под действие пункта 2 с) статьи 11, при условии наличия ресурсов, и представить доклад о работе группы Конференции Сторон на ее пятом совещании; </w:t>
      </w:r>
    </w:p>
    <w:p w14:paraId="12337D1E" w14:textId="77777777" w:rsidR="00A12269" w:rsidRPr="00985FE8" w:rsidRDefault="00A12269" w:rsidP="00A12269">
      <w:pPr>
        <w:numPr>
          <w:ilvl w:val="0"/>
          <w:numId w:val="13"/>
        </w:numPr>
        <w:tabs>
          <w:tab w:val="clear" w:pos="1247"/>
          <w:tab w:val="clear" w:pos="1814"/>
          <w:tab w:val="clear" w:pos="2381"/>
          <w:tab w:val="clear" w:pos="2948"/>
          <w:tab w:val="clear" w:pos="3515"/>
        </w:tabs>
        <w:spacing w:after="120"/>
        <w:ind w:left="1247" w:firstLine="624"/>
        <w:rPr>
          <w:rFonts w:eastAsia="MS PGothic"/>
          <w:iCs/>
          <w:lang w:val="ru-RU"/>
        </w:rPr>
      </w:pPr>
      <w:r w:rsidRPr="00985FE8">
        <w:rPr>
          <w:rFonts w:eastAsia="SimSun"/>
          <w:i/>
          <w:iCs/>
          <w:lang w:val="ru-RU"/>
        </w:rPr>
        <w:t xml:space="preserve">поручает </w:t>
      </w:r>
      <w:r w:rsidRPr="00985FE8">
        <w:rPr>
          <w:rFonts w:eastAsia="SimSun"/>
          <w:lang w:val="ru-RU"/>
        </w:rPr>
        <w:t xml:space="preserve">секретариату препроводить настоящее решение соответствующим органам Базельской конвенции о контроле за трансграничной перевозкой опасных отходов и их удалением и предложить им принять к сведению настоящее решение; </w:t>
      </w:r>
    </w:p>
    <w:p w14:paraId="5C5395E7" w14:textId="77777777" w:rsidR="00A12269" w:rsidRPr="00985FE8" w:rsidRDefault="00A12269" w:rsidP="00A12269">
      <w:pPr>
        <w:numPr>
          <w:ilvl w:val="0"/>
          <w:numId w:val="13"/>
        </w:numPr>
        <w:tabs>
          <w:tab w:val="clear" w:pos="1247"/>
          <w:tab w:val="clear" w:pos="1814"/>
          <w:tab w:val="clear" w:pos="2381"/>
          <w:tab w:val="clear" w:pos="2948"/>
          <w:tab w:val="clear" w:pos="3515"/>
        </w:tabs>
        <w:spacing w:after="120"/>
        <w:ind w:left="1247" w:firstLine="624"/>
        <w:rPr>
          <w:rFonts w:eastAsia="MS PGothic"/>
          <w:lang w:val="ru-RU"/>
        </w:rPr>
      </w:pPr>
      <w:r w:rsidRPr="00985FE8">
        <w:rPr>
          <w:rFonts w:eastAsia="SimSun"/>
          <w:i/>
          <w:iCs/>
          <w:lang w:val="ru-RU"/>
        </w:rPr>
        <w:t>также поручает</w:t>
      </w:r>
      <w:r w:rsidRPr="00985FE8">
        <w:rPr>
          <w:rFonts w:eastAsia="SimSun"/>
          <w:lang w:val="ru-RU"/>
        </w:rPr>
        <w:t xml:space="preserve"> секретариату и впредь поддерживать работу группы технических экспертов.</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15442E" w14:paraId="087F339E" w14:textId="77777777" w:rsidTr="0015442E">
        <w:tc>
          <w:tcPr>
            <w:tcW w:w="1897" w:type="dxa"/>
          </w:tcPr>
          <w:p w14:paraId="33450BE6" w14:textId="77777777" w:rsidR="0015442E" w:rsidRDefault="0015442E" w:rsidP="001C3E7A">
            <w:pPr>
              <w:pStyle w:val="Normal-pool"/>
              <w:tabs>
                <w:tab w:val="clear" w:pos="1247"/>
                <w:tab w:val="clear" w:pos="1814"/>
                <w:tab w:val="clear" w:pos="2381"/>
                <w:tab w:val="clear" w:pos="2948"/>
                <w:tab w:val="clear" w:pos="3515"/>
                <w:tab w:val="clear" w:pos="4082"/>
              </w:tabs>
            </w:pPr>
          </w:p>
        </w:tc>
        <w:tc>
          <w:tcPr>
            <w:tcW w:w="1897" w:type="dxa"/>
          </w:tcPr>
          <w:p w14:paraId="7AE652CA" w14:textId="77777777" w:rsidR="0015442E" w:rsidRDefault="0015442E" w:rsidP="001C3E7A">
            <w:pPr>
              <w:pStyle w:val="Normal-pool"/>
              <w:tabs>
                <w:tab w:val="clear" w:pos="1247"/>
                <w:tab w:val="clear" w:pos="1814"/>
                <w:tab w:val="clear" w:pos="2381"/>
                <w:tab w:val="clear" w:pos="2948"/>
                <w:tab w:val="clear" w:pos="3515"/>
                <w:tab w:val="clear" w:pos="4082"/>
              </w:tabs>
            </w:pPr>
          </w:p>
        </w:tc>
        <w:tc>
          <w:tcPr>
            <w:tcW w:w="1897" w:type="dxa"/>
            <w:tcBorders>
              <w:bottom w:val="single" w:sz="4" w:space="0" w:color="auto"/>
            </w:tcBorders>
          </w:tcPr>
          <w:p w14:paraId="71030039" w14:textId="77777777" w:rsidR="0015442E" w:rsidRDefault="0015442E" w:rsidP="001C3E7A">
            <w:pPr>
              <w:pStyle w:val="Normal-pool"/>
              <w:tabs>
                <w:tab w:val="clear" w:pos="1247"/>
                <w:tab w:val="clear" w:pos="1814"/>
                <w:tab w:val="clear" w:pos="2381"/>
                <w:tab w:val="clear" w:pos="2948"/>
                <w:tab w:val="clear" w:pos="3515"/>
                <w:tab w:val="clear" w:pos="4082"/>
              </w:tabs>
              <w:spacing w:before="480"/>
            </w:pPr>
          </w:p>
        </w:tc>
        <w:tc>
          <w:tcPr>
            <w:tcW w:w="1897" w:type="dxa"/>
          </w:tcPr>
          <w:p w14:paraId="1B2C79D4" w14:textId="77777777" w:rsidR="0015442E" w:rsidRDefault="0015442E" w:rsidP="001C3E7A">
            <w:pPr>
              <w:pStyle w:val="Normal-pool"/>
              <w:tabs>
                <w:tab w:val="clear" w:pos="1247"/>
                <w:tab w:val="clear" w:pos="1814"/>
                <w:tab w:val="clear" w:pos="2381"/>
                <w:tab w:val="clear" w:pos="2948"/>
                <w:tab w:val="clear" w:pos="3515"/>
                <w:tab w:val="clear" w:pos="4082"/>
              </w:tabs>
            </w:pPr>
          </w:p>
        </w:tc>
        <w:tc>
          <w:tcPr>
            <w:tcW w:w="1898" w:type="dxa"/>
          </w:tcPr>
          <w:p w14:paraId="144A7BE1" w14:textId="77777777" w:rsidR="0015442E" w:rsidRDefault="0015442E" w:rsidP="001C3E7A">
            <w:pPr>
              <w:pStyle w:val="Normal-pool"/>
              <w:tabs>
                <w:tab w:val="clear" w:pos="1247"/>
                <w:tab w:val="clear" w:pos="1814"/>
                <w:tab w:val="clear" w:pos="2381"/>
                <w:tab w:val="clear" w:pos="2948"/>
                <w:tab w:val="clear" w:pos="3515"/>
                <w:tab w:val="clear" w:pos="4082"/>
              </w:tabs>
            </w:pPr>
          </w:p>
        </w:tc>
      </w:tr>
    </w:tbl>
    <w:p w14:paraId="12EBF5D0" w14:textId="77777777" w:rsidR="008659A0" w:rsidRDefault="008659A0" w:rsidP="00EB0150">
      <w:pPr>
        <w:pStyle w:val="Normal-pool"/>
        <w:tabs>
          <w:tab w:val="clear" w:pos="1247"/>
          <w:tab w:val="clear" w:pos="1814"/>
          <w:tab w:val="clear" w:pos="2381"/>
          <w:tab w:val="clear" w:pos="2948"/>
          <w:tab w:val="clear" w:pos="3515"/>
          <w:tab w:val="clear" w:pos="4082"/>
        </w:tabs>
      </w:pPr>
    </w:p>
    <w:sectPr w:rsidR="008659A0" w:rsidSect="0015442E">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BAAA0" w14:textId="77777777" w:rsidR="007B6975" w:rsidRDefault="007B6975">
      <w:r>
        <w:separator/>
      </w:r>
    </w:p>
  </w:endnote>
  <w:endnote w:type="continuationSeparator" w:id="0">
    <w:p w14:paraId="7BE8FA98" w14:textId="77777777" w:rsidR="007B6975" w:rsidRDefault="007B69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S PGothic">
    <w:panose1 w:val="020B0600070205080204"/>
    <w:charset w:val="80"/>
    <w:family w:val="swiss"/>
    <w:pitch w:val="variable"/>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C5E00" w14:textId="457F0645" w:rsidR="00123699" w:rsidRPr="003B5910" w:rsidRDefault="00123699" w:rsidP="00A70B56">
    <w:pPr>
      <w:pStyle w:val="Footer-pool"/>
      <w:tabs>
        <w:tab w:val="clear" w:pos="1247"/>
        <w:tab w:val="clear" w:pos="1814"/>
        <w:tab w:val="clear" w:pos="2381"/>
        <w:tab w:val="clear" w:pos="2948"/>
        <w:tab w:val="clear" w:pos="3515"/>
        <w:tab w:val="clear" w:pos="4082"/>
        <w:tab w:val="clear" w:pos="4321"/>
        <w:tab w:val="clear" w:pos="8641"/>
      </w:tabs>
      <w:rPr>
        <w:lang w:val="en-US"/>
      </w:rPr>
    </w:pPr>
    <w:r w:rsidRPr="003B5910">
      <w:rPr>
        <w:rStyle w:val="PageNumber"/>
        <w:b/>
        <w:lang w:val="en-US"/>
      </w:rPr>
      <w:fldChar w:fldCharType="begin"/>
    </w:r>
    <w:r w:rsidRPr="003B5910">
      <w:rPr>
        <w:rStyle w:val="PageNumber"/>
        <w:b/>
        <w:lang w:val="en-US"/>
      </w:rPr>
      <w:instrText xml:space="preserve"> PAGE </w:instrText>
    </w:r>
    <w:r w:rsidRPr="003B5910">
      <w:rPr>
        <w:rStyle w:val="PageNumber"/>
        <w:b/>
        <w:lang w:val="en-US"/>
      </w:rPr>
      <w:fldChar w:fldCharType="separate"/>
    </w:r>
    <w:r w:rsidR="00F7542C" w:rsidRPr="003B5910">
      <w:rPr>
        <w:rStyle w:val="PageNumber"/>
        <w:b/>
        <w:noProof/>
        <w:lang w:val="en-US"/>
      </w:rPr>
      <w:t>2</w:t>
    </w:r>
    <w:r w:rsidRPr="003B5910">
      <w:rPr>
        <w:rStyle w:val="PageNumber"/>
        <w:b/>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00E42" w14:textId="77777777" w:rsidR="00123699" w:rsidRPr="003B5910" w:rsidRDefault="00123699" w:rsidP="003B5910">
    <w:pPr>
      <w:pStyle w:val="Footer-pool"/>
      <w:tabs>
        <w:tab w:val="clear" w:pos="1247"/>
        <w:tab w:val="clear" w:pos="1814"/>
        <w:tab w:val="clear" w:pos="2381"/>
        <w:tab w:val="clear" w:pos="2948"/>
        <w:tab w:val="clear" w:pos="3515"/>
        <w:tab w:val="clear" w:pos="4082"/>
        <w:tab w:val="clear" w:pos="4321"/>
        <w:tab w:val="clear" w:pos="8641"/>
      </w:tabs>
      <w:jc w:val="right"/>
      <w:rPr>
        <w:b w:val="0"/>
        <w:lang w:val="en-US"/>
      </w:rPr>
    </w:pPr>
    <w:r w:rsidRPr="003B5910">
      <w:rPr>
        <w:rStyle w:val="PageNumber"/>
        <w:b/>
        <w:lang w:val="en-US"/>
      </w:rPr>
      <w:fldChar w:fldCharType="begin"/>
    </w:r>
    <w:r w:rsidRPr="003B5910">
      <w:rPr>
        <w:rStyle w:val="PageNumber"/>
        <w:b/>
        <w:lang w:val="en-US"/>
      </w:rPr>
      <w:instrText xml:space="preserve"> PAGE </w:instrText>
    </w:r>
    <w:r w:rsidRPr="003B5910">
      <w:rPr>
        <w:rStyle w:val="PageNumber"/>
        <w:b/>
        <w:lang w:val="en-US"/>
      </w:rPr>
      <w:fldChar w:fldCharType="separate"/>
    </w:r>
    <w:r w:rsidR="00250B6D" w:rsidRPr="003B5910">
      <w:rPr>
        <w:rStyle w:val="PageNumber"/>
        <w:b/>
        <w:noProof/>
        <w:lang w:val="en-US"/>
      </w:rPr>
      <w:t>3</w:t>
    </w:r>
    <w:r w:rsidRPr="003B5910">
      <w:rPr>
        <w:rStyle w:val="PageNumber"/>
        <w:b/>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10173" w14:textId="67F60291" w:rsidR="0015442E" w:rsidRPr="003B5910" w:rsidRDefault="0015442E" w:rsidP="00A70B56">
    <w:pPr>
      <w:pStyle w:val="Normal-pool"/>
      <w:tabs>
        <w:tab w:val="clear" w:pos="1247"/>
        <w:tab w:val="clear" w:pos="1814"/>
        <w:tab w:val="clear" w:pos="2381"/>
        <w:tab w:val="clear" w:pos="2948"/>
        <w:tab w:val="clear" w:pos="3515"/>
        <w:tab w:val="clear" w:pos="4082"/>
      </w:tabs>
      <w:spacing w:before="60" w:after="120"/>
      <w:rPr>
        <w:lang w:val="en-US"/>
      </w:rPr>
    </w:pPr>
    <w:r w:rsidRPr="003B5910">
      <w:rPr>
        <w:lang w:val="en-US"/>
      </w:rPr>
      <w:tab/>
    </w:r>
    <w:r w:rsidR="00A12269" w:rsidRPr="00A12269">
      <w:rPr>
        <w:lang w:val="en-US"/>
      </w:rPr>
      <w:t>0311</w:t>
    </w:r>
    <w:r w:rsidR="00A70B56" w:rsidRPr="00A12269">
      <w:rPr>
        <w:lang w:val="en-US"/>
      </w:rPr>
      <w:t>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02CCC" w14:textId="77777777" w:rsidR="007B6975" w:rsidRPr="0072353B" w:rsidRDefault="007B6975" w:rsidP="0072353B">
      <w:pPr>
        <w:tabs>
          <w:tab w:val="left" w:pos="624"/>
        </w:tabs>
        <w:spacing w:before="60"/>
        <w:ind w:left="624"/>
        <w:rPr>
          <w:sz w:val="18"/>
          <w:szCs w:val="18"/>
        </w:rPr>
      </w:pPr>
      <w:r w:rsidRPr="0072353B">
        <w:rPr>
          <w:sz w:val="18"/>
          <w:szCs w:val="18"/>
        </w:rPr>
        <w:separator/>
      </w:r>
    </w:p>
  </w:footnote>
  <w:footnote w:type="continuationSeparator" w:id="0">
    <w:p w14:paraId="14CC84A4" w14:textId="77777777" w:rsidR="007B6975" w:rsidRDefault="007B6975">
      <w:r>
        <w:continuationSeparator/>
      </w:r>
    </w:p>
  </w:footnote>
  <w:footnote w:id="1">
    <w:p w14:paraId="67BB393A" w14:textId="77777777" w:rsidR="00A12269" w:rsidRPr="00F63AB3" w:rsidRDefault="00A12269" w:rsidP="00A12269">
      <w:pPr>
        <w:pStyle w:val="FootnoteText"/>
        <w:tabs>
          <w:tab w:val="clear" w:pos="1247"/>
          <w:tab w:val="clear" w:pos="1814"/>
          <w:tab w:val="clear" w:pos="2381"/>
          <w:tab w:val="clear" w:pos="2948"/>
          <w:tab w:val="clear" w:pos="3515"/>
          <w:tab w:val="clear" w:pos="4082"/>
        </w:tabs>
        <w:rPr>
          <w:szCs w:val="18"/>
          <w:lang w:val="ru-RU"/>
        </w:rPr>
      </w:pPr>
      <w:r>
        <w:rPr>
          <w:rStyle w:val="FootnoteReference"/>
          <w:lang w:val="ru-RU"/>
        </w:rPr>
        <w:footnoteRef/>
      </w:r>
      <w:r w:rsidRPr="00F63AB3">
        <w:rPr>
          <w:lang w:val="ru-RU"/>
        </w:rPr>
        <w:t xml:space="preserve"> </w:t>
      </w:r>
      <w:r w:rsidRPr="00F63AB3">
        <w:rPr>
          <w:lang w:val="ru-RU"/>
        </w:rPr>
        <w:tab/>
      </w:r>
      <w:r w:rsidRPr="00D353D2">
        <w:rPr>
          <w:lang w:val="en-US"/>
        </w:rPr>
        <w:t>UNEP</w:t>
      </w:r>
      <w:r w:rsidRPr="00F63AB3">
        <w:rPr>
          <w:lang w:val="ru-RU"/>
        </w:rPr>
        <w:t>/</w:t>
      </w:r>
      <w:r w:rsidRPr="00D353D2">
        <w:rPr>
          <w:lang w:val="en-US"/>
        </w:rPr>
        <w:t>MC</w:t>
      </w:r>
      <w:r w:rsidRPr="00F63AB3">
        <w:rPr>
          <w:lang w:val="ru-RU"/>
        </w:rPr>
        <w:t>/</w:t>
      </w:r>
      <w:r w:rsidRPr="00D353D2">
        <w:rPr>
          <w:lang w:val="en-US"/>
        </w:rPr>
        <w:t>COP</w:t>
      </w:r>
      <w:r w:rsidRPr="00F63AB3">
        <w:rPr>
          <w:lang w:val="ru-RU"/>
        </w:rPr>
        <w:t>.4/8.</w:t>
      </w:r>
    </w:p>
  </w:footnote>
  <w:footnote w:id="2">
    <w:p w14:paraId="148F65AD" w14:textId="77777777" w:rsidR="00A12269" w:rsidRPr="00FB295D" w:rsidRDefault="00A12269" w:rsidP="00A12269">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FB295D">
        <w:rPr>
          <w:rStyle w:val="FootnoteReference"/>
          <w:sz w:val="18"/>
        </w:rPr>
        <w:footnoteRef/>
      </w:r>
      <w:r w:rsidRPr="00FB295D">
        <w:rPr>
          <w:sz w:val="18"/>
          <w:szCs w:val="18"/>
        </w:rPr>
        <w:t xml:space="preserve"> </w:t>
      </w:r>
      <w:r>
        <w:rPr>
          <w:sz w:val="18"/>
          <w:szCs w:val="18"/>
        </w:rPr>
        <w:tab/>
      </w:r>
      <w:r w:rsidRPr="00FB295D">
        <w:rPr>
          <w:sz w:val="18"/>
          <w:szCs w:val="18"/>
        </w:rPr>
        <w:t>UNEP/MC/COP.1/17, приложение II, с поправками, внесенными Конференцией Сторон на ее четвертом совещании и изложенными в UNEP/MC/COP.4/29, приложения I и 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FE274" w14:textId="7078D349" w:rsidR="00123699" w:rsidRPr="003B5910" w:rsidRDefault="00F96910" w:rsidP="003B5910">
    <w:pPr>
      <w:pStyle w:val="Header-pool"/>
      <w:tabs>
        <w:tab w:val="clear" w:pos="1247"/>
        <w:tab w:val="clear" w:pos="4082"/>
        <w:tab w:val="clear" w:pos="4536"/>
        <w:tab w:val="clear" w:pos="9072"/>
      </w:tabs>
      <w:rPr>
        <w:lang w:val="en-US"/>
      </w:rPr>
    </w:pPr>
    <w:r w:rsidRPr="003B5910">
      <w:rPr>
        <w:lang w:val="en-US"/>
      </w:rPr>
      <w:t>UNEP/MC</w:t>
    </w:r>
    <w:r w:rsidR="008659A0" w:rsidRPr="003B5910">
      <w:rPr>
        <w:lang w:val="en-US"/>
      </w:rPr>
      <w:t>/</w:t>
    </w:r>
    <w:r w:rsidRPr="003B5910">
      <w:rPr>
        <w:lang w:val="en-US"/>
      </w:rPr>
      <w:t>COP.</w:t>
    </w:r>
    <w:r w:rsidR="003C1CBA">
      <w:rPr>
        <w:lang w:val="en-US"/>
      </w:rPr>
      <w:t>4</w:t>
    </w:r>
    <w:r w:rsidRPr="003B5910">
      <w:rPr>
        <w:lang w:val="en-US"/>
      </w:rPr>
      <w:t>/</w:t>
    </w:r>
    <w:r w:rsidR="003C1CBA">
      <w:rPr>
        <w:lang w:val="en-US"/>
      </w:rPr>
      <w:t>Dec.</w:t>
    </w:r>
    <w:r w:rsidR="00A12269">
      <w:rPr>
        <w:lang w:val="en-US"/>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AE950" w14:textId="1F9AD3CB" w:rsidR="00123699" w:rsidRPr="003B5910" w:rsidRDefault="00F96910" w:rsidP="003B5910">
    <w:pPr>
      <w:pStyle w:val="Header-pool"/>
      <w:tabs>
        <w:tab w:val="clear" w:pos="1247"/>
        <w:tab w:val="clear" w:pos="4082"/>
        <w:tab w:val="clear" w:pos="4536"/>
        <w:tab w:val="clear" w:pos="9072"/>
      </w:tabs>
      <w:jc w:val="right"/>
      <w:rPr>
        <w:szCs w:val="18"/>
        <w:lang w:val="en-US"/>
      </w:rPr>
    </w:pPr>
    <w:r w:rsidRPr="003B5910">
      <w:rPr>
        <w:lang w:val="en-US"/>
      </w:rPr>
      <w:t>UNEP/MC</w:t>
    </w:r>
    <w:r w:rsidR="008659A0" w:rsidRPr="003B5910">
      <w:rPr>
        <w:lang w:val="en-US"/>
      </w:rPr>
      <w:t>/</w:t>
    </w:r>
    <w:r w:rsidRPr="003B5910">
      <w:rPr>
        <w:lang w:val="en-US"/>
      </w:rPr>
      <w:t>COP.</w:t>
    </w:r>
    <w:r w:rsidR="003C1CBA">
      <w:rPr>
        <w:lang w:val="en-US"/>
      </w:rPr>
      <w:t>4</w:t>
    </w:r>
    <w:r w:rsidRPr="003B5910">
      <w:rPr>
        <w:lang w:val="en-US"/>
      </w:rPr>
      <w:t>/</w:t>
    </w:r>
    <w:r w:rsidR="003C1CBA">
      <w:rPr>
        <w:lang w:val="en-US"/>
      </w:rPr>
      <w:t>Dec.</w:t>
    </w:r>
    <w:r w:rsidR="00A12269">
      <w:rPr>
        <w:lang w:val="en-US"/>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CE264" w14:textId="77777777" w:rsidR="00C059F0" w:rsidRPr="00F7542C" w:rsidRDefault="00C059F0" w:rsidP="00F7542C">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D7E16"/>
    <w:multiLevelType w:val="hybridMultilevel"/>
    <w:tmpl w:val="AE9645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6F42AB"/>
    <w:multiLevelType w:val="hybridMultilevel"/>
    <w:tmpl w:val="926018A8"/>
    <w:lvl w:ilvl="0" w:tplc="8D624B1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1C544C"/>
    <w:multiLevelType w:val="hybridMultilevel"/>
    <w:tmpl w:val="38A691F4"/>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4" w15:restartNumberingAfterBreak="0">
    <w:nsid w:val="253B7225"/>
    <w:multiLevelType w:val="hybridMultilevel"/>
    <w:tmpl w:val="3596141A"/>
    <w:lvl w:ilvl="0" w:tplc="A008EDF4">
      <w:start w:val="1"/>
      <w:numFmt w:val="lowerRoman"/>
      <w:lvlText w:val="%1)"/>
      <w:lvlJc w:val="left"/>
      <w:pPr>
        <w:ind w:left="720" w:hanging="360"/>
      </w:pPr>
      <w:rPr>
        <w:rFonts w:hint="default"/>
        <w:b w:val="0"/>
        <w:i w:val="0"/>
        <w:caps w:val="0"/>
        <w:strike w:val="0"/>
        <w:dstrike w:val="0"/>
        <w:vanish w:val="0"/>
        <w:color w:val="000000"/>
        <w:sz w:val="18"/>
        <w:szCs w:val="18"/>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30A35F0"/>
    <w:multiLevelType w:val="hybridMultilevel"/>
    <w:tmpl w:val="0484BBD2"/>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7" w15:restartNumberingAfterBreak="0">
    <w:nsid w:val="363C69BE"/>
    <w:multiLevelType w:val="hybridMultilevel"/>
    <w:tmpl w:val="926018A8"/>
    <w:lvl w:ilvl="0" w:tplc="8D624B1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AC30635"/>
    <w:multiLevelType w:val="hybridMultilevel"/>
    <w:tmpl w:val="926018A8"/>
    <w:lvl w:ilvl="0" w:tplc="8D624B1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1B01BA9"/>
    <w:multiLevelType w:val="hybridMultilevel"/>
    <w:tmpl w:val="930EEE0C"/>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2A66A9D"/>
    <w:multiLevelType w:val="multilevel"/>
    <w:tmpl w:val="F4ACF36E"/>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1" w15:restartNumberingAfterBreak="0">
    <w:nsid w:val="5D1D76CE"/>
    <w:multiLevelType w:val="hybridMultilevel"/>
    <w:tmpl w:val="C1F0A142"/>
    <w:lvl w:ilvl="0" w:tplc="CA8E303C">
      <w:start w:val="1"/>
      <w:numFmt w:val="lowerRoman"/>
      <w:lvlText w:val="%1)"/>
      <w:lvlJc w:val="left"/>
      <w:pPr>
        <w:ind w:left="720" w:hanging="360"/>
      </w:pPr>
      <w:rPr>
        <w:rFonts w:hint="default"/>
        <w:b w:val="0"/>
        <w:i w:val="0"/>
        <w:caps w:val="0"/>
        <w:strike w:val="0"/>
        <w:dstrike w:val="0"/>
        <w:vanish w:val="0"/>
        <w:color w:val="000000"/>
        <w:sz w:val="18"/>
        <w:szCs w:val="18"/>
        <w:vertAlign w:val="baseline"/>
        <w:lang w:val="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2291BF8"/>
    <w:multiLevelType w:val="multilevel"/>
    <w:tmpl w:val="F4ACF36E"/>
    <w:numStyleLink w:val="Normallist"/>
  </w:abstractNum>
  <w:abstractNum w:abstractNumId="13" w15:restartNumberingAfterBreak="0">
    <w:nsid w:val="6632515B"/>
    <w:multiLevelType w:val="hybridMultilevel"/>
    <w:tmpl w:val="88D4D156"/>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14" w15:restartNumberingAfterBreak="0">
    <w:nsid w:val="778D2848"/>
    <w:multiLevelType w:val="hybridMultilevel"/>
    <w:tmpl w:val="AE9645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3"/>
  </w:num>
  <w:num w:numId="3">
    <w:abstractNumId w:val="6"/>
  </w:num>
  <w:num w:numId="4">
    <w:abstractNumId w:val="12"/>
  </w:num>
  <w:num w:numId="5">
    <w:abstractNumId w:val="8"/>
  </w:num>
  <w:num w:numId="6">
    <w:abstractNumId w:val="1"/>
  </w:num>
  <w:num w:numId="7">
    <w:abstractNumId w:val="7"/>
  </w:num>
  <w:num w:numId="8">
    <w:abstractNumId w:val="11"/>
  </w:num>
  <w:num w:numId="9">
    <w:abstractNumId w:val="4"/>
  </w:num>
  <w:num w:numId="10">
    <w:abstractNumId w:val="14"/>
  </w:num>
  <w:num w:numId="11">
    <w:abstractNumId w:val="5"/>
  </w:num>
  <w:num w:numId="12">
    <w:abstractNumId w:val="13"/>
  </w:num>
  <w:num w:numId="13">
    <w:abstractNumId w:val="0"/>
  </w:num>
  <w:num w:numId="14">
    <w:abstractNumId w:val="9"/>
  </w:num>
  <w:num w:numId="15">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activeWritingStyle w:appName="MSWord" w:lang="fr-FR" w:vendorID="64" w:dllVersion="0" w:nlCheck="1" w:checkStyle="0"/>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fr-CA" w:vendorID="64" w:dllVersion="0" w:nlCheck="1" w:checkStyle="0"/>
  <w:activeWritingStyle w:appName="MSWord" w:lang="en-GB" w:vendorID="64" w:dllVersion="4096" w:nlCheck="1" w:checkStyle="0"/>
  <w:activeWritingStyle w:appName="MSWord" w:lang="es-ES_tradnl" w:vendorID="64" w:dllVersion="0" w:nlCheck="1" w:checkStyle="0"/>
  <w:activeWritingStyle w:appName="MSWord" w:lang="ru-RU" w:vendorID="64" w:dllVersion="0" w:nlCheck="1" w:checkStyle="0"/>
  <w:proofState w:spelling="clean" w:grammar="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DB2"/>
    <w:rsid w:val="00003BCB"/>
    <w:rsid w:val="000149E6"/>
    <w:rsid w:val="000247B0"/>
    <w:rsid w:val="00026997"/>
    <w:rsid w:val="00033E0B"/>
    <w:rsid w:val="00035EDE"/>
    <w:rsid w:val="00037460"/>
    <w:rsid w:val="00044340"/>
    <w:rsid w:val="000503BC"/>
    <w:rsid w:val="000509B4"/>
    <w:rsid w:val="0006035B"/>
    <w:rsid w:val="0006181A"/>
    <w:rsid w:val="000669FB"/>
    <w:rsid w:val="00071886"/>
    <w:rsid w:val="000742BC"/>
    <w:rsid w:val="00082A0C"/>
    <w:rsid w:val="00083504"/>
    <w:rsid w:val="000843C6"/>
    <w:rsid w:val="000941E5"/>
    <w:rsid w:val="0009640C"/>
    <w:rsid w:val="000B22A2"/>
    <w:rsid w:val="000B6914"/>
    <w:rsid w:val="000C0F46"/>
    <w:rsid w:val="000C2A52"/>
    <w:rsid w:val="000D0733"/>
    <w:rsid w:val="000D33C0"/>
    <w:rsid w:val="000D6941"/>
    <w:rsid w:val="000E4868"/>
    <w:rsid w:val="000F4549"/>
    <w:rsid w:val="001064A3"/>
    <w:rsid w:val="001202E3"/>
    <w:rsid w:val="00123699"/>
    <w:rsid w:val="0012644F"/>
    <w:rsid w:val="0013059D"/>
    <w:rsid w:val="001346DB"/>
    <w:rsid w:val="00141A55"/>
    <w:rsid w:val="001446A3"/>
    <w:rsid w:val="00145960"/>
    <w:rsid w:val="0015442E"/>
    <w:rsid w:val="00155395"/>
    <w:rsid w:val="00160D74"/>
    <w:rsid w:val="00167D02"/>
    <w:rsid w:val="00181EC8"/>
    <w:rsid w:val="00184349"/>
    <w:rsid w:val="00193DC9"/>
    <w:rsid w:val="00195E9F"/>
    <w:rsid w:val="00195F33"/>
    <w:rsid w:val="001B1617"/>
    <w:rsid w:val="001B504B"/>
    <w:rsid w:val="001B69D4"/>
    <w:rsid w:val="001B7D42"/>
    <w:rsid w:val="001C3E7A"/>
    <w:rsid w:val="001D3874"/>
    <w:rsid w:val="001D4C3C"/>
    <w:rsid w:val="001D7E75"/>
    <w:rsid w:val="001E56D2"/>
    <w:rsid w:val="001E7D56"/>
    <w:rsid w:val="001F75DE"/>
    <w:rsid w:val="00200D58"/>
    <w:rsid w:val="002013BE"/>
    <w:rsid w:val="002063A4"/>
    <w:rsid w:val="0021145B"/>
    <w:rsid w:val="00222F26"/>
    <w:rsid w:val="00234B59"/>
    <w:rsid w:val="002431AE"/>
    <w:rsid w:val="00243D36"/>
    <w:rsid w:val="00247707"/>
    <w:rsid w:val="00250B6D"/>
    <w:rsid w:val="0026018E"/>
    <w:rsid w:val="00260799"/>
    <w:rsid w:val="00270AAF"/>
    <w:rsid w:val="00275DA1"/>
    <w:rsid w:val="002768BA"/>
    <w:rsid w:val="00286740"/>
    <w:rsid w:val="002929D8"/>
    <w:rsid w:val="002A237D"/>
    <w:rsid w:val="002A4C53"/>
    <w:rsid w:val="002B0672"/>
    <w:rsid w:val="002B247F"/>
    <w:rsid w:val="002C145D"/>
    <w:rsid w:val="002C2C3E"/>
    <w:rsid w:val="002C533E"/>
    <w:rsid w:val="002D027F"/>
    <w:rsid w:val="002D7A85"/>
    <w:rsid w:val="002D7B60"/>
    <w:rsid w:val="002F28D0"/>
    <w:rsid w:val="002F4761"/>
    <w:rsid w:val="002F5C79"/>
    <w:rsid w:val="003019E2"/>
    <w:rsid w:val="0031413F"/>
    <w:rsid w:val="003148BB"/>
    <w:rsid w:val="00317976"/>
    <w:rsid w:val="00321398"/>
    <w:rsid w:val="00324B1A"/>
    <w:rsid w:val="00336111"/>
    <w:rsid w:val="00342FBF"/>
    <w:rsid w:val="00350ADA"/>
    <w:rsid w:val="00355EA9"/>
    <w:rsid w:val="003578DE"/>
    <w:rsid w:val="00362047"/>
    <w:rsid w:val="0036669D"/>
    <w:rsid w:val="00372781"/>
    <w:rsid w:val="00375D74"/>
    <w:rsid w:val="0039169B"/>
    <w:rsid w:val="00392F9C"/>
    <w:rsid w:val="00396257"/>
    <w:rsid w:val="003963DF"/>
    <w:rsid w:val="00397EB8"/>
    <w:rsid w:val="003A1C5B"/>
    <w:rsid w:val="003A4FD0"/>
    <w:rsid w:val="003A69D1"/>
    <w:rsid w:val="003A7705"/>
    <w:rsid w:val="003A77F1"/>
    <w:rsid w:val="003B1545"/>
    <w:rsid w:val="003B5910"/>
    <w:rsid w:val="003B5FFF"/>
    <w:rsid w:val="003B7D67"/>
    <w:rsid w:val="003C1CBA"/>
    <w:rsid w:val="003C409D"/>
    <w:rsid w:val="003C5BA6"/>
    <w:rsid w:val="003D104A"/>
    <w:rsid w:val="003E4593"/>
    <w:rsid w:val="003E6F41"/>
    <w:rsid w:val="003E7DE3"/>
    <w:rsid w:val="003F06BB"/>
    <w:rsid w:val="003F09D4"/>
    <w:rsid w:val="003F0E85"/>
    <w:rsid w:val="00410C55"/>
    <w:rsid w:val="00416854"/>
    <w:rsid w:val="00417725"/>
    <w:rsid w:val="00420315"/>
    <w:rsid w:val="004267BF"/>
    <w:rsid w:val="00430726"/>
    <w:rsid w:val="00437F26"/>
    <w:rsid w:val="00443D04"/>
    <w:rsid w:val="00444097"/>
    <w:rsid w:val="00445487"/>
    <w:rsid w:val="00454769"/>
    <w:rsid w:val="0046322E"/>
    <w:rsid w:val="00466991"/>
    <w:rsid w:val="0047064C"/>
    <w:rsid w:val="004A42E1"/>
    <w:rsid w:val="004B162C"/>
    <w:rsid w:val="004B614E"/>
    <w:rsid w:val="004C3DBE"/>
    <w:rsid w:val="004C5C96"/>
    <w:rsid w:val="004C794B"/>
    <w:rsid w:val="004D06A4"/>
    <w:rsid w:val="004D69D1"/>
    <w:rsid w:val="004E1B24"/>
    <w:rsid w:val="004F1A81"/>
    <w:rsid w:val="0050052E"/>
    <w:rsid w:val="005064EF"/>
    <w:rsid w:val="0050733D"/>
    <w:rsid w:val="005218D9"/>
    <w:rsid w:val="00522FC4"/>
    <w:rsid w:val="00536186"/>
    <w:rsid w:val="005369CB"/>
    <w:rsid w:val="005421B9"/>
    <w:rsid w:val="00544CBB"/>
    <w:rsid w:val="005472A3"/>
    <w:rsid w:val="00550D07"/>
    <w:rsid w:val="00551104"/>
    <w:rsid w:val="00561676"/>
    <w:rsid w:val="00566B59"/>
    <w:rsid w:val="0057315F"/>
    <w:rsid w:val="005746EA"/>
    <w:rsid w:val="00576104"/>
    <w:rsid w:val="0059162C"/>
    <w:rsid w:val="005B42A6"/>
    <w:rsid w:val="005C5835"/>
    <w:rsid w:val="005C67C8"/>
    <w:rsid w:val="005C7D1D"/>
    <w:rsid w:val="005D0249"/>
    <w:rsid w:val="005D1DA1"/>
    <w:rsid w:val="005D6E8C"/>
    <w:rsid w:val="005F100C"/>
    <w:rsid w:val="005F68DA"/>
    <w:rsid w:val="0060773B"/>
    <w:rsid w:val="00611117"/>
    <w:rsid w:val="006157B5"/>
    <w:rsid w:val="00622D02"/>
    <w:rsid w:val="00626FC6"/>
    <w:rsid w:val="006303B4"/>
    <w:rsid w:val="00633D3D"/>
    <w:rsid w:val="00641703"/>
    <w:rsid w:val="006431A6"/>
    <w:rsid w:val="006459F6"/>
    <w:rsid w:val="006501AD"/>
    <w:rsid w:val="00651BFA"/>
    <w:rsid w:val="00654475"/>
    <w:rsid w:val="00665A4B"/>
    <w:rsid w:val="006717E6"/>
    <w:rsid w:val="00673665"/>
    <w:rsid w:val="00680611"/>
    <w:rsid w:val="00692E2A"/>
    <w:rsid w:val="006A76F2"/>
    <w:rsid w:val="006C2B82"/>
    <w:rsid w:val="006D4F04"/>
    <w:rsid w:val="006D7EFB"/>
    <w:rsid w:val="006E6672"/>
    <w:rsid w:val="006E6722"/>
    <w:rsid w:val="006F5276"/>
    <w:rsid w:val="007027B9"/>
    <w:rsid w:val="00715E88"/>
    <w:rsid w:val="0072353B"/>
    <w:rsid w:val="00734CAA"/>
    <w:rsid w:val="00734DC8"/>
    <w:rsid w:val="00741B20"/>
    <w:rsid w:val="00746753"/>
    <w:rsid w:val="00751150"/>
    <w:rsid w:val="0075533C"/>
    <w:rsid w:val="00757581"/>
    <w:rsid w:val="007611A0"/>
    <w:rsid w:val="0076147A"/>
    <w:rsid w:val="007828A5"/>
    <w:rsid w:val="007841F5"/>
    <w:rsid w:val="00785D9B"/>
    <w:rsid w:val="00795B9D"/>
    <w:rsid w:val="00796D3F"/>
    <w:rsid w:val="007A1683"/>
    <w:rsid w:val="007A5C12"/>
    <w:rsid w:val="007A7CB0"/>
    <w:rsid w:val="007B24F8"/>
    <w:rsid w:val="007B33B3"/>
    <w:rsid w:val="007B68A3"/>
    <w:rsid w:val="007B6975"/>
    <w:rsid w:val="007C2541"/>
    <w:rsid w:val="007C521D"/>
    <w:rsid w:val="007D66A8"/>
    <w:rsid w:val="007E003F"/>
    <w:rsid w:val="007F2D08"/>
    <w:rsid w:val="008164F2"/>
    <w:rsid w:val="008201A2"/>
    <w:rsid w:val="00821395"/>
    <w:rsid w:val="00824FC7"/>
    <w:rsid w:val="00830E26"/>
    <w:rsid w:val="008311DD"/>
    <w:rsid w:val="00843576"/>
    <w:rsid w:val="00843B64"/>
    <w:rsid w:val="008478FC"/>
    <w:rsid w:val="008659A0"/>
    <w:rsid w:val="00867BFF"/>
    <w:rsid w:val="00875E6E"/>
    <w:rsid w:val="0088480A"/>
    <w:rsid w:val="0088757A"/>
    <w:rsid w:val="008957DD"/>
    <w:rsid w:val="00897D98"/>
    <w:rsid w:val="008A1E92"/>
    <w:rsid w:val="008A3441"/>
    <w:rsid w:val="008A6DF2"/>
    <w:rsid w:val="008A7807"/>
    <w:rsid w:val="008B4CC9"/>
    <w:rsid w:val="008D7C99"/>
    <w:rsid w:val="008E0FCB"/>
    <w:rsid w:val="008F201B"/>
    <w:rsid w:val="008F5D00"/>
    <w:rsid w:val="0092178C"/>
    <w:rsid w:val="00930B88"/>
    <w:rsid w:val="00930E68"/>
    <w:rsid w:val="0094095A"/>
    <w:rsid w:val="00940DCC"/>
    <w:rsid w:val="0094179A"/>
    <w:rsid w:val="0094459E"/>
    <w:rsid w:val="00944DBC"/>
    <w:rsid w:val="009473C6"/>
    <w:rsid w:val="00950977"/>
    <w:rsid w:val="00951A7B"/>
    <w:rsid w:val="00954F9B"/>
    <w:rsid w:val="009564A6"/>
    <w:rsid w:val="00962471"/>
    <w:rsid w:val="00967621"/>
    <w:rsid w:val="00967E6A"/>
    <w:rsid w:val="00984069"/>
    <w:rsid w:val="009876DF"/>
    <w:rsid w:val="009906E7"/>
    <w:rsid w:val="00992DE3"/>
    <w:rsid w:val="009B3D8D"/>
    <w:rsid w:val="009B4A0F"/>
    <w:rsid w:val="009C11D2"/>
    <w:rsid w:val="009C6C70"/>
    <w:rsid w:val="009D0B63"/>
    <w:rsid w:val="009D2DCF"/>
    <w:rsid w:val="009E24BE"/>
    <w:rsid w:val="009E2F3F"/>
    <w:rsid w:val="009E307E"/>
    <w:rsid w:val="009F308C"/>
    <w:rsid w:val="00A001C6"/>
    <w:rsid w:val="00A07870"/>
    <w:rsid w:val="00A07F19"/>
    <w:rsid w:val="00A11B9F"/>
    <w:rsid w:val="00A12269"/>
    <w:rsid w:val="00A1348D"/>
    <w:rsid w:val="00A142E9"/>
    <w:rsid w:val="00A232EE"/>
    <w:rsid w:val="00A32F74"/>
    <w:rsid w:val="00A3546E"/>
    <w:rsid w:val="00A35EA7"/>
    <w:rsid w:val="00A4175F"/>
    <w:rsid w:val="00A44411"/>
    <w:rsid w:val="00A469FA"/>
    <w:rsid w:val="00A54034"/>
    <w:rsid w:val="00A55B01"/>
    <w:rsid w:val="00A56B5B"/>
    <w:rsid w:val="00A603FF"/>
    <w:rsid w:val="00A657DD"/>
    <w:rsid w:val="00A666A6"/>
    <w:rsid w:val="00A675FD"/>
    <w:rsid w:val="00A706CF"/>
    <w:rsid w:val="00A70B56"/>
    <w:rsid w:val="00A71EFB"/>
    <w:rsid w:val="00A72437"/>
    <w:rsid w:val="00A80611"/>
    <w:rsid w:val="00AB5340"/>
    <w:rsid w:val="00AC0A89"/>
    <w:rsid w:val="00AC5CBF"/>
    <w:rsid w:val="00AC7C96"/>
    <w:rsid w:val="00AE237D"/>
    <w:rsid w:val="00AE502A"/>
    <w:rsid w:val="00AF7C07"/>
    <w:rsid w:val="00B11663"/>
    <w:rsid w:val="00B12B35"/>
    <w:rsid w:val="00B15CEE"/>
    <w:rsid w:val="00B17AE1"/>
    <w:rsid w:val="00B22C93"/>
    <w:rsid w:val="00B27589"/>
    <w:rsid w:val="00B405B7"/>
    <w:rsid w:val="00B4162D"/>
    <w:rsid w:val="00B52222"/>
    <w:rsid w:val="00B52657"/>
    <w:rsid w:val="00B5428A"/>
    <w:rsid w:val="00B54847"/>
    <w:rsid w:val="00B54FE7"/>
    <w:rsid w:val="00B66901"/>
    <w:rsid w:val="00B71E6D"/>
    <w:rsid w:val="00B72070"/>
    <w:rsid w:val="00B737E9"/>
    <w:rsid w:val="00B779E1"/>
    <w:rsid w:val="00B849E3"/>
    <w:rsid w:val="00B91EE1"/>
    <w:rsid w:val="00B925AB"/>
    <w:rsid w:val="00BA0090"/>
    <w:rsid w:val="00BA1A67"/>
    <w:rsid w:val="00BA7128"/>
    <w:rsid w:val="00BC6590"/>
    <w:rsid w:val="00BD0DB2"/>
    <w:rsid w:val="00BD7742"/>
    <w:rsid w:val="00BE5B5F"/>
    <w:rsid w:val="00BF17E5"/>
    <w:rsid w:val="00C059F0"/>
    <w:rsid w:val="00C120EE"/>
    <w:rsid w:val="00C228DB"/>
    <w:rsid w:val="00C26F55"/>
    <w:rsid w:val="00C30C63"/>
    <w:rsid w:val="00C36B8B"/>
    <w:rsid w:val="00C415C1"/>
    <w:rsid w:val="00C47DBF"/>
    <w:rsid w:val="00C52AC2"/>
    <w:rsid w:val="00C552FF"/>
    <w:rsid w:val="00C558DA"/>
    <w:rsid w:val="00C55AF3"/>
    <w:rsid w:val="00C74042"/>
    <w:rsid w:val="00C84759"/>
    <w:rsid w:val="00C86D73"/>
    <w:rsid w:val="00CA6C7F"/>
    <w:rsid w:val="00CB36CC"/>
    <w:rsid w:val="00CC10A6"/>
    <w:rsid w:val="00CD5EB8"/>
    <w:rsid w:val="00CD7044"/>
    <w:rsid w:val="00CE08B9"/>
    <w:rsid w:val="00CE3103"/>
    <w:rsid w:val="00CE524C"/>
    <w:rsid w:val="00CE61E7"/>
    <w:rsid w:val="00CF141F"/>
    <w:rsid w:val="00CF4777"/>
    <w:rsid w:val="00D067BB"/>
    <w:rsid w:val="00D07EDB"/>
    <w:rsid w:val="00D1352A"/>
    <w:rsid w:val="00D13873"/>
    <w:rsid w:val="00D169AF"/>
    <w:rsid w:val="00D25249"/>
    <w:rsid w:val="00D25ED8"/>
    <w:rsid w:val="00D314F4"/>
    <w:rsid w:val="00D33365"/>
    <w:rsid w:val="00D34DE9"/>
    <w:rsid w:val="00D35F94"/>
    <w:rsid w:val="00D44172"/>
    <w:rsid w:val="00D44E88"/>
    <w:rsid w:val="00D61FBB"/>
    <w:rsid w:val="00D63B8C"/>
    <w:rsid w:val="00D63D88"/>
    <w:rsid w:val="00D65163"/>
    <w:rsid w:val="00D739CC"/>
    <w:rsid w:val="00D76E06"/>
    <w:rsid w:val="00D8093D"/>
    <w:rsid w:val="00D8108C"/>
    <w:rsid w:val="00D842AE"/>
    <w:rsid w:val="00D9211C"/>
    <w:rsid w:val="00D92DE0"/>
    <w:rsid w:val="00D92FEF"/>
    <w:rsid w:val="00D93A0F"/>
    <w:rsid w:val="00DA1BCA"/>
    <w:rsid w:val="00DA606E"/>
    <w:rsid w:val="00DC1767"/>
    <w:rsid w:val="00DC46FF"/>
    <w:rsid w:val="00DC5254"/>
    <w:rsid w:val="00DD1A4F"/>
    <w:rsid w:val="00DD3107"/>
    <w:rsid w:val="00DD3619"/>
    <w:rsid w:val="00DD7C2C"/>
    <w:rsid w:val="00DF70BF"/>
    <w:rsid w:val="00E04FF0"/>
    <w:rsid w:val="00E06797"/>
    <w:rsid w:val="00E072CC"/>
    <w:rsid w:val="00E1265B"/>
    <w:rsid w:val="00E13B48"/>
    <w:rsid w:val="00E1404F"/>
    <w:rsid w:val="00E21C83"/>
    <w:rsid w:val="00E24ADA"/>
    <w:rsid w:val="00E276A4"/>
    <w:rsid w:val="00E317A4"/>
    <w:rsid w:val="00E32F59"/>
    <w:rsid w:val="00E46D9A"/>
    <w:rsid w:val="00E565FF"/>
    <w:rsid w:val="00E65388"/>
    <w:rsid w:val="00E726A7"/>
    <w:rsid w:val="00E85B7D"/>
    <w:rsid w:val="00E9121B"/>
    <w:rsid w:val="00E91D53"/>
    <w:rsid w:val="00E942CC"/>
    <w:rsid w:val="00E96DA8"/>
    <w:rsid w:val="00EA0AE2"/>
    <w:rsid w:val="00EA39E5"/>
    <w:rsid w:val="00EB0150"/>
    <w:rsid w:val="00EB6A99"/>
    <w:rsid w:val="00EC3017"/>
    <w:rsid w:val="00EC5A46"/>
    <w:rsid w:val="00EC63E2"/>
    <w:rsid w:val="00EE0374"/>
    <w:rsid w:val="00EE30F2"/>
    <w:rsid w:val="00EF22B3"/>
    <w:rsid w:val="00F03B69"/>
    <w:rsid w:val="00F041C8"/>
    <w:rsid w:val="00F05C85"/>
    <w:rsid w:val="00F07A50"/>
    <w:rsid w:val="00F113DA"/>
    <w:rsid w:val="00F116A8"/>
    <w:rsid w:val="00F11AC1"/>
    <w:rsid w:val="00F25AE4"/>
    <w:rsid w:val="00F34719"/>
    <w:rsid w:val="00F37BD7"/>
    <w:rsid w:val="00F37DC8"/>
    <w:rsid w:val="00F439B3"/>
    <w:rsid w:val="00F55451"/>
    <w:rsid w:val="00F60EA5"/>
    <w:rsid w:val="00F650C3"/>
    <w:rsid w:val="00F65D85"/>
    <w:rsid w:val="00F66957"/>
    <w:rsid w:val="00F7542C"/>
    <w:rsid w:val="00F8091E"/>
    <w:rsid w:val="00F839A2"/>
    <w:rsid w:val="00F83EA1"/>
    <w:rsid w:val="00F8615C"/>
    <w:rsid w:val="00F873F8"/>
    <w:rsid w:val="00F92E48"/>
    <w:rsid w:val="00F96910"/>
    <w:rsid w:val="00F969E5"/>
    <w:rsid w:val="00FA6BB0"/>
    <w:rsid w:val="00FB49C6"/>
    <w:rsid w:val="00FB7DD2"/>
    <w:rsid w:val="00FC1521"/>
    <w:rsid w:val="00FC41AC"/>
    <w:rsid w:val="00FD03FA"/>
    <w:rsid w:val="00FD5860"/>
    <w:rsid w:val="00FE0852"/>
    <w:rsid w:val="00FE352D"/>
    <w:rsid w:val="00FE40EB"/>
    <w:rsid w:val="00FE4D02"/>
    <w:rsid w:val="00FE7D62"/>
    <w:rsid w:val="00FF3819"/>
    <w:rsid w:val="00FF5C9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26B1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5D74"/>
    <w:pPr>
      <w:tabs>
        <w:tab w:val="left" w:pos="1247"/>
        <w:tab w:val="left" w:pos="1814"/>
        <w:tab w:val="left" w:pos="2381"/>
        <w:tab w:val="left" w:pos="2948"/>
        <w:tab w:val="left" w:pos="3515"/>
      </w:tabs>
    </w:pPr>
    <w:rPr>
      <w:lang w:val="fr-FR" w:eastAsia="en-US"/>
    </w:rPr>
  </w:style>
  <w:style w:type="paragraph" w:styleId="Heading1">
    <w:name w:val="heading 1"/>
    <w:basedOn w:val="Normal"/>
    <w:next w:val="Normalnumber"/>
    <w:qFormat/>
    <w:rsid w:val="00375D74"/>
    <w:pPr>
      <w:keepNext/>
      <w:spacing w:before="240" w:after="120"/>
      <w:ind w:left="1247" w:hanging="680"/>
      <w:outlineLvl w:val="0"/>
    </w:pPr>
    <w:rPr>
      <w:b/>
      <w:sz w:val="28"/>
    </w:rPr>
  </w:style>
  <w:style w:type="paragraph" w:styleId="Heading2">
    <w:name w:val="heading 2"/>
    <w:basedOn w:val="Normal"/>
    <w:next w:val="Normalnumber"/>
    <w:qFormat/>
    <w:rsid w:val="00375D74"/>
    <w:pPr>
      <w:keepNext/>
      <w:spacing w:before="240" w:after="120"/>
      <w:ind w:left="1247" w:hanging="680"/>
      <w:outlineLvl w:val="1"/>
    </w:pPr>
    <w:rPr>
      <w:b/>
      <w:sz w:val="24"/>
      <w:szCs w:val="24"/>
    </w:rPr>
  </w:style>
  <w:style w:type="paragraph" w:styleId="Heading3">
    <w:name w:val="heading 3"/>
    <w:basedOn w:val="Normal"/>
    <w:next w:val="Normalnumber"/>
    <w:qFormat/>
    <w:rsid w:val="00375D74"/>
    <w:pPr>
      <w:spacing w:after="120"/>
      <w:ind w:left="1247" w:hanging="680"/>
      <w:outlineLvl w:val="2"/>
    </w:pPr>
    <w:rPr>
      <w:b/>
    </w:rPr>
  </w:style>
  <w:style w:type="paragraph" w:styleId="Heading4">
    <w:name w:val="heading 4"/>
    <w:basedOn w:val="Heading3"/>
    <w:next w:val="Normalnumber"/>
    <w:qFormat/>
    <w:rsid w:val="00375D74"/>
    <w:pPr>
      <w:keepNext/>
      <w:outlineLvl w:val="3"/>
    </w:pPr>
  </w:style>
  <w:style w:type="paragraph" w:styleId="Heading5">
    <w:name w:val="heading 5"/>
    <w:basedOn w:val="Normal"/>
    <w:next w:val="Normal"/>
    <w:qFormat/>
    <w:rsid w:val="00375D74"/>
    <w:pPr>
      <w:keepNext/>
      <w:outlineLvl w:val="4"/>
    </w:pPr>
    <w:rPr>
      <w:rFonts w:ascii="Univers" w:hAnsi="Univers"/>
      <w:b/>
      <w:sz w:val="24"/>
    </w:rPr>
  </w:style>
  <w:style w:type="paragraph" w:styleId="Heading6">
    <w:name w:val="heading 6"/>
    <w:basedOn w:val="Normal"/>
    <w:next w:val="Normal"/>
    <w:qFormat/>
    <w:rsid w:val="00375D74"/>
    <w:pPr>
      <w:keepNext/>
      <w:ind w:left="578"/>
      <w:outlineLvl w:val="5"/>
    </w:pPr>
    <w:rPr>
      <w:b/>
      <w:bCs/>
      <w:sz w:val="24"/>
    </w:rPr>
  </w:style>
  <w:style w:type="paragraph" w:styleId="Heading7">
    <w:name w:val="heading 7"/>
    <w:basedOn w:val="Normal"/>
    <w:next w:val="Normal"/>
    <w:qFormat/>
    <w:rsid w:val="00375D74"/>
    <w:pPr>
      <w:keepNext/>
      <w:widowControl w:val="0"/>
      <w:jc w:val="center"/>
      <w:outlineLvl w:val="6"/>
    </w:pPr>
    <w:rPr>
      <w:snapToGrid w:val="0"/>
      <w:u w:val="single"/>
      <w:lang w:val="en-US"/>
    </w:rPr>
  </w:style>
  <w:style w:type="paragraph" w:styleId="Heading8">
    <w:name w:val="heading 8"/>
    <w:basedOn w:val="Normal"/>
    <w:next w:val="Normal"/>
    <w:qFormat/>
    <w:rsid w:val="00375D74"/>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375D74"/>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375D74"/>
    <w:rPr>
      <w:rFonts w:ascii="Times New Roman" w:hAnsi="Times New Roman"/>
      <w:b/>
      <w:sz w:val="18"/>
    </w:rPr>
  </w:style>
  <w:style w:type="table" w:customStyle="1" w:styleId="Tabledocright">
    <w:name w:val="Table_doc_right"/>
    <w:basedOn w:val="TableNormal"/>
    <w:rsid w:val="00375D74"/>
    <w:pPr>
      <w:spacing w:before="40" w:after="40"/>
    </w:pPr>
    <w:rPr>
      <w:sz w:val="18"/>
      <w:szCs w:val="18"/>
      <w:lang w:val="en-US"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375D74"/>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375D74"/>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375D74"/>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375D74"/>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qFormat/>
    <w:rsid w:val="00375D74"/>
    <w:rPr>
      <w:bCs w:val="0"/>
    </w:rPr>
  </w:style>
  <w:style w:type="paragraph" w:styleId="TableofFigures">
    <w:name w:val="table of figures"/>
    <w:basedOn w:val="Normal"/>
    <w:next w:val="Normal"/>
    <w:autoRedefine/>
    <w:semiHidden/>
    <w:rsid w:val="00375D74"/>
    <w:pPr>
      <w:tabs>
        <w:tab w:val="clear" w:pos="1814"/>
        <w:tab w:val="clear" w:pos="2381"/>
        <w:tab w:val="clear" w:pos="2948"/>
        <w:tab w:val="clear" w:pos="3515"/>
      </w:tabs>
      <w:ind w:left="1814" w:hanging="567"/>
    </w:pPr>
  </w:style>
  <w:style w:type="paragraph" w:customStyle="1" w:styleId="CH1">
    <w:name w:val="CH1"/>
    <w:basedOn w:val="Normal-pool"/>
    <w:next w:val="CH2"/>
    <w:qFormat/>
    <w:rsid w:val="00375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qFormat/>
    <w:rsid w:val="00375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
    <w:next w:val="Normalnumber"/>
    <w:rsid w:val="00375D74"/>
    <w:pPr>
      <w:keepNext/>
      <w:keepLines/>
      <w:tabs>
        <w:tab w:val="right" w:pos="851"/>
        <w:tab w:val="left" w:pos="4082"/>
      </w:tabs>
      <w:suppressAutoHyphens/>
      <w:spacing w:after="120"/>
      <w:ind w:left="1247" w:right="284" w:hanging="1247"/>
    </w:pPr>
    <w:rPr>
      <w:b/>
      <w:lang w:val="fr-CA"/>
    </w:rPr>
  </w:style>
  <w:style w:type="paragraph" w:customStyle="1" w:styleId="CH4">
    <w:name w:val="CH4"/>
    <w:basedOn w:val="Normal"/>
    <w:next w:val="Normalnumber"/>
    <w:rsid w:val="00375D74"/>
    <w:pPr>
      <w:keepNext/>
      <w:keepLines/>
      <w:tabs>
        <w:tab w:val="right" w:pos="851"/>
        <w:tab w:val="left" w:pos="4082"/>
      </w:tabs>
      <w:suppressAutoHyphens/>
      <w:spacing w:after="120"/>
      <w:ind w:left="1247" w:right="284" w:hanging="1247"/>
    </w:pPr>
    <w:rPr>
      <w:b/>
      <w:lang w:val="fr-CA"/>
    </w:rPr>
  </w:style>
  <w:style w:type="table" w:customStyle="1" w:styleId="Footertable">
    <w:name w:val="Footer_table"/>
    <w:basedOn w:val="TableNormal"/>
    <w:semiHidden/>
    <w:rsid w:val="00375D74"/>
    <w:rPr>
      <w:rFonts w:ascii="Arial" w:hAnsi="Arial"/>
      <w:sz w:val="16"/>
      <w:lang w:val="en-US"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rsid w:val="00375D74"/>
    <w:pPr>
      <w:keepNext/>
      <w:keepLines/>
      <w:tabs>
        <w:tab w:val="right" w:pos="851"/>
        <w:tab w:val="left" w:pos="4082"/>
      </w:tabs>
      <w:suppressAutoHyphens/>
      <w:spacing w:after="120"/>
      <w:ind w:left="1247" w:right="284" w:hanging="1247"/>
    </w:pPr>
    <w:rPr>
      <w:b/>
      <w:lang w:val="fr-CA"/>
    </w:rPr>
  </w:style>
  <w:style w:type="paragraph" w:customStyle="1" w:styleId="Footerpool">
    <w:name w:val="Footer_pool"/>
    <w:basedOn w:val="Normal"/>
    <w:next w:val="Normal"/>
    <w:semiHidden/>
    <w:rsid w:val="00375D74"/>
    <w:pPr>
      <w:tabs>
        <w:tab w:val="left" w:pos="4321"/>
        <w:tab w:val="right" w:pos="8641"/>
      </w:tabs>
      <w:spacing w:before="60" w:after="120"/>
    </w:pPr>
    <w:rPr>
      <w:b/>
      <w:sz w:val="18"/>
    </w:rPr>
  </w:style>
  <w:style w:type="paragraph" w:customStyle="1" w:styleId="Headerpool">
    <w:name w:val="Header_pool"/>
    <w:basedOn w:val="Normal"/>
    <w:next w:val="Normal"/>
    <w:semiHidden/>
    <w:rsid w:val="00375D74"/>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semiHidden/>
    <w:rsid w:val="0015442E"/>
    <w:pPr>
      <w:tabs>
        <w:tab w:val="left" w:pos="1247"/>
        <w:tab w:val="left" w:pos="1814"/>
        <w:tab w:val="left" w:pos="2381"/>
        <w:tab w:val="left" w:pos="2948"/>
        <w:tab w:val="left" w:pos="3515"/>
        <w:tab w:val="left" w:pos="4082"/>
      </w:tabs>
    </w:pPr>
    <w:rPr>
      <w:rFonts w:eastAsia="SimSun"/>
      <w:lang w:val="fr-CA" w:eastAsia="en-US"/>
    </w:rPr>
  </w:style>
  <w:style w:type="paragraph" w:customStyle="1" w:styleId="Footer-pool">
    <w:name w:val="Footer-pool"/>
    <w:basedOn w:val="Normal-pool"/>
    <w:next w:val="Normal-pool"/>
    <w:rsid w:val="00375D74"/>
    <w:pPr>
      <w:tabs>
        <w:tab w:val="left" w:pos="4321"/>
        <w:tab w:val="right" w:pos="8641"/>
      </w:tabs>
      <w:spacing w:before="60" w:after="120"/>
    </w:pPr>
    <w:rPr>
      <w:b/>
      <w:sz w:val="18"/>
    </w:rPr>
  </w:style>
  <w:style w:type="paragraph" w:customStyle="1" w:styleId="Header-pool">
    <w:name w:val="Header-pool"/>
    <w:basedOn w:val="Normal-pool"/>
    <w:next w:val="Normal-pool"/>
    <w:rsid w:val="00375D74"/>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375D74"/>
    <w:pPr>
      <w:tabs>
        <w:tab w:val="left" w:pos="1247"/>
        <w:tab w:val="left" w:pos="1814"/>
        <w:tab w:val="left" w:pos="2381"/>
        <w:tab w:val="left" w:pos="2948"/>
        <w:tab w:val="left" w:pos="3515"/>
        <w:tab w:val="left" w:pos="4082"/>
      </w:tabs>
    </w:pPr>
    <w:rPr>
      <w:lang w:val="ru-RU" w:eastAsia="en-US"/>
    </w:rPr>
  </w:style>
  <w:style w:type="paragraph" w:styleId="FootnoteText">
    <w:name w:val="footnote text"/>
    <w:aliases w:val="Geneva 9,Font: Geneva 9,Boston 10,f,fn,Footnotes,Footnote ak,ft,fn cafc,Footnotes Char Char,Footnote Text Char Char,fn Char Char,footnote text Char Char Char Ch,Footnote Text Char1,footnote text Char Char Char Ch Char,DNV-FT,-E Fußnotente"/>
    <w:basedOn w:val="Normal"/>
    <w:link w:val="FootnoteTextChar"/>
    <w:qFormat/>
    <w:rsid w:val="00375D74"/>
    <w:pPr>
      <w:tabs>
        <w:tab w:val="left" w:pos="4082"/>
      </w:tabs>
      <w:spacing w:before="20" w:after="40"/>
      <w:ind w:left="1247"/>
    </w:pPr>
    <w:rPr>
      <w:sz w:val="18"/>
      <w:lang w:val="fr-CA"/>
    </w:rPr>
  </w:style>
  <w:style w:type="character" w:customStyle="1" w:styleId="HeaderChar">
    <w:name w:val="Header Char"/>
    <w:link w:val="Header"/>
    <w:semiHidden/>
    <w:rsid w:val="00250B6D"/>
    <w:rPr>
      <w:b/>
      <w:sz w:val="18"/>
      <w:lang w:val="fr-FR" w:eastAsia="en-US"/>
    </w:rPr>
  </w:style>
  <w:style w:type="table" w:customStyle="1" w:styleId="AATable">
    <w:name w:val="AA_Table"/>
    <w:basedOn w:val="TableNormal"/>
    <w:semiHidden/>
    <w:rsid w:val="00375D74"/>
    <w:rPr>
      <w:lang w:val="en-US" w:eastAsia="en-US"/>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375D74"/>
    <w:pPr>
      <w:keepNext/>
      <w:keepLines/>
      <w:suppressAutoHyphens/>
      <w:ind w:right="5103"/>
    </w:pPr>
    <w:rPr>
      <w:b/>
    </w:rPr>
  </w:style>
  <w:style w:type="paragraph" w:customStyle="1" w:styleId="AATitle2">
    <w:name w:val="AA_Title2"/>
    <w:basedOn w:val="AATitle"/>
    <w:qFormat/>
    <w:rsid w:val="00375D74"/>
    <w:pPr>
      <w:tabs>
        <w:tab w:val="clear" w:pos="4082"/>
      </w:tabs>
      <w:spacing w:before="120" w:after="120"/>
      <w:ind w:right="4536"/>
    </w:pPr>
  </w:style>
  <w:style w:type="paragraph" w:customStyle="1" w:styleId="BBTitle">
    <w:name w:val="BB_Title"/>
    <w:basedOn w:val="Normal-pool"/>
    <w:qFormat/>
    <w:rsid w:val="00375D74"/>
    <w:pPr>
      <w:keepNext/>
      <w:keepLines/>
      <w:suppressAutoHyphens/>
      <w:spacing w:before="320" w:after="240"/>
      <w:ind w:left="1247" w:right="567"/>
    </w:pPr>
    <w:rPr>
      <w:b/>
      <w:sz w:val="28"/>
      <w:szCs w:val="28"/>
    </w:rPr>
  </w:style>
  <w:style w:type="paragraph" w:styleId="Footer">
    <w:name w:val="footer"/>
    <w:basedOn w:val="Normal"/>
    <w:semiHidden/>
    <w:rsid w:val="00375D74"/>
    <w:pPr>
      <w:tabs>
        <w:tab w:val="center" w:pos="4320"/>
        <w:tab w:val="right" w:pos="8640"/>
      </w:tabs>
      <w:spacing w:before="60" w:after="120"/>
    </w:pPr>
    <w:rPr>
      <w:sz w:val="18"/>
    </w:rPr>
  </w:style>
  <w:style w:type="paragraph" w:styleId="Header">
    <w:name w:val="header"/>
    <w:basedOn w:val="Normal"/>
    <w:link w:val="HeaderChar"/>
    <w:semiHidden/>
    <w:rsid w:val="00375D74"/>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375D74"/>
    <w:rPr>
      <w:rFonts w:ascii="Times New Roman" w:hAnsi="Times New Roman"/>
      <w:color w:val="auto"/>
      <w:sz w:val="20"/>
      <w:szCs w:val="20"/>
      <w:u w:val="none"/>
      <w:lang w:val="fr-FR"/>
    </w:rPr>
  </w:style>
  <w:style w:type="numbering" w:customStyle="1" w:styleId="Normallist">
    <w:name w:val="Normal_list"/>
    <w:basedOn w:val="NoList"/>
    <w:semiHidden/>
    <w:rsid w:val="00375D74"/>
    <w:pPr>
      <w:numPr>
        <w:numId w:val="1"/>
      </w:numPr>
    </w:pPr>
  </w:style>
  <w:style w:type="paragraph" w:customStyle="1" w:styleId="NormalNonumber">
    <w:name w:val="Normal_No_number"/>
    <w:basedOn w:val="Normal-pool"/>
    <w:qFormat/>
    <w:rsid w:val="00375D74"/>
    <w:pPr>
      <w:spacing w:after="120"/>
      <w:ind w:left="1247"/>
    </w:pPr>
  </w:style>
  <w:style w:type="paragraph" w:customStyle="1" w:styleId="Normalnumber">
    <w:name w:val="Normal_number"/>
    <w:basedOn w:val="Normal-pool"/>
    <w:qFormat/>
    <w:rsid w:val="00375D74"/>
    <w:pPr>
      <w:numPr>
        <w:numId w:val="4"/>
      </w:numPr>
      <w:spacing w:after="120"/>
    </w:pPr>
  </w:style>
  <w:style w:type="paragraph" w:customStyle="1" w:styleId="Titletable">
    <w:name w:val="Title_table"/>
    <w:basedOn w:val="Normal-pool"/>
    <w:qFormat/>
    <w:rsid w:val="00375D74"/>
    <w:pPr>
      <w:keepNext/>
      <w:keepLines/>
      <w:suppressAutoHyphens/>
      <w:spacing w:after="60"/>
      <w:ind w:left="1247"/>
    </w:pPr>
    <w:rPr>
      <w:b/>
      <w:bCs/>
    </w:rPr>
  </w:style>
  <w:style w:type="paragraph" w:styleId="TOC1">
    <w:name w:val="toc 1"/>
    <w:basedOn w:val="Normal"/>
    <w:next w:val="Normal"/>
    <w:unhideWhenUsed/>
    <w:rsid w:val="00375D74"/>
    <w:pPr>
      <w:tabs>
        <w:tab w:val="clear" w:pos="2381"/>
        <w:tab w:val="clear" w:pos="2948"/>
        <w:tab w:val="clear" w:pos="3515"/>
        <w:tab w:val="right" w:leader="dot" w:pos="9486"/>
      </w:tabs>
      <w:spacing w:before="240"/>
      <w:ind w:left="1814" w:hanging="567"/>
    </w:pPr>
    <w:rPr>
      <w:bCs/>
      <w:lang w:val="fr-CA"/>
    </w:rPr>
  </w:style>
  <w:style w:type="paragraph" w:styleId="TOC2">
    <w:name w:val="toc 2"/>
    <w:basedOn w:val="Normal"/>
    <w:next w:val="Normal"/>
    <w:unhideWhenUsed/>
    <w:rsid w:val="00375D74"/>
    <w:pPr>
      <w:tabs>
        <w:tab w:val="clear" w:pos="1814"/>
        <w:tab w:val="clear" w:pos="2948"/>
        <w:tab w:val="clear" w:pos="3515"/>
        <w:tab w:val="right" w:leader="dot" w:pos="9486"/>
      </w:tabs>
      <w:ind w:left="2381" w:hanging="567"/>
    </w:pPr>
    <w:rPr>
      <w:lang w:val="fr-CA"/>
    </w:rPr>
  </w:style>
  <w:style w:type="paragraph" w:styleId="TOC3">
    <w:name w:val="toc 3"/>
    <w:basedOn w:val="Normal"/>
    <w:next w:val="Normal"/>
    <w:unhideWhenUsed/>
    <w:rsid w:val="00375D74"/>
    <w:pPr>
      <w:tabs>
        <w:tab w:val="clear" w:pos="1814"/>
        <w:tab w:val="clear" w:pos="2381"/>
        <w:tab w:val="clear" w:pos="2948"/>
        <w:tab w:val="clear" w:pos="3515"/>
        <w:tab w:val="left" w:pos="4082"/>
        <w:tab w:val="right" w:leader="dot" w:pos="9486"/>
      </w:tabs>
      <w:ind w:left="2948" w:hanging="567"/>
    </w:pPr>
    <w:rPr>
      <w:iCs/>
      <w:lang w:val="fr-CA"/>
    </w:rPr>
  </w:style>
  <w:style w:type="paragraph" w:styleId="TOC4">
    <w:name w:val="toc 4"/>
    <w:basedOn w:val="Normal"/>
    <w:next w:val="Normal"/>
    <w:unhideWhenUsed/>
    <w:rsid w:val="00375D74"/>
    <w:pPr>
      <w:tabs>
        <w:tab w:val="clear" w:pos="1814"/>
        <w:tab w:val="clear" w:pos="2381"/>
        <w:tab w:val="clear" w:pos="2948"/>
        <w:tab w:val="clear" w:pos="3515"/>
        <w:tab w:val="left" w:pos="1000"/>
        <w:tab w:val="left" w:pos="4082"/>
        <w:tab w:val="right" w:leader="dot" w:pos="9486"/>
      </w:tabs>
      <w:ind w:left="3515" w:hanging="567"/>
    </w:pPr>
    <w:rPr>
      <w:szCs w:val="18"/>
      <w:lang w:val="fr-CA"/>
    </w:rPr>
  </w:style>
  <w:style w:type="paragraph" w:styleId="TOC5">
    <w:name w:val="toc 5"/>
    <w:basedOn w:val="Normal"/>
    <w:next w:val="Normal"/>
    <w:autoRedefine/>
    <w:rsid w:val="00375D74"/>
    <w:pPr>
      <w:tabs>
        <w:tab w:val="clear" w:pos="1814"/>
        <w:tab w:val="clear" w:pos="2381"/>
        <w:tab w:val="clear" w:pos="2948"/>
        <w:tab w:val="clear" w:pos="3515"/>
      </w:tabs>
      <w:ind w:left="800"/>
    </w:pPr>
    <w:rPr>
      <w:sz w:val="18"/>
      <w:szCs w:val="18"/>
    </w:rPr>
  </w:style>
  <w:style w:type="paragraph" w:customStyle="1" w:styleId="ZZAnxheader">
    <w:name w:val="ZZ_Anx_header"/>
    <w:basedOn w:val="Normal-pool"/>
    <w:qFormat/>
    <w:rsid w:val="00375D74"/>
    <w:rPr>
      <w:b/>
      <w:bCs/>
      <w:sz w:val="28"/>
      <w:szCs w:val="22"/>
    </w:rPr>
  </w:style>
  <w:style w:type="paragraph" w:customStyle="1" w:styleId="ZZAnxtitle">
    <w:name w:val="ZZ_Anx_title"/>
    <w:basedOn w:val="Normal-pool"/>
    <w:qFormat/>
    <w:rsid w:val="00375D74"/>
    <w:pPr>
      <w:spacing w:before="360" w:after="120"/>
      <w:ind w:left="1247"/>
    </w:pPr>
    <w:rPr>
      <w:b/>
      <w:bCs/>
      <w:sz w:val="28"/>
      <w:szCs w:val="26"/>
    </w:rPr>
  </w:style>
  <w:style w:type="paragraph" w:styleId="BalloonText">
    <w:name w:val="Balloon Text"/>
    <w:basedOn w:val="Normal"/>
    <w:link w:val="BalloonTextChar"/>
    <w:rsid w:val="003E6F41"/>
    <w:rPr>
      <w:rFonts w:ascii="Segoe UI" w:hAnsi="Segoe UI" w:cs="Segoe UI"/>
      <w:sz w:val="18"/>
      <w:szCs w:val="18"/>
    </w:rPr>
  </w:style>
  <w:style w:type="character" w:customStyle="1" w:styleId="BalloonTextChar">
    <w:name w:val="Balloon Text Char"/>
    <w:basedOn w:val="DefaultParagraphFont"/>
    <w:link w:val="BalloonText"/>
    <w:rsid w:val="003E6F41"/>
    <w:rPr>
      <w:rFonts w:ascii="Segoe UI" w:hAnsi="Segoe UI" w:cs="Segoe UI"/>
      <w:sz w:val="18"/>
      <w:szCs w:val="18"/>
      <w:lang w:val="fr-FR" w:eastAsia="en-US"/>
    </w:rPr>
  </w:style>
  <w:style w:type="character" w:styleId="CommentReference">
    <w:name w:val="annotation reference"/>
    <w:basedOn w:val="DefaultParagraphFont"/>
    <w:rsid w:val="003E6F41"/>
    <w:rPr>
      <w:sz w:val="16"/>
      <w:szCs w:val="16"/>
    </w:rPr>
  </w:style>
  <w:style w:type="paragraph" w:styleId="CommentText">
    <w:name w:val="annotation text"/>
    <w:basedOn w:val="Normal"/>
    <w:link w:val="CommentTextChar"/>
    <w:rsid w:val="003E6F41"/>
    <w:rPr>
      <w:sz w:val="24"/>
      <w:szCs w:val="24"/>
      <w:lang w:val="en-GB" w:eastAsia="en-GB"/>
    </w:rPr>
  </w:style>
  <w:style w:type="character" w:customStyle="1" w:styleId="CommentTextChar">
    <w:name w:val="Comment Text Char"/>
    <w:basedOn w:val="DefaultParagraphFont"/>
    <w:link w:val="CommentText"/>
    <w:rsid w:val="003E6F41"/>
    <w:rPr>
      <w:sz w:val="24"/>
      <w:szCs w:val="24"/>
    </w:rPr>
  </w:style>
  <w:style w:type="paragraph" w:styleId="CommentSubject">
    <w:name w:val="annotation subject"/>
    <w:basedOn w:val="CommentText"/>
    <w:next w:val="CommentText"/>
    <w:link w:val="CommentSubjectChar"/>
    <w:rsid w:val="007841F5"/>
    <w:rPr>
      <w:b/>
      <w:bCs/>
      <w:sz w:val="20"/>
      <w:szCs w:val="20"/>
      <w:lang w:val="fr-FR" w:eastAsia="en-US"/>
    </w:rPr>
  </w:style>
  <w:style w:type="character" w:customStyle="1" w:styleId="CommentSubjectChar">
    <w:name w:val="Comment Subject Char"/>
    <w:basedOn w:val="CommentTextChar"/>
    <w:link w:val="CommentSubject"/>
    <w:rsid w:val="007841F5"/>
    <w:rPr>
      <w:b/>
      <w:bCs/>
      <w:sz w:val="24"/>
      <w:szCs w:val="24"/>
      <w:lang w:val="fr-FR" w:eastAsia="en-US"/>
    </w:rPr>
  </w:style>
  <w:style w:type="character" w:customStyle="1" w:styleId="FootnoteTextChar">
    <w:name w:val="Footnote Text Char"/>
    <w:aliases w:val="Geneva 9 Char,Font: Geneva 9 Char,Boston 10 Char,f Char,fn Char,Footnotes Char,Footnote ak Char,ft Char,fn cafc Char,Footnotes Char Char Char,Footnote Text Char Char Char,fn Char Char Char,footnote text Char Char Char Ch Char1"/>
    <w:link w:val="FootnoteText"/>
    <w:locked/>
    <w:rsid w:val="0012644F"/>
    <w:rPr>
      <w:sz w:val="18"/>
      <w:lang w:val="fr-CA" w:eastAsia="en-US"/>
    </w:rPr>
  </w:style>
  <w:style w:type="paragraph" w:styleId="ListParagraph">
    <w:name w:val="List Paragraph"/>
    <w:basedOn w:val="Normal"/>
    <w:uiPriority w:val="34"/>
    <w:qFormat/>
    <w:rsid w:val="00D07EDB"/>
    <w:pPr>
      <w:ind w:left="720"/>
      <w:contextualSpacing/>
    </w:pPr>
  </w:style>
  <w:style w:type="character" w:styleId="FootnoteReference">
    <w:name w:val="footnote reference"/>
    <w:aliases w:val="16 Point,Superscript 6 Point,ftref,(Ref. de nota al pie),number,SUPERS,Footnote Reference Superscript,fr,Ref,de nota al pie,註腳內容,de nota al pie + (Asian) MS Mincho,Footnote Reference1,11 pt,Ref. de nota de rodapé1,stylish,4_G"/>
    <w:qFormat/>
    <w:rsid w:val="00375D74"/>
    <w:rPr>
      <w:rFonts w:ascii="Times New Roman" w:hAnsi="Times New Roman"/>
      <w:color w:val="auto"/>
      <w:sz w:val="20"/>
      <w:szCs w:val="18"/>
      <w:vertAlign w:val="superscript"/>
    </w:rPr>
  </w:style>
  <w:style w:type="paragraph" w:styleId="NormalWeb">
    <w:name w:val="Normal (Web)"/>
    <w:basedOn w:val="Normal"/>
    <w:uiPriority w:val="99"/>
    <w:unhideWhenUsed/>
    <w:rsid w:val="0015442E"/>
    <w:pPr>
      <w:spacing w:before="100" w:beforeAutospacing="1" w:after="100" w:afterAutospacing="1"/>
    </w:pPr>
    <w:rPr>
      <w:rFonts w:eastAsiaTheme="minorEastAsia"/>
      <w:sz w:val="24"/>
      <w:szCs w:val="24"/>
    </w:rPr>
  </w:style>
  <w:style w:type="table" w:styleId="TableGrid">
    <w:name w:val="Table Grid"/>
    <w:basedOn w:val="TableNormal"/>
    <w:rsid w:val="001544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Text">
    <w:name w:val="Footnote-Text"/>
    <w:basedOn w:val="Normal-pool"/>
    <w:rsid w:val="001064A3"/>
    <w:pPr>
      <w:spacing w:before="20" w:after="40"/>
      <w:ind w:left="1247"/>
    </w:pPr>
    <w:rPr>
      <w:sz w:val="18"/>
      <w:lang w:val="en-US"/>
    </w:rPr>
  </w:style>
  <w:style w:type="character" w:customStyle="1" w:styleId="Normal-poolChar">
    <w:name w:val="Normal-pool Char"/>
    <w:link w:val="Normal-pool"/>
    <w:locked/>
    <w:rsid w:val="001064A3"/>
    <w:rPr>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902645289">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kalovn\AppData\Local\Microsoft\Windows\INetCache\Content.Outlook\9FA7NKUY\UNEP-MC-COP_RU-COR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7" ma:contentTypeDescription="Create a new document." ma:contentTypeScope="" ma:versionID="359393e07b33a8ef8f3666f24241a527">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a7c5010ebf6063ec176d97700c8fc460"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F751DE-1853-48C5-A75E-4A00751BDD4E}">
  <ds:schemaRefs>
    <ds:schemaRef ds:uri="http://schemas.openxmlformats.org/officeDocument/2006/bibliography"/>
  </ds:schemaRefs>
</ds:datastoreItem>
</file>

<file path=customXml/itemProps2.xml><?xml version="1.0" encoding="utf-8"?>
<ds:datastoreItem xmlns:ds="http://schemas.openxmlformats.org/officeDocument/2006/customXml" ds:itemID="{95DF0FD8-0DF0-43DF-A18B-E3E54A7422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D32776-3547-499D-8017-9BCDD6635DBC}">
  <ds:schemaRefs>
    <ds:schemaRef ds:uri="http://schemas.microsoft.com/office/2006/metadata/properties"/>
    <ds:schemaRef ds:uri="http://schemas.microsoft.com/office/infopath/2007/PartnerControls"/>
    <ds:schemaRef ds:uri="985ec44e-1bab-4c0b-9df0-6ba128686fc9"/>
    <ds:schemaRef ds:uri="822da31b-d518-49e2-88cd-1351ccd720a8"/>
  </ds:schemaRefs>
</ds:datastoreItem>
</file>

<file path=customXml/itemProps4.xml><?xml version="1.0" encoding="utf-8"?>
<ds:datastoreItem xmlns:ds="http://schemas.openxmlformats.org/officeDocument/2006/customXml" ds:itemID="{E6D1AA38-59FF-4711-9D7E-96293D41A5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UNEP-MC-COP_RU-CORR.dotm</Template>
  <TotalTime>0</TotalTime>
  <Pages>3</Pages>
  <Words>1201</Words>
  <Characters>6164</Characters>
  <Application>Microsoft Office Word</Application>
  <DocSecurity>0</DocSecurity>
  <Lines>110</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2022-07-12T05:53:00Z</dcterms:created>
  <dcterms:modified xsi:type="dcterms:W3CDTF">2022-11-03T09:14:00Z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0x010100B02834EECE41684AACCF26BD9C8A42B6</vt:lpwstr>
  </property>
  <property fmtid="{D5CDD505-2E9C-101B-9397-08002B2CF9AE}" pid="3" name="MediaServiceImageTags">
    <vt:lpwstr/>
  </property>
</Properties>
</file>