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653"/>
        <w:gridCol w:w="1041"/>
        <w:gridCol w:w="992"/>
        <w:gridCol w:w="2749"/>
        <w:gridCol w:w="1651"/>
        <w:gridCol w:w="1410"/>
      </w:tblGrid>
      <w:tr w:rsidR="0015442E" w:rsidRPr="00D705C8" w14:paraId="66DCC6F4" w14:textId="77777777" w:rsidTr="0059162C">
        <w:trPr>
          <w:trHeight w:val="57"/>
          <w:jc w:val="right"/>
        </w:trPr>
        <w:tc>
          <w:tcPr>
            <w:tcW w:w="2694" w:type="dxa"/>
            <w:gridSpan w:val="2"/>
          </w:tcPr>
          <w:p w14:paraId="320BB4AD" w14:textId="77777777" w:rsidR="0015442E" w:rsidRPr="00FE0852" w:rsidRDefault="0059162C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ind w:right="-57"/>
              <w:rPr>
                <w:rFonts w:ascii="Arial" w:hAnsi="Arial" w:cs="Arial"/>
                <w:b/>
                <w:bCs/>
                <w:sz w:val="27"/>
                <w:szCs w:val="27"/>
                <w:lang w:val="ru-RU"/>
              </w:rPr>
            </w:pPr>
            <w:bookmarkStart w:id="0" w:name="_Hlk74571254"/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t>ОРГАНИЗАЦИЯ</w:t>
            </w:r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ОБЪЕДИНЕННЫХ</w:t>
            </w:r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НАЦИЙ</w:t>
            </w:r>
          </w:p>
        </w:tc>
        <w:tc>
          <w:tcPr>
            <w:tcW w:w="5392" w:type="dxa"/>
            <w:gridSpan w:val="3"/>
          </w:tcPr>
          <w:p w14:paraId="061F1376" w14:textId="77777777" w:rsidR="0015442E" w:rsidRPr="00FE0852" w:rsidRDefault="006C2B82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0"/>
              <w:rPr>
                <w:lang w:val="en-US"/>
              </w:rPr>
            </w:pPr>
            <w:r w:rsidRPr="00FE0852">
              <w:rPr>
                <w:noProof/>
                <w:lang w:val="en-US"/>
              </w:rPr>
              <w:drawing>
                <wp:inline distT="0" distB="0" distL="0" distR="0" wp14:anchorId="0141F5FF" wp14:editId="5A86EB69">
                  <wp:extent cx="1267200" cy="570436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UN-UNEP_RU-smal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200" cy="570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0" w:type="dxa"/>
          </w:tcPr>
          <w:p w14:paraId="713A5BB3" w14:textId="77777777" w:rsidR="0015442E" w:rsidRPr="00FE0852" w:rsidRDefault="00F60EA5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</w:pPr>
            <w:r w:rsidRPr="00FE0852"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  <w:t>M</w:t>
            </w:r>
            <w:r w:rsidR="0015442E" w:rsidRPr="00FE0852"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  <w:t>C</w:t>
            </w:r>
          </w:p>
        </w:tc>
      </w:tr>
      <w:tr w:rsidR="0015442E" w:rsidRPr="00D705C8" w14:paraId="7D28D3C0" w14:textId="77777777" w:rsidTr="005C7D1D">
        <w:trPr>
          <w:trHeight w:val="57"/>
          <w:jc w:val="right"/>
        </w:trPr>
        <w:tc>
          <w:tcPr>
            <w:tcW w:w="1653" w:type="dxa"/>
            <w:tcBorders>
              <w:bottom w:val="single" w:sz="4" w:space="0" w:color="auto"/>
            </w:tcBorders>
          </w:tcPr>
          <w:p w14:paraId="3EC97241" w14:textId="77777777" w:rsidR="0015442E" w:rsidRPr="00487B54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4782" w:type="dxa"/>
            <w:gridSpan w:val="3"/>
            <w:tcBorders>
              <w:bottom w:val="single" w:sz="4" w:space="0" w:color="auto"/>
            </w:tcBorders>
          </w:tcPr>
          <w:p w14:paraId="51310BDE" w14:textId="77777777" w:rsidR="0015442E" w:rsidRPr="00FE0852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</w:tcBorders>
          </w:tcPr>
          <w:p w14:paraId="61A11ED6" w14:textId="1C95EEB0" w:rsidR="0015442E" w:rsidRPr="00FE0852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FE0852">
              <w:rPr>
                <w:b/>
                <w:bCs/>
                <w:sz w:val="28"/>
                <w:szCs w:val="28"/>
                <w:lang w:val="en-US"/>
              </w:rPr>
              <w:t>UNEP</w:t>
            </w:r>
            <w:r w:rsidRPr="00FE0852">
              <w:rPr>
                <w:lang w:val="en-US"/>
              </w:rPr>
              <w:t>/</w:t>
            </w:r>
            <w:r w:rsidR="00962471" w:rsidRPr="00FE0852">
              <w:rPr>
                <w:lang w:val="en-US"/>
              </w:rPr>
              <w:t>MC</w:t>
            </w:r>
            <w:r w:rsidR="008659A0" w:rsidRPr="00FE0852">
              <w:rPr>
                <w:lang w:val="en-US"/>
              </w:rPr>
              <w:t>/</w:t>
            </w:r>
            <w:r w:rsidR="00962471" w:rsidRPr="00FE0852">
              <w:rPr>
                <w:lang w:val="en-US"/>
              </w:rPr>
              <w:t>COP.</w:t>
            </w:r>
            <w:r w:rsidR="000F4549">
              <w:rPr>
                <w:lang w:val="en-US"/>
              </w:rPr>
              <w:t>4</w:t>
            </w:r>
            <w:r w:rsidR="001C3E7A" w:rsidRPr="00FE0852">
              <w:rPr>
                <w:lang w:val="en-US"/>
              </w:rPr>
              <w:t>/</w:t>
            </w:r>
            <w:r w:rsidR="00F37BD7">
              <w:rPr>
                <w:lang w:val="en-US"/>
              </w:rPr>
              <w:t>Dec.</w:t>
            </w:r>
            <w:r w:rsidR="007540E8">
              <w:rPr>
                <w:lang w:val="en-US"/>
              </w:rPr>
              <w:t>2</w:t>
            </w:r>
          </w:p>
        </w:tc>
      </w:tr>
      <w:tr w:rsidR="0015442E" w:rsidRPr="00D705C8" w14:paraId="35376371" w14:textId="77777777" w:rsidTr="0006181A">
        <w:trPr>
          <w:trHeight w:val="57"/>
          <w:jc w:val="right"/>
        </w:trPr>
        <w:tc>
          <w:tcPr>
            <w:tcW w:w="3686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22506F0D" w14:textId="77777777" w:rsidR="0015442E" w:rsidRPr="00FE0852" w:rsidRDefault="0059162C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240"/>
              <w:ind w:left="-85"/>
              <w:rPr>
                <w:sz w:val="22"/>
                <w:lang w:val="en-US"/>
              </w:rPr>
            </w:pPr>
            <w:r w:rsidRPr="00FE0852">
              <w:rPr>
                <w:noProof/>
                <w:sz w:val="22"/>
                <w:lang w:val="en-US"/>
              </w:rPr>
              <w:drawing>
                <wp:inline distT="0" distB="0" distL="0" distR="0" wp14:anchorId="050208B2" wp14:editId="3A1442AC">
                  <wp:extent cx="2203450" cy="1028700"/>
                  <wp:effectExtent l="0" t="0" r="635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INAMATA-BW_RU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02C11AC5" w14:textId="77777777" w:rsidR="0015442E" w:rsidRPr="00746753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40" w:after="480"/>
              <w:rPr>
                <w:rFonts w:ascii="Arial" w:hAnsi="Arial" w:cs="Arial"/>
                <w:lang w:val="en-US"/>
              </w:rPr>
            </w:pP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18ED6EC7" w14:textId="77777777" w:rsidR="00A70B56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FE0852">
              <w:rPr>
                <w:lang w:val="en-US"/>
              </w:rPr>
              <w:t>Distr.</w:t>
            </w:r>
            <w:r w:rsidR="00E317A4" w:rsidRPr="00FE0852">
              <w:rPr>
                <w:lang w:val="en-US"/>
              </w:rPr>
              <w:t>:</w:t>
            </w:r>
            <w:r w:rsidRPr="00FE0852">
              <w:rPr>
                <w:lang w:val="en-US"/>
              </w:rPr>
              <w:t xml:space="preserve"> </w:t>
            </w:r>
            <w:r w:rsidR="00E317A4" w:rsidRPr="00FE0852">
              <w:rPr>
                <w:lang w:val="en-US"/>
              </w:rPr>
              <w:t>G</w:t>
            </w:r>
            <w:r w:rsidRPr="00FE0852">
              <w:rPr>
                <w:lang w:val="en-US"/>
              </w:rPr>
              <w:t>eneral</w:t>
            </w:r>
          </w:p>
          <w:p w14:paraId="452CB143" w14:textId="724A0D1A" w:rsidR="0015442E" w:rsidRPr="00FE0852" w:rsidRDefault="00B80083" w:rsidP="00A70B5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16 November 2021</w:t>
            </w:r>
          </w:p>
          <w:p w14:paraId="5C2261EC" w14:textId="77777777" w:rsidR="00A70B56" w:rsidRDefault="00E317A4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FE0852">
              <w:rPr>
                <w:lang w:val="en-US"/>
              </w:rPr>
              <w:t>Russian</w:t>
            </w:r>
            <w:r w:rsidR="005C7D1D" w:rsidRPr="00FE0852">
              <w:rPr>
                <w:lang w:val="en-US"/>
              </w:rPr>
              <w:t xml:space="preserve"> </w:t>
            </w:r>
          </w:p>
          <w:p w14:paraId="5E992BEF" w14:textId="47E94C56" w:rsidR="0015442E" w:rsidRPr="00FE0852" w:rsidRDefault="0015442E" w:rsidP="00A70B5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22"/>
                <w:lang w:val="en-US"/>
              </w:rPr>
            </w:pPr>
            <w:r w:rsidRPr="00FE0852">
              <w:rPr>
                <w:lang w:val="en-US"/>
              </w:rPr>
              <w:t xml:space="preserve">Original: </w:t>
            </w:r>
            <w:r w:rsidR="00E317A4" w:rsidRPr="00FE0852">
              <w:rPr>
                <w:lang w:val="en-US"/>
              </w:rPr>
              <w:t>English</w:t>
            </w:r>
          </w:p>
        </w:tc>
      </w:tr>
    </w:tbl>
    <w:p w14:paraId="28EEA3F1" w14:textId="77777777" w:rsidR="00962471" w:rsidRPr="00FE0852" w:rsidRDefault="0059162C" w:rsidP="00A70B5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4536"/>
        <w:rPr>
          <w:b/>
          <w:bCs/>
          <w:lang w:val="ru-RU"/>
        </w:rPr>
      </w:pPr>
      <w:r w:rsidRPr="00FE0852">
        <w:rPr>
          <w:b/>
          <w:bCs/>
          <w:lang w:val="ru-RU"/>
        </w:rPr>
        <w:t xml:space="preserve">Конференция Сторон </w:t>
      </w:r>
      <w:proofErr w:type="spellStart"/>
      <w:r w:rsidRPr="00FE0852">
        <w:rPr>
          <w:b/>
          <w:bCs/>
          <w:lang w:val="ru-RU"/>
        </w:rPr>
        <w:t>Минаматской</w:t>
      </w:r>
      <w:proofErr w:type="spellEnd"/>
      <w:r w:rsidRPr="00FE0852">
        <w:rPr>
          <w:b/>
          <w:bCs/>
          <w:lang w:val="ru-RU"/>
        </w:rPr>
        <w:t xml:space="preserve"> </w:t>
      </w:r>
      <w:r w:rsidR="00E317A4" w:rsidRPr="00FE0852">
        <w:rPr>
          <w:b/>
          <w:bCs/>
          <w:lang w:val="ru-RU"/>
        </w:rPr>
        <w:br/>
      </w:r>
      <w:r w:rsidRPr="00FE0852">
        <w:rPr>
          <w:b/>
          <w:bCs/>
          <w:lang w:val="ru-RU"/>
        </w:rPr>
        <w:t>конвенции о ртути</w:t>
      </w:r>
    </w:p>
    <w:bookmarkEnd w:id="0"/>
    <w:p w14:paraId="66142FBD" w14:textId="62514BC0" w:rsidR="00962471" w:rsidRPr="00FE0852" w:rsidRDefault="001C3E7A" w:rsidP="00A70B5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4536"/>
        <w:rPr>
          <w:b/>
          <w:bCs/>
          <w:lang w:val="ru-RU"/>
        </w:rPr>
      </w:pPr>
      <w:r w:rsidRPr="00FE0852">
        <w:rPr>
          <w:b/>
          <w:bCs/>
          <w:lang w:val="ru-RU"/>
        </w:rPr>
        <w:t>Четвертое</w:t>
      </w:r>
      <w:r w:rsidR="00962471" w:rsidRPr="00FE0852">
        <w:rPr>
          <w:b/>
          <w:bCs/>
          <w:lang w:val="ru-RU"/>
        </w:rPr>
        <w:t xml:space="preserve"> </w:t>
      </w:r>
      <w:r w:rsidR="00375D74" w:rsidRPr="00FE0852">
        <w:rPr>
          <w:b/>
          <w:bCs/>
          <w:lang w:val="ru-RU"/>
        </w:rPr>
        <w:t>совещание</w:t>
      </w:r>
    </w:p>
    <w:p w14:paraId="543F444E" w14:textId="137F42E9" w:rsidR="00EB6A99" w:rsidRPr="009459E3" w:rsidRDefault="003C1CBA" w:rsidP="001346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4536"/>
        <w:rPr>
          <w:lang w:val="ru-RU"/>
        </w:rPr>
      </w:pPr>
      <w:r>
        <w:rPr>
          <w:bCs/>
          <w:lang w:val="ru-RU"/>
        </w:rPr>
        <w:t xml:space="preserve">В онлайн-режиме, </w:t>
      </w:r>
      <w:proofErr w:type="gramStart"/>
      <w:r>
        <w:rPr>
          <w:bCs/>
          <w:lang w:val="ru-RU"/>
        </w:rPr>
        <w:t>1-5</w:t>
      </w:r>
      <w:proofErr w:type="gramEnd"/>
      <w:r>
        <w:rPr>
          <w:bCs/>
          <w:lang w:val="ru-RU"/>
        </w:rPr>
        <w:t xml:space="preserve"> ноября 2021 года, </w:t>
      </w:r>
      <w:r w:rsidR="007B33B3">
        <w:rPr>
          <w:bCs/>
          <w:lang w:val="ru-RU"/>
        </w:rPr>
        <w:br/>
      </w:r>
      <w:r w:rsidR="001346DB">
        <w:rPr>
          <w:bCs/>
          <w:lang w:val="ru-RU"/>
        </w:rPr>
        <w:t xml:space="preserve">и </w:t>
      </w:r>
      <w:r>
        <w:rPr>
          <w:bCs/>
          <w:lang w:val="ru-RU"/>
        </w:rPr>
        <w:t>Бали, Индонезия, 21-25 марта 2022 года</w:t>
      </w:r>
    </w:p>
    <w:p w14:paraId="29547FE7" w14:textId="77777777" w:rsidR="001064A3" w:rsidRPr="00611117" w:rsidRDefault="001064A3" w:rsidP="00611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bCs/>
          <w:sz w:val="28"/>
          <w:szCs w:val="28"/>
          <w:lang w:val="ru-RU"/>
        </w:rPr>
      </w:pPr>
      <w:r w:rsidRPr="00611117">
        <w:rPr>
          <w:b/>
          <w:bCs/>
          <w:sz w:val="28"/>
          <w:szCs w:val="28"/>
          <w:lang w:val="ru-RU"/>
        </w:rPr>
        <w:t xml:space="preserve">Решения, принятые четвертым совещанием Конференции Сторон </w:t>
      </w:r>
      <w:proofErr w:type="spellStart"/>
      <w:r w:rsidRPr="00611117">
        <w:rPr>
          <w:b/>
          <w:bCs/>
          <w:sz w:val="28"/>
          <w:szCs w:val="28"/>
          <w:lang w:val="ru-RU"/>
        </w:rPr>
        <w:t>Минаматской</w:t>
      </w:r>
      <w:proofErr w:type="spellEnd"/>
      <w:r w:rsidRPr="00611117">
        <w:rPr>
          <w:b/>
          <w:bCs/>
          <w:sz w:val="28"/>
          <w:szCs w:val="28"/>
          <w:lang w:val="ru-RU"/>
        </w:rPr>
        <w:t xml:space="preserve"> конвенции о ртути</w:t>
      </w:r>
    </w:p>
    <w:p w14:paraId="2B868F34" w14:textId="77777777" w:rsidR="002643D8" w:rsidRPr="00632B00" w:rsidRDefault="001064A3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rFonts w:eastAsia="SimSun"/>
          <w:b/>
          <w:bCs/>
          <w:lang w:val="ru-RU"/>
        </w:rPr>
      </w:pPr>
      <w:r w:rsidRPr="00611117">
        <w:rPr>
          <w:bCs/>
        </w:rPr>
        <w:tab/>
      </w:r>
      <w:r w:rsidR="002643D8" w:rsidRPr="00632B00">
        <w:rPr>
          <w:rFonts w:eastAsia="SimSun"/>
          <w:b/>
          <w:bCs/>
          <w:sz w:val="28"/>
          <w:szCs w:val="28"/>
          <w:lang w:val="ru-RU"/>
        </w:rPr>
        <w:t>Решени</w:t>
      </w:r>
      <w:r w:rsidR="002643D8">
        <w:rPr>
          <w:rFonts w:eastAsia="SimSun"/>
          <w:b/>
          <w:bCs/>
          <w:sz w:val="28"/>
          <w:szCs w:val="28"/>
          <w:lang w:val="ru-RU"/>
        </w:rPr>
        <w:t>е</w:t>
      </w:r>
      <w:r w:rsidR="002643D8" w:rsidRPr="00632B00">
        <w:rPr>
          <w:rFonts w:eastAsia="SimSun"/>
          <w:b/>
          <w:bCs/>
          <w:sz w:val="28"/>
          <w:szCs w:val="28"/>
          <w:lang w:val="ru-RU"/>
        </w:rPr>
        <w:t xml:space="preserve"> MК-4/2: Программа работы и бюджет на</w:t>
      </w:r>
      <w:r w:rsidR="002643D8">
        <w:rPr>
          <w:rFonts w:eastAsia="SimSun"/>
          <w:b/>
          <w:bCs/>
          <w:sz w:val="28"/>
          <w:szCs w:val="28"/>
          <w:lang w:val="ru-RU"/>
        </w:rPr>
        <w:t> </w:t>
      </w:r>
      <w:r w:rsidR="002643D8" w:rsidRPr="00632B00">
        <w:rPr>
          <w:rFonts w:eastAsia="SimSun"/>
          <w:b/>
          <w:bCs/>
          <w:sz w:val="28"/>
          <w:szCs w:val="28"/>
          <w:lang w:val="ru-RU"/>
        </w:rPr>
        <w:t xml:space="preserve">2022 год </w:t>
      </w:r>
    </w:p>
    <w:p w14:paraId="643090C2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CD2BF5">
        <w:rPr>
          <w:rFonts w:eastAsia="SimSun"/>
          <w:i/>
          <w:iCs/>
          <w:lang w:val="ru-RU"/>
        </w:rPr>
        <w:t>Конференция Сторон</w:t>
      </w:r>
      <w:r w:rsidRPr="00632B00">
        <w:rPr>
          <w:rFonts w:eastAsia="SimSun"/>
          <w:lang w:val="ru-RU"/>
        </w:rPr>
        <w:t xml:space="preserve">, </w:t>
      </w:r>
    </w:p>
    <w:p w14:paraId="362E5EA2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CD2BF5">
        <w:rPr>
          <w:rFonts w:eastAsia="SimSun"/>
          <w:i/>
          <w:iCs/>
          <w:lang w:val="ru-RU"/>
        </w:rPr>
        <w:t>ссылаясь</w:t>
      </w:r>
      <w:r w:rsidRPr="00632B00">
        <w:rPr>
          <w:rFonts w:eastAsia="SimSun"/>
          <w:lang w:val="ru-RU"/>
        </w:rPr>
        <w:t xml:space="preserve"> на свое решение MК-3/12 о программе работы и бюджете на двухгодичный период 2020 2021 годов,</w:t>
      </w:r>
    </w:p>
    <w:p w14:paraId="2BF145DE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CD2BF5">
        <w:rPr>
          <w:rFonts w:eastAsia="SimSun"/>
          <w:i/>
          <w:iCs/>
          <w:lang w:val="ru-RU"/>
        </w:rPr>
        <w:t>с удовлетворением отмечая</w:t>
      </w:r>
      <w:r w:rsidRPr="00632B00">
        <w:rPr>
          <w:rFonts w:eastAsia="SimSun"/>
          <w:lang w:val="ru-RU"/>
        </w:rPr>
        <w:t xml:space="preserve"> ежегодный взнос Швейцарии, принимающей страны секретариата, в размере 1 млн швейц. фр., 60 процентов которого ассигнуется в Общий целевой фонд, а 40 процентов – в Специальный целевой фонд для первоочередной поддержки участия представителей из развивающихся стран и стран с переходной экономикой в совещаниях Конференции Сторон,</w:t>
      </w:r>
    </w:p>
    <w:p w14:paraId="62122765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CD2BF5">
        <w:rPr>
          <w:rFonts w:eastAsia="SimSun"/>
          <w:i/>
          <w:iCs/>
          <w:lang w:val="ru-RU"/>
        </w:rPr>
        <w:t>принимая к сведению</w:t>
      </w:r>
      <w:r w:rsidRPr="00632B00">
        <w:rPr>
          <w:rFonts w:eastAsia="SimSun"/>
          <w:lang w:val="ru-RU"/>
        </w:rPr>
        <w:t xml:space="preserve"> взносы, внесенные Сторонами в Общий целевой фонд,</w:t>
      </w:r>
    </w:p>
    <w:p w14:paraId="6D7E2E0C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CD2BF5">
        <w:rPr>
          <w:rFonts w:eastAsia="SimSun"/>
          <w:i/>
          <w:iCs/>
          <w:lang w:val="ru-RU"/>
        </w:rPr>
        <w:t>отмечая</w:t>
      </w:r>
      <w:r w:rsidRPr="00632B00">
        <w:rPr>
          <w:rFonts w:eastAsia="SimSun"/>
          <w:lang w:val="ru-RU"/>
        </w:rPr>
        <w:t>, что резерв оборотных средств Конвенции в составе Общего целевого фонда в полном объеме был сформирован в 2018 году,</w:t>
      </w:r>
    </w:p>
    <w:p w14:paraId="1CB972D4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CD2BF5">
        <w:rPr>
          <w:rFonts w:eastAsia="SimSun"/>
          <w:i/>
          <w:iCs/>
          <w:lang w:val="ru-RU"/>
        </w:rPr>
        <w:t>с признательностью отмечая</w:t>
      </w:r>
      <w:r w:rsidRPr="00632B00">
        <w:rPr>
          <w:rFonts w:eastAsia="SimSun"/>
          <w:lang w:val="ru-RU"/>
        </w:rPr>
        <w:t xml:space="preserve"> взносы в Специальный целевой фонд, уплаченные и заявленные в течение двухгодичного периода </w:t>
      </w:r>
      <w:proofErr w:type="gramStart"/>
      <w:r w:rsidRPr="00632B00">
        <w:rPr>
          <w:rFonts w:eastAsia="SimSun"/>
          <w:lang w:val="ru-RU"/>
        </w:rPr>
        <w:t>2020-2021</w:t>
      </w:r>
      <w:proofErr w:type="gramEnd"/>
      <w:r w:rsidRPr="00632B00">
        <w:rPr>
          <w:rFonts w:eastAsia="SimSun"/>
          <w:lang w:val="ru-RU"/>
        </w:rPr>
        <w:t xml:space="preserve"> годов Австрией, Европейским союзом, Норвегией, Финляндией, Францией, Швейцарией, Швецией и Японией, </w:t>
      </w:r>
    </w:p>
    <w:p w14:paraId="1176FB39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CD2BF5">
        <w:rPr>
          <w:rFonts w:eastAsia="SimSun"/>
          <w:i/>
          <w:iCs/>
          <w:lang w:val="ru-RU"/>
        </w:rPr>
        <w:t>напоминая</w:t>
      </w:r>
      <w:r w:rsidRPr="00632B00">
        <w:rPr>
          <w:rFonts w:eastAsia="SimSun"/>
          <w:lang w:val="ru-RU"/>
        </w:rPr>
        <w:t xml:space="preserve"> о своем поручении Исполнительному секретарю подготовить бюджет на двухгодичный период 2022-2023 годов для рассмотрения Конференцией Сторон на ее четвертом совещании с разъяснением основных принципов, предположений и программной стратегии, лежащих в основе бюджета, отражением расходов на этот двухгодичный период в соответствии с программным форматом и с указанием предусмотренных бюджетом мероприятий, каждое из которых сопровождается фактологической справкой о предусмотренном бюджетом мероприятии,</w:t>
      </w:r>
    </w:p>
    <w:p w14:paraId="1C9062C5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CD2BF5">
        <w:rPr>
          <w:rFonts w:eastAsia="SimSun"/>
          <w:i/>
          <w:iCs/>
          <w:lang w:val="ru-RU"/>
        </w:rPr>
        <w:t>напоминая также</w:t>
      </w:r>
      <w:r w:rsidRPr="00632B00">
        <w:rPr>
          <w:rFonts w:eastAsia="SimSun"/>
          <w:lang w:val="ru-RU"/>
        </w:rPr>
        <w:t xml:space="preserve"> о своем поручении Исполнительному секретарю при подготовке бюджетов и программы работы на двухгодичный период </w:t>
      </w:r>
      <w:proofErr w:type="gramStart"/>
      <w:r w:rsidRPr="00632B00">
        <w:rPr>
          <w:rFonts w:eastAsia="SimSun"/>
          <w:lang w:val="ru-RU"/>
        </w:rPr>
        <w:t>2022-2023</w:t>
      </w:r>
      <w:proofErr w:type="gramEnd"/>
      <w:r w:rsidRPr="00632B00">
        <w:rPr>
          <w:rFonts w:eastAsia="SimSun"/>
          <w:lang w:val="ru-RU"/>
        </w:rPr>
        <w:t xml:space="preserve"> годов представить два сценария:</w:t>
      </w:r>
    </w:p>
    <w:p w14:paraId="6A29E7B8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>
        <w:rPr>
          <w:rFonts w:eastAsia="SimSun"/>
          <w:lang w:val="en-GB"/>
        </w:rPr>
        <w:t>a</w:t>
      </w:r>
      <w:r w:rsidRPr="00CD2BF5">
        <w:rPr>
          <w:rFonts w:eastAsia="SimSun"/>
          <w:lang w:val="ru-RU"/>
        </w:rPr>
        <w:t>)</w:t>
      </w:r>
      <w:r w:rsidRPr="00CD2BF5">
        <w:rPr>
          <w:rFonts w:eastAsia="SimSun"/>
          <w:lang w:val="ru-RU"/>
        </w:rPr>
        <w:tab/>
      </w:r>
      <w:r w:rsidRPr="00632B00">
        <w:rPr>
          <w:rFonts w:eastAsia="SimSun"/>
          <w:lang w:val="ru-RU"/>
        </w:rPr>
        <w:t xml:space="preserve">сценарий, предусматривающий сохранение операционного бюджета на уровне 2020-2021 годов в номинальном </w:t>
      </w:r>
      <w:proofErr w:type="gramStart"/>
      <w:r w:rsidRPr="00632B00">
        <w:rPr>
          <w:rFonts w:eastAsia="SimSun"/>
          <w:lang w:val="ru-RU"/>
        </w:rPr>
        <w:t>выражении;</w:t>
      </w:r>
      <w:proofErr w:type="gramEnd"/>
      <w:r w:rsidRPr="00632B00">
        <w:rPr>
          <w:rFonts w:eastAsia="SimSun"/>
          <w:lang w:val="ru-RU"/>
        </w:rPr>
        <w:t xml:space="preserve"> </w:t>
      </w:r>
    </w:p>
    <w:p w14:paraId="64AB7AF9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>
        <w:rPr>
          <w:rFonts w:eastAsia="SimSun"/>
          <w:lang w:val="en-GB"/>
        </w:rPr>
        <w:t>b</w:t>
      </w:r>
      <w:r w:rsidRPr="00CD2BF5">
        <w:rPr>
          <w:rFonts w:eastAsia="SimSun"/>
          <w:lang w:val="ru-RU"/>
        </w:rPr>
        <w:t>)</w:t>
      </w:r>
      <w:r>
        <w:rPr>
          <w:rFonts w:eastAsia="SimSun"/>
          <w:lang w:val="ru-RU"/>
        </w:rPr>
        <w:tab/>
      </w:r>
      <w:r w:rsidRPr="00632B00">
        <w:rPr>
          <w:rFonts w:eastAsia="SimSun"/>
          <w:lang w:val="ru-RU"/>
        </w:rPr>
        <w:t>сценарий, который отражает необходимые изменения вышеупомянутого сценария для удовлетворения прогнозируемых потребностей и покрытия связанных с этим расходов или экономии средств и увеличение объема бюджета в котором не превышает 5</w:t>
      </w:r>
      <w:r>
        <w:rPr>
          <w:rFonts w:eastAsia="SimSun"/>
          <w:lang w:val="en-GB"/>
        </w:rPr>
        <w:t> </w:t>
      </w:r>
      <w:r w:rsidRPr="00632B00">
        <w:rPr>
          <w:rFonts w:eastAsia="SimSun"/>
          <w:lang w:val="ru-RU"/>
        </w:rPr>
        <w:t xml:space="preserve">процентов по сравнению с уровнем 2020-2021 годов в номинальном </w:t>
      </w:r>
      <w:proofErr w:type="gramStart"/>
      <w:r w:rsidRPr="00632B00">
        <w:rPr>
          <w:rFonts w:eastAsia="SimSun"/>
          <w:lang w:val="ru-RU"/>
        </w:rPr>
        <w:t>выражении;</w:t>
      </w:r>
      <w:proofErr w:type="gramEnd"/>
    </w:p>
    <w:p w14:paraId="21998956" w14:textId="77777777" w:rsidR="002643D8" w:rsidRPr="00FF3267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rFonts w:eastAsia="SimSun"/>
          <w:b/>
          <w:bCs/>
          <w:sz w:val="24"/>
          <w:szCs w:val="24"/>
          <w:lang w:val="ru-RU"/>
        </w:rPr>
      </w:pPr>
      <w:r w:rsidRPr="00FF3267">
        <w:rPr>
          <w:rFonts w:eastAsia="SimSun"/>
          <w:b/>
          <w:bCs/>
          <w:sz w:val="24"/>
          <w:szCs w:val="24"/>
          <w:lang w:val="ru-RU"/>
        </w:rPr>
        <w:t>I</w:t>
      </w:r>
    </w:p>
    <w:p w14:paraId="1A366AC8" w14:textId="77777777" w:rsidR="002643D8" w:rsidRPr="00FF3267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rFonts w:eastAsia="SimSun"/>
          <w:b/>
          <w:bCs/>
          <w:sz w:val="24"/>
          <w:szCs w:val="24"/>
          <w:lang w:val="ru-RU"/>
        </w:rPr>
      </w:pPr>
      <w:r w:rsidRPr="00FF3267">
        <w:rPr>
          <w:rFonts w:eastAsia="SimSun"/>
          <w:b/>
          <w:bCs/>
          <w:sz w:val="24"/>
          <w:szCs w:val="24"/>
          <w:lang w:val="ru-RU"/>
        </w:rPr>
        <w:lastRenderedPageBreak/>
        <w:t xml:space="preserve">Общий целевой фонд </w:t>
      </w:r>
      <w:proofErr w:type="spellStart"/>
      <w:r w:rsidRPr="00FF3267">
        <w:rPr>
          <w:rFonts w:eastAsia="SimSun"/>
          <w:b/>
          <w:bCs/>
          <w:sz w:val="24"/>
          <w:szCs w:val="24"/>
          <w:lang w:val="ru-RU"/>
        </w:rPr>
        <w:t>Минаматской</w:t>
      </w:r>
      <w:proofErr w:type="spellEnd"/>
      <w:r w:rsidRPr="00FF3267">
        <w:rPr>
          <w:rFonts w:eastAsia="SimSun"/>
          <w:b/>
          <w:bCs/>
          <w:sz w:val="24"/>
          <w:szCs w:val="24"/>
          <w:lang w:val="ru-RU"/>
        </w:rPr>
        <w:t xml:space="preserve"> конвенции о ртути</w:t>
      </w:r>
    </w:p>
    <w:p w14:paraId="34AB3986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F3267">
        <w:rPr>
          <w:lang w:val="ru-RU"/>
        </w:rPr>
        <w:t>1.</w:t>
      </w:r>
      <w:r>
        <w:rPr>
          <w:lang w:val="ru-RU"/>
        </w:rPr>
        <w:tab/>
      </w:r>
      <w:r w:rsidRPr="00275B3A">
        <w:rPr>
          <w:i/>
          <w:iCs/>
          <w:lang w:val="ru-RU"/>
        </w:rPr>
        <w:t>принимает к сведению</w:t>
      </w:r>
      <w:r w:rsidRPr="00632B00">
        <w:rPr>
          <w:lang w:val="ru-RU"/>
        </w:rPr>
        <w:t xml:space="preserve"> предлагаемую программу работы и бюджет на двухгодичный период </w:t>
      </w:r>
      <w:proofErr w:type="gramStart"/>
      <w:r w:rsidRPr="00632B00">
        <w:rPr>
          <w:lang w:val="ru-RU"/>
        </w:rPr>
        <w:t>2022-2023</w:t>
      </w:r>
      <w:proofErr w:type="gramEnd"/>
      <w:r w:rsidRPr="00632B00">
        <w:rPr>
          <w:lang w:val="ru-RU"/>
        </w:rPr>
        <w:t xml:space="preserve"> годов</w:t>
      </w:r>
      <w:r w:rsidRPr="00FF3267">
        <w:rPr>
          <w:rFonts w:eastAsia="SimSun"/>
          <w:vertAlign w:val="superscript"/>
          <w:lang w:val="ru-RU"/>
        </w:rPr>
        <w:footnoteReference w:id="1"/>
      </w:r>
      <w:r w:rsidRPr="00632B00">
        <w:rPr>
          <w:lang w:val="ru-RU"/>
        </w:rPr>
        <w:t>; информацию по финансовым вопросам, включая доклад о расходах</w:t>
      </w:r>
      <w:r w:rsidRPr="00275B3A">
        <w:rPr>
          <w:rFonts w:eastAsia="SimSun"/>
          <w:vertAlign w:val="superscript"/>
          <w:lang w:val="ru-RU"/>
        </w:rPr>
        <w:footnoteReference w:id="2"/>
      </w:r>
      <w:r w:rsidRPr="00632B00">
        <w:rPr>
          <w:lang w:val="ru-RU"/>
        </w:rPr>
        <w:t xml:space="preserve"> и справки о предусмотренном бюджетом мероприятии</w:t>
      </w:r>
      <w:r w:rsidRPr="00275B3A">
        <w:rPr>
          <w:rFonts w:eastAsia="SimSun"/>
          <w:vertAlign w:val="superscript"/>
          <w:lang w:val="ru-RU"/>
        </w:rPr>
        <w:footnoteReference w:id="3"/>
      </w:r>
      <w:r w:rsidRPr="00632B00">
        <w:rPr>
          <w:lang w:val="ru-RU"/>
        </w:rPr>
        <w:t>; и представленную секретариатом информацию о ходе осуществления программы работы на двухгодичный период 2020-2021 годов</w:t>
      </w:r>
      <w:r w:rsidRPr="00275B3A">
        <w:rPr>
          <w:rFonts w:eastAsia="SimSun"/>
          <w:vertAlign w:val="superscript"/>
          <w:lang w:val="ru-RU"/>
        </w:rPr>
        <w:footnoteReference w:id="4"/>
      </w:r>
      <w:r w:rsidRPr="00632B00">
        <w:rPr>
          <w:lang w:val="ru-RU"/>
        </w:rPr>
        <w:t xml:space="preserve"> и о международном сотрудничестве и координации</w:t>
      </w:r>
      <w:r w:rsidRPr="00275B3A">
        <w:rPr>
          <w:rFonts w:eastAsia="SimSun"/>
          <w:vertAlign w:val="superscript"/>
          <w:lang w:val="ru-RU"/>
        </w:rPr>
        <w:footnoteReference w:id="5"/>
      </w:r>
      <w:r w:rsidRPr="00632B00">
        <w:rPr>
          <w:lang w:val="ru-RU"/>
        </w:rPr>
        <w:t>;</w:t>
      </w:r>
    </w:p>
    <w:p w14:paraId="27CA8C5E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F3267">
        <w:rPr>
          <w:lang w:val="ru-RU"/>
        </w:rPr>
        <w:t>2.</w:t>
      </w:r>
      <w:r>
        <w:rPr>
          <w:lang w:val="ru-RU"/>
        </w:rPr>
        <w:tab/>
      </w:r>
      <w:r w:rsidRPr="00275B3A">
        <w:rPr>
          <w:i/>
          <w:iCs/>
          <w:lang w:val="ru-RU"/>
        </w:rPr>
        <w:t>одобряет</w:t>
      </w:r>
      <w:r w:rsidRPr="00632B00">
        <w:rPr>
          <w:lang w:val="ru-RU"/>
        </w:rPr>
        <w:t xml:space="preserve">, в порядке исключения и не создавая прецедента, бюджет для Общего целевого фонда на 2022 год в размере 3 397 684 долл. США в качестве части бюджета на двухгодичный период </w:t>
      </w:r>
      <w:proofErr w:type="gramStart"/>
      <w:r w:rsidRPr="00632B00">
        <w:rPr>
          <w:lang w:val="ru-RU"/>
        </w:rPr>
        <w:t>2022-2023</w:t>
      </w:r>
      <w:proofErr w:type="gramEnd"/>
      <w:r w:rsidRPr="00632B00">
        <w:rPr>
          <w:lang w:val="ru-RU"/>
        </w:rPr>
        <w:t xml:space="preserve"> годов;</w:t>
      </w:r>
    </w:p>
    <w:p w14:paraId="2077BEF4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F3267">
        <w:rPr>
          <w:lang w:val="ru-RU"/>
        </w:rPr>
        <w:t>3.</w:t>
      </w:r>
      <w:r>
        <w:rPr>
          <w:lang w:val="ru-RU"/>
        </w:rPr>
        <w:tab/>
      </w:r>
      <w:r w:rsidRPr="00275B3A">
        <w:rPr>
          <w:i/>
          <w:iCs/>
          <w:lang w:val="ru-RU"/>
        </w:rPr>
        <w:t>постановляет</w:t>
      </w:r>
      <w:r w:rsidRPr="00632B00">
        <w:rPr>
          <w:lang w:val="ru-RU"/>
        </w:rPr>
        <w:t xml:space="preserve"> рассмотреть и согласовать бюджет Общего целевого фонда на 2023</w:t>
      </w:r>
      <w:r>
        <w:rPr>
          <w:lang w:val="en-GB"/>
        </w:rPr>
        <w:t> </w:t>
      </w:r>
      <w:r w:rsidRPr="00632B00">
        <w:rPr>
          <w:lang w:val="ru-RU"/>
        </w:rPr>
        <w:t xml:space="preserve">год в ходе очного этапа своего четвертого совещания, завершив тем самым рассмотрение полного бюджета Конвенции на двухгодичный период </w:t>
      </w:r>
      <w:proofErr w:type="gramStart"/>
      <w:r w:rsidRPr="00632B00">
        <w:rPr>
          <w:lang w:val="ru-RU"/>
        </w:rPr>
        <w:t>2022-2023</w:t>
      </w:r>
      <w:proofErr w:type="gramEnd"/>
      <w:r w:rsidRPr="00632B00">
        <w:rPr>
          <w:lang w:val="ru-RU"/>
        </w:rPr>
        <w:t xml:space="preserve"> годов; </w:t>
      </w:r>
    </w:p>
    <w:p w14:paraId="2CE55116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bookmarkStart w:id="1" w:name="_Hlk15257842"/>
      <w:r w:rsidRPr="00F95B6E">
        <w:rPr>
          <w:lang w:val="ru-RU"/>
        </w:rPr>
        <w:t>4.</w:t>
      </w:r>
      <w:r>
        <w:rPr>
          <w:lang w:val="ru-RU"/>
        </w:rPr>
        <w:tab/>
      </w:r>
      <w:r w:rsidRPr="00F95B6E">
        <w:rPr>
          <w:i/>
          <w:iCs/>
          <w:lang w:val="ru-RU"/>
        </w:rPr>
        <w:t>уполномочивает</w:t>
      </w:r>
      <w:r w:rsidRPr="00632B00">
        <w:rPr>
          <w:lang w:val="ru-RU"/>
        </w:rPr>
        <w:t xml:space="preserve"> Исполнительного секретаря использовать из сметной имеющейся суммы превышения остатка средств Общего целевого фонда сумму в размере до 500 962 долл. США для покрытия части дополнительных расходов на проведение четвертого совещания Конференции Сторон в целях выполнения обязательства в отношении должности руководителя по программам уровня С-3, которое будет перенесено из двухгодичного периода 2020</w:t>
      </w:r>
      <w:r>
        <w:rPr>
          <w:lang w:val="ru-RU"/>
        </w:rPr>
        <w:t>-</w:t>
      </w:r>
      <w:r w:rsidRPr="00632B00">
        <w:rPr>
          <w:lang w:val="ru-RU"/>
        </w:rPr>
        <w:t>2021 годов, и завершения подготовки доклада о торговле, как было предусмотрено в бюджете на двухгодичный период 2020</w:t>
      </w:r>
      <w:r>
        <w:rPr>
          <w:lang w:val="ru-RU"/>
        </w:rPr>
        <w:t>-</w:t>
      </w:r>
      <w:r w:rsidRPr="00632B00">
        <w:rPr>
          <w:lang w:val="ru-RU"/>
        </w:rPr>
        <w:t>2021 годов;</w:t>
      </w:r>
    </w:p>
    <w:bookmarkEnd w:id="1"/>
    <w:p w14:paraId="7464868A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95B6E">
        <w:rPr>
          <w:lang w:val="ru-RU"/>
        </w:rPr>
        <w:t>5.</w:t>
      </w:r>
      <w:r>
        <w:rPr>
          <w:lang w:val="ru-RU"/>
        </w:rPr>
        <w:tab/>
      </w:r>
      <w:r w:rsidRPr="00F95B6E">
        <w:rPr>
          <w:i/>
          <w:iCs/>
          <w:lang w:val="ru-RU"/>
        </w:rPr>
        <w:t>принимает</w:t>
      </w:r>
      <w:r w:rsidRPr="00632B00">
        <w:rPr>
          <w:lang w:val="ru-RU"/>
        </w:rPr>
        <w:t xml:space="preserve"> изложенную в таблице 2 настоящего решения ориентировочную шкалу взносов для распределения расходов в 2022 год</w:t>
      </w:r>
      <w:r>
        <w:rPr>
          <w:lang w:val="ru-RU"/>
        </w:rPr>
        <w:t>у</w:t>
      </w:r>
      <w:r w:rsidRPr="00632B00">
        <w:rPr>
          <w:lang w:val="ru-RU"/>
        </w:rPr>
        <w:t xml:space="preserve"> и уполномочивает Исполнительного секретаря в соответствии с Финансовыми положениями и правилами Организации Объединенных Наций скорректировать шкалу взносов, включив в нее все Стороны, для которых Конвенция вступила в силу по состоянию на 1 января 2022 года; </w:t>
      </w:r>
    </w:p>
    <w:p w14:paraId="4F8A5C42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E41E81">
        <w:rPr>
          <w:lang w:val="ru-RU"/>
        </w:rPr>
        <w:t>6.</w:t>
      </w:r>
      <w:r>
        <w:rPr>
          <w:lang w:val="ru-RU"/>
        </w:rPr>
        <w:tab/>
      </w:r>
      <w:r w:rsidRPr="00E41E81">
        <w:rPr>
          <w:i/>
          <w:iCs/>
          <w:lang w:val="ru-RU"/>
        </w:rPr>
        <w:t>напоминает</w:t>
      </w:r>
      <w:r w:rsidRPr="00632B00">
        <w:rPr>
          <w:lang w:val="ru-RU"/>
        </w:rPr>
        <w:t xml:space="preserve"> о том, что срок уплаты взносов в Общий целевой фонд – 1 января года, для которого эти взносы были предусмотрены в бюджете, и не позднее 31 декабря того же года, и призывает Стороны уплачивать их взносы как можно скорее, с тем чтобы секретариат мог выполнять свою работу;</w:t>
      </w:r>
    </w:p>
    <w:p w14:paraId="0A024132" w14:textId="77777777" w:rsidR="002643D8" w:rsidRPr="00E41E81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rFonts w:eastAsia="SimSun"/>
          <w:b/>
          <w:bCs/>
          <w:sz w:val="24"/>
          <w:szCs w:val="24"/>
          <w:lang w:val="ru-RU"/>
        </w:rPr>
      </w:pPr>
      <w:r w:rsidRPr="00E41E81">
        <w:rPr>
          <w:rFonts w:eastAsia="SimSun"/>
          <w:b/>
          <w:bCs/>
          <w:sz w:val="24"/>
          <w:szCs w:val="24"/>
          <w:lang w:val="ru-RU"/>
        </w:rPr>
        <w:t>II</w:t>
      </w:r>
    </w:p>
    <w:p w14:paraId="138BE040" w14:textId="77777777" w:rsidR="002643D8" w:rsidRPr="00E41E81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jc w:val="center"/>
        <w:rPr>
          <w:rFonts w:eastAsia="SimSun"/>
          <w:b/>
          <w:bCs/>
          <w:sz w:val="24"/>
          <w:szCs w:val="24"/>
          <w:lang w:val="ru-RU"/>
        </w:rPr>
      </w:pPr>
      <w:r w:rsidRPr="00E41E81">
        <w:rPr>
          <w:rFonts w:eastAsia="SimSun"/>
          <w:b/>
          <w:bCs/>
          <w:sz w:val="24"/>
          <w:szCs w:val="24"/>
          <w:lang w:val="ru-RU"/>
        </w:rPr>
        <w:t xml:space="preserve">Специальный целевой фонд для </w:t>
      </w:r>
      <w:proofErr w:type="spellStart"/>
      <w:r w:rsidRPr="00E41E81">
        <w:rPr>
          <w:rFonts w:eastAsia="SimSun"/>
          <w:b/>
          <w:bCs/>
          <w:sz w:val="24"/>
          <w:szCs w:val="24"/>
          <w:lang w:val="ru-RU"/>
        </w:rPr>
        <w:t>Минаматской</w:t>
      </w:r>
      <w:proofErr w:type="spellEnd"/>
      <w:r w:rsidRPr="00E41E81">
        <w:rPr>
          <w:rFonts w:eastAsia="SimSun"/>
          <w:b/>
          <w:bCs/>
          <w:sz w:val="24"/>
          <w:szCs w:val="24"/>
          <w:lang w:val="ru-RU"/>
        </w:rPr>
        <w:t xml:space="preserve"> конвенции о ртути</w:t>
      </w:r>
    </w:p>
    <w:p w14:paraId="7826BCDB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65516F">
        <w:rPr>
          <w:lang w:val="ru-RU"/>
        </w:rPr>
        <w:t>7.</w:t>
      </w:r>
      <w:r>
        <w:rPr>
          <w:lang w:val="ru-RU"/>
        </w:rPr>
        <w:tab/>
      </w:r>
      <w:r w:rsidRPr="0065516F">
        <w:rPr>
          <w:i/>
          <w:iCs/>
          <w:lang w:val="ru-RU"/>
        </w:rPr>
        <w:t>принимает к сведению</w:t>
      </w:r>
      <w:r w:rsidRPr="00632B00">
        <w:rPr>
          <w:lang w:val="ru-RU"/>
        </w:rPr>
        <w:t xml:space="preserve"> представленный Исполнительным секретарем доклад о мероприятиях и расходах за </w:t>
      </w:r>
      <w:proofErr w:type="gramStart"/>
      <w:r w:rsidRPr="00632B00">
        <w:rPr>
          <w:lang w:val="ru-RU"/>
        </w:rPr>
        <w:t>2018-2019</w:t>
      </w:r>
      <w:proofErr w:type="gramEnd"/>
      <w:r w:rsidRPr="00632B00">
        <w:rPr>
          <w:lang w:val="ru-RU"/>
        </w:rPr>
        <w:t xml:space="preserve"> и 2020-2021 годы в рамках Специального целевого фонда согласно информации о финансовых вопросах</w:t>
      </w:r>
      <w:r w:rsidRPr="0065516F">
        <w:rPr>
          <w:rFonts w:eastAsia="SimSun"/>
          <w:vertAlign w:val="superscript"/>
          <w:lang w:val="ru-RU"/>
        </w:rPr>
        <w:footnoteReference w:id="6"/>
      </w:r>
      <w:r w:rsidRPr="00632B00">
        <w:rPr>
          <w:lang w:val="ru-RU"/>
        </w:rPr>
        <w:t>, а также представленную секретариатом информацию о ходе осуществления программы работы на двухгодичный период 2020</w:t>
      </w:r>
      <w:r>
        <w:rPr>
          <w:lang w:val="ru-RU"/>
        </w:rPr>
        <w:noBreakHyphen/>
      </w:r>
      <w:r w:rsidRPr="00632B00">
        <w:rPr>
          <w:lang w:val="ru-RU"/>
        </w:rPr>
        <w:t>2021</w:t>
      </w:r>
      <w:r>
        <w:rPr>
          <w:lang w:val="ru-RU"/>
        </w:rPr>
        <w:t> </w:t>
      </w:r>
      <w:r w:rsidRPr="00632B00">
        <w:rPr>
          <w:lang w:val="ru-RU"/>
        </w:rPr>
        <w:t>годов</w:t>
      </w:r>
      <w:r w:rsidRPr="0065516F">
        <w:rPr>
          <w:rFonts w:eastAsia="SimSun"/>
          <w:vertAlign w:val="superscript"/>
          <w:lang w:val="ru-RU"/>
        </w:rPr>
        <w:footnoteReference w:id="7"/>
      </w:r>
      <w:r w:rsidRPr="00632B00">
        <w:rPr>
          <w:lang w:val="ru-RU"/>
        </w:rPr>
        <w:t xml:space="preserve"> и о международном сотрудничестве и координации</w:t>
      </w:r>
      <w:r w:rsidRPr="0065516F">
        <w:rPr>
          <w:rFonts w:eastAsia="SimSun"/>
          <w:vertAlign w:val="superscript"/>
          <w:lang w:val="ru-RU"/>
        </w:rPr>
        <w:footnoteReference w:id="8"/>
      </w:r>
      <w:r w:rsidRPr="00632B00">
        <w:rPr>
          <w:lang w:val="ru-RU"/>
        </w:rPr>
        <w:t xml:space="preserve">; </w:t>
      </w:r>
    </w:p>
    <w:p w14:paraId="012813F3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65516F">
        <w:rPr>
          <w:lang w:val="ru-RU"/>
        </w:rPr>
        <w:t>8.</w:t>
      </w:r>
      <w:r>
        <w:rPr>
          <w:lang w:val="ru-RU"/>
        </w:rPr>
        <w:tab/>
      </w:r>
      <w:r w:rsidRPr="0065516F">
        <w:rPr>
          <w:i/>
          <w:iCs/>
          <w:lang w:val="ru-RU"/>
        </w:rPr>
        <w:t>принимает к сведению также</w:t>
      </w:r>
      <w:r w:rsidRPr="00632B00">
        <w:rPr>
          <w:lang w:val="ru-RU"/>
        </w:rPr>
        <w:t xml:space="preserve"> предлагаемые программу работы и бюджет на двухгодичный период </w:t>
      </w:r>
      <w:proofErr w:type="gramStart"/>
      <w:r w:rsidRPr="00632B00">
        <w:rPr>
          <w:lang w:val="ru-RU"/>
        </w:rPr>
        <w:t>2022-2023</w:t>
      </w:r>
      <w:proofErr w:type="gramEnd"/>
      <w:r w:rsidRPr="00632B00">
        <w:rPr>
          <w:lang w:val="ru-RU"/>
        </w:rPr>
        <w:t xml:space="preserve"> годов</w:t>
      </w:r>
      <w:r w:rsidRPr="00F93524">
        <w:rPr>
          <w:rFonts w:eastAsia="SimSun"/>
          <w:vertAlign w:val="superscript"/>
          <w:lang w:val="ru-RU"/>
        </w:rPr>
        <w:footnoteReference w:id="9"/>
      </w:r>
      <w:r w:rsidRPr="00632B00">
        <w:rPr>
          <w:lang w:val="ru-RU"/>
        </w:rPr>
        <w:t>, а также дополнительную информацию о финансовых вопросах</w:t>
      </w:r>
      <w:r w:rsidRPr="00F93524">
        <w:rPr>
          <w:rFonts w:eastAsia="SimSun"/>
          <w:vertAlign w:val="superscript"/>
          <w:lang w:val="ru-RU"/>
        </w:rPr>
        <w:footnoteReference w:id="10"/>
      </w:r>
      <w:r w:rsidRPr="00632B00">
        <w:rPr>
          <w:lang w:val="ru-RU"/>
        </w:rPr>
        <w:t xml:space="preserve"> и фактологические справки о предусмотренных бюджетом мероприятиях</w:t>
      </w:r>
      <w:r w:rsidRPr="00F93524">
        <w:rPr>
          <w:rFonts w:eastAsia="SimSun"/>
          <w:vertAlign w:val="superscript"/>
          <w:lang w:val="ru-RU"/>
        </w:rPr>
        <w:footnoteReference w:id="11"/>
      </w:r>
      <w:r w:rsidRPr="00632B00">
        <w:rPr>
          <w:lang w:val="ru-RU"/>
        </w:rPr>
        <w:t>;</w:t>
      </w:r>
    </w:p>
    <w:p w14:paraId="79920473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93524">
        <w:rPr>
          <w:lang w:val="ru-RU"/>
        </w:rPr>
        <w:t>9.</w:t>
      </w:r>
      <w:r>
        <w:rPr>
          <w:lang w:val="ru-RU"/>
        </w:rPr>
        <w:tab/>
      </w:r>
      <w:r w:rsidRPr="00F93524">
        <w:rPr>
          <w:i/>
          <w:iCs/>
          <w:lang w:val="ru-RU"/>
        </w:rPr>
        <w:t>принимает к сведению</w:t>
      </w:r>
      <w:r w:rsidRPr="00632B00">
        <w:rPr>
          <w:lang w:val="ru-RU"/>
        </w:rPr>
        <w:t xml:space="preserve"> смету для Специального целевого фонда на 2022 год в размере 1 921 000 долл. США; </w:t>
      </w:r>
    </w:p>
    <w:p w14:paraId="71C1B24D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93524">
        <w:rPr>
          <w:lang w:val="ru-RU"/>
        </w:rPr>
        <w:t>10.</w:t>
      </w:r>
      <w:r w:rsidRPr="00F93524">
        <w:rPr>
          <w:lang w:val="ru-RU"/>
        </w:rPr>
        <w:tab/>
      </w:r>
      <w:r w:rsidRPr="00F93524">
        <w:rPr>
          <w:i/>
          <w:iCs/>
          <w:lang w:val="ru-RU"/>
        </w:rPr>
        <w:t>отмечает</w:t>
      </w:r>
      <w:r w:rsidRPr="00632B00">
        <w:rPr>
          <w:lang w:val="ru-RU"/>
        </w:rPr>
        <w:t>, что осуществление запланированных мероприятий обусловливается наличием ресурсов, вносимых в Специальный целевой фонд;</w:t>
      </w:r>
    </w:p>
    <w:p w14:paraId="2EE22963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93524">
        <w:rPr>
          <w:lang w:val="ru-RU"/>
        </w:rPr>
        <w:lastRenderedPageBreak/>
        <w:t>11.</w:t>
      </w:r>
      <w:r w:rsidRPr="00F93524">
        <w:rPr>
          <w:lang w:val="ru-RU"/>
        </w:rPr>
        <w:tab/>
      </w:r>
      <w:r w:rsidRPr="00F93524">
        <w:rPr>
          <w:i/>
          <w:iCs/>
          <w:lang w:val="ru-RU"/>
        </w:rPr>
        <w:t>просит</w:t>
      </w:r>
      <w:r w:rsidRPr="00632B00">
        <w:rPr>
          <w:lang w:val="ru-RU"/>
        </w:rPr>
        <w:t xml:space="preserve"> Стороны Конвенции и предлагает государствам, не являющимся Сторонами Конвенции, и другим субъектам, располагающим такой возможностью, вносить взносы в Специальный целевой фонд;</w:t>
      </w:r>
    </w:p>
    <w:p w14:paraId="355A86B8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 w:rsidRPr="00F93524">
        <w:rPr>
          <w:lang w:val="ru-RU"/>
        </w:rPr>
        <w:t>12.</w:t>
      </w:r>
      <w:r w:rsidRPr="00F93524">
        <w:rPr>
          <w:lang w:val="ru-RU"/>
        </w:rPr>
        <w:tab/>
      </w:r>
      <w:r w:rsidRPr="00F93524">
        <w:rPr>
          <w:i/>
          <w:iCs/>
          <w:lang w:val="ru-RU"/>
        </w:rPr>
        <w:t>предлагает</w:t>
      </w:r>
      <w:r w:rsidRPr="00632B00">
        <w:rPr>
          <w:lang w:val="ru-RU"/>
        </w:rPr>
        <w:t xml:space="preserve"> Сторонам и государствам, не являющимся Сторонами Конвенции, и другим субъектам, располагающим такой возможностью, вносить взносы в Специальный целевой фонд для оказания поддержки участию представителей из развивающихся стран и стран с переходной экономикой в совещаниях Конференции Сторон и ее вспомогательных органов.</w:t>
      </w:r>
    </w:p>
    <w:p w14:paraId="6CEF0CD2" w14:textId="77777777" w:rsidR="002643D8" w:rsidRPr="00632B00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SimSun"/>
          <w:lang w:val="ru-RU"/>
        </w:rPr>
      </w:pPr>
      <w:r w:rsidRPr="00632B00">
        <w:rPr>
          <w:rFonts w:eastAsia="SimSun"/>
          <w:lang w:val="ru-RU"/>
        </w:rPr>
        <w:br w:type="page"/>
      </w:r>
    </w:p>
    <w:p w14:paraId="29CBB52C" w14:textId="77777777" w:rsidR="002643D8" w:rsidRPr="004117E5" w:rsidRDefault="002643D8" w:rsidP="002643D8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4082"/>
        </w:tabs>
        <w:suppressAutoHyphens/>
        <w:spacing w:after="60"/>
        <w:rPr>
          <w:rFonts w:eastAsia="SimSun"/>
          <w:sz w:val="18"/>
          <w:szCs w:val="18"/>
          <w:lang w:val="ru-RU"/>
        </w:rPr>
      </w:pPr>
      <w:r w:rsidRPr="00FE74F3">
        <w:rPr>
          <w:rFonts w:eastAsia="SimSun"/>
          <w:lang w:val="ru-RU"/>
        </w:rPr>
        <w:lastRenderedPageBreak/>
        <w:t>Таблица 1</w:t>
      </w:r>
      <w:r w:rsidRPr="004117E5">
        <w:rPr>
          <w:rFonts w:eastAsia="SimSun"/>
          <w:b/>
          <w:bCs/>
          <w:lang w:val="ru-RU"/>
        </w:rPr>
        <w:t xml:space="preserve"> </w:t>
      </w:r>
      <w:r>
        <w:rPr>
          <w:rFonts w:eastAsia="SimSun"/>
          <w:b/>
          <w:bCs/>
          <w:lang w:val="ru-RU"/>
        </w:rPr>
        <w:br/>
      </w:r>
      <w:r w:rsidRPr="004117E5">
        <w:rPr>
          <w:rFonts w:eastAsia="SimSun"/>
          <w:b/>
          <w:bCs/>
          <w:lang w:val="ru-RU"/>
        </w:rPr>
        <w:t xml:space="preserve">Программа работы и бюджет на 2022 год </w:t>
      </w:r>
      <w:r>
        <w:rPr>
          <w:rFonts w:eastAsia="SimSun"/>
          <w:b/>
          <w:bCs/>
          <w:lang w:val="ru-RU"/>
        </w:rPr>
        <w:br/>
      </w:r>
      <w:r w:rsidRPr="006C264C">
        <w:rPr>
          <w:rFonts w:eastAsia="SimSun"/>
          <w:sz w:val="18"/>
          <w:szCs w:val="18"/>
          <w:lang w:val="ru-RU"/>
        </w:rPr>
        <w:t>(в долларах США)</w:t>
      </w:r>
    </w:p>
    <w:tbl>
      <w:tblPr>
        <w:tblW w:w="9582" w:type="dxa"/>
        <w:jc w:val="righ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3"/>
        <w:gridCol w:w="4722"/>
        <w:gridCol w:w="1635"/>
        <w:gridCol w:w="1772"/>
      </w:tblGrid>
      <w:tr w:rsidR="002643D8" w:rsidRPr="00FE74F3" w14:paraId="11A82388" w14:textId="77777777" w:rsidTr="008E185F">
        <w:trPr>
          <w:trHeight w:val="227"/>
          <w:tblHeader/>
          <w:jc w:val="right"/>
        </w:trPr>
        <w:tc>
          <w:tcPr>
            <w:tcW w:w="1440" w:type="dxa"/>
            <w:vMerge w:val="restar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06F22D95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i/>
                <w:i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i/>
                <w:iCs/>
                <w:sz w:val="18"/>
                <w:szCs w:val="18"/>
                <w:lang w:val="ru-RU"/>
              </w:rPr>
              <w:t>Номер мероприятия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13CB636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i/>
                <w:i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i/>
                <w:iCs/>
                <w:sz w:val="18"/>
                <w:szCs w:val="18"/>
                <w:lang w:val="ru-RU"/>
              </w:rPr>
              <w:t>Мероприятие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CB0473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rFonts w:eastAsia="SimSun"/>
                <w:i/>
                <w:i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i/>
                <w:iCs/>
                <w:sz w:val="18"/>
                <w:szCs w:val="18"/>
                <w:lang w:val="ru-RU"/>
              </w:rPr>
              <w:t>2022 год</w:t>
            </w:r>
          </w:p>
        </w:tc>
      </w:tr>
      <w:tr w:rsidR="002643D8" w:rsidRPr="00FE74F3" w14:paraId="20044FAB" w14:textId="77777777" w:rsidTr="008E185F">
        <w:trPr>
          <w:trHeight w:val="227"/>
          <w:tblHeader/>
          <w:jc w:val="right"/>
        </w:trPr>
        <w:tc>
          <w:tcPr>
            <w:tcW w:w="1440" w:type="dxa"/>
            <w:vMerge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7A67CE4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4680" w:type="dxa"/>
            <w:vMerge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7B616AA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6344B7F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i/>
                <w:i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i/>
                <w:iCs/>
                <w:sz w:val="18"/>
                <w:szCs w:val="18"/>
                <w:lang w:val="ru-RU"/>
              </w:rPr>
              <w:t>Общий целевой фонд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5E528D5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i/>
                <w:i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i/>
                <w:iCs/>
                <w:sz w:val="18"/>
                <w:szCs w:val="18"/>
                <w:lang w:val="ru-RU"/>
              </w:rPr>
              <w:t>Специальный целевой фонд</w:t>
            </w:r>
          </w:p>
        </w:tc>
      </w:tr>
      <w:tr w:rsidR="002643D8" w:rsidRPr="00FE74F3" w14:paraId="1EC19B1D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071148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A.</w:t>
            </w:r>
          </w:p>
        </w:tc>
        <w:tc>
          <w:tcPr>
            <w:tcW w:w="46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2D953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Конференции и совещания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8C19FA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7172A6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</w:tr>
      <w:tr w:rsidR="002643D8" w:rsidRPr="00FE74F3" w14:paraId="3653B5F8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468732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15EA1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Четвертое совещание Конференции Сторон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1C36A0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0C73BF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</w:tr>
      <w:tr w:rsidR="002643D8" w:rsidRPr="00FE74F3" w14:paraId="2ED70482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478A9A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411859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1.1 Четвертое совещание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F3E0F5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ADEC27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3602A854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09D4A85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3E4A3B5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1.2 Региональные подготовительные совещания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40D4360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2828885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55B06E2B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F005FA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6C61776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1.3 Создаваемые на конкретные сроки межсессионные группы экспертов, наделенные мандатом Конференции Сторон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22EBB6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7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5D84A8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4463F92D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C7F3FE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8C2C04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25660E5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6CFFE85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3FB9423C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A5B0A6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1AB60E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Бюро Конференции Сторон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6B1099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0CA660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/>
              </w:rPr>
            </w:pPr>
          </w:p>
        </w:tc>
      </w:tr>
      <w:tr w:rsidR="002643D8" w:rsidRPr="00FE74F3" w14:paraId="02B3B7AD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12EBEE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95E8C3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2.1 Совещание Бюро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B36142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4B1591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204C4CA9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39A260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/>
              </w:rPr>
            </w:pPr>
            <w:r w:rsidRPr="00FE74F3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BB21E5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B42856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204E18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61FB8B94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A25C2B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5ABBFB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Комитет по осуществлению и соблюдению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8E6DC7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BA5C82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2643D8" w:rsidRPr="00FE74F3" w14:paraId="70EEB99C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A2694B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52321A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3.1 Совещание Комитета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FCF6F05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7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3E2DAB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1EC5E025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15388E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/>
              </w:rPr>
            </w:pPr>
            <w:r w:rsidRPr="00FE74F3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CB83A9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2ABCA6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380C9A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72BC2066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834AD4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/>
              </w:rPr>
            </w:pPr>
            <w:r w:rsidRPr="00FE74F3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7E9563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Итого (A)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D9D3D65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449151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50FC30D9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33D69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B.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DBC9AF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Создание потенциала и оказание технической помощи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7932CA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4252B5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</w:tr>
      <w:tr w:rsidR="002643D8" w:rsidRPr="00FE74F3" w14:paraId="513455F3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5EACE1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BF06F3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 xml:space="preserve">Программа </w:t>
            </w:r>
            <w:proofErr w:type="spellStart"/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Минаматской</w:t>
            </w:r>
            <w:proofErr w:type="spellEnd"/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 xml:space="preserve"> конвенции по созданию потенциала и оказанию технического содействия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1E67EF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2A0E31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</w:tr>
      <w:tr w:rsidR="002643D8" w:rsidRPr="00FE74F3" w14:paraId="522054B4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FD2236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BA4A48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4.1 Инструменты, методологии и формы предоставления услуг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64953F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626308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175 000</w:t>
            </w:r>
          </w:p>
        </w:tc>
      </w:tr>
      <w:tr w:rsidR="002643D8" w:rsidRPr="00FE74F3" w14:paraId="21CEE564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3D5E56E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6739C49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4.2 Конкретные мероприятия по наращиванию потенциала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2E38F1A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599AC6F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275 000</w:t>
            </w:r>
          </w:p>
        </w:tc>
      </w:tr>
      <w:tr w:rsidR="002643D8" w:rsidRPr="00FE74F3" w14:paraId="6853C295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1942FF0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3A3D7C6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4.3 Мероприятия по созданию потенциала, проводимые по запросу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63D9D68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3708D15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70 000</w:t>
            </w:r>
          </w:p>
        </w:tc>
      </w:tr>
      <w:tr w:rsidR="002643D8" w:rsidRPr="00FE74F3" w14:paraId="4D9D4CDA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05CAF0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EB2DA9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4.4 </w:t>
            </w:r>
            <w:proofErr w:type="spellStart"/>
            <w:r w:rsidRPr="00FE74F3">
              <w:rPr>
                <w:rFonts w:eastAsia="SimSun"/>
                <w:sz w:val="18"/>
                <w:szCs w:val="18"/>
                <w:lang w:val="ru-RU"/>
              </w:rPr>
              <w:t>Межсекторальные</w:t>
            </w:r>
            <w:proofErr w:type="spellEnd"/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 мероприятия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E79685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2A3B68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265 000</w:t>
            </w:r>
          </w:p>
        </w:tc>
      </w:tr>
      <w:tr w:rsidR="002643D8" w:rsidRPr="00FE74F3" w14:paraId="2374C477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69A26C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2CF7DF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20FB85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55E0865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785 000</w:t>
            </w:r>
          </w:p>
        </w:tc>
      </w:tr>
      <w:tr w:rsidR="002643D8" w:rsidRPr="00FE74F3" w14:paraId="59DF8AF4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1A1BE6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5135A7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Итого (B)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281DB7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ACD87C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785 000</w:t>
            </w:r>
          </w:p>
        </w:tc>
      </w:tr>
      <w:tr w:rsidR="002643D8" w:rsidRPr="00FE74F3" w14:paraId="3B694FFD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FE2976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C.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2D7C97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Научные и технические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B590C7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240CF9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</w:tr>
      <w:tr w:rsidR="002643D8" w:rsidRPr="00FE74F3" w14:paraId="15AA6984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22E7F4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CD626A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 xml:space="preserve">Оказание научной поддержки государствам, являющимся Сторонами </w:t>
            </w:r>
            <w:proofErr w:type="spellStart"/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Минаматской</w:t>
            </w:r>
            <w:proofErr w:type="spellEnd"/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 xml:space="preserve"> конвенции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E96B12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617447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</w:tr>
      <w:tr w:rsidR="002643D8" w:rsidRPr="00FE74F3" w14:paraId="47771E70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459EB01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73D6329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5.1 Совершенствование методов инвентаризации ртути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7B602C6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3393C84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50 000</w:t>
            </w:r>
          </w:p>
        </w:tc>
      </w:tr>
      <w:tr w:rsidR="002643D8" w:rsidRPr="00FE74F3" w14:paraId="160FACF7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3FD795F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4C9FFD9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5.2 Обмен информацией по моделированию и мониторингу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30CF744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21AD728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50 000</w:t>
            </w:r>
          </w:p>
        </w:tc>
      </w:tr>
      <w:tr w:rsidR="002643D8" w:rsidRPr="00FE74F3" w14:paraId="38291FD8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726B463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1872691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5.3 Оценка воздействия ртути на здоровье, окружающую среду и социально-экономическое положение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7835F2B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48AD372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50 000</w:t>
            </w:r>
          </w:p>
        </w:tc>
      </w:tr>
      <w:tr w:rsidR="002643D8" w:rsidRPr="00FE74F3" w14:paraId="3FC6341F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1CB76B0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4392936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5.4 Обмен информацией по технологиям снижения содержания ртути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692EEEA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48856025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50 000</w:t>
            </w:r>
          </w:p>
        </w:tc>
      </w:tr>
      <w:tr w:rsidR="002643D8" w:rsidRPr="00FE74F3" w14:paraId="1E411F17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1CA6A7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D62617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5.5 </w:t>
            </w:r>
            <w:proofErr w:type="spellStart"/>
            <w:r w:rsidRPr="00FE74F3">
              <w:rPr>
                <w:rFonts w:eastAsia="SimSun"/>
                <w:sz w:val="18"/>
                <w:szCs w:val="18"/>
                <w:lang w:val="ru-RU"/>
              </w:rPr>
              <w:t>Межсекторальные</w:t>
            </w:r>
            <w:proofErr w:type="spellEnd"/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 научные и технические мероприятия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241179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6322EF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500 000</w:t>
            </w:r>
          </w:p>
        </w:tc>
      </w:tr>
      <w:tr w:rsidR="002643D8" w:rsidRPr="00FE74F3" w14:paraId="356CB53E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3527FE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F01DD3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590837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40F2E3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700 000</w:t>
            </w:r>
          </w:p>
        </w:tc>
      </w:tr>
      <w:tr w:rsidR="002643D8" w:rsidRPr="00FE74F3" w14:paraId="2DF2FF1C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671ED6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BAC849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Оценка эффективности</w:t>
            </w:r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4688E3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A23E41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/>
              </w:rPr>
            </w:pPr>
          </w:p>
        </w:tc>
      </w:tr>
      <w:tr w:rsidR="002643D8" w:rsidRPr="00FE74F3" w14:paraId="268801F5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318F1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E4B4ED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6.1 Комитет по оценке эффективности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A1CF7C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45 000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45B884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72E94EB0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4ABFD8A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hideMark/>
          </w:tcPr>
          <w:p w14:paraId="3CE6CDB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6.2 Подготовка доклада о торговле, предложении и спросе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7D6FB46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4168F77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50 000</w:t>
            </w:r>
          </w:p>
        </w:tc>
      </w:tr>
      <w:tr w:rsidR="002643D8" w:rsidRPr="00FE74F3" w14:paraId="680A3945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7B7CAF5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795EC08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6.3 Составление</w:t>
            </w:r>
            <w:r>
              <w:rPr>
                <w:rFonts w:eastAsia="SimSun"/>
                <w:sz w:val="18"/>
                <w:szCs w:val="18"/>
                <w:lang w:val="ru-RU"/>
              </w:rPr>
              <w:t xml:space="preserve"> и </w:t>
            </w:r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оценка материалов, представленных Сторонами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430C7F2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517747C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ru-RU"/>
              </w:rPr>
            </w:pPr>
          </w:p>
        </w:tc>
      </w:tr>
      <w:tr w:rsidR="002643D8" w:rsidRPr="00FE74F3" w14:paraId="7FB76237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6B43F5F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293EEB4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6.4 Другая подготовительная работа и доклады в поддержку оценки эффективности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6DD4DCA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220 000</w:t>
            </w: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1A21048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66E16AFC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93FDA8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1AE70E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C2D8F2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265 000</w:t>
            </w:r>
          </w:p>
        </w:tc>
        <w:tc>
          <w:tcPr>
            <w:tcW w:w="17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AD8B695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50 000</w:t>
            </w:r>
          </w:p>
        </w:tc>
      </w:tr>
      <w:tr w:rsidR="002643D8" w:rsidRPr="00FE74F3" w14:paraId="464A743C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0D2454C" w14:textId="77777777" w:rsidR="002643D8" w:rsidRPr="00FE74F3" w:rsidRDefault="002643D8" w:rsidP="008E185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lastRenderedPageBreak/>
              <w:t>7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B96933" w14:textId="77777777" w:rsidR="002643D8" w:rsidRPr="00FE74F3" w:rsidRDefault="002643D8" w:rsidP="008E185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 xml:space="preserve">Представление национальных докладов в соответствии с </w:t>
            </w:r>
            <w:proofErr w:type="spellStart"/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Минаматской</w:t>
            </w:r>
            <w:proofErr w:type="spellEnd"/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 xml:space="preserve"> конвенцией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D059547" w14:textId="77777777" w:rsidR="002643D8" w:rsidRPr="00FE74F3" w:rsidRDefault="002643D8" w:rsidP="008E185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A3CB722" w14:textId="77777777" w:rsidR="002643D8" w:rsidRPr="00FE74F3" w:rsidRDefault="002643D8" w:rsidP="008E185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2643D8" w:rsidRPr="00FE74F3" w14:paraId="564D9893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159F65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34B571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7.1 Обработка и анализ национальных докладов 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C58189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10 000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AB53F6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744F194A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79E3108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16FEC03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7.2 Текущее управление информацией, содержащейся в национальных докладах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4620296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20 000</w:t>
            </w: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5AE0920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31AF2AA6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98A2AA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4937C1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7.3. Укрепление потенциала Сторон в области подготовки национальных докладов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90D8C3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25 000</w:t>
            </w:r>
          </w:p>
        </w:tc>
        <w:tc>
          <w:tcPr>
            <w:tcW w:w="17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7C9542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62E4BE62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803F627" w14:textId="77777777" w:rsidR="002643D8" w:rsidRPr="00FE74F3" w:rsidRDefault="002643D8" w:rsidP="008E185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B06F376" w14:textId="77777777" w:rsidR="002643D8" w:rsidRPr="00FE74F3" w:rsidRDefault="002643D8" w:rsidP="008E185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4B6BFAD" w14:textId="77777777" w:rsidR="002643D8" w:rsidRPr="00FE74F3" w:rsidRDefault="002643D8" w:rsidP="008E185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55 000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1E4001A" w14:textId="77777777" w:rsidR="002643D8" w:rsidRPr="00FE74F3" w:rsidRDefault="002643D8" w:rsidP="008E185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7DB3EE99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C68A6B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5D1AB8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Итого (C)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7AD3DA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320 000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C239FB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750 000</w:t>
            </w:r>
          </w:p>
        </w:tc>
      </w:tr>
      <w:tr w:rsidR="002643D8" w:rsidRPr="00FE74F3" w14:paraId="3D3B1D17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AD554CC" w14:textId="77777777" w:rsidR="002643D8" w:rsidRPr="00FE74F3" w:rsidRDefault="002643D8" w:rsidP="008E185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D.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52301A1" w14:textId="77777777" w:rsidR="002643D8" w:rsidRPr="00FE74F3" w:rsidRDefault="002643D8" w:rsidP="008E185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Управление знаниями и информацией, а также информационно-пропагандистская деятельность</w:t>
            </w:r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B027082" w14:textId="77777777" w:rsidR="002643D8" w:rsidRPr="00FE74F3" w:rsidRDefault="002643D8" w:rsidP="008E185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7A2D7B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</w:tr>
      <w:tr w:rsidR="002643D8" w:rsidRPr="00FE74F3" w14:paraId="234810D5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FD7D473" w14:textId="77777777" w:rsidR="002643D8" w:rsidRPr="00FE74F3" w:rsidRDefault="002643D8" w:rsidP="008E185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5FDF221" w14:textId="77777777" w:rsidR="002643D8" w:rsidRPr="00FE74F3" w:rsidRDefault="002643D8" w:rsidP="008E185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Публикации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A3EB839" w14:textId="77777777" w:rsidR="002643D8" w:rsidRPr="00FE74F3" w:rsidRDefault="002643D8" w:rsidP="008E185F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32E538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</w:tr>
      <w:tr w:rsidR="002643D8" w:rsidRPr="00FE74F3" w14:paraId="1FAE2F75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EBA6F3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14A0F9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8.1 Публикации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144CF9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25 000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7DC0B6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4DF883CD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85F687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F3718E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FC281E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25 000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3FF234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091BDBC9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1E52DB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0184C1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Массовая информация, информационно-пропагандистская деятельность и повышение осведомленности общественности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F2C743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774062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</w:tr>
      <w:tr w:rsidR="002643D8" w:rsidRPr="00FE74F3" w14:paraId="11A600A9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CCB5F8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11D5A2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9.1 Массовая информация, информационно-пропагандистская деятельность и повышение осведомленности общественности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E191B6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34 000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43E35E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2A090239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8741A0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918499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3CB78F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34 000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FECC9D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487B9144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A6FD8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F580B9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Цифровая стратегия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FC07B0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63C0AE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/>
              </w:rPr>
            </w:pPr>
          </w:p>
        </w:tc>
      </w:tr>
      <w:tr w:rsidR="002643D8" w:rsidRPr="00FE74F3" w14:paraId="373C2161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780CAE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2F3BFC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10.1 Цифровая стратегия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C11FFC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45 000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98F3DA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95 000</w:t>
            </w:r>
          </w:p>
        </w:tc>
      </w:tr>
      <w:tr w:rsidR="002643D8" w:rsidRPr="00FE74F3" w14:paraId="26AF8E34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8D9628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6A68CA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E6F66F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45 000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2CE12A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95 000</w:t>
            </w:r>
          </w:p>
        </w:tc>
      </w:tr>
      <w:tr w:rsidR="002643D8" w:rsidRPr="00FE74F3" w14:paraId="24825A01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7EF376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F2E6F4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Итого (D)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370858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104 000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EBEB06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95 000</w:t>
            </w:r>
          </w:p>
        </w:tc>
      </w:tr>
      <w:tr w:rsidR="002643D8" w:rsidRPr="00FE74F3" w14:paraId="0F63A539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7C3922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E.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4C9FDE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Общее управление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41ED28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D7E3FD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</w:tr>
      <w:tr w:rsidR="002643D8" w:rsidRPr="00FE74F3" w14:paraId="7883C67A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CC6432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D0C6D3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Руководство и управление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0C6BCA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340658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/>
              </w:rPr>
            </w:pPr>
          </w:p>
        </w:tc>
      </w:tr>
      <w:tr w:rsidR="002643D8" w:rsidRPr="00FE74F3" w14:paraId="4E5940EE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72623FB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3E34149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11.1 Общее управление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6F06EA7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2 165 500</w:t>
            </w: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775D38C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38869848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11CBB4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64A9F2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11.2 Поездки сотрудников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7C8E37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61 500</w:t>
            </w:r>
          </w:p>
        </w:tc>
        <w:tc>
          <w:tcPr>
            <w:tcW w:w="17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0CAA0C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5CBF0D39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E8CDF85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D67B13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E06FBF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2 227 000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CFC791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</w:tr>
      <w:tr w:rsidR="002643D8" w:rsidRPr="00FE74F3" w14:paraId="0B14B2AF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86B2CA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29DFB6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Международное сотрудничество и координация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1C2A9B5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3F5784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</w:tr>
      <w:tr w:rsidR="002643D8" w:rsidRPr="00FE74F3" w14:paraId="7A36BFE1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417AA75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AF31DE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12.1. Сотрудничество в рамках более широкой повестки дня в области устойчивого развития и окружающей среды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BCEE0C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A917B5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164DFD6F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216C08C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489AC09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12.2. Сотрудничество в рамках тематического блока химических веществ и отходов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73DB676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431BA32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30FD7202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9005A0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D89813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12.3. Другие виды сотрудничества и координации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F2E5B25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7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06B573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7D02D579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60B83D5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2CD3DD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6CA067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F66922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74EB3F1B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0C4748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BB806C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Финансовые ресурсы и механизм финансирования</w:t>
            </w:r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DE9247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4289BB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</w:tr>
      <w:tr w:rsidR="002643D8" w:rsidRPr="00FE74F3" w14:paraId="7761EDBF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7FE0D76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6FB4A07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13.1. Финансовые ресурсы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7F7E21B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20 000</w:t>
            </w: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24E16EB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585EC690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02EAB53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0136F08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13.2 Механизм финансирования </w:t>
            </w:r>
            <w:r>
              <w:rPr>
                <w:rFonts w:eastAsia="SimSun"/>
                <w:sz w:val="18"/>
                <w:szCs w:val="18"/>
                <w:lang w:val="ru-RU"/>
              </w:rPr>
              <w:t>–</w:t>
            </w:r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 Глобальный экологический фонд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33B5191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27 000</w:t>
            </w: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4590A03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622465A6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6F4786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BBBC51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13.3 Механизм финансирования </w:t>
            </w:r>
            <w:r>
              <w:rPr>
                <w:rFonts w:eastAsia="SimSun"/>
                <w:sz w:val="18"/>
                <w:szCs w:val="18"/>
                <w:lang w:val="ru-RU"/>
              </w:rPr>
              <w:t>–</w:t>
            </w:r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 Специальная международная программа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D84A34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7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4789CC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7AC39AF2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95C70D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A61B24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1016D9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47 000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ED70AB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1F12B206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D1C2F2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D499AB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Итого (E)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BC2785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2 274 000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E8F6B4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–</w:t>
            </w:r>
          </w:p>
        </w:tc>
      </w:tr>
      <w:tr w:rsidR="002643D8" w:rsidRPr="00FE74F3" w14:paraId="7CDD74E2" w14:textId="77777777" w:rsidTr="008E185F">
        <w:trPr>
          <w:trHeight w:val="227"/>
          <w:jc w:val="right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B444B0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F.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5FE090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Мероприятия в области права и политики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DAD3D1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A0C81D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2643D8" w:rsidRPr="00FE74F3" w14:paraId="1D5C74BB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6D9FE4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3FC031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Мероприятия в области права и политики</w:t>
            </w:r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60E7BE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4B3B61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2643D8" w:rsidRPr="00FE74F3" w14:paraId="787635AE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7EF6F98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63CEC65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14.1 Программа работы Комитета по осуществлению и соблюдению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0E9B066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6C50F28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ru-RU"/>
              </w:rPr>
            </w:pPr>
          </w:p>
        </w:tc>
      </w:tr>
      <w:tr w:rsidR="002643D8" w:rsidRPr="00FE74F3" w14:paraId="0F5723B9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69F65D6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2B6A28B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14.2 Мероприятия в области права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22A998D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5F59B3E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1EFA1B27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</w:tcBorders>
            <w:shd w:val="clear" w:color="auto" w:fill="auto"/>
            <w:noWrap/>
            <w:hideMark/>
          </w:tcPr>
          <w:p w14:paraId="1D02274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lastRenderedPageBreak/>
              <w:t> </w:t>
            </w: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noWrap/>
            <w:hideMark/>
          </w:tcPr>
          <w:p w14:paraId="76A9BC0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14.3 Национальное законодательство, торговля и правоприменение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hideMark/>
          </w:tcPr>
          <w:p w14:paraId="689F9F0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nil"/>
            </w:tcBorders>
            <w:shd w:val="clear" w:color="auto" w:fill="auto"/>
            <w:noWrap/>
            <w:hideMark/>
          </w:tcPr>
          <w:p w14:paraId="4EA4AFD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ru-RU"/>
              </w:rPr>
            </w:pPr>
          </w:p>
        </w:tc>
      </w:tr>
      <w:tr w:rsidR="002643D8" w:rsidRPr="00FE74F3" w14:paraId="70F693E1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BF0776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3220BF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 xml:space="preserve">14.4 Гендерный фактор 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C315F9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D2CF66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70 000</w:t>
            </w:r>
          </w:p>
        </w:tc>
      </w:tr>
      <w:tr w:rsidR="002643D8" w:rsidRPr="00FE74F3" w14:paraId="6FE2C737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E94085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00FBC5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6B9B9F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E20EAF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70 000</w:t>
            </w:r>
          </w:p>
        </w:tc>
      </w:tr>
      <w:tr w:rsidR="002643D8" w:rsidRPr="00FE74F3" w14:paraId="2F4986C8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A017FB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68E721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Итого (F)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1BCB76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FD591D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70 000</w:t>
            </w:r>
          </w:p>
        </w:tc>
      </w:tr>
      <w:tr w:rsidR="002643D8" w:rsidRPr="00FE74F3" w14:paraId="0BC57A86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2C462A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G.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30A4D4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Эксплуатация служебных помещений и услуги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D43931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46F456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</w:tr>
      <w:tr w:rsidR="002643D8" w:rsidRPr="00FE74F3" w14:paraId="1059957A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1FA29D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523072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Эксплуатация служебных помещений и услуги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BD7116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4C478C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</w:p>
        </w:tc>
      </w:tr>
      <w:tr w:rsidR="002643D8" w:rsidRPr="00FE74F3" w14:paraId="00EEC992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7C82B7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538F66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15.1 Эксплуатация служебных помещений и услуги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552D79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155 000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26935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7A0F5ABC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3B7A78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7A2B67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83DEE8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155 000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AF4BD4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</w:tr>
      <w:tr w:rsidR="002643D8" w:rsidRPr="00FE74F3" w14:paraId="161C00AD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A18D2B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16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5595AA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Информационно-технологическое обслуживание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FF68E4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0BD380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</w:tr>
      <w:tr w:rsidR="002643D8" w:rsidRPr="00FE74F3" w14:paraId="72CC5E21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B5297E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A9B704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16.1 Информационно-технологическое обслуживание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830614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55 500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3111E8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7B3C9787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544106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F35EEF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по компоненту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31E939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55 500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710D15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</w:tr>
      <w:tr w:rsidR="002643D8" w:rsidRPr="00FE74F3" w14:paraId="70F46128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8DFF7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88E67F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Итого (G)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A36A87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210 500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DE90F1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</w:tr>
      <w:tr w:rsidR="002643D8" w:rsidRPr="00FE74F3" w14:paraId="684FFEE9" w14:textId="77777777" w:rsidTr="008E185F">
        <w:trPr>
          <w:trHeight w:val="227"/>
          <w:jc w:val="right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A40352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/>
              </w:rPr>
            </w:pPr>
            <w:r w:rsidRPr="00FE74F3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C43786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Ресурсы, требуемые для всех видов деятельности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36FB8F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0181E5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2643D8" w:rsidRPr="00FE74F3" w14:paraId="31D5BB70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FF329A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E91D2E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прямых расходов (за вычетом расходов на программную поддержку) (A</w:t>
            </w:r>
            <w:r>
              <w:rPr>
                <w:rFonts w:eastAsia="SimSun"/>
                <w:b/>
                <w:bCs/>
                <w:sz w:val="18"/>
                <w:szCs w:val="18"/>
                <w:lang w:val="ru-RU"/>
              </w:rPr>
              <w:t>-</w:t>
            </w: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G)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B5566C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2 908 500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653A45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1 700 000</w:t>
            </w:r>
          </w:p>
        </w:tc>
      </w:tr>
      <w:tr w:rsidR="002643D8" w:rsidRPr="00FE74F3" w14:paraId="75CAC2E2" w14:textId="77777777" w:rsidTr="008E185F">
        <w:trPr>
          <w:trHeight w:val="227"/>
          <w:jc w:val="right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F8472E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7380E9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Расходы на программную поддержку (13 процентов)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C954DA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378 105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6D1482E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221 000</w:t>
            </w:r>
          </w:p>
        </w:tc>
      </w:tr>
      <w:tr w:rsidR="002643D8" w:rsidRPr="00FE74F3" w14:paraId="4313945F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EA33E7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79FC6C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Общий итог (включая расходы на программную поддержку)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79983A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3 286 605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75C82D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1 921 000</w:t>
            </w:r>
          </w:p>
        </w:tc>
      </w:tr>
      <w:tr w:rsidR="002643D8" w:rsidRPr="00FE74F3" w14:paraId="0CBBC245" w14:textId="77777777" w:rsidTr="008E185F">
        <w:trPr>
          <w:trHeight w:val="227"/>
          <w:jc w:val="right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12FD16F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2826FC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Чрезвычайные дополнительные расходы для четвертого совещания Конференции Сторон (включая расходы на программную поддержку)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106368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111 079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667873B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</w:p>
        </w:tc>
      </w:tr>
      <w:tr w:rsidR="002643D8" w:rsidRPr="00FE74F3" w14:paraId="62F59253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A1890C2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B76251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Итоговая сумма, включая чрезвычайные расходы для четвертого совещания Конференции Сторон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E79A93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3 397 684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C5C7B5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</w:tr>
      <w:tr w:rsidR="002643D8" w:rsidRPr="00FE74F3" w14:paraId="60683E56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1FB577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/>
              </w:rPr>
            </w:pPr>
            <w:r w:rsidRPr="00FE74F3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2564300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Изъятие из дополнительного резерва оборотных средств (132 500 долл. США плюс расходы на программную поддержку)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2550C46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(149 725)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3C4CFE3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/>
              </w:rPr>
            </w:pPr>
          </w:p>
        </w:tc>
      </w:tr>
      <w:tr w:rsidR="002643D8" w:rsidRPr="00FE74F3" w14:paraId="138054FD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A2C4149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color w:val="000000"/>
                <w:sz w:val="18"/>
                <w:szCs w:val="18"/>
                <w:lang w:val="en-GB"/>
              </w:rPr>
            </w:pPr>
            <w:r w:rsidRPr="00FE74F3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ED15168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 xml:space="preserve">Экономия средств, выделенных в </w:t>
            </w:r>
            <w:proofErr w:type="gramStart"/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2020-2021</w:t>
            </w:r>
            <w:proofErr w:type="gramEnd"/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 xml:space="preserve"> годах на подготовку доклада о торговле (60 000 долл. США плюс расходы на программ</w:t>
            </w:r>
            <w:r>
              <w:rPr>
                <w:rFonts w:eastAsia="SimSun"/>
                <w:b/>
                <w:bCs/>
                <w:sz w:val="18"/>
                <w:szCs w:val="18"/>
                <w:lang w:val="ru-RU"/>
              </w:rPr>
              <w:t>ную</w:t>
            </w: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 xml:space="preserve"> поддержку)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F2CCBFD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sz w:val="18"/>
                <w:szCs w:val="18"/>
                <w:lang w:val="ru-RU"/>
              </w:rPr>
              <w:t>(67 800)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49A6E24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GB"/>
              </w:rPr>
            </w:pPr>
          </w:p>
        </w:tc>
      </w:tr>
      <w:tr w:rsidR="002643D8" w:rsidRPr="00FE74F3" w14:paraId="3F9B6285" w14:textId="77777777" w:rsidTr="008E185F">
        <w:trPr>
          <w:trHeight w:val="227"/>
          <w:jc w:val="right"/>
        </w:trPr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D4935B1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3C9DA197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ru-RU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Общая сумма, подлежащая покрытию за счет взносов Сторон и 60 процентов взноса принимающей страны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064CF2FA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FE74F3">
              <w:rPr>
                <w:rFonts w:eastAsia="SimSun"/>
                <w:b/>
                <w:bCs/>
                <w:sz w:val="18"/>
                <w:szCs w:val="18"/>
                <w:lang w:val="ru-RU"/>
              </w:rPr>
              <w:t>3 180 159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5112217C" w14:textId="77777777" w:rsidR="002643D8" w:rsidRPr="00FE74F3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</w:tr>
    </w:tbl>
    <w:p w14:paraId="471F654D" w14:textId="77777777" w:rsidR="002643D8" w:rsidRPr="0073447A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4082"/>
        </w:tabs>
        <w:spacing w:before="60"/>
        <w:ind w:left="1211"/>
        <w:rPr>
          <w:rFonts w:eastAsia="SimSun"/>
          <w:i/>
          <w:iCs/>
          <w:sz w:val="16"/>
          <w:szCs w:val="16"/>
          <w:lang w:val="en-US"/>
        </w:rPr>
      </w:pPr>
      <w:r w:rsidRPr="0073447A">
        <w:rPr>
          <w:rFonts w:eastAsia="SimSun"/>
          <w:i/>
          <w:iCs/>
          <w:sz w:val="18"/>
          <w:szCs w:val="18"/>
          <w:lang w:val="ru-RU"/>
        </w:rPr>
        <w:t>Примечания:</w:t>
      </w:r>
    </w:p>
    <w:p w14:paraId="1A7E24C6" w14:textId="77777777" w:rsidR="002643D8" w:rsidRPr="0073447A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/>
        <w:ind w:left="1213" w:firstLine="624"/>
        <w:rPr>
          <w:rFonts w:eastAsia="SimSun"/>
          <w:sz w:val="16"/>
          <w:szCs w:val="16"/>
          <w:lang w:val="ru-RU"/>
        </w:rPr>
      </w:pPr>
      <w:r w:rsidRPr="0073447A">
        <w:rPr>
          <w:rFonts w:eastAsia="SimSun"/>
          <w:sz w:val="18"/>
          <w:szCs w:val="18"/>
          <w:lang w:val="ru-RU"/>
        </w:rPr>
        <w:t>Деятельность в рамках временного бюджета на 2022 год будет рассмотрена на возобновленном четвертом совещании Конференции Сторон, чтобы убедиться, что она соответствует решениям, принятым на возобновленном четвертом совещании.</w:t>
      </w:r>
    </w:p>
    <w:p w14:paraId="745585AF" w14:textId="77777777" w:rsidR="002643D8" w:rsidRPr="0073447A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 w:after="240"/>
        <w:ind w:left="1213" w:firstLine="624"/>
        <w:rPr>
          <w:rFonts w:eastAsia="SimSun"/>
          <w:sz w:val="16"/>
          <w:szCs w:val="16"/>
          <w:lang w:val="ru-RU"/>
        </w:rPr>
      </w:pPr>
      <w:r w:rsidRPr="0073447A">
        <w:rPr>
          <w:rFonts w:eastAsia="SimSun"/>
          <w:sz w:val="18"/>
          <w:szCs w:val="18"/>
          <w:lang w:val="ru-RU"/>
        </w:rPr>
        <w:t>Настоящее решение следует рассматривать не как создание прецедента, а как прагматичное решение для продолжения работы секретариата в нынешней, весьма специфической ситуации.</w:t>
      </w:r>
    </w:p>
    <w:p w14:paraId="0FF68EE7" w14:textId="77777777" w:rsidR="002643D8" w:rsidRPr="004117E5" w:rsidRDefault="002643D8" w:rsidP="002643D8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4082"/>
        </w:tabs>
        <w:suppressAutoHyphens/>
        <w:spacing w:before="240" w:after="60"/>
        <w:rPr>
          <w:rFonts w:eastAsia="SimSun"/>
          <w:sz w:val="18"/>
          <w:szCs w:val="18"/>
          <w:lang w:val="ru-RU"/>
        </w:rPr>
      </w:pPr>
      <w:r w:rsidRPr="00896013">
        <w:rPr>
          <w:rFonts w:eastAsia="SimSun"/>
          <w:lang w:val="ru-RU"/>
        </w:rPr>
        <w:t>Таблица 2</w:t>
      </w:r>
      <w:r w:rsidRPr="004117E5">
        <w:rPr>
          <w:rFonts w:eastAsia="SimSun"/>
          <w:b/>
          <w:bCs/>
          <w:lang w:val="ru-RU"/>
        </w:rPr>
        <w:t xml:space="preserve"> </w:t>
      </w:r>
      <w:r>
        <w:rPr>
          <w:rFonts w:eastAsia="SimSun"/>
          <w:b/>
          <w:bCs/>
          <w:lang w:val="ru-RU"/>
        </w:rPr>
        <w:br/>
      </w:r>
      <w:r w:rsidRPr="004117E5">
        <w:rPr>
          <w:rFonts w:eastAsia="SimSun"/>
          <w:b/>
          <w:bCs/>
          <w:lang w:val="ru-RU"/>
        </w:rPr>
        <w:t xml:space="preserve">Обзор ориентировочной шкалы взносов и отчислений в Общий целевой фонд на 2022 год </w:t>
      </w:r>
      <w:r>
        <w:rPr>
          <w:rFonts w:eastAsia="SimSun"/>
          <w:b/>
          <w:bCs/>
          <w:lang w:val="ru-RU"/>
        </w:rPr>
        <w:br/>
      </w:r>
      <w:r w:rsidRPr="00896013">
        <w:rPr>
          <w:rFonts w:eastAsia="SimSun"/>
          <w:sz w:val="18"/>
          <w:szCs w:val="18"/>
          <w:lang w:val="ru-RU"/>
        </w:rPr>
        <w:t>(в долларах США)</w:t>
      </w:r>
    </w:p>
    <w:tbl>
      <w:tblPr>
        <w:tblW w:w="9582" w:type="dxa"/>
        <w:jc w:val="righ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86"/>
        <w:gridCol w:w="1945"/>
        <w:gridCol w:w="2166"/>
        <w:gridCol w:w="1785"/>
      </w:tblGrid>
      <w:tr w:rsidR="002643D8" w:rsidRPr="005662D0" w14:paraId="29B9C6FC" w14:textId="77777777" w:rsidTr="008E185F">
        <w:trPr>
          <w:trHeight w:val="227"/>
          <w:tblHeader/>
          <w:jc w:val="right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00D4DF0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rFonts w:eastAsia="SimSun"/>
                <w:i/>
                <w:iCs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i/>
                <w:iCs/>
                <w:sz w:val="18"/>
                <w:szCs w:val="18"/>
                <w:lang w:val="ru-RU"/>
              </w:rPr>
              <w:t>Сторона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17BEDD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rFonts w:eastAsia="SimSun"/>
                <w:i/>
                <w:iCs/>
                <w:sz w:val="18"/>
                <w:szCs w:val="18"/>
                <w:lang w:val="ru-RU"/>
              </w:rPr>
            </w:pPr>
            <w:r w:rsidRPr="005662D0">
              <w:rPr>
                <w:rFonts w:eastAsia="SimSun"/>
                <w:i/>
                <w:iCs/>
                <w:sz w:val="18"/>
                <w:szCs w:val="18"/>
                <w:lang w:val="ru-RU"/>
              </w:rPr>
              <w:t xml:space="preserve">Шкала взносов Организации Объединенных Наций на </w:t>
            </w:r>
            <w:proofErr w:type="gramStart"/>
            <w:r w:rsidRPr="005662D0">
              <w:rPr>
                <w:rFonts w:eastAsia="SimSun"/>
                <w:i/>
                <w:iCs/>
                <w:sz w:val="18"/>
                <w:szCs w:val="18"/>
                <w:lang w:val="ru-RU"/>
              </w:rPr>
              <w:t>2019-2021</w:t>
            </w:r>
            <w:proofErr w:type="gramEnd"/>
            <w:r w:rsidRPr="005662D0">
              <w:rPr>
                <w:rFonts w:eastAsia="SimSun"/>
                <w:i/>
                <w:iCs/>
                <w:sz w:val="18"/>
                <w:szCs w:val="18"/>
                <w:lang w:val="ru-RU"/>
              </w:rPr>
              <w:t xml:space="preserve"> годы (%)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A60786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rFonts w:eastAsia="SimSun"/>
                <w:i/>
                <w:iCs/>
                <w:sz w:val="18"/>
                <w:szCs w:val="18"/>
                <w:lang w:val="ru-RU"/>
              </w:rPr>
            </w:pPr>
            <w:r w:rsidRPr="005662D0">
              <w:rPr>
                <w:rFonts w:eastAsia="SimSun"/>
                <w:i/>
                <w:iCs/>
                <w:sz w:val="18"/>
                <w:szCs w:val="18"/>
                <w:lang w:val="ru-RU"/>
              </w:rPr>
              <w:t xml:space="preserve">Шкала для </w:t>
            </w:r>
            <w:proofErr w:type="spellStart"/>
            <w:r w:rsidRPr="005662D0">
              <w:rPr>
                <w:rFonts w:eastAsia="SimSun"/>
                <w:i/>
                <w:iCs/>
                <w:sz w:val="18"/>
                <w:szCs w:val="18"/>
                <w:lang w:val="ru-RU"/>
              </w:rPr>
              <w:t>Минаматской</w:t>
            </w:r>
            <w:proofErr w:type="spellEnd"/>
            <w:r w:rsidRPr="005662D0">
              <w:rPr>
                <w:rFonts w:eastAsia="SimSun"/>
                <w:i/>
                <w:iCs/>
                <w:sz w:val="18"/>
                <w:szCs w:val="18"/>
                <w:lang w:val="ru-RU"/>
              </w:rPr>
              <w:t xml:space="preserve"> конвенции с верхним пределом 22% и базовым уровнем 0,010% (%)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1F89D5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rFonts w:eastAsia="SimSun"/>
                <w:i/>
                <w:iCs/>
                <w:sz w:val="18"/>
                <w:szCs w:val="18"/>
                <w:lang w:val="ru-RU"/>
              </w:rPr>
            </w:pPr>
            <w:r w:rsidRPr="005662D0">
              <w:rPr>
                <w:rFonts w:eastAsia="SimSun"/>
                <w:i/>
                <w:iCs/>
                <w:sz w:val="18"/>
                <w:szCs w:val="18"/>
                <w:lang w:val="ru-RU"/>
              </w:rPr>
              <w:t xml:space="preserve">Общая сумма взносов в Общий целевой фонд </w:t>
            </w:r>
            <w:r>
              <w:rPr>
                <w:rFonts w:eastAsia="SimSun"/>
                <w:i/>
                <w:iCs/>
                <w:sz w:val="18"/>
                <w:szCs w:val="18"/>
                <w:lang w:val="ru-RU"/>
              </w:rPr>
              <w:br/>
            </w:r>
            <w:r w:rsidRPr="005662D0">
              <w:rPr>
                <w:rFonts w:eastAsia="SimSun"/>
                <w:i/>
                <w:iCs/>
                <w:sz w:val="18"/>
                <w:szCs w:val="18"/>
                <w:lang w:val="ru-RU"/>
              </w:rPr>
              <w:t xml:space="preserve">(2022 год) </w:t>
            </w:r>
            <w:r>
              <w:rPr>
                <w:rFonts w:eastAsia="SimSun"/>
                <w:i/>
                <w:iCs/>
                <w:sz w:val="18"/>
                <w:szCs w:val="18"/>
                <w:lang w:val="ru-RU"/>
              </w:rPr>
              <w:br/>
            </w:r>
            <w:r w:rsidRPr="005662D0">
              <w:rPr>
                <w:rFonts w:eastAsia="SimSun"/>
                <w:i/>
                <w:iCs/>
                <w:sz w:val="18"/>
                <w:szCs w:val="18"/>
                <w:lang w:val="ru-RU"/>
              </w:rPr>
              <w:t>(в долл</w:t>
            </w:r>
            <w:r>
              <w:rPr>
                <w:rFonts w:eastAsia="SimSun"/>
                <w:i/>
                <w:iCs/>
                <w:sz w:val="18"/>
                <w:szCs w:val="18"/>
                <w:lang w:val="ru-RU"/>
              </w:rPr>
              <w:t>.</w:t>
            </w:r>
            <w:r w:rsidRPr="005662D0">
              <w:rPr>
                <w:rFonts w:eastAsia="SimSun"/>
                <w:i/>
                <w:iCs/>
                <w:sz w:val="18"/>
                <w:szCs w:val="18"/>
                <w:lang w:val="ru-RU"/>
              </w:rPr>
              <w:t xml:space="preserve"> США)</w:t>
            </w:r>
          </w:p>
        </w:tc>
      </w:tr>
      <w:tr w:rsidR="002643D8" w:rsidRPr="005662D0" w14:paraId="0BEC7CB3" w14:textId="77777777" w:rsidTr="008E185F">
        <w:trPr>
          <w:trHeight w:val="227"/>
          <w:jc w:val="right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571375E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b/>
                <w:bCs/>
                <w:sz w:val="18"/>
                <w:szCs w:val="18"/>
                <w:lang w:val="ru-RU"/>
              </w:rPr>
              <w:t>Государства Африки (37)</w:t>
            </w:r>
          </w:p>
        </w:tc>
        <w:tc>
          <w:tcPr>
            <w:tcW w:w="194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09E2BC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5662D0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216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F015DF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5662D0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27F625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5662D0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643D8" w:rsidRPr="005662D0" w14:paraId="74E9328D" w14:textId="77777777" w:rsidTr="008E185F">
        <w:trPr>
          <w:trHeight w:val="227"/>
          <w:jc w:val="right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A78916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Бенин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E6E127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0,003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FC79CC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7D72D1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75CABD83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14546B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Ботсвана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9B64E6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0,014</w:t>
            </w:r>
          </w:p>
        </w:tc>
        <w:tc>
          <w:tcPr>
            <w:tcW w:w="2166" w:type="dxa"/>
            <w:noWrap/>
            <w:hideMark/>
          </w:tcPr>
          <w:p w14:paraId="71EB2F5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0,0157</w:t>
            </w:r>
          </w:p>
        </w:tc>
        <w:tc>
          <w:tcPr>
            <w:tcW w:w="1785" w:type="dxa"/>
            <w:noWrap/>
            <w:hideMark/>
          </w:tcPr>
          <w:p w14:paraId="66841FF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404</w:t>
            </w:r>
          </w:p>
        </w:tc>
      </w:tr>
      <w:tr w:rsidR="002643D8" w:rsidRPr="005662D0" w14:paraId="59C41BB0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DD53DA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Буркина-Фасо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78AC160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0,003</w:t>
            </w:r>
          </w:p>
        </w:tc>
        <w:tc>
          <w:tcPr>
            <w:tcW w:w="2166" w:type="dxa"/>
            <w:noWrap/>
            <w:hideMark/>
          </w:tcPr>
          <w:p w14:paraId="7CD6C27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55EF560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50EF4A95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5367244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Бурунди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36E77C8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69A029F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4077D9E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418AE852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70D23E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lastRenderedPageBreak/>
              <w:t>Камерун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E270C5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0,013</w:t>
            </w:r>
          </w:p>
        </w:tc>
        <w:tc>
          <w:tcPr>
            <w:tcW w:w="2166" w:type="dxa"/>
            <w:noWrap/>
            <w:hideMark/>
          </w:tcPr>
          <w:p w14:paraId="5B12358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0,0146</w:t>
            </w:r>
          </w:p>
        </w:tc>
        <w:tc>
          <w:tcPr>
            <w:tcW w:w="1785" w:type="dxa"/>
            <w:noWrap/>
            <w:hideMark/>
          </w:tcPr>
          <w:p w14:paraId="649BA16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375</w:t>
            </w:r>
          </w:p>
        </w:tc>
      </w:tr>
      <w:tr w:rsidR="002643D8" w:rsidRPr="005662D0" w14:paraId="0504D73C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8FF62B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Центральноафриканская Республика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87AC08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2839B24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4879D59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413C6DB7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5C1BB3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Чад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437089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0,004</w:t>
            </w:r>
          </w:p>
        </w:tc>
        <w:tc>
          <w:tcPr>
            <w:tcW w:w="2166" w:type="dxa"/>
            <w:noWrap/>
            <w:hideMark/>
          </w:tcPr>
          <w:p w14:paraId="1E514EC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30477AB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50C88676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649E32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Коморские Острова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B9BB7D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3FE986A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7CE0A28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66DD5A91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7DB404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Конго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713E7ED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0,006</w:t>
            </w:r>
          </w:p>
        </w:tc>
        <w:tc>
          <w:tcPr>
            <w:tcW w:w="2166" w:type="dxa"/>
            <w:noWrap/>
            <w:hideMark/>
          </w:tcPr>
          <w:p w14:paraId="059613F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6989CF2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34286002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54E8647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Кот-д'Ивуар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7263D3E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0,013</w:t>
            </w:r>
          </w:p>
        </w:tc>
        <w:tc>
          <w:tcPr>
            <w:tcW w:w="2166" w:type="dxa"/>
            <w:noWrap/>
            <w:hideMark/>
          </w:tcPr>
          <w:p w14:paraId="7AC4D2C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0,0146</w:t>
            </w:r>
          </w:p>
        </w:tc>
        <w:tc>
          <w:tcPr>
            <w:tcW w:w="1785" w:type="dxa"/>
            <w:noWrap/>
            <w:hideMark/>
          </w:tcPr>
          <w:p w14:paraId="6BD70D5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375</w:t>
            </w:r>
          </w:p>
        </w:tc>
      </w:tr>
      <w:tr w:rsidR="002643D8" w:rsidRPr="005662D0" w14:paraId="2D9E7BB9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BF801A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Джибути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46302E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257274F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32FCF70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096FEA1A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3FD456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Экваториальная Гвинея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65CF23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0,016</w:t>
            </w:r>
          </w:p>
        </w:tc>
        <w:tc>
          <w:tcPr>
            <w:tcW w:w="2166" w:type="dxa"/>
            <w:noWrap/>
            <w:hideMark/>
          </w:tcPr>
          <w:p w14:paraId="06C4E16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0,0180</w:t>
            </w:r>
          </w:p>
        </w:tc>
        <w:tc>
          <w:tcPr>
            <w:tcW w:w="1785" w:type="dxa"/>
            <w:noWrap/>
            <w:hideMark/>
          </w:tcPr>
          <w:p w14:paraId="4A06FEF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462</w:t>
            </w:r>
          </w:p>
        </w:tc>
      </w:tr>
      <w:tr w:rsidR="002643D8" w:rsidRPr="005662D0" w14:paraId="4925A5EE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574ACE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Эсватини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81A025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0,002</w:t>
            </w:r>
          </w:p>
        </w:tc>
        <w:tc>
          <w:tcPr>
            <w:tcW w:w="2166" w:type="dxa"/>
            <w:noWrap/>
            <w:hideMark/>
          </w:tcPr>
          <w:p w14:paraId="68D9B1E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028BD2E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2BC21141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45B6B0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Габон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226255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0,015</w:t>
            </w:r>
          </w:p>
        </w:tc>
        <w:tc>
          <w:tcPr>
            <w:tcW w:w="2166" w:type="dxa"/>
            <w:noWrap/>
            <w:hideMark/>
          </w:tcPr>
          <w:p w14:paraId="0C744C9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0,0169</w:t>
            </w:r>
          </w:p>
        </w:tc>
        <w:tc>
          <w:tcPr>
            <w:tcW w:w="1785" w:type="dxa"/>
            <w:noWrap/>
            <w:hideMark/>
          </w:tcPr>
          <w:p w14:paraId="64ABBEC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433</w:t>
            </w:r>
          </w:p>
        </w:tc>
      </w:tr>
      <w:tr w:rsidR="002643D8" w:rsidRPr="005662D0" w14:paraId="135B9D3B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F1CADA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Гамбия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A3F8F2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1362B13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4C34743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6AC850CA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CAB90D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Гана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CE0489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0,015</w:t>
            </w:r>
          </w:p>
        </w:tc>
        <w:tc>
          <w:tcPr>
            <w:tcW w:w="2166" w:type="dxa"/>
            <w:noWrap/>
            <w:hideMark/>
          </w:tcPr>
          <w:p w14:paraId="634EBE4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0,0169</w:t>
            </w:r>
          </w:p>
        </w:tc>
        <w:tc>
          <w:tcPr>
            <w:tcW w:w="1785" w:type="dxa"/>
            <w:noWrap/>
            <w:hideMark/>
          </w:tcPr>
          <w:p w14:paraId="5EE74ED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433</w:t>
            </w:r>
          </w:p>
        </w:tc>
      </w:tr>
      <w:tr w:rsidR="002643D8" w:rsidRPr="005662D0" w14:paraId="1D937629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1D0488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Гвинея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E7C03B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0,003</w:t>
            </w:r>
          </w:p>
        </w:tc>
        <w:tc>
          <w:tcPr>
            <w:tcW w:w="2166" w:type="dxa"/>
            <w:noWrap/>
            <w:hideMark/>
          </w:tcPr>
          <w:p w14:paraId="06A8648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0525FE2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609319FE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D28B68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Гвинея-Бисау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DEEEBE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31DDB43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2158A3D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43546217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65914C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Лесото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227E87D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6B2DCE0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574669C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23933623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1743D6B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Мадагаскар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208FD89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0,004</w:t>
            </w:r>
          </w:p>
        </w:tc>
        <w:tc>
          <w:tcPr>
            <w:tcW w:w="2166" w:type="dxa"/>
            <w:noWrap/>
            <w:hideMark/>
          </w:tcPr>
          <w:p w14:paraId="497594C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3ED8F09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07DF14AF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6190AFA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Мали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6AFC32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0,004</w:t>
            </w:r>
          </w:p>
        </w:tc>
        <w:tc>
          <w:tcPr>
            <w:tcW w:w="2166" w:type="dxa"/>
            <w:noWrap/>
            <w:hideMark/>
          </w:tcPr>
          <w:p w14:paraId="1FDEAA6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3C3CE9B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3BC84C46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1429331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Мавритания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B992DE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0,002</w:t>
            </w:r>
          </w:p>
        </w:tc>
        <w:tc>
          <w:tcPr>
            <w:tcW w:w="2166" w:type="dxa"/>
            <w:noWrap/>
            <w:hideMark/>
          </w:tcPr>
          <w:p w14:paraId="0E82D42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4C10CE5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0DDB70BC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E22F88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Маврикий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6EA4A6A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0,011</w:t>
            </w:r>
          </w:p>
        </w:tc>
        <w:tc>
          <w:tcPr>
            <w:tcW w:w="2166" w:type="dxa"/>
            <w:noWrap/>
            <w:hideMark/>
          </w:tcPr>
          <w:p w14:paraId="3D9B736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0,0124</w:t>
            </w:r>
          </w:p>
        </w:tc>
        <w:tc>
          <w:tcPr>
            <w:tcW w:w="1785" w:type="dxa"/>
            <w:noWrap/>
            <w:hideMark/>
          </w:tcPr>
          <w:p w14:paraId="0FA6D23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318</w:t>
            </w:r>
          </w:p>
        </w:tc>
      </w:tr>
      <w:tr w:rsidR="002643D8" w:rsidRPr="005662D0" w14:paraId="63889EAB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6808D3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Намибия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7CB6B4F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0,009</w:t>
            </w:r>
          </w:p>
        </w:tc>
        <w:tc>
          <w:tcPr>
            <w:tcW w:w="2166" w:type="dxa"/>
            <w:noWrap/>
            <w:hideMark/>
          </w:tcPr>
          <w:p w14:paraId="084A8D0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2F1213A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7027B058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B3BFE6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Нигер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79ABD8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0,002</w:t>
            </w:r>
          </w:p>
        </w:tc>
        <w:tc>
          <w:tcPr>
            <w:tcW w:w="2166" w:type="dxa"/>
            <w:noWrap/>
            <w:hideMark/>
          </w:tcPr>
          <w:p w14:paraId="2665F2A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3019FDB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73FD1731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DA50FC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Нигерия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05A85F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0,25</w:t>
            </w:r>
          </w:p>
        </w:tc>
        <w:tc>
          <w:tcPr>
            <w:tcW w:w="2166" w:type="dxa"/>
            <w:noWrap/>
            <w:hideMark/>
          </w:tcPr>
          <w:p w14:paraId="2BD2B55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0,2811</w:t>
            </w:r>
          </w:p>
        </w:tc>
        <w:tc>
          <w:tcPr>
            <w:tcW w:w="1785" w:type="dxa"/>
            <w:noWrap/>
            <w:hideMark/>
          </w:tcPr>
          <w:p w14:paraId="4D84A00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7 217</w:t>
            </w:r>
          </w:p>
        </w:tc>
      </w:tr>
      <w:tr w:rsidR="002643D8" w:rsidRPr="005662D0" w14:paraId="44B3BC49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F6FB86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Руанда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C01F5C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0,003</w:t>
            </w:r>
          </w:p>
        </w:tc>
        <w:tc>
          <w:tcPr>
            <w:tcW w:w="2166" w:type="dxa"/>
            <w:noWrap/>
            <w:hideMark/>
          </w:tcPr>
          <w:p w14:paraId="423F7DA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18C47B1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22EABC32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E4B119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Сан-Томе и Принсипи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60EDA15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17548E1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21DC7E6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6E0FC12B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2427E2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Сенегал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6BEEED5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0,007</w:t>
            </w:r>
          </w:p>
        </w:tc>
        <w:tc>
          <w:tcPr>
            <w:tcW w:w="2166" w:type="dxa"/>
            <w:noWrap/>
            <w:hideMark/>
          </w:tcPr>
          <w:p w14:paraId="48142BE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48E4013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74D05F2C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6D728A2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Сейшельские Острова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E2BCE6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0,002</w:t>
            </w:r>
          </w:p>
        </w:tc>
        <w:tc>
          <w:tcPr>
            <w:tcW w:w="2166" w:type="dxa"/>
            <w:noWrap/>
            <w:hideMark/>
          </w:tcPr>
          <w:p w14:paraId="519AB24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36B5BAE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093C7166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8E015B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Сьерра-Леоне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7ADFBB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789DE35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5C28186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43EF34A1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6ED70AF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Южная Африка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ACC159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0,272</w:t>
            </w:r>
          </w:p>
        </w:tc>
        <w:tc>
          <w:tcPr>
            <w:tcW w:w="2166" w:type="dxa"/>
            <w:noWrap/>
            <w:hideMark/>
          </w:tcPr>
          <w:p w14:paraId="12664CA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0,3058</w:t>
            </w:r>
          </w:p>
        </w:tc>
        <w:tc>
          <w:tcPr>
            <w:tcW w:w="1785" w:type="dxa"/>
            <w:noWrap/>
            <w:hideMark/>
          </w:tcPr>
          <w:p w14:paraId="79977EF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7 852</w:t>
            </w:r>
          </w:p>
        </w:tc>
      </w:tr>
      <w:tr w:rsidR="002643D8" w:rsidRPr="005662D0" w14:paraId="4C9F6D68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AC2EF6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Того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336770B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0,002</w:t>
            </w:r>
          </w:p>
        </w:tc>
        <w:tc>
          <w:tcPr>
            <w:tcW w:w="2166" w:type="dxa"/>
            <w:noWrap/>
            <w:hideMark/>
          </w:tcPr>
          <w:p w14:paraId="225B6FE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28E0A17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53A4E016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1B350F7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Уганда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D9E21A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0,008</w:t>
            </w:r>
          </w:p>
        </w:tc>
        <w:tc>
          <w:tcPr>
            <w:tcW w:w="2166" w:type="dxa"/>
            <w:noWrap/>
            <w:hideMark/>
          </w:tcPr>
          <w:p w14:paraId="167E58C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0820212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7058A192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7357CB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Объединенная Республика Танзания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9FD5DD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</w:t>
            </w:r>
          </w:p>
        </w:tc>
        <w:tc>
          <w:tcPr>
            <w:tcW w:w="2166" w:type="dxa"/>
            <w:noWrap/>
            <w:hideMark/>
          </w:tcPr>
          <w:p w14:paraId="68056B7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0,0112</w:t>
            </w:r>
          </w:p>
        </w:tc>
        <w:tc>
          <w:tcPr>
            <w:tcW w:w="1785" w:type="dxa"/>
            <w:noWrap/>
            <w:hideMark/>
          </w:tcPr>
          <w:p w14:paraId="32F8080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289</w:t>
            </w:r>
          </w:p>
        </w:tc>
      </w:tr>
      <w:tr w:rsidR="002643D8" w:rsidRPr="005662D0" w14:paraId="20DEB3AF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133B649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Замбия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688F973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0,009</w:t>
            </w:r>
          </w:p>
        </w:tc>
        <w:tc>
          <w:tcPr>
            <w:tcW w:w="2166" w:type="dxa"/>
            <w:noWrap/>
            <w:hideMark/>
          </w:tcPr>
          <w:p w14:paraId="67A87A4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4567240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43350D5C" w14:textId="77777777" w:rsidTr="008E185F">
        <w:trPr>
          <w:trHeight w:val="227"/>
          <w:jc w:val="right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A9FF37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Зимбабве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54B696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91874F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A4BA63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7A31AA96" w14:textId="77777777" w:rsidTr="008E185F">
        <w:trPr>
          <w:trHeight w:val="227"/>
          <w:jc w:val="right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54E59D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662D0">
              <w:rPr>
                <w:rFonts w:eastAsia="SimSun"/>
                <w:b/>
                <w:bCs/>
                <w:sz w:val="18"/>
                <w:szCs w:val="18"/>
                <w:lang w:val="ru-RU"/>
              </w:rPr>
              <w:t>Государства Азии и Тихого океана (35)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9DA4C2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662D0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6A837F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662D0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4E785A6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662D0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643D8" w:rsidRPr="005662D0" w14:paraId="4B693A95" w14:textId="77777777" w:rsidTr="008E185F">
        <w:trPr>
          <w:trHeight w:val="227"/>
          <w:jc w:val="right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5E6A360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Афганистан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2BA775F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0,007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2668E1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3666CD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587D5CDF" w14:textId="77777777" w:rsidTr="008E185F">
        <w:trPr>
          <w:trHeight w:val="227"/>
          <w:jc w:val="right"/>
        </w:trPr>
        <w:tc>
          <w:tcPr>
            <w:tcW w:w="3686" w:type="dxa"/>
            <w:noWrap/>
            <w:hideMark/>
          </w:tcPr>
          <w:p w14:paraId="1EF949D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Бахрейн</w:t>
            </w:r>
          </w:p>
        </w:tc>
        <w:tc>
          <w:tcPr>
            <w:tcW w:w="1945" w:type="dxa"/>
            <w:noWrap/>
            <w:hideMark/>
          </w:tcPr>
          <w:p w14:paraId="5C934DB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0,05</w:t>
            </w:r>
          </w:p>
        </w:tc>
        <w:tc>
          <w:tcPr>
            <w:tcW w:w="2166" w:type="dxa"/>
            <w:noWrap/>
            <w:hideMark/>
          </w:tcPr>
          <w:p w14:paraId="1A18782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0,0562</w:t>
            </w:r>
          </w:p>
        </w:tc>
        <w:tc>
          <w:tcPr>
            <w:tcW w:w="1785" w:type="dxa"/>
            <w:noWrap/>
            <w:hideMark/>
          </w:tcPr>
          <w:p w14:paraId="37C6963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1 443</w:t>
            </w:r>
          </w:p>
        </w:tc>
      </w:tr>
      <w:tr w:rsidR="002643D8" w:rsidRPr="005662D0" w14:paraId="3ACB3F86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5C60CD3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Камбоджа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8AEDBD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0,006</w:t>
            </w:r>
          </w:p>
        </w:tc>
        <w:tc>
          <w:tcPr>
            <w:tcW w:w="2166" w:type="dxa"/>
            <w:noWrap/>
            <w:hideMark/>
          </w:tcPr>
          <w:p w14:paraId="37351E9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0BE3BCB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0F9BD74E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250D45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Китай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1EFE81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12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005</w:t>
            </w:r>
          </w:p>
        </w:tc>
        <w:tc>
          <w:tcPr>
            <w:tcW w:w="2166" w:type="dxa"/>
            <w:noWrap/>
            <w:hideMark/>
          </w:tcPr>
          <w:p w14:paraId="3BA6F72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13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4983</w:t>
            </w:r>
          </w:p>
        </w:tc>
        <w:tc>
          <w:tcPr>
            <w:tcW w:w="1785" w:type="dxa"/>
            <w:noWrap/>
            <w:hideMark/>
          </w:tcPr>
          <w:p w14:paraId="0F6422E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346 547</w:t>
            </w:r>
          </w:p>
        </w:tc>
      </w:tr>
      <w:tr w:rsidR="002643D8" w:rsidRPr="005662D0" w14:paraId="0012F4B0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689F879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Кипр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B21141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0,036</w:t>
            </w:r>
          </w:p>
        </w:tc>
        <w:tc>
          <w:tcPr>
            <w:tcW w:w="2166" w:type="dxa"/>
            <w:noWrap/>
            <w:hideMark/>
          </w:tcPr>
          <w:p w14:paraId="4F0D136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0,0405</w:t>
            </w:r>
          </w:p>
        </w:tc>
        <w:tc>
          <w:tcPr>
            <w:tcW w:w="1785" w:type="dxa"/>
            <w:noWrap/>
            <w:hideMark/>
          </w:tcPr>
          <w:p w14:paraId="43ADDD6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1 039</w:t>
            </w:r>
          </w:p>
        </w:tc>
      </w:tr>
      <w:tr w:rsidR="002643D8" w:rsidRPr="005662D0" w14:paraId="7C4B4FBD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241AF9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Индия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CFB3CA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0,834</w:t>
            </w:r>
          </w:p>
        </w:tc>
        <w:tc>
          <w:tcPr>
            <w:tcW w:w="2166" w:type="dxa"/>
            <w:noWrap/>
            <w:hideMark/>
          </w:tcPr>
          <w:p w14:paraId="2D51DA4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0,9377</w:t>
            </w:r>
          </w:p>
        </w:tc>
        <w:tc>
          <w:tcPr>
            <w:tcW w:w="1785" w:type="dxa"/>
            <w:noWrap/>
            <w:hideMark/>
          </w:tcPr>
          <w:p w14:paraId="382EF3C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24 075</w:t>
            </w:r>
          </w:p>
        </w:tc>
      </w:tr>
      <w:tr w:rsidR="002643D8" w:rsidRPr="005662D0" w14:paraId="5F021623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03F112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Индонезия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3E82CD9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0,543</w:t>
            </w:r>
          </w:p>
        </w:tc>
        <w:tc>
          <w:tcPr>
            <w:tcW w:w="2166" w:type="dxa"/>
            <w:noWrap/>
            <w:hideMark/>
          </w:tcPr>
          <w:p w14:paraId="3B1585B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0,6105</w:t>
            </w:r>
          </w:p>
        </w:tc>
        <w:tc>
          <w:tcPr>
            <w:tcW w:w="1785" w:type="dxa"/>
            <w:noWrap/>
            <w:hideMark/>
          </w:tcPr>
          <w:p w14:paraId="43B7033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15 675</w:t>
            </w:r>
          </w:p>
        </w:tc>
      </w:tr>
      <w:tr w:rsidR="002643D8" w:rsidRPr="005662D0" w14:paraId="5453E7C8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6E18246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Иран (Исламская Республика)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2F39DF5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0,398</w:t>
            </w:r>
          </w:p>
        </w:tc>
        <w:tc>
          <w:tcPr>
            <w:tcW w:w="2166" w:type="dxa"/>
            <w:noWrap/>
            <w:hideMark/>
          </w:tcPr>
          <w:p w14:paraId="5A399E3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0,4475</w:t>
            </w:r>
          </w:p>
        </w:tc>
        <w:tc>
          <w:tcPr>
            <w:tcW w:w="1785" w:type="dxa"/>
            <w:noWrap/>
            <w:hideMark/>
          </w:tcPr>
          <w:p w14:paraId="6F7771C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11 489</w:t>
            </w:r>
          </w:p>
        </w:tc>
      </w:tr>
      <w:tr w:rsidR="002643D8" w:rsidRPr="005662D0" w14:paraId="7966F040" w14:textId="77777777" w:rsidTr="008E185F">
        <w:trPr>
          <w:trHeight w:val="227"/>
          <w:jc w:val="right"/>
        </w:trPr>
        <w:tc>
          <w:tcPr>
            <w:tcW w:w="3686" w:type="dxa"/>
            <w:noWrap/>
            <w:hideMark/>
          </w:tcPr>
          <w:p w14:paraId="31EFC87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Ирак</w:t>
            </w:r>
          </w:p>
        </w:tc>
        <w:tc>
          <w:tcPr>
            <w:tcW w:w="1945" w:type="dxa"/>
            <w:noWrap/>
            <w:hideMark/>
          </w:tcPr>
          <w:p w14:paraId="56E92FE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0,129</w:t>
            </w:r>
          </w:p>
        </w:tc>
        <w:tc>
          <w:tcPr>
            <w:tcW w:w="2166" w:type="dxa"/>
            <w:noWrap/>
            <w:hideMark/>
          </w:tcPr>
          <w:p w14:paraId="4AE07CA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0,1450</w:t>
            </w:r>
          </w:p>
        </w:tc>
        <w:tc>
          <w:tcPr>
            <w:tcW w:w="1785" w:type="dxa"/>
            <w:noWrap/>
            <w:hideMark/>
          </w:tcPr>
          <w:p w14:paraId="2119E4B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3 724</w:t>
            </w:r>
          </w:p>
        </w:tc>
      </w:tr>
      <w:tr w:rsidR="002643D8" w:rsidRPr="005662D0" w14:paraId="55074AFD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D1BCFE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Япония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2F04503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8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564</w:t>
            </w:r>
          </w:p>
        </w:tc>
        <w:tc>
          <w:tcPr>
            <w:tcW w:w="2166" w:type="dxa"/>
            <w:noWrap/>
            <w:hideMark/>
          </w:tcPr>
          <w:p w14:paraId="538588A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9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6293</w:t>
            </w:r>
          </w:p>
        </w:tc>
        <w:tc>
          <w:tcPr>
            <w:tcW w:w="1785" w:type="dxa"/>
            <w:noWrap/>
            <w:hideMark/>
          </w:tcPr>
          <w:p w14:paraId="44D907A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247 216</w:t>
            </w:r>
          </w:p>
        </w:tc>
      </w:tr>
      <w:tr w:rsidR="002643D8" w:rsidRPr="005662D0" w14:paraId="5F2C86F6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13D4A40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Иордания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FA56B6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0,021</w:t>
            </w:r>
          </w:p>
        </w:tc>
        <w:tc>
          <w:tcPr>
            <w:tcW w:w="2166" w:type="dxa"/>
            <w:noWrap/>
            <w:hideMark/>
          </w:tcPr>
          <w:p w14:paraId="6815ED2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0,0236</w:t>
            </w:r>
          </w:p>
        </w:tc>
        <w:tc>
          <w:tcPr>
            <w:tcW w:w="1785" w:type="dxa"/>
            <w:noWrap/>
            <w:hideMark/>
          </w:tcPr>
          <w:p w14:paraId="2C3743B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606</w:t>
            </w:r>
          </w:p>
        </w:tc>
      </w:tr>
      <w:tr w:rsidR="002643D8" w:rsidRPr="005662D0" w14:paraId="15E0C471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A4264E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Кирибати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7025F47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7B1F7CE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02085CE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6FC50ABE" w14:textId="77777777" w:rsidTr="008E185F">
        <w:trPr>
          <w:trHeight w:val="227"/>
          <w:jc w:val="right"/>
        </w:trPr>
        <w:tc>
          <w:tcPr>
            <w:tcW w:w="3686" w:type="dxa"/>
            <w:noWrap/>
            <w:hideMark/>
          </w:tcPr>
          <w:p w14:paraId="6ADCD13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lastRenderedPageBreak/>
              <w:t>Республика Корея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3452CAE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267</w:t>
            </w:r>
          </w:p>
        </w:tc>
        <w:tc>
          <w:tcPr>
            <w:tcW w:w="2166" w:type="dxa"/>
            <w:noWrap/>
            <w:hideMark/>
          </w:tcPr>
          <w:p w14:paraId="673EC21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5490</w:t>
            </w:r>
          </w:p>
        </w:tc>
        <w:tc>
          <w:tcPr>
            <w:tcW w:w="1785" w:type="dxa"/>
            <w:noWrap/>
            <w:hideMark/>
          </w:tcPr>
          <w:p w14:paraId="6DA8620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65 441</w:t>
            </w:r>
          </w:p>
        </w:tc>
      </w:tr>
      <w:tr w:rsidR="002643D8" w:rsidRPr="005662D0" w14:paraId="7B250614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53A0C6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Кувейт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EFA2B6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0,252</w:t>
            </w:r>
          </w:p>
        </w:tc>
        <w:tc>
          <w:tcPr>
            <w:tcW w:w="2166" w:type="dxa"/>
            <w:noWrap/>
            <w:hideMark/>
          </w:tcPr>
          <w:p w14:paraId="6E60B90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0,2833</w:t>
            </w:r>
          </w:p>
        </w:tc>
        <w:tc>
          <w:tcPr>
            <w:tcW w:w="1785" w:type="dxa"/>
            <w:noWrap/>
            <w:hideMark/>
          </w:tcPr>
          <w:p w14:paraId="0FA6555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7 274</w:t>
            </w:r>
          </w:p>
        </w:tc>
      </w:tr>
      <w:tr w:rsidR="002643D8" w:rsidRPr="005662D0" w14:paraId="1AAB1CFF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566729C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Лаосская Народно-Демократическая Республика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EBB4CC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0,005</w:t>
            </w:r>
          </w:p>
        </w:tc>
        <w:tc>
          <w:tcPr>
            <w:tcW w:w="2166" w:type="dxa"/>
            <w:noWrap/>
            <w:hideMark/>
          </w:tcPr>
          <w:p w14:paraId="027C533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769058C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34D18E39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184248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Ливан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35790F6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0,047</w:t>
            </w:r>
          </w:p>
        </w:tc>
        <w:tc>
          <w:tcPr>
            <w:tcW w:w="2166" w:type="dxa"/>
            <w:noWrap/>
            <w:hideMark/>
          </w:tcPr>
          <w:p w14:paraId="004FBDA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0,0528</w:t>
            </w:r>
          </w:p>
        </w:tc>
        <w:tc>
          <w:tcPr>
            <w:tcW w:w="1785" w:type="dxa"/>
            <w:noWrap/>
            <w:hideMark/>
          </w:tcPr>
          <w:p w14:paraId="0E2B791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1 357</w:t>
            </w:r>
          </w:p>
        </w:tc>
      </w:tr>
      <w:tr w:rsidR="002643D8" w:rsidRPr="005662D0" w14:paraId="0363192D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6649F64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Маршалловы Острова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3E790DF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45192A8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71812B3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4DD561A3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BC9782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Монголия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B12B7A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0,005</w:t>
            </w:r>
          </w:p>
        </w:tc>
        <w:tc>
          <w:tcPr>
            <w:tcW w:w="2166" w:type="dxa"/>
            <w:noWrap/>
            <w:hideMark/>
          </w:tcPr>
          <w:p w14:paraId="281D1CF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7FED4DF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0E3BBBE5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E0F80C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Оман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3CB647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0,115</w:t>
            </w:r>
          </w:p>
        </w:tc>
        <w:tc>
          <w:tcPr>
            <w:tcW w:w="2166" w:type="dxa"/>
            <w:noWrap/>
            <w:hideMark/>
          </w:tcPr>
          <w:p w14:paraId="2CD95EA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0,1293</w:t>
            </w:r>
          </w:p>
        </w:tc>
        <w:tc>
          <w:tcPr>
            <w:tcW w:w="1785" w:type="dxa"/>
            <w:noWrap/>
            <w:hideMark/>
          </w:tcPr>
          <w:p w14:paraId="2A11F6F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3 320</w:t>
            </w:r>
          </w:p>
        </w:tc>
      </w:tr>
      <w:tr w:rsidR="002643D8" w:rsidRPr="005662D0" w14:paraId="6D6CFA97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4A3FE1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Пакистан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25746D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0,115</w:t>
            </w:r>
          </w:p>
        </w:tc>
        <w:tc>
          <w:tcPr>
            <w:tcW w:w="2166" w:type="dxa"/>
            <w:noWrap/>
            <w:hideMark/>
          </w:tcPr>
          <w:p w14:paraId="29449BF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0,1293</w:t>
            </w:r>
          </w:p>
        </w:tc>
        <w:tc>
          <w:tcPr>
            <w:tcW w:w="1785" w:type="dxa"/>
            <w:noWrap/>
            <w:hideMark/>
          </w:tcPr>
          <w:p w14:paraId="481F222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3 320</w:t>
            </w:r>
          </w:p>
        </w:tc>
      </w:tr>
      <w:tr w:rsidR="002643D8" w:rsidRPr="005662D0" w14:paraId="32172D88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8D6725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Палау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25EC197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6D9AB39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62E97AC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613796F3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E3A981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Филиппины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68E89FF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0,205</w:t>
            </w:r>
          </w:p>
        </w:tc>
        <w:tc>
          <w:tcPr>
            <w:tcW w:w="2166" w:type="dxa"/>
            <w:noWrap/>
            <w:hideMark/>
          </w:tcPr>
          <w:p w14:paraId="3F4D8DC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0,2305</w:t>
            </w:r>
          </w:p>
        </w:tc>
        <w:tc>
          <w:tcPr>
            <w:tcW w:w="1785" w:type="dxa"/>
            <w:noWrap/>
            <w:hideMark/>
          </w:tcPr>
          <w:p w14:paraId="1D44532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5 918</w:t>
            </w:r>
          </w:p>
        </w:tc>
      </w:tr>
      <w:tr w:rsidR="002643D8" w:rsidRPr="005662D0" w14:paraId="127CDBB0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CA6CB8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Катар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5DBFA4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0,282</w:t>
            </w:r>
          </w:p>
        </w:tc>
        <w:tc>
          <w:tcPr>
            <w:tcW w:w="2166" w:type="dxa"/>
            <w:noWrap/>
            <w:hideMark/>
          </w:tcPr>
          <w:p w14:paraId="331D3AA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0,3171</w:t>
            </w:r>
          </w:p>
        </w:tc>
        <w:tc>
          <w:tcPr>
            <w:tcW w:w="1785" w:type="dxa"/>
            <w:noWrap/>
            <w:hideMark/>
          </w:tcPr>
          <w:p w14:paraId="035FEFB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8 140</w:t>
            </w:r>
          </w:p>
        </w:tc>
      </w:tr>
      <w:tr w:rsidR="002643D8" w:rsidRPr="005662D0" w14:paraId="40C5913A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5B04A0F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Самоа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BA0F0A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483C782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52DB43D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771B392E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66131E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Саудовская Аравия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9C4C1A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172</w:t>
            </w:r>
          </w:p>
        </w:tc>
        <w:tc>
          <w:tcPr>
            <w:tcW w:w="2166" w:type="dxa"/>
            <w:noWrap/>
            <w:hideMark/>
          </w:tcPr>
          <w:p w14:paraId="5C4660B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3178</w:t>
            </w:r>
          </w:p>
        </w:tc>
        <w:tc>
          <w:tcPr>
            <w:tcW w:w="1785" w:type="dxa"/>
            <w:noWrap/>
            <w:hideMark/>
          </w:tcPr>
          <w:p w14:paraId="12F90AA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33 832</w:t>
            </w:r>
          </w:p>
        </w:tc>
      </w:tr>
      <w:tr w:rsidR="002643D8" w:rsidRPr="005662D0" w14:paraId="4CFB6D55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6A6D8B9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Сингапур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791706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0,485</w:t>
            </w:r>
          </w:p>
        </w:tc>
        <w:tc>
          <w:tcPr>
            <w:tcW w:w="2166" w:type="dxa"/>
            <w:noWrap/>
            <w:hideMark/>
          </w:tcPr>
          <w:p w14:paraId="7191267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0,5453</w:t>
            </w:r>
          </w:p>
        </w:tc>
        <w:tc>
          <w:tcPr>
            <w:tcW w:w="1785" w:type="dxa"/>
            <w:noWrap/>
            <w:hideMark/>
          </w:tcPr>
          <w:p w14:paraId="687E367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14 000</w:t>
            </w:r>
          </w:p>
        </w:tc>
      </w:tr>
      <w:tr w:rsidR="002643D8" w:rsidRPr="005662D0" w14:paraId="66FC2009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649E3F6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Шри-Ланка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25F23C7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0,044</w:t>
            </w:r>
          </w:p>
        </w:tc>
        <w:tc>
          <w:tcPr>
            <w:tcW w:w="2166" w:type="dxa"/>
            <w:noWrap/>
            <w:hideMark/>
          </w:tcPr>
          <w:p w14:paraId="59074F7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0,0495</w:t>
            </w:r>
          </w:p>
        </w:tc>
        <w:tc>
          <w:tcPr>
            <w:tcW w:w="1785" w:type="dxa"/>
            <w:noWrap/>
            <w:hideMark/>
          </w:tcPr>
          <w:p w14:paraId="0881649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1 270</w:t>
            </w:r>
          </w:p>
        </w:tc>
      </w:tr>
      <w:tr w:rsidR="002643D8" w:rsidRPr="005662D0" w14:paraId="2D9A8489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</w:tcPr>
          <w:p w14:paraId="7165E1C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Государство Палестина</w:t>
            </w:r>
          </w:p>
        </w:tc>
        <w:tc>
          <w:tcPr>
            <w:tcW w:w="1945" w:type="dxa"/>
            <w:shd w:val="clear" w:color="auto" w:fill="FFFFFF"/>
            <w:noWrap/>
          </w:tcPr>
          <w:p w14:paraId="6C94117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0,008</w:t>
            </w:r>
          </w:p>
        </w:tc>
        <w:tc>
          <w:tcPr>
            <w:tcW w:w="2166" w:type="dxa"/>
            <w:noWrap/>
          </w:tcPr>
          <w:p w14:paraId="07700C9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</w:tcPr>
          <w:p w14:paraId="709F62B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38215F45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1BDB3A0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Сирийская Арабская Республика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44E42F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0,011</w:t>
            </w:r>
          </w:p>
        </w:tc>
        <w:tc>
          <w:tcPr>
            <w:tcW w:w="2166" w:type="dxa"/>
            <w:noWrap/>
            <w:hideMark/>
          </w:tcPr>
          <w:p w14:paraId="096AB89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0,0124</w:t>
            </w:r>
          </w:p>
        </w:tc>
        <w:tc>
          <w:tcPr>
            <w:tcW w:w="1785" w:type="dxa"/>
            <w:noWrap/>
            <w:hideMark/>
          </w:tcPr>
          <w:p w14:paraId="5E387D0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318</w:t>
            </w:r>
          </w:p>
        </w:tc>
      </w:tr>
      <w:tr w:rsidR="002643D8" w:rsidRPr="005662D0" w14:paraId="04131CA9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35098D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Таиланд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7604EBA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0,307</w:t>
            </w:r>
          </w:p>
        </w:tc>
        <w:tc>
          <w:tcPr>
            <w:tcW w:w="2166" w:type="dxa"/>
            <w:noWrap/>
            <w:hideMark/>
          </w:tcPr>
          <w:p w14:paraId="35D0C39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0,3452</w:t>
            </w:r>
          </w:p>
        </w:tc>
        <w:tc>
          <w:tcPr>
            <w:tcW w:w="1785" w:type="dxa"/>
            <w:noWrap/>
            <w:hideMark/>
          </w:tcPr>
          <w:p w14:paraId="24EBC5E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8 862</w:t>
            </w:r>
          </w:p>
        </w:tc>
      </w:tr>
      <w:tr w:rsidR="002643D8" w:rsidRPr="005662D0" w14:paraId="4A0DD631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6C3F43A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Тонга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21349B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48FFC89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17C05F1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037B97A5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FDEFCE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Тувалу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7899015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20D5FF4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4CAF7DD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1870985D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775560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Объединенные Арабские Эмираты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2B732B0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0,616</w:t>
            </w:r>
          </w:p>
        </w:tc>
        <w:tc>
          <w:tcPr>
            <w:tcW w:w="2166" w:type="dxa"/>
            <w:noWrap/>
            <w:hideMark/>
          </w:tcPr>
          <w:p w14:paraId="7C45AFF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0,6926</w:t>
            </w:r>
          </w:p>
        </w:tc>
        <w:tc>
          <w:tcPr>
            <w:tcW w:w="1785" w:type="dxa"/>
            <w:noWrap/>
            <w:hideMark/>
          </w:tcPr>
          <w:p w14:paraId="187D429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17 782</w:t>
            </w:r>
          </w:p>
        </w:tc>
      </w:tr>
      <w:tr w:rsidR="002643D8" w:rsidRPr="005662D0" w14:paraId="344B1D43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291E4C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Вануату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22027A9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5425B39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4567A5A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0CB47CA4" w14:textId="77777777" w:rsidTr="008E185F">
        <w:trPr>
          <w:trHeight w:val="227"/>
          <w:jc w:val="right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14:paraId="40AE572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Вьетнам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14:paraId="7B52356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0,077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BD7A02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0,0866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A2731F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2 223</w:t>
            </w:r>
          </w:p>
        </w:tc>
      </w:tr>
      <w:tr w:rsidR="002643D8" w:rsidRPr="005662D0" w14:paraId="43909429" w14:textId="77777777" w:rsidTr="008E185F">
        <w:trPr>
          <w:trHeight w:val="227"/>
          <w:jc w:val="right"/>
        </w:trPr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31E63F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662D0">
              <w:rPr>
                <w:rFonts w:eastAsia="SimSun"/>
                <w:b/>
                <w:bCs/>
                <w:sz w:val="18"/>
                <w:szCs w:val="18"/>
                <w:lang w:val="ru-RU"/>
              </w:rPr>
              <w:t>Государства Центральной и Восточной Европы (16)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3FEEB48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662D0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643D8" w:rsidRPr="005662D0" w14:paraId="72CA1E53" w14:textId="77777777" w:rsidTr="008E185F">
        <w:trPr>
          <w:trHeight w:val="227"/>
          <w:jc w:val="right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1C90AFB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Албания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75B158D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0,008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FA92E4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86055D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45CD3A13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EFA54B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Армения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749075A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0,007</w:t>
            </w:r>
          </w:p>
        </w:tc>
        <w:tc>
          <w:tcPr>
            <w:tcW w:w="2166" w:type="dxa"/>
            <w:noWrap/>
            <w:hideMark/>
          </w:tcPr>
          <w:p w14:paraId="64FE4F9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0B4088D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2242DA73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6D39D2A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Болгария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E5426A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0,046</w:t>
            </w:r>
          </w:p>
        </w:tc>
        <w:tc>
          <w:tcPr>
            <w:tcW w:w="2166" w:type="dxa"/>
            <w:noWrap/>
            <w:hideMark/>
          </w:tcPr>
          <w:p w14:paraId="5D5B3BB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0,0517</w:t>
            </w:r>
          </w:p>
        </w:tc>
        <w:tc>
          <w:tcPr>
            <w:tcW w:w="1785" w:type="dxa"/>
            <w:noWrap/>
            <w:hideMark/>
          </w:tcPr>
          <w:p w14:paraId="100EC90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1 328</w:t>
            </w:r>
          </w:p>
        </w:tc>
      </w:tr>
      <w:tr w:rsidR="002643D8" w:rsidRPr="005662D0" w14:paraId="1CC72FEB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9C33D7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Хорватия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21B3B8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0,077</w:t>
            </w:r>
          </w:p>
        </w:tc>
        <w:tc>
          <w:tcPr>
            <w:tcW w:w="2166" w:type="dxa"/>
            <w:noWrap/>
            <w:hideMark/>
          </w:tcPr>
          <w:p w14:paraId="79C796C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0,0866</w:t>
            </w:r>
          </w:p>
        </w:tc>
        <w:tc>
          <w:tcPr>
            <w:tcW w:w="1785" w:type="dxa"/>
            <w:noWrap/>
            <w:hideMark/>
          </w:tcPr>
          <w:p w14:paraId="78EFA62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2 223</w:t>
            </w:r>
          </w:p>
        </w:tc>
      </w:tr>
      <w:tr w:rsidR="002643D8" w:rsidRPr="005662D0" w14:paraId="06DC52C1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08611E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Чехия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26A9CD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0,311</w:t>
            </w:r>
          </w:p>
        </w:tc>
        <w:tc>
          <w:tcPr>
            <w:tcW w:w="2166" w:type="dxa"/>
            <w:noWrap/>
            <w:hideMark/>
          </w:tcPr>
          <w:p w14:paraId="5F0FEBF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0,3497</w:t>
            </w:r>
          </w:p>
        </w:tc>
        <w:tc>
          <w:tcPr>
            <w:tcW w:w="1785" w:type="dxa"/>
            <w:noWrap/>
            <w:hideMark/>
          </w:tcPr>
          <w:p w14:paraId="00DBAF2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8 978</w:t>
            </w:r>
          </w:p>
        </w:tc>
      </w:tr>
      <w:tr w:rsidR="002643D8" w:rsidRPr="005662D0" w14:paraId="35D67B1D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D5F5DD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Эстония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E9F575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0,039</w:t>
            </w:r>
          </w:p>
        </w:tc>
        <w:tc>
          <w:tcPr>
            <w:tcW w:w="2166" w:type="dxa"/>
            <w:noWrap/>
            <w:hideMark/>
          </w:tcPr>
          <w:p w14:paraId="21E63AC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0,0439</w:t>
            </w:r>
          </w:p>
        </w:tc>
        <w:tc>
          <w:tcPr>
            <w:tcW w:w="1785" w:type="dxa"/>
            <w:noWrap/>
            <w:hideMark/>
          </w:tcPr>
          <w:p w14:paraId="186A01D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1 126</w:t>
            </w:r>
          </w:p>
        </w:tc>
      </w:tr>
      <w:tr w:rsidR="002643D8" w:rsidRPr="005662D0" w14:paraId="7BBAAC5C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03DDCB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Венгрия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6049B99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0,206</w:t>
            </w:r>
          </w:p>
        </w:tc>
        <w:tc>
          <w:tcPr>
            <w:tcW w:w="2166" w:type="dxa"/>
            <w:noWrap/>
            <w:hideMark/>
          </w:tcPr>
          <w:p w14:paraId="0760BC0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0,2316</w:t>
            </w:r>
          </w:p>
        </w:tc>
        <w:tc>
          <w:tcPr>
            <w:tcW w:w="1785" w:type="dxa"/>
            <w:noWrap/>
            <w:hideMark/>
          </w:tcPr>
          <w:p w14:paraId="251A444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5 947</w:t>
            </w:r>
          </w:p>
        </w:tc>
      </w:tr>
      <w:tr w:rsidR="002643D8" w:rsidRPr="005662D0" w14:paraId="419AF8BB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37351B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Латвия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3A11A7F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0,047</w:t>
            </w:r>
          </w:p>
        </w:tc>
        <w:tc>
          <w:tcPr>
            <w:tcW w:w="2166" w:type="dxa"/>
            <w:noWrap/>
            <w:hideMark/>
          </w:tcPr>
          <w:p w14:paraId="5265EFE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0,0528</w:t>
            </w:r>
          </w:p>
        </w:tc>
        <w:tc>
          <w:tcPr>
            <w:tcW w:w="1785" w:type="dxa"/>
            <w:noWrap/>
            <w:hideMark/>
          </w:tcPr>
          <w:p w14:paraId="2BB1085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1 357</w:t>
            </w:r>
          </w:p>
        </w:tc>
      </w:tr>
      <w:tr w:rsidR="002643D8" w:rsidRPr="005662D0" w14:paraId="4E699FFE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144FE1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Литва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7ED3ADB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0,071</w:t>
            </w:r>
          </w:p>
        </w:tc>
        <w:tc>
          <w:tcPr>
            <w:tcW w:w="2166" w:type="dxa"/>
            <w:noWrap/>
            <w:hideMark/>
          </w:tcPr>
          <w:p w14:paraId="19BD044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0,0798</w:t>
            </w:r>
          </w:p>
        </w:tc>
        <w:tc>
          <w:tcPr>
            <w:tcW w:w="1785" w:type="dxa"/>
            <w:noWrap/>
            <w:hideMark/>
          </w:tcPr>
          <w:p w14:paraId="035AD35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2 050</w:t>
            </w:r>
          </w:p>
        </w:tc>
      </w:tr>
      <w:tr w:rsidR="002643D8" w:rsidRPr="005662D0" w14:paraId="553E124A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52BBDB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Черногория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3A1B267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0,004</w:t>
            </w:r>
          </w:p>
        </w:tc>
        <w:tc>
          <w:tcPr>
            <w:tcW w:w="2166" w:type="dxa"/>
            <w:noWrap/>
            <w:hideMark/>
          </w:tcPr>
          <w:p w14:paraId="3EA0B55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365AD22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36D56561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9508A1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Северная Македония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31CE225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0,007</w:t>
            </w:r>
          </w:p>
        </w:tc>
        <w:tc>
          <w:tcPr>
            <w:tcW w:w="2166" w:type="dxa"/>
            <w:noWrap/>
            <w:hideMark/>
          </w:tcPr>
          <w:p w14:paraId="4C0948B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1B3762C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7C00B656" w14:textId="77777777" w:rsidTr="008E185F">
        <w:trPr>
          <w:trHeight w:val="227"/>
          <w:jc w:val="right"/>
        </w:trPr>
        <w:tc>
          <w:tcPr>
            <w:tcW w:w="3686" w:type="dxa"/>
            <w:noWrap/>
            <w:hideMark/>
          </w:tcPr>
          <w:p w14:paraId="339F021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Польша</w:t>
            </w:r>
          </w:p>
        </w:tc>
        <w:tc>
          <w:tcPr>
            <w:tcW w:w="1945" w:type="dxa"/>
            <w:noWrap/>
            <w:hideMark/>
          </w:tcPr>
          <w:p w14:paraId="762033F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0,802</w:t>
            </w:r>
          </w:p>
        </w:tc>
        <w:tc>
          <w:tcPr>
            <w:tcW w:w="2166" w:type="dxa"/>
            <w:noWrap/>
            <w:hideMark/>
          </w:tcPr>
          <w:p w14:paraId="4C76CED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0,9018</w:t>
            </w:r>
          </w:p>
        </w:tc>
        <w:tc>
          <w:tcPr>
            <w:tcW w:w="1785" w:type="dxa"/>
            <w:noWrap/>
            <w:hideMark/>
          </w:tcPr>
          <w:p w14:paraId="04E90F6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23 151</w:t>
            </w:r>
          </w:p>
        </w:tc>
      </w:tr>
      <w:tr w:rsidR="002643D8" w:rsidRPr="005662D0" w14:paraId="16EA2072" w14:textId="77777777" w:rsidTr="008E185F">
        <w:trPr>
          <w:trHeight w:val="227"/>
          <w:jc w:val="right"/>
        </w:trPr>
        <w:tc>
          <w:tcPr>
            <w:tcW w:w="3686" w:type="dxa"/>
            <w:noWrap/>
          </w:tcPr>
          <w:p w14:paraId="425FEBD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Республика Молдова</w:t>
            </w:r>
          </w:p>
        </w:tc>
        <w:tc>
          <w:tcPr>
            <w:tcW w:w="1945" w:type="dxa"/>
            <w:noWrap/>
          </w:tcPr>
          <w:p w14:paraId="74E8696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0,003</w:t>
            </w:r>
          </w:p>
        </w:tc>
        <w:tc>
          <w:tcPr>
            <w:tcW w:w="2166" w:type="dxa"/>
            <w:noWrap/>
          </w:tcPr>
          <w:p w14:paraId="132098B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</w:tcPr>
          <w:p w14:paraId="6490827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568116AD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EEB69A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Румыния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840833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0,198</w:t>
            </w:r>
          </w:p>
        </w:tc>
        <w:tc>
          <w:tcPr>
            <w:tcW w:w="2166" w:type="dxa"/>
            <w:noWrap/>
            <w:hideMark/>
          </w:tcPr>
          <w:p w14:paraId="7DF65EC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0,2226</w:t>
            </w:r>
          </w:p>
        </w:tc>
        <w:tc>
          <w:tcPr>
            <w:tcW w:w="1785" w:type="dxa"/>
            <w:noWrap/>
            <w:hideMark/>
          </w:tcPr>
          <w:p w14:paraId="6F9F8A1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5 716</w:t>
            </w:r>
          </w:p>
        </w:tc>
      </w:tr>
      <w:tr w:rsidR="002643D8" w:rsidRPr="005662D0" w14:paraId="4C2745F1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14FDCF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Словакия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FDCBBB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0,153</w:t>
            </w:r>
          </w:p>
        </w:tc>
        <w:tc>
          <w:tcPr>
            <w:tcW w:w="2166" w:type="dxa"/>
            <w:noWrap/>
            <w:hideMark/>
          </w:tcPr>
          <w:p w14:paraId="3219EFA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0,1720</w:t>
            </w:r>
          </w:p>
        </w:tc>
        <w:tc>
          <w:tcPr>
            <w:tcW w:w="1785" w:type="dxa"/>
            <w:noWrap/>
            <w:hideMark/>
          </w:tcPr>
          <w:p w14:paraId="280B14B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4 417</w:t>
            </w:r>
          </w:p>
        </w:tc>
      </w:tr>
      <w:tr w:rsidR="002643D8" w:rsidRPr="005662D0" w14:paraId="2898BFA4" w14:textId="77777777" w:rsidTr="008E185F">
        <w:trPr>
          <w:trHeight w:val="227"/>
          <w:jc w:val="right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14:paraId="19B2F9A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Словения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14:paraId="021F6F7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0,076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B047AE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0,0855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5ECCD9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2 194</w:t>
            </w:r>
          </w:p>
        </w:tc>
      </w:tr>
      <w:tr w:rsidR="002643D8" w:rsidRPr="005662D0" w14:paraId="22E6E446" w14:textId="77777777" w:rsidTr="008E185F">
        <w:trPr>
          <w:trHeight w:val="227"/>
          <w:jc w:val="right"/>
        </w:trPr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6FCC94E" w14:textId="77777777" w:rsidR="002643D8" w:rsidRPr="005662D0" w:rsidRDefault="002643D8" w:rsidP="008E185F">
            <w:pPr>
              <w:keepNext/>
              <w:keepLines/>
              <w:tabs>
                <w:tab w:val="left" w:pos="4082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662D0">
              <w:rPr>
                <w:rFonts w:eastAsia="SimSun"/>
                <w:b/>
                <w:bCs/>
                <w:sz w:val="18"/>
                <w:szCs w:val="18"/>
                <w:lang w:val="ru-RU"/>
              </w:rPr>
              <w:t>Государства Латинской Америки и Карибского бассейна (24)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AC356D5" w14:textId="77777777" w:rsidR="002643D8" w:rsidRPr="005662D0" w:rsidRDefault="002643D8" w:rsidP="008E185F">
            <w:pPr>
              <w:keepNext/>
              <w:keepLines/>
              <w:tabs>
                <w:tab w:val="left" w:pos="4082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662D0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643D8" w:rsidRPr="005662D0" w14:paraId="6EAD1FA3" w14:textId="77777777" w:rsidTr="008E185F">
        <w:trPr>
          <w:trHeight w:val="227"/>
          <w:jc w:val="right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0ED0226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Антигуа и Барбуда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61C596F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0,002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43EA7F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2BE040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43B2CBC9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2A398A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Аргентина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92493B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0,915</w:t>
            </w:r>
          </w:p>
        </w:tc>
        <w:tc>
          <w:tcPr>
            <w:tcW w:w="2166" w:type="dxa"/>
            <w:noWrap/>
            <w:hideMark/>
          </w:tcPr>
          <w:p w14:paraId="6B42B04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0288</w:t>
            </w:r>
          </w:p>
        </w:tc>
        <w:tc>
          <w:tcPr>
            <w:tcW w:w="1785" w:type="dxa"/>
            <w:noWrap/>
            <w:hideMark/>
          </w:tcPr>
          <w:p w14:paraId="7871E03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26 413</w:t>
            </w:r>
          </w:p>
        </w:tc>
      </w:tr>
      <w:tr w:rsidR="002643D8" w:rsidRPr="005662D0" w14:paraId="4AB7C078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D40ADF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Багамские Острова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755ED5A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0,018</w:t>
            </w:r>
          </w:p>
        </w:tc>
        <w:tc>
          <w:tcPr>
            <w:tcW w:w="2166" w:type="dxa"/>
            <w:noWrap/>
            <w:hideMark/>
          </w:tcPr>
          <w:p w14:paraId="5237BB0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0,0202</w:t>
            </w:r>
          </w:p>
        </w:tc>
        <w:tc>
          <w:tcPr>
            <w:tcW w:w="1785" w:type="dxa"/>
            <w:noWrap/>
            <w:hideMark/>
          </w:tcPr>
          <w:p w14:paraId="3F0F583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520</w:t>
            </w:r>
          </w:p>
        </w:tc>
      </w:tr>
      <w:tr w:rsidR="002643D8" w:rsidRPr="005662D0" w14:paraId="49160C7F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65FA5E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Боливия (Многонациональное Государство)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E6CF88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0,016</w:t>
            </w:r>
          </w:p>
        </w:tc>
        <w:tc>
          <w:tcPr>
            <w:tcW w:w="2166" w:type="dxa"/>
            <w:noWrap/>
            <w:hideMark/>
          </w:tcPr>
          <w:p w14:paraId="5587D3F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0,0180</w:t>
            </w:r>
          </w:p>
        </w:tc>
        <w:tc>
          <w:tcPr>
            <w:tcW w:w="1785" w:type="dxa"/>
            <w:noWrap/>
            <w:hideMark/>
          </w:tcPr>
          <w:p w14:paraId="56DBCB6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462</w:t>
            </w:r>
          </w:p>
        </w:tc>
      </w:tr>
      <w:tr w:rsidR="002643D8" w:rsidRPr="005662D0" w14:paraId="00B3565C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6DEA502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lastRenderedPageBreak/>
              <w:t>Бразилия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112F21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948</w:t>
            </w:r>
          </w:p>
        </w:tc>
        <w:tc>
          <w:tcPr>
            <w:tcW w:w="2166" w:type="dxa"/>
            <w:noWrap/>
            <w:hideMark/>
          </w:tcPr>
          <w:p w14:paraId="5EDD4BA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3147</w:t>
            </w:r>
          </w:p>
        </w:tc>
        <w:tc>
          <w:tcPr>
            <w:tcW w:w="1785" w:type="dxa"/>
            <w:noWrap/>
            <w:hideMark/>
          </w:tcPr>
          <w:p w14:paraId="6AACC2A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85 100</w:t>
            </w:r>
          </w:p>
        </w:tc>
      </w:tr>
      <w:tr w:rsidR="002643D8" w:rsidRPr="005662D0" w14:paraId="56DDF7A2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B04BFE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Чили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043729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0,407</w:t>
            </w:r>
          </w:p>
        </w:tc>
        <w:tc>
          <w:tcPr>
            <w:tcW w:w="2166" w:type="dxa"/>
            <w:noWrap/>
            <w:hideMark/>
          </w:tcPr>
          <w:p w14:paraId="368EDBC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0,4576</w:t>
            </w:r>
          </w:p>
        </w:tc>
        <w:tc>
          <w:tcPr>
            <w:tcW w:w="1785" w:type="dxa"/>
            <w:noWrap/>
            <w:hideMark/>
          </w:tcPr>
          <w:p w14:paraId="21911BA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11 749</w:t>
            </w:r>
          </w:p>
        </w:tc>
      </w:tr>
      <w:tr w:rsidR="002643D8" w:rsidRPr="005662D0" w14:paraId="1A7E8BF4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1C71DD4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Колумбия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742444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0,288</w:t>
            </w:r>
          </w:p>
        </w:tc>
        <w:tc>
          <w:tcPr>
            <w:tcW w:w="2166" w:type="dxa"/>
            <w:noWrap/>
            <w:hideMark/>
          </w:tcPr>
          <w:p w14:paraId="2441678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0,3238</w:t>
            </w:r>
          </w:p>
        </w:tc>
        <w:tc>
          <w:tcPr>
            <w:tcW w:w="1785" w:type="dxa"/>
            <w:noWrap/>
            <w:hideMark/>
          </w:tcPr>
          <w:p w14:paraId="7C2E625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8 314</w:t>
            </w:r>
          </w:p>
        </w:tc>
      </w:tr>
      <w:tr w:rsidR="002643D8" w:rsidRPr="005662D0" w14:paraId="3B8A7816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3CBD0E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Коста-Рика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3D1A0FC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0,062</w:t>
            </w:r>
          </w:p>
        </w:tc>
        <w:tc>
          <w:tcPr>
            <w:tcW w:w="2166" w:type="dxa"/>
            <w:noWrap/>
            <w:hideMark/>
          </w:tcPr>
          <w:p w14:paraId="2BDC015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0,0697</w:t>
            </w:r>
          </w:p>
        </w:tc>
        <w:tc>
          <w:tcPr>
            <w:tcW w:w="1785" w:type="dxa"/>
            <w:noWrap/>
            <w:hideMark/>
          </w:tcPr>
          <w:p w14:paraId="322B207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1 790</w:t>
            </w:r>
          </w:p>
        </w:tc>
      </w:tr>
      <w:tr w:rsidR="002643D8" w:rsidRPr="005662D0" w14:paraId="313B61CD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A2DB69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Куба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6C1929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0,08</w:t>
            </w:r>
          </w:p>
        </w:tc>
        <w:tc>
          <w:tcPr>
            <w:tcW w:w="2166" w:type="dxa"/>
            <w:noWrap/>
            <w:hideMark/>
          </w:tcPr>
          <w:p w14:paraId="5B21BAB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0,0900</w:t>
            </w:r>
          </w:p>
        </w:tc>
        <w:tc>
          <w:tcPr>
            <w:tcW w:w="1785" w:type="dxa"/>
            <w:noWrap/>
            <w:hideMark/>
          </w:tcPr>
          <w:p w14:paraId="3804F51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2 309</w:t>
            </w:r>
          </w:p>
        </w:tc>
      </w:tr>
      <w:tr w:rsidR="002643D8" w:rsidRPr="005662D0" w14:paraId="6DC90390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E23C54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Доминиканская Республика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D53D31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0,053</w:t>
            </w:r>
          </w:p>
        </w:tc>
        <w:tc>
          <w:tcPr>
            <w:tcW w:w="2166" w:type="dxa"/>
            <w:noWrap/>
            <w:hideMark/>
          </w:tcPr>
          <w:p w14:paraId="23D4F55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0,0596</w:t>
            </w:r>
          </w:p>
        </w:tc>
        <w:tc>
          <w:tcPr>
            <w:tcW w:w="1785" w:type="dxa"/>
            <w:noWrap/>
            <w:hideMark/>
          </w:tcPr>
          <w:p w14:paraId="3BD4CCF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1 530</w:t>
            </w:r>
          </w:p>
        </w:tc>
      </w:tr>
      <w:tr w:rsidR="002643D8" w:rsidRPr="005662D0" w14:paraId="081AC6DA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539A9C9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Эквадор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6D76B25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0,08</w:t>
            </w:r>
          </w:p>
        </w:tc>
        <w:tc>
          <w:tcPr>
            <w:tcW w:w="2166" w:type="dxa"/>
            <w:noWrap/>
            <w:hideMark/>
          </w:tcPr>
          <w:p w14:paraId="7DA55B4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0,0900</w:t>
            </w:r>
          </w:p>
        </w:tc>
        <w:tc>
          <w:tcPr>
            <w:tcW w:w="1785" w:type="dxa"/>
            <w:noWrap/>
            <w:hideMark/>
          </w:tcPr>
          <w:p w14:paraId="4BAB5CF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2 309</w:t>
            </w:r>
          </w:p>
        </w:tc>
      </w:tr>
      <w:tr w:rsidR="002643D8" w:rsidRPr="005662D0" w14:paraId="1ADA44BD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64B5F7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Сальвадор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49AB3B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0,012</w:t>
            </w:r>
          </w:p>
        </w:tc>
        <w:tc>
          <w:tcPr>
            <w:tcW w:w="2166" w:type="dxa"/>
            <w:noWrap/>
            <w:hideMark/>
          </w:tcPr>
          <w:p w14:paraId="0DEC8E7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0,0135</w:t>
            </w:r>
          </w:p>
        </w:tc>
        <w:tc>
          <w:tcPr>
            <w:tcW w:w="1785" w:type="dxa"/>
            <w:noWrap/>
            <w:hideMark/>
          </w:tcPr>
          <w:p w14:paraId="4722BDD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346</w:t>
            </w:r>
          </w:p>
        </w:tc>
      </w:tr>
      <w:tr w:rsidR="002643D8" w:rsidRPr="005662D0" w14:paraId="374E5FFD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28BD9C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Гайана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A2DABD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0,002</w:t>
            </w:r>
          </w:p>
        </w:tc>
        <w:tc>
          <w:tcPr>
            <w:tcW w:w="2166" w:type="dxa"/>
            <w:noWrap/>
            <w:hideMark/>
          </w:tcPr>
          <w:p w14:paraId="1525173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4AF86BD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23F11064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54C545E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Гондурас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2F1866D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0,009</w:t>
            </w:r>
          </w:p>
        </w:tc>
        <w:tc>
          <w:tcPr>
            <w:tcW w:w="2166" w:type="dxa"/>
            <w:noWrap/>
            <w:hideMark/>
          </w:tcPr>
          <w:p w14:paraId="562E4CD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49462B1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60CEEAFA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20E94C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Ямайка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346EAF4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0,008</w:t>
            </w:r>
          </w:p>
        </w:tc>
        <w:tc>
          <w:tcPr>
            <w:tcW w:w="2166" w:type="dxa"/>
            <w:noWrap/>
            <w:hideMark/>
          </w:tcPr>
          <w:p w14:paraId="1547CD2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7E96232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0696E299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D195CF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Мексика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1119D3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292</w:t>
            </w:r>
          </w:p>
        </w:tc>
        <w:tc>
          <w:tcPr>
            <w:tcW w:w="2166" w:type="dxa"/>
            <w:noWrap/>
            <w:hideMark/>
          </w:tcPr>
          <w:p w14:paraId="2BC94D7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4527</w:t>
            </w:r>
          </w:p>
        </w:tc>
        <w:tc>
          <w:tcPr>
            <w:tcW w:w="1785" w:type="dxa"/>
            <w:noWrap/>
            <w:hideMark/>
          </w:tcPr>
          <w:p w14:paraId="64AE1CE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37 296</w:t>
            </w:r>
          </w:p>
        </w:tc>
      </w:tr>
      <w:tr w:rsidR="002643D8" w:rsidRPr="005662D0" w14:paraId="4E15028B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657FA88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Никарагуа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6D72001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0,005</w:t>
            </w:r>
          </w:p>
        </w:tc>
        <w:tc>
          <w:tcPr>
            <w:tcW w:w="2166" w:type="dxa"/>
            <w:noWrap/>
            <w:hideMark/>
          </w:tcPr>
          <w:p w14:paraId="497953A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4E8B38F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1D89C9E3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170F6BC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Панама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5A6B6F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0,045</w:t>
            </w:r>
          </w:p>
        </w:tc>
        <w:tc>
          <w:tcPr>
            <w:tcW w:w="2166" w:type="dxa"/>
            <w:noWrap/>
            <w:hideMark/>
          </w:tcPr>
          <w:p w14:paraId="27C5FD5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0,0506</w:t>
            </w:r>
          </w:p>
        </w:tc>
        <w:tc>
          <w:tcPr>
            <w:tcW w:w="1785" w:type="dxa"/>
            <w:noWrap/>
            <w:hideMark/>
          </w:tcPr>
          <w:p w14:paraId="7195DE9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1 299</w:t>
            </w:r>
          </w:p>
        </w:tc>
      </w:tr>
      <w:tr w:rsidR="002643D8" w:rsidRPr="005662D0" w14:paraId="70E8EBE7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A12BA6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Парагвай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B857F9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0,016</w:t>
            </w:r>
          </w:p>
        </w:tc>
        <w:tc>
          <w:tcPr>
            <w:tcW w:w="2166" w:type="dxa"/>
            <w:noWrap/>
            <w:hideMark/>
          </w:tcPr>
          <w:p w14:paraId="5B7DC2D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0,0180</w:t>
            </w:r>
          </w:p>
        </w:tc>
        <w:tc>
          <w:tcPr>
            <w:tcW w:w="1785" w:type="dxa"/>
            <w:noWrap/>
            <w:hideMark/>
          </w:tcPr>
          <w:p w14:paraId="02A78D6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462</w:t>
            </w:r>
          </w:p>
        </w:tc>
      </w:tr>
      <w:tr w:rsidR="002643D8" w:rsidRPr="005662D0" w14:paraId="2A33C462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2AEF94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Перу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7D9EDD9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0,152</w:t>
            </w:r>
          </w:p>
        </w:tc>
        <w:tc>
          <w:tcPr>
            <w:tcW w:w="2166" w:type="dxa"/>
            <w:noWrap/>
            <w:hideMark/>
          </w:tcPr>
          <w:p w14:paraId="52A86CF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0,1709</w:t>
            </w:r>
          </w:p>
        </w:tc>
        <w:tc>
          <w:tcPr>
            <w:tcW w:w="1785" w:type="dxa"/>
            <w:noWrap/>
            <w:hideMark/>
          </w:tcPr>
          <w:p w14:paraId="2268D15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4 388</w:t>
            </w:r>
          </w:p>
        </w:tc>
      </w:tr>
      <w:tr w:rsidR="002643D8" w:rsidRPr="005662D0" w14:paraId="1393929C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1F01ABE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Сент-Китс и Невис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E2CC7F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3700ED2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3997E75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7525059A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1F6C2A8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Сент-Люсия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3A7B42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0,001</w:t>
            </w:r>
          </w:p>
        </w:tc>
        <w:tc>
          <w:tcPr>
            <w:tcW w:w="2166" w:type="dxa"/>
            <w:noWrap/>
            <w:hideMark/>
          </w:tcPr>
          <w:p w14:paraId="23B686A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2C5933C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35E8B7E0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854E5C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Суринам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BFEB38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0,005</w:t>
            </w:r>
          </w:p>
        </w:tc>
        <w:tc>
          <w:tcPr>
            <w:tcW w:w="2166" w:type="dxa"/>
            <w:noWrap/>
            <w:hideMark/>
          </w:tcPr>
          <w:p w14:paraId="5539B4B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21D650D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29FE11D5" w14:textId="77777777" w:rsidTr="008E185F">
        <w:trPr>
          <w:trHeight w:val="227"/>
          <w:jc w:val="right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14:paraId="3BE2EFC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Уругвай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14:paraId="0C168D1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0,087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82FDB1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0,0978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EF3CCA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2 511</w:t>
            </w:r>
          </w:p>
        </w:tc>
      </w:tr>
      <w:tr w:rsidR="002643D8" w:rsidRPr="005662D0" w14:paraId="3AEE7F13" w14:textId="77777777" w:rsidTr="008E185F">
        <w:trPr>
          <w:trHeight w:val="227"/>
          <w:jc w:val="right"/>
        </w:trPr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2FEEDF3" w14:textId="77777777" w:rsidR="002643D8" w:rsidRPr="005662D0" w:rsidRDefault="002643D8" w:rsidP="008E185F">
            <w:pPr>
              <w:keepNext/>
              <w:keepLines/>
              <w:tabs>
                <w:tab w:val="left" w:pos="4082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662D0">
              <w:rPr>
                <w:rFonts w:eastAsia="SimSun"/>
                <w:b/>
                <w:bCs/>
                <w:sz w:val="18"/>
                <w:szCs w:val="18"/>
                <w:lang w:val="ru-RU"/>
              </w:rPr>
              <w:t>Государства Западной Европы и другие государства (23)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58FB476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662D0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643D8" w:rsidRPr="005662D0" w14:paraId="731BD361" w14:textId="77777777" w:rsidTr="008E185F">
        <w:trPr>
          <w:trHeight w:val="227"/>
          <w:jc w:val="right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6A8DDB2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Австрия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5F1CA26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0,677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88E6D2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0,7612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AFF66E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19 543</w:t>
            </w:r>
          </w:p>
        </w:tc>
      </w:tr>
      <w:tr w:rsidR="002643D8" w:rsidRPr="005662D0" w14:paraId="545CA515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D892F2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Бельгия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62E3531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0,821</w:t>
            </w:r>
          </w:p>
        </w:tc>
        <w:tc>
          <w:tcPr>
            <w:tcW w:w="2166" w:type="dxa"/>
            <w:noWrap/>
            <w:hideMark/>
          </w:tcPr>
          <w:p w14:paraId="45F6BA3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0,9231</w:t>
            </w:r>
          </w:p>
        </w:tc>
        <w:tc>
          <w:tcPr>
            <w:tcW w:w="1785" w:type="dxa"/>
            <w:noWrap/>
            <w:hideMark/>
          </w:tcPr>
          <w:p w14:paraId="2551F62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23 700</w:t>
            </w:r>
          </w:p>
        </w:tc>
      </w:tr>
      <w:tr w:rsidR="002643D8" w:rsidRPr="005662D0" w14:paraId="22538784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013606F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Канада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0B5567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734</w:t>
            </w:r>
          </w:p>
        </w:tc>
        <w:tc>
          <w:tcPr>
            <w:tcW w:w="2166" w:type="dxa"/>
            <w:noWrap/>
            <w:hideMark/>
          </w:tcPr>
          <w:p w14:paraId="17C30A4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0741</w:t>
            </w:r>
          </w:p>
        </w:tc>
        <w:tc>
          <w:tcPr>
            <w:tcW w:w="1785" w:type="dxa"/>
            <w:noWrap/>
            <w:hideMark/>
          </w:tcPr>
          <w:p w14:paraId="306EB64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78 922</w:t>
            </w:r>
          </w:p>
        </w:tc>
      </w:tr>
      <w:tr w:rsidR="002643D8" w:rsidRPr="005662D0" w14:paraId="2B527497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79829A3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Дания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2264496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0,554</w:t>
            </w:r>
          </w:p>
        </w:tc>
        <w:tc>
          <w:tcPr>
            <w:tcW w:w="2166" w:type="dxa"/>
            <w:noWrap/>
            <w:hideMark/>
          </w:tcPr>
          <w:p w14:paraId="7C61B76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0,6229</w:t>
            </w:r>
          </w:p>
        </w:tc>
        <w:tc>
          <w:tcPr>
            <w:tcW w:w="1785" w:type="dxa"/>
            <w:noWrap/>
            <w:hideMark/>
          </w:tcPr>
          <w:p w14:paraId="4BC6F93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15 992</w:t>
            </w:r>
          </w:p>
        </w:tc>
      </w:tr>
      <w:tr w:rsidR="002643D8" w:rsidRPr="005662D0" w14:paraId="27E21555" w14:textId="77777777" w:rsidTr="008E185F">
        <w:trPr>
          <w:trHeight w:val="227"/>
          <w:jc w:val="right"/>
        </w:trPr>
        <w:tc>
          <w:tcPr>
            <w:tcW w:w="3686" w:type="dxa"/>
            <w:noWrap/>
            <w:hideMark/>
          </w:tcPr>
          <w:p w14:paraId="154F89A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Европейский союз</w:t>
            </w:r>
          </w:p>
        </w:tc>
        <w:tc>
          <w:tcPr>
            <w:tcW w:w="1945" w:type="dxa"/>
            <w:noWrap/>
            <w:hideMark/>
          </w:tcPr>
          <w:p w14:paraId="276028A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5</w:t>
            </w:r>
          </w:p>
        </w:tc>
        <w:tc>
          <w:tcPr>
            <w:tcW w:w="2166" w:type="dxa"/>
            <w:noWrap/>
            <w:hideMark/>
          </w:tcPr>
          <w:p w14:paraId="2F05555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5000</w:t>
            </w:r>
          </w:p>
        </w:tc>
        <w:tc>
          <w:tcPr>
            <w:tcW w:w="1785" w:type="dxa"/>
            <w:noWrap/>
            <w:hideMark/>
          </w:tcPr>
          <w:p w14:paraId="7AA85C1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64 183</w:t>
            </w:r>
          </w:p>
        </w:tc>
      </w:tr>
      <w:tr w:rsidR="002643D8" w:rsidRPr="005662D0" w14:paraId="065CBEBE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759273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Финляндия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2242FBF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0,421</w:t>
            </w:r>
          </w:p>
        </w:tc>
        <w:tc>
          <w:tcPr>
            <w:tcW w:w="2166" w:type="dxa"/>
            <w:noWrap/>
            <w:hideMark/>
          </w:tcPr>
          <w:p w14:paraId="7EC9246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0,4734</w:t>
            </w:r>
          </w:p>
        </w:tc>
        <w:tc>
          <w:tcPr>
            <w:tcW w:w="1785" w:type="dxa"/>
            <w:noWrap/>
            <w:hideMark/>
          </w:tcPr>
          <w:p w14:paraId="0586259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12 153</w:t>
            </w:r>
          </w:p>
        </w:tc>
      </w:tr>
      <w:tr w:rsidR="002643D8" w:rsidRPr="005662D0" w14:paraId="33C81101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F0E2AE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Франция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D91D73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4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427</w:t>
            </w:r>
          </w:p>
        </w:tc>
        <w:tc>
          <w:tcPr>
            <w:tcW w:w="2166" w:type="dxa"/>
            <w:noWrap/>
            <w:hideMark/>
          </w:tcPr>
          <w:p w14:paraId="6EFAEC6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4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9777</w:t>
            </w:r>
          </w:p>
        </w:tc>
        <w:tc>
          <w:tcPr>
            <w:tcW w:w="1785" w:type="dxa"/>
            <w:noWrap/>
            <w:hideMark/>
          </w:tcPr>
          <w:p w14:paraId="2B4C939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127 794</w:t>
            </w:r>
          </w:p>
        </w:tc>
      </w:tr>
      <w:tr w:rsidR="002643D8" w:rsidRPr="005662D0" w14:paraId="44379411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1D412FD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Германия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68D4910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6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09</w:t>
            </w:r>
          </w:p>
        </w:tc>
        <w:tc>
          <w:tcPr>
            <w:tcW w:w="2166" w:type="dxa"/>
            <w:noWrap/>
            <w:hideMark/>
          </w:tcPr>
          <w:p w14:paraId="3DCCE8E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6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8476</w:t>
            </w:r>
          </w:p>
        </w:tc>
        <w:tc>
          <w:tcPr>
            <w:tcW w:w="1785" w:type="dxa"/>
            <w:noWrap/>
            <w:hideMark/>
          </w:tcPr>
          <w:p w14:paraId="790EB4B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175 800</w:t>
            </w:r>
          </w:p>
        </w:tc>
      </w:tr>
      <w:tr w:rsidR="002643D8" w:rsidRPr="005662D0" w14:paraId="0A52EA73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338240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Греция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3BCAB77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0,366</w:t>
            </w:r>
          </w:p>
        </w:tc>
        <w:tc>
          <w:tcPr>
            <w:tcW w:w="2166" w:type="dxa"/>
            <w:noWrap/>
            <w:hideMark/>
          </w:tcPr>
          <w:p w14:paraId="6AED66C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0,4115</w:t>
            </w:r>
          </w:p>
        </w:tc>
        <w:tc>
          <w:tcPr>
            <w:tcW w:w="1785" w:type="dxa"/>
            <w:noWrap/>
            <w:hideMark/>
          </w:tcPr>
          <w:p w14:paraId="308C1D7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10 565</w:t>
            </w:r>
          </w:p>
        </w:tc>
      </w:tr>
      <w:tr w:rsidR="002643D8" w:rsidRPr="005662D0" w14:paraId="39F95299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9F8E23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Исландия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C0A564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0,028</w:t>
            </w:r>
          </w:p>
        </w:tc>
        <w:tc>
          <w:tcPr>
            <w:tcW w:w="2166" w:type="dxa"/>
            <w:noWrap/>
            <w:hideMark/>
          </w:tcPr>
          <w:p w14:paraId="439CD1E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0,0315</w:t>
            </w:r>
          </w:p>
        </w:tc>
        <w:tc>
          <w:tcPr>
            <w:tcW w:w="1785" w:type="dxa"/>
            <w:noWrap/>
            <w:hideMark/>
          </w:tcPr>
          <w:p w14:paraId="722CC11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808</w:t>
            </w:r>
          </w:p>
        </w:tc>
      </w:tr>
      <w:tr w:rsidR="002643D8" w:rsidRPr="005662D0" w14:paraId="2923DC99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CE2822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Ирландия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8A7484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0,371</w:t>
            </w:r>
          </w:p>
        </w:tc>
        <w:tc>
          <w:tcPr>
            <w:tcW w:w="2166" w:type="dxa"/>
            <w:noWrap/>
            <w:hideMark/>
          </w:tcPr>
          <w:p w14:paraId="148D14F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0,4171</w:t>
            </w:r>
          </w:p>
        </w:tc>
        <w:tc>
          <w:tcPr>
            <w:tcW w:w="1785" w:type="dxa"/>
            <w:noWrap/>
            <w:hideMark/>
          </w:tcPr>
          <w:p w14:paraId="036A895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10 710</w:t>
            </w:r>
          </w:p>
        </w:tc>
      </w:tr>
      <w:tr w:rsidR="002643D8" w:rsidRPr="005662D0" w14:paraId="6894856D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5FD2951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Италия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2CADDC4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307</w:t>
            </w:r>
          </w:p>
        </w:tc>
        <w:tc>
          <w:tcPr>
            <w:tcW w:w="2166" w:type="dxa"/>
            <w:noWrap/>
            <w:hideMark/>
          </w:tcPr>
          <w:p w14:paraId="24E8A2F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7184</w:t>
            </w:r>
          </w:p>
        </w:tc>
        <w:tc>
          <w:tcPr>
            <w:tcW w:w="1785" w:type="dxa"/>
            <w:noWrap/>
            <w:hideMark/>
          </w:tcPr>
          <w:p w14:paraId="0BC03A9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95 463</w:t>
            </w:r>
          </w:p>
        </w:tc>
      </w:tr>
      <w:tr w:rsidR="002643D8" w:rsidRPr="005662D0" w14:paraId="2A719405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4CF86E2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Лихтенштейн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8764F3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0,009</w:t>
            </w:r>
          </w:p>
        </w:tc>
        <w:tc>
          <w:tcPr>
            <w:tcW w:w="2166" w:type="dxa"/>
            <w:noWrap/>
            <w:hideMark/>
          </w:tcPr>
          <w:p w14:paraId="7DCAA76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0,0100</w:t>
            </w:r>
          </w:p>
        </w:tc>
        <w:tc>
          <w:tcPr>
            <w:tcW w:w="1785" w:type="dxa"/>
            <w:noWrap/>
            <w:hideMark/>
          </w:tcPr>
          <w:p w14:paraId="62852F3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257</w:t>
            </w:r>
          </w:p>
        </w:tc>
      </w:tr>
      <w:tr w:rsidR="002643D8" w:rsidRPr="005662D0" w14:paraId="4125C210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6248566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Люксембург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C26F44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0,067</w:t>
            </w:r>
          </w:p>
        </w:tc>
        <w:tc>
          <w:tcPr>
            <w:tcW w:w="2166" w:type="dxa"/>
            <w:noWrap/>
            <w:hideMark/>
          </w:tcPr>
          <w:p w14:paraId="4D74FE6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0,0753</w:t>
            </w:r>
          </w:p>
        </w:tc>
        <w:tc>
          <w:tcPr>
            <w:tcW w:w="1785" w:type="dxa"/>
            <w:noWrap/>
            <w:hideMark/>
          </w:tcPr>
          <w:p w14:paraId="1C4FEC37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1 934</w:t>
            </w:r>
          </w:p>
        </w:tc>
      </w:tr>
      <w:tr w:rsidR="002643D8" w:rsidRPr="005662D0" w14:paraId="39023577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6092AF9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Мальта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7667DEA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0,017</w:t>
            </w:r>
          </w:p>
        </w:tc>
        <w:tc>
          <w:tcPr>
            <w:tcW w:w="2166" w:type="dxa"/>
            <w:noWrap/>
            <w:hideMark/>
          </w:tcPr>
          <w:p w14:paraId="09D62EA6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0,0191</w:t>
            </w:r>
          </w:p>
        </w:tc>
        <w:tc>
          <w:tcPr>
            <w:tcW w:w="1785" w:type="dxa"/>
            <w:noWrap/>
            <w:hideMark/>
          </w:tcPr>
          <w:p w14:paraId="78C858C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491</w:t>
            </w:r>
          </w:p>
        </w:tc>
      </w:tr>
      <w:tr w:rsidR="002643D8" w:rsidRPr="005662D0" w14:paraId="1DB76A48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4C9DD3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Монако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6F3754C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0,011</w:t>
            </w:r>
          </w:p>
        </w:tc>
        <w:tc>
          <w:tcPr>
            <w:tcW w:w="2166" w:type="dxa"/>
            <w:noWrap/>
            <w:hideMark/>
          </w:tcPr>
          <w:p w14:paraId="38BD188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0,0124</w:t>
            </w:r>
          </w:p>
        </w:tc>
        <w:tc>
          <w:tcPr>
            <w:tcW w:w="1785" w:type="dxa"/>
            <w:noWrap/>
            <w:hideMark/>
          </w:tcPr>
          <w:p w14:paraId="496408E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318</w:t>
            </w:r>
          </w:p>
        </w:tc>
      </w:tr>
      <w:tr w:rsidR="002643D8" w:rsidRPr="005662D0" w14:paraId="1A40B5D2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074FB2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Нидерланды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42D3434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356</w:t>
            </w:r>
          </w:p>
        </w:tc>
        <w:tc>
          <w:tcPr>
            <w:tcW w:w="2166" w:type="dxa"/>
            <w:noWrap/>
            <w:hideMark/>
          </w:tcPr>
          <w:p w14:paraId="3DC90BA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</w:t>
            </w:r>
            <w:r>
              <w:rPr>
                <w:rFonts w:eastAsia="SimSun"/>
                <w:sz w:val="18"/>
                <w:szCs w:val="18"/>
                <w:lang w:val="ru-RU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5247</w:t>
            </w:r>
          </w:p>
        </w:tc>
        <w:tc>
          <w:tcPr>
            <w:tcW w:w="1785" w:type="dxa"/>
            <w:noWrap/>
            <w:hideMark/>
          </w:tcPr>
          <w:p w14:paraId="64CFFD9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39 144</w:t>
            </w:r>
          </w:p>
        </w:tc>
      </w:tr>
      <w:tr w:rsidR="002643D8" w:rsidRPr="005662D0" w14:paraId="5EF96A40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3F8BE79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Норвегия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754095C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0,754</w:t>
            </w:r>
          </w:p>
        </w:tc>
        <w:tc>
          <w:tcPr>
            <w:tcW w:w="2166" w:type="dxa"/>
            <w:noWrap/>
            <w:hideMark/>
          </w:tcPr>
          <w:p w14:paraId="49BF9C4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0,8478</w:t>
            </w:r>
          </w:p>
        </w:tc>
        <w:tc>
          <w:tcPr>
            <w:tcW w:w="1785" w:type="dxa"/>
            <w:noWrap/>
            <w:hideMark/>
          </w:tcPr>
          <w:p w14:paraId="56DC5D7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21 766</w:t>
            </w:r>
          </w:p>
        </w:tc>
      </w:tr>
      <w:tr w:rsidR="002643D8" w:rsidRPr="005662D0" w14:paraId="03333394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216E0DE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Португалия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16189CB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0,35</w:t>
            </w:r>
          </w:p>
        </w:tc>
        <w:tc>
          <w:tcPr>
            <w:tcW w:w="2166" w:type="dxa"/>
            <w:noWrap/>
            <w:hideMark/>
          </w:tcPr>
          <w:p w14:paraId="494179C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0,3935</w:t>
            </w:r>
          </w:p>
        </w:tc>
        <w:tc>
          <w:tcPr>
            <w:tcW w:w="1785" w:type="dxa"/>
            <w:noWrap/>
            <w:hideMark/>
          </w:tcPr>
          <w:p w14:paraId="6FEA1BA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10 103</w:t>
            </w:r>
          </w:p>
        </w:tc>
      </w:tr>
      <w:tr w:rsidR="002643D8" w:rsidRPr="005662D0" w14:paraId="15D28BE9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5E4E75E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Швеция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030D0CA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0,906</w:t>
            </w:r>
          </w:p>
        </w:tc>
        <w:tc>
          <w:tcPr>
            <w:tcW w:w="2166" w:type="dxa"/>
            <w:noWrap/>
            <w:hideMark/>
          </w:tcPr>
          <w:p w14:paraId="26AB8AA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</w:t>
            </w:r>
            <w:r>
              <w:rPr>
                <w:rFonts w:eastAsia="SimSun"/>
                <w:sz w:val="18"/>
                <w:szCs w:val="18"/>
                <w:lang w:val="en-GB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0187</w:t>
            </w:r>
          </w:p>
        </w:tc>
        <w:tc>
          <w:tcPr>
            <w:tcW w:w="1785" w:type="dxa"/>
            <w:noWrap/>
            <w:hideMark/>
          </w:tcPr>
          <w:p w14:paraId="1DF3320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26 153</w:t>
            </w:r>
          </w:p>
        </w:tc>
      </w:tr>
      <w:tr w:rsidR="002643D8" w:rsidRPr="005662D0" w14:paraId="14280539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494E35EC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Швейцария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58777520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</w:t>
            </w:r>
            <w:r>
              <w:rPr>
                <w:rFonts w:eastAsia="SimSun"/>
                <w:sz w:val="18"/>
                <w:szCs w:val="18"/>
                <w:lang w:val="en-GB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151</w:t>
            </w:r>
          </w:p>
        </w:tc>
        <w:tc>
          <w:tcPr>
            <w:tcW w:w="2166" w:type="dxa"/>
            <w:noWrap/>
            <w:hideMark/>
          </w:tcPr>
          <w:p w14:paraId="79D53705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</w:t>
            </w:r>
            <w:r>
              <w:rPr>
                <w:rFonts w:eastAsia="SimSun"/>
                <w:sz w:val="18"/>
                <w:szCs w:val="18"/>
                <w:lang w:val="en-GB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2942</w:t>
            </w:r>
          </w:p>
        </w:tc>
        <w:tc>
          <w:tcPr>
            <w:tcW w:w="1785" w:type="dxa"/>
            <w:noWrap/>
            <w:hideMark/>
          </w:tcPr>
          <w:p w14:paraId="03ACB853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33 226</w:t>
            </w:r>
          </w:p>
        </w:tc>
      </w:tr>
      <w:tr w:rsidR="002643D8" w:rsidRPr="005662D0" w14:paraId="7EB99914" w14:textId="77777777" w:rsidTr="008E185F">
        <w:trPr>
          <w:trHeight w:val="227"/>
          <w:jc w:val="right"/>
        </w:trPr>
        <w:tc>
          <w:tcPr>
            <w:tcW w:w="3686" w:type="dxa"/>
            <w:shd w:val="clear" w:color="auto" w:fill="FFFFFF"/>
            <w:noWrap/>
            <w:hideMark/>
          </w:tcPr>
          <w:p w14:paraId="5E5D109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color w:val="000000"/>
                <w:sz w:val="18"/>
                <w:szCs w:val="18"/>
                <w:lang w:val="ru-RU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Соединенное Королевство Великобритании и Северной Ирландии</w:t>
            </w:r>
          </w:p>
        </w:tc>
        <w:tc>
          <w:tcPr>
            <w:tcW w:w="1945" w:type="dxa"/>
            <w:shd w:val="clear" w:color="auto" w:fill="FFFFFF"/>
            <w:noWrap/>
            <w:hideMark/>
          </w:tcPr>
          <w:p w14:paraId="3352ED4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4</w:t>
            </w:r>
            <w:r>
              <w:rPr>
                <w:rFonts w:eastAsia="SimSun"/>
                <w:sz w:val="18"/>
                <w:szCs w:val="18"/>
                <w:lang w:val="en-GB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567</w:t>
            </w:r>
          </w:p>
        </w:tc>
        <w:tc>
          <w:tcPr>
            <w:tcW w:w="2166" w:type="dxa"/>
            <w:noWrap/>
            <w:hideMark/>
          </w:tcPr>
          <w:p w14:paraId="0F6607B4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5</w:t>
            </w:r>
            <w:r>
              <w:rPr>
                <w:rFonts w:eastAsia="SimSun"/>
                <w:sz w:val="18"/>
                <w:szCs w:val="18"/>
                <w:lang w:val="en-GB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1351</w:t>
            </w:r>
          </w:p>
        </w:tc>
        <w:tc>
          <w:tcPr>
            <w:tcW w:w="1785" w:type="dxa"/>
            <w:noWrap/>
            <w:hideMark/>
          </w:tcPr>
          <w:p w14:paraId="5842335F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131 835</w:t>
            </w:r>
          </w:p>
        </w:tc>
      </w:tr>
      <w:tr w:rsidR="002643D8" w:rsidRPr="005662D0" w14:paraId="307423F0" w14:textId="77777777" w:rsidTr="008E185F">
        <w:trPr>
          <w:trHeight w:val="227"/>
          <w:jc w:val="right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1327EBD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 xml:space="preserve">Соединенные Штаты Америки 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934F6D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FEEA2AB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22</w:t>
            </w:r>
            <w:r>
              <w:rPr>
                <w:rFonts w:eastAsia="SimSun"/>
                <w:sz w:val="18"/>
                <w:szCs w:val="18"/>
                <w:lang w:val="en-GB"/>
              </w:rPr>
              <w:t>,</w:t>
            </w:r>
            <w:r w:rsidRPr="005662D0">
              <w:rPr>
                <w:rFonts w:eastAsia="SimSun"/>
                <w:sz w:val="18"/>
                <w:szCs w:val="18"/>
                <w:lang w:val="ru-RU"/>
              </w:rPr>
              <w:t>0000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0E3710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sz w:val="18"/>
                <w:szCs w:val="18"/>
                <w:lang w:val="ru-RU"/>
              </w:rPr>
              <w:t>564 814</w:t>
            </w:r>
          </w:p>
        </w:tc>
      </w:tr>
      <w:tr w:rsidR="002643D8" w:rsidRPr="005662D0" w14:paraId="098864D7" w14:textId="77777777" w:rsidTr="008E185F">
        <w:trPr>
          <w:trHeight w:val="227"/>
          <w:jc w:val="right"/>
        </w:trPr>
        <w:tc>
          <w:tcPr>
            <w:tcW w:w="5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72937478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b/>
                <w:bCs/>
                <w:sz w:val="18"/>
                <w:szCs w:val="18"/>
                <w:lang w:val="ru-RU"/>
              </w:rPr>
              <w:t>Общий объем начисленных взносов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DE8137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b/>
                <w:bCs/>
                <w:sz w:val="18"/>
                <w:szCs w:val="18"/>
                <w:lang w:val="ru-RU"/>
              </w:rPr>
              <w:t>100</w:t>
            </w:r>
            <w:r>
              <w:rPr>
                <w:rFonts w:eastAsia="SimSun"/>
                <w:b/>
                <w:bCs/>
                <w:sz w:val="18"/>
                <w:szCs w:val="18"/>
                <w:lang w:val="en-GB"/>
              </w:rPr>
              <w:t>,</w:t>
            </w:r>
            <w:r w:rsidRPr="005662D0">
              <w:rPr>
                <w:rFonts w:eastAsia="SimSun"/>
                <w:b/>
                <w:bCs/>
                <w:sz w:val="18"/>
                <w:szCs w:val="18"/>
                <w:lang w:val="ru-RU"/>
              </w:rPr>
              <w:t>00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B3FCC2A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b/>
                <w:bCs/>
                <w:sz w:val="18"/>
                <w:szCs w:val="18"/>
                <w:lang w:val="ru-RU"/>
              </w:rPr>
              <w:t>2 567 335</w:t>
            </w:r>
          </w:p>
        </w:tc>
      </w:tr>
      <w:tr w:rsidR="002643D8" w:rsidRPr="005662D0" w14:paraId="1C13CE32" w14:textId="77777777" w:rsidTr="008E185F">
        <w:trPr>
          <w:trHeight w:val="227"/>
          <w:jc w:val="right"/>
        </w:trPr>
        <w:tc>
          <w:tcPr>
            <w:tcW w:w="563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50915011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662D0">
              <w:rPr>
                <w:rFonts w:eastAsia="SimSun"/>
                <w:b/>
                <w:bCs/>
                <w:sz w:val="18"/>
                <w:szCs w:val="18"/>
                <w:lang w:val="ru-RU"/>
              </w:rPr>
              <w:lastRenderedPageBreak/>
              <w:t>Общий утвержденный бюджет (включая взнос принимающей страны*)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71B96C59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717E79CE" w14:textId="77777777" w:rsidR="002643D8" w:rsidRPr="005662D0" w:rsidRDefault="002643D8" w:rsidP="008E185F">
            <w:pPr>
              <w:tabs>
                <w:tab w:val="left" w:pos="4082"/>
              </w:tabs>
              <w:spacing w:before="40" w:after="40"/>
              <w:jc w:val="right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5662D0">
              <w:rPr>
                <w:rFonts w:eastAsia="SimSun"/>
                <w:b/>
                <w:bCs/>
                <w:sz w:val="18"/>
                <w:szCs w:val="18"/>
                <w:lang w:val="ru-RU"/>
              </w:rPr>
              <w:t>3 180 159</w:t>
            </w:r>
          </w:p>
        </w:tc>
      </w:tr>
    </w:tbl>
    <w:p w14:paraId="3EDA1F78" w14:textId="77777777" w:rsidR="002643D8" w:rsidRPr="00414AFB" w:rsidRDefault="002643D8" w:rsidP="002643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60"/>
        <w:ind w:left="1213"/>
        <w:rPr>
          <w:rFonts w:eastAsia="SimSun"/>
          <w:sz w:val="16"/>
          <w:szCs w:val="16"/>
          <w:lang w:val="ru-RU"/>
        </w:rPr>
      </w:pPr>
      <w:r w:rsidRPr="00414AFB">
        <w:rPr>
          <w:rFonts w:eastAsia="SimSun"/>
          <w:sz w:val="18"/>
          <w:szCs w:val="18"/>
          <w:lang w:val="ru-RU"/>
        </w:rPr>
        <w:t xml:space="preserve">* </w:t>
      </w:r>
      <w:r w:rsidRPr="00414AFB">
        <w:rPr>
          <w:rFonts w:eastAsia="SimSun"/>
          <w:sz w:val="18"/>
          <w:szCs w:val="18"/>
          <w:lang w:val="ru-RU"/>
        </w:rPr>
        <w:tab/>
        <w:t>Включает сметный взнос принимающей страны (Швейцарии) в Общий целевой фонд в долл</w:t>
      </w:r>
      <w:r>
        <w:rPr>
          <w:rFonts w:eastAsia="SimSun"/>
          <w:sz w:val="18"/>
          <w:szCs w:val="18"/>
          <w:lang w:val="ru-RU"/>
        </w:rPr>
        <w:t>.</w:t>
      </w:r>
      <w:r w:rsidRPr="00414AFB">
        <w:rPr>
          <w:rFonts w:eastAsia="SimSun"/>
          <w:sz w:val="18"/>
          <w:szCs w:val="18"/>
          <w:lang w:val="ru-RU"/>
        </w:rPr>
        <w:t xml:space="preserve"> США.</w:t>
      </w:r>
    </w:p>
    <w:p w14:paraId="5B9C0CE9" w14:textId="77777777" w:rsidR="007540E8" w:rsidRPr="004117E5" w:rsidRDefault="007540E8" w:rsidP="002643D8">
      <w:pPr>
        <w:tabs>
          <w:tab w:val="left" w:pos="4082"/>
        </w:tabs>
        <w:rPr>
          <w:rFonts w:eastAsia="SimSun"/>
          <w:lang w:val="ru-RU"/>
        </w:rPr>
      </w:pPr>
    </w:p>
    <w:p w14:paraId="097C29E0" w14:textId="77777777" w:rsidR="002643D8" w:rsidRPr="004117E5" w:rsidRDefault="002643D8" w:rsidP="002643D8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4082"/>
        </w:tabs>
        <w:suppressAutoHyphens/>
        <w:spacing w:after="60"/>
        <w:rPr>
          <w:rFonts w:eastAsia="SimSun"/>
          <w:b/>
          <w:bCs/>
          <w:lang w:val="ru-RU"/>
        </w:rPr>
      </w:pPr>
      <w:r w:rsidRPr="003D09C8">
        <w:rPr>
          <w:rFonts w:eastAsia="SimSun"/>
          <w:lang w:val="ru-RU"/>
        </w:rPr>
        <w:t>Таблица 3</w:t>
      </w:r>
      <w:r w:rsidRPr="004117E5">
        <w:rPr>
          <w:rFonts w:eastAsia="SimSun"/>
          <w:b/>
          <w:bCs/>
          <w:lang w:val="ru-RU"/>
        </w:rPr>
        <w:t xml:space="preserve"> </w:t>
      </w:r>
      <w:r>
        <w:rPr>
          <w:rFonts w:eastAsia="SimSun"/>
          <w:b/>
          <w:bCs/>
          <w:lang w:val="ru-RU"/>
        </w:rPr>
        <w:br/>
      </w:r>
      <w:r w:rsidRPr="004117E5">
        <w:rPr>
          <w:rFonts w:eastAsia="SimSun"/>
          <w:b/>
          <w:bCs/>
          <w:lang w:val="ru-RU"/>
        </w:rPr>
        <w:t xml:space="preserve">Ориентировочные потребности в персонале на двухгодичный период </w:t>
      </w:r>
      <w:proofErr w:type="gramStart"/>
      <w:r w:rsidRPr="004117E5">
        <w:rPr>
          <w:rFonts w:eastAsia="SimSun"/>
          <w:b/>
          <w:bCs/>
          <w:lang w:val="ru-RU"/>
        </w:rPr>
        <w:t>2022-2023</w:t>
      </w:r>
      <w:proofErr w:type="gramEnd"/>
      <w:r w:rsidRPr="004117E5">
        <w:rPr>
          <w:rFonts w:eastAsia="SimSun"/>
          <w:b/>
          <w:bCs/>
          <w:lang w:val="ru-RU"/>
        </w:rPr>
        <w:t xml:space="preserve"> годов</w:t>
      </w:r>
    </w:p>
    <w:tbl>
      <w:tblPr>
        <w:tblW w:w="9582" w:type="dxa"/>
        <w:jc w:val="righ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390"/>
        <w:gridCol w:w="1622"/>
        <w:gridCol w:w="1769"/>
        <w:gridCol w:w="1769"/>
        <w:gridCol w:w="1032"/>
      </w:tblGrid>
      <w:tr w:rsidR="002643D8" w:rsidRPr="003D09C8" w14:paraId="6F509427" w14:textId="77777777" w:rsidTr="008E185F">
        <w:trPr>
          <w:trHeight w:val="227"/>
          <w:tblHeader/>
          <w:jc w:val="right"/>
        </w:trPr>
        <w:tc>
          <w:tcPr>
            <w:tcW w:w="3312" w:type="dxa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7B5F2248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i/>
                <w:iCs/>
                <w:sz w:val="18"/>
                <w:szCs w:val="18"/>
                <w:lang w:val="ru-RU"/>
              </w:rPr>
            </w:pPr>
            <w:r w:rsidRPr="003D09C8">
              <w:rPr>
                <w:rFonts w:eastAsia="SimSun"/>
                <w:i/>
                <w:iCs/>
                <w:sz w:val="18"/>
                <w:szCs w:val="18"/>
                <w:lang w:val="ru-RU"/>
              </w:rPr>
              <w:t>Категория и уровень штатного сотрудника</w:t>
            </w:r>
          </w:p>
        </w:tc>
        <w:tc>
          <w:tcPr>
            <w:tcW w:w="60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BB30EEF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center"/>
              <w:rPr>
                <w:rFonts w:eastAsia="SimSun"/>
                <w:i/>
                <w:iCs/>
                <w:sz w:val="18"/>
                <w:szCs w:val="18"/>
                <w:lang w:val="en-US"/>
              </w:rPr>
            </w:pPr>
            <w:proofErr w:type="gramStart"/>
            <w:r w:rsidRPr="003D09C8">
              <w:rPr>
                <w:rFonts w:eastAsia="SimSun"/>
                <w:i/>
                <w:iCs/>
                <w:sz w:val="18"/>
                <w:szCs w:val="18"/>
                <w:lang w:val="ru-RU"/>
              </w:rPr>
              <w:t>2022</w:t>
            </w:r>
            <w:r>
              <w:rPr>
                <w:rFonts w:eastAsia="SimSun"/>
                <w:i/>
                <w:iCs/>
                <w:sz w:val="18"/>
                <w:szCs w:val="18"/>
                <w:lang w:val="en-GB"/>
              </w:rPr>
              <w:t>-</w:t>
            </w:r>
            <w:r w:rsidRPr="003D09C8">
              <w:rPr>
                <w:rFonts w:eastAsia="SimSun"/>
                <w:i/>
                <w:iCs/>
                <w:sz w:val="18"/>
                <w:szCs w:val="18"/>
                <w:lang w:val="ru-RU"/>
              </w:rPr>
              <w:t>2023</w:t>
            </w:r>
            <w:proofErr w:type="gramEnd"/>
            <w:r>
              <w:rPr>
                <w:rFonts w:eastAsia="SimSun"/>
                <w:i/>
                <w:iCs/>
                <w:sz w:val="18"/>
                <w:szCs w:val="18"/>
                <w:lang w:val="ru-RU"/>
              </w:rPr>
              <w:t xml:space="preserve"> годы</w:t>
            </w:r>
          </w:p>
        </w:tc>
      </w:tr>
      <w:tr w:rsidR="002643D8" w:rsidRPr="003D09C8" w14:paraId="40A60B41" w14:textId="77777777" w:rsidTr="008E185F">
        <w:trPr>
          <w:trHeight w:val="227"/>
          <w:tblHeader/>
          <w:jc w:val="right"/>
        </w:trPr>
        <w:tc>
          <w:tcPr>
            <w:tcW w:w="3436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1509841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0BEDA14D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i/>
                <w:i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i/>
                <w:iCs/>
                <w:sz w:val="18"/>
                <w:szCs w:val="18"/>
                <w:lang w:val="ru-RU"/>
              </w:rPr>
              <w:t>Общий целевой фонд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3651B67B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i/>
                <w:i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i/>
                <w:iCs/>
                <w:sz w:val="18"/>
                <w:szCs w:val="18"/>
                <w:lang w:val="ru-RU"/>
              </w:rPr>
              <w:t>Специальный целевой фонд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77D251CD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i/>
                <w:iCs/>
                <w:sz w:val="18"/>
                <w:szCs w:val="18"/>
                <w:lang w:val="ru-RU"/>
              </w:rPr>
            </w:pPr>
            <w:r w:rsidRPr="003D09C8">
              <w:rPr>
                <w:rFonts w:eastAsia="SimSun"/>
                <w:i/>
                <w:iCs/>
                <w:sz w:val="18"/>
                <w:szCs w:val="18"/>
                <w:lang w:val="ru-RU"/>
              </w:rPr>
              <w:t>Расходы ЮНЕП на программную поддержку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5A992825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i/>
                <w:i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i/>
                <w:iCs/>
                <w:sz w:val="18"/>
                <w:szCs w:val="18"/>
                <w:lang w:val="ru-RU"/>
              </w:rPr>
              <w:t>Всего</w:t>
            </w:r>
          </w:p>
        </w:tc>
      </w:tr>
      <w:tr w:rsidR="002643D8" w:rsidRPr="003D09C8" w14:paraId="43A5F20F" w14:textId="77777777" w:rsidTr="008E185F">
        <w:trPr>
          <w:trHeight w:val="227"/>
          <w:jc w:val="right"/>
        </w:trPr>
        <w:tc>
          <w:tcPr>
            <w:tcW w:w="3312" w:type="dxa"/>
            <w:noWrap/>
            <w:hideMark/>
          </w:tcPr>
          <w:p w14:paraId="3D0A8119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A. Категория специалистов</w:t>
            </w:r>
          </w:p>
        </w:tc>
        <w:tc>
          <w:tcPr>
            <w:tcW w:w="1584" w:type="dxa"/>
            <w:noWrap/>
            <w:hideMark/>
          </w:tcPr>
          <w:p w14:paraId="570776AB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28" w:type="dxa"/>
            <w:noWrap/>
            <w:hideMark/>
          </w:tcPr>
          <w:p w14:paraId="54606F1D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728" w:type="dxa"/>
            <w:noWrap/>
            <w:hideMark/>
          </w:tcPr>
          <w:p w14:paraId="12938215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008" w:type="dxa"/>
            <w:noWrap/>
            <w:hideMark/>
          </w:tcPr>
          <w:p w14:paraId="3FF20B3D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sz w:val="18"/>
                <w:szCs w:val="18"/>
                <w:lang w:val="en-GB" w:eastAsia="en-GB"/>
              </w:rPr>
            </w:pPr>
          </w:p>
        </w:tc>
      </w:tr>
      <w:tr w:rsidR="002643D8" w:rsidRPr="003D09C8" w14:paraId="63C606A3" w14:textId="77777777" w:rsidTr="008E185F">
        <w:trPr>
          <w:trHeight w:val="227"/>
          <w:jc w:val="right"/>
        </w:trPr>
        <w:tc>
          <w:tcPr>
            <w:tcW w:w="3312" w:type="dxa"/>
            <w:noWrap/>
            <w:hideMark/>
          </w:tcPr>
          <w:p w14:paraId="50440D8E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Д-1</w:t>
            </w:r>
          </w:p>
        </w:tc>
        <w:tc>
          <w:tcPr>
            <w:tcW w:w="1584" w:type="dxa"/>
            <w:noWrap/>
            <w:hideMark/>
          </w:tcPr>
          <w:p w14:paraId="5DC8CDD6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1</w:t>
            </w:r>
          </w:p>
        </w:tc>
        <w:tc>
          <w:tcPr>
            <w:tcW w:w="1728" w:type="dxa"/>
            <w:noWrap/>
            <w:hideMark/>
          </w:tcPr>
          <w:p w14:paraId="7B8D6EFE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D09C8">
              <w:rPr>
                <w:rFonts w:eastAsia="SimSun"/>
                <w:sz w:val="18"/>
                <w:szCs w:val="18"/>
                <w:lang w:val="en-GB"/>
              </w:rPr>
              <w:sym w:font="Symbol" w:char="F02D"/>
            </w:r>
          </w:p>
        </w:tc>
        <w:tc>
          <w:tcPr>
            <w:tcW w:w="1728" w:type="dxa"/>
            <w:noWrap/>
            <w:hideMark/>
          </w:tcPr>
          <w:p w14:paraId="7BE807D2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D09C8">
              <w:rPr>
                <w:rFonts w:eastAsia="SimSun"/>
                <w:sz w:val="18"/>
                <w:szCs w:val="18"/>
                <w:lang w:val="en-GB"/>
              </w:rPr>
              <w:sym w:font="Symbol" w:char="F02D"/>
            </w:r>
          </w:p>
        </w:tc>
        <w:tc>
          <w:tcPr>
            <w:tcW w:w="1008" w:type="dxa"/>
            <w:noWrap/>
            <w:hideMark/>
          </w:tcPr>
          <w:p w14:paraId="0F8105BE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1</w:t>
            </w:r>
          </w:p>
        </w:tc>
      </w:tr>
      <w:tr w:rsidR="002643D8" w:rsidRPr="003D09C8" w14:paraId="23873C76" w14:textId="77777777" w:rsidTr="008E185F">
        <w:trPr>
          <w:trHeight w:val="227"/>
          <w:jc w:val="right"/>
        </w:trPr>
        <w:tc>
          <w:tcPr>
            <w:tcW w:w="3312" w:type="dxa"/>
            <w:noWrap/>
            <w:hideMark/>
          </w:tcPr>
          <w:p w14:paraId="3EF99965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С-5</w:t>
            </w:r>
          </w:p>
        </w:tc>
        <w:tc>
          <w:tcPr>
            <w:tcW w:w="1584" w:type="dxa"/>
            <w:noWrap/>
            <w:hideMark/>
          </w:tcPr>
          <w:p w14:paraId="087E8D0A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1</w:t>
            </w:r>
          </w:p>
        </w:tc>
        <w:tc>
          <w:tcPr>
            <w:tcW w:w="1728" w:type="dxa"/>
            <w:noWrap/>
            <w:hideMark/>
          </w:tcPr>
          <w:p w14:paraId="79F567D6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1</w:t>
            </w:r>
          </w:p>
        </w:tc>
        <w:tc>
          <w:tcPr>
            <w:tcW w:w="1728" w:type="dxa"/>
            <w:noWrap/>
            <w:hideMark/>
          </w:tcPr>
          <w:p w14:paraId="569D6737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D09C8">
              <w:rPr>
                <w:rFonts w:eastAsia="SimSun"/>
                <w:sz w:val="18"/>
                <w:szCs w:val="18"/>
                <w:lang w:val="en-GB"/>
              </w:rPr>
              <w:sym w:font="Symbol" w:char="F02D"/>
            </w:r>
          </w:p>
        </w:tc>
        <w:tc>
          <w:tcPr>
            <w:tcW w:w="1008" w:type="dxa"/>
            <w:noWrap/>
            <w:hideMark/>
          </w:tcPr>
          <w:p w14:paraId="6F8D872A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2</w:t>
            </w:r>
          </w:p>
        </w:tc>
      </w:tr>
      <w:tr w:rsidR="002643D8" w:rsidRPr="003D09C8" w14:paraId="26BE4E11" w14:textId="77777777" w:rsidTr="008E185F">
        <w:trPr>
          <w:trHeight w:val="227"/>
          <w:jc w:val="right"/>
        </w:trPr>
        <w:tc>
          <w:tcPr>
            <w:tcW w:w="3312" w:type="dxa"/>
            <w:noWrap/>
            <w:hideMark/>
          </w:tcPr>
          <w:p w14:paraId="16274B6B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С-4</w:t>
            </w:r>
          </w:p>
        </w:tc>
        <w:tc>
          <w:tcPr>
            <w:tcW w:w="1584" w:type="dxa"/>
            <w:noWrap/>
            <w:hideMark/>
          </w:tcPr>
          <w:p w14:paraId="7C850575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3</w:t>
            </w:r>
          </w:p>
        </w:tc>
        <w:tc>
          <w:tcPr>
            <w:tcW w:w="1728" w:type="dxa"/>
            <w:noWrap/>
            <w:hideMark/>
          </w:tcPr>
          <w:p w14:paraId="162F658C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D09C8">
              <w:rPr>
                <w:rFonts w:eastAsia="SimSun"/>
                <w:sz w:val="18"/>
                <w:szCs w:val="18"/>
                <w:lang w:val="en-GB"/>
              </w:rPr>
              <w:sym w:font="Symbol" w:char="F02D"/>
            </w:r>
          </w:p>
        </w:tc>
        <w:tc>
          <w:tcPr>
            <w:tcW w:w="1728" w:type="dxa"/>
            <w:noWrap/>
            <w:hideMark/>
          </w:tcPr>
          <w:p w14:paraId="33577211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1</w:t>
            </w:r>
          </w:p>
        </w:tc>
        <w:tc>
          <w:tcPr>
            <w:tcW w:w="1008" w:type="dxa"/>
            <w:noWrap/>
            <w:hideMark/>
          </w:tcPr>
          <w:p w14:paraId="3CBFD795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4</w:t>
            </w:r>
          </w:p>
        </w:tc>
      </w:tr>
      <w:tr w:rsidR="002643D8" w:rsidRPr="003D09C8" w14:paraId="4D59033F" w14:textId="77777777" w:rsidTr="008E185F">
        <w:trPr>
          <w:trHeight w:val="227"/>
          <w:jc w:val="right"/>
        </w:trPr>
        <w:tc>
          <w:tcPr>
            <w:tcW w:w="3312" w:type="dxa"/>
            <w:noWrap/>
            <w:hideMark/>
          </w:tcPr>
          <w:p w14:paraId="6DC59AF8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С-3</w:t>
            </w:r>
          </w:p>
        </w:tc>
        <w:tc>
          <w:tcPr>
            <w:tcW w:w="1584" w:type="dxa"/>
            <w:noWrap/>
            <w:hideMark/>
          </w:tcPr>
          <w:p w14:paraId="50D71028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2</w:t>
            </w:r>
          </w:p>
        </w:tc>
        <w:tc>
          <w:tcPr>
            <w:tcW w:w="1728" w:type="dxa"/>
            <w:noWrap/>
            <w:hideMark/>
          </w:tcPr>
          <w:p w14:paraId="6593B64E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D09C8">
              <w:rPr>
                <w:rFonts w:eastAsia="SimSun"/>
                <w:sz w:val="18"/>
                <w:szCs w:val="18"/>
                <w:lang w:val="en-GB"/>
              </w:rPr>
              <w:sym w:font="Symbol" w:char="F02D"/>
            </w:r>
          </w:p>
        </w:tc>
        <w:tc>
          <w:tcPr>
            <w:tcW w:w="1728" w:type="dxa"/>
            <w:noWrap/>
            <w:hideMark/>
          </w:tcPr>
          <w:p w14:paraId="6EC5BE20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D09C8">
              <w:rPr>
                <w:rFonts w:eastAsia="SimSun"/>
                <w:sz w:val="18"/>
                <w:szCs w:val="18"/>
                <w:lang w:val="en-GB"/>
              </w:rPr>
              <w:sym w:font="Symbol" w:char="F02D"/>
            </w:r>
          </w:p>
        </w:tc>
        <w:tc>
          <w:tcPr>
            <w:tcW w:w="1008" w:type="dxa"/>
            <w:noWrap/>
            <w:hideMark/>
          </w:tcPr>
          <w:p w14:paraId="331BD221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2</w:t>
            </w:r>
          </w:p>
        </w:tc>
      </w:tr>
      <w:tr w:rsidR="002643D8" w:rsidRPr="003D09C8" w14:paraId="17DEFDBD" w14:textId="77777777" w:rsidTr="008E185F">
        <w:trPr>
          <w:trHeight w:val="227"/>
          <w:jc w:val="right"/>
        </w:trPr>
        <w:tc>
          <w:tcPr>
            <w:tcW w:w="3312" w:type="dxa"/>
            <w:noWrap/>
            <w:hideMark/>
          </w:tcPr>
          <w:p w14:paraId="6ADE57C2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С-2</w:t>
            </w:r>
          </w:p>
        </w:tc>
        <w:tc>
          <w:tcPr>
            <w:tcW w:w="1584" w:type="dxa"/>
            <w:noWrap/>
            <w:hideMark/>
          </w:tcPr>
          <w:p w14:paraId="6ED99F71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D09C8">
              <w:rPr>
                <w:rFonts w:eastAsia="SimSun"/>
                <w:sz w:val="18"/>
                <w:szCs w:val="18"/>
                <w:lang w:val="en-GB"/>
              </w:rPr>
              <w:sym w:font="Symbol" w:char="F02D"/>
            </w:r>
          </w:p>
        </w:tc>
        <w:tc>
          <w:tcPr>
            <w:tcW w:w="1728" w:type="dxa"/>
            <w:noWrap/>
            <w:hideMark/>
          </w:tcPr>
          <w:p w14:paraId="2DC69688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D09C8">
              <w:rPr>
                <w:rFonts w:eastAsia="SimSun"/>
                <w:sz w:val="18"/>
                <w:szCs w:val="18"/>
                <w:lang w:val="en-GB"/>
              </w:rPr>
              <w:sym w:font="Symbol" w:char="F02D"/>
            </w:r>
          </w:p>
        </w:tc>
        <w:tc>
          <w:tcPr>
            <w:tcW w:w="1728" w:type="dxa"/>
            <w:noWrap/>
            <w:hideMark/>
          </w:tcPr>
          <w:p w14:paraId="3689A936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D09C8">
              <w:rPr>
                <w:rFonts w:eastAsia="SimSun"/>
                <w:sz w:val="18"/>
                <w:szCs w:val="18"/>
                <w:lang w:val="en-GB"/>
              </w:rPr>
              <w:sym w:font="Symbol" w:char="F02D"/>
            </w:r>
          </w:p>
        </w:tc>
        <w:tc>
          <w:tcPr>
            <w:tcW w:w="1008" w:type="dxa"/>
            <w:noWrap/>
            <w:hideMark/>
          </w:tcPr>
          <w:p w14:paraId="5A2D533C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D09C8">
              <w:rPr>
                <w:rFonts w:eastAsia="SimSun"/>
                <w:sz w:val="18"/>
                <w:szCs w:val="18"/>
                <w:lang w:val="en-GB"/>
              </w:rPr>
              <w:sym w:font="Symbol" w:char="F02D"/>
            </w:r>
          </w:p>
        </w:tc>
      </w:tr>
      <w:tr w:rsidR="002643D8" w:rsidRPr="003D09C8" w14:paraId="19345476" w14:textId="77777777" w:rsidTr="008E185F">
        <w:trPr>
          <w:trHeight w:val="227"/>
          <w:jc w:val="right"/>
        </w:trPr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0B90670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Промежуточный итог (A)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3538DB2B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7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13CCA59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742BAE57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4ACC4308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9</w:t>
            </w:r>
          </w:p>
        </w:tc>
      </w:tr>
      <w:tr w:rsidR="002643D8" w:rsidRPr="003D09C8" w14:paraId="24ADD664" w14:textId="77777777" w:rsidTr="008E185F">
        <w:trPr>
          <w:trHeight w:val="227"/>
          <w:jc w:val="right"/>
        </w:trPr>
        <w:tc>
          <w:tcPr>
            <w:tcW w:w="3312" w:type="dxa"/>
            <w:noWrap/>
            <w:hideMark/>
          </w:tcPr>
          <w:p w14:paraId="07990272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B.</w:t>
            </w:r>
            <w:r w:rsidRPr="003D09C8">
              <w:rPr>
                <w:rFonts w:eastAsia="SimSun"/>
                <w:sz w:val="18"/>
                <w:szCs w:val="18"/>
                <w:lang w:val="ru-RU"/>
              </w:rPr>
              <w:t xml:space="preserve"> </w:t>
            </w: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Категория общего обслуживания</w:t>
            </w:r>
          </w:p>
        </w:tc>
        <w:tc>
          <w:tcPr>
            <w:tcW w:w="1584" w:type="dxa"/>
            <w:noWrap/>
            <w:hideMark/>
          </w:tcPr>
          <w:p w14:paraId="13FF7F25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28" w:type="dxa"/>
            <w:noWrap/>
            <w:hideMark/>
          </w:tcPr>
          <w:p w14:paraId="4BBD7CF7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728" w:type="dxa"/>
            <w:noWrap/>
            <w:hideMark/>
          </w:tcPr>
          <w:p w14:paraId="3F6FF75B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008" w:type="dxa"/>
            <w:noWrap/>
            <w:hideMark/>
          </w:tcPr>
          <w:p w14:paraId="45713FEA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b/>
                <w:bCs/>
                <w:sz w:val="18"/>
                <w:szCs w:val="18"/>
                <w:lang w:val="en-GB" w:eastAsia="en-GB"/>
              </w:rPr>
            </w:pPr>
          </w:p>
        </w:tc>
      </w:tr>
      <w:tr w:rsidR="002643D8" w:rsidRPr="003D09C8" w14:paraId="2507040C" w14:textId="77777777" w:rsidTr="008E185F">
        <w:trPr>
          <w:trHeight w:val="227"/>
          <w:jc w:val="right"/>
        </w:trPr>
        <w:tc>
          <w:tcPr>
            <w:tcW w:w="3312" w:type="dxa"/>
            <w:noWrap/>
            <w:hideMark/>
          </w:tcPr>
          <w:p w14:paraId="3C0680C3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КОО</w:t>
            </w:r>
          </w:p>
        </w:tc>
        <w:tc>
          <w:tcPr>
            <w:tcW w:w="1584" w:type="dxa"/>
            <w:noWrap/>
            <w:hideMark/>
          </w:tcPr>
          <w:p w14:paraId="608688C9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4</w:t>
            </w:r>
          </w:p>
        </w:tc>
        <w:tc>
          <w:tcPr>
            <w:tcW w:w="1728" w:type="dxa"/>
            <w:noWrap/>
            <w:hideMark/>
          </w:tcPr>
          <w:p w14:paraId="243A7FF5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GB"/>
              </w:rPr>
            </w:pPr>
            <w:r w:rsidRPr="003D09C8">
              <w:rPr>
                <w:rFonts w:eastAsia="SimSun"/>
                <w:sz w:val="18"/>
                <w:szCs w:val="18"/>
                <w:lang w:val="en-GB"/>
              </w:rPr>
              <w:sym w:font="Symbol" w:char="F02D"/>
            </w:r>
          </w:p>
        </w:tc>
        <w:tc>
          <w:tcPr>
            <w:tcW w:w="1728" w:type="dxa"/>
            <w:noWrap/>
            <w:hideMark/>
          </w:tcPr>
          <w:p w14:paraId="734B93EC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1</w:t>
            </w:r>
          </w:p>
        </w:tc>
        <w:tc>
          <w:tcPr>
            <w:tcW w:w="1008" w:type="dxa"/>
            <w:noWrap/>
            <w:hideMark/>
          </w:tcPr>
          <w:p w14:paraId="3576AE3C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sz w:val="18"/>
                <w:szCs w:val="18"/>
                <w:lang w:val="ru-RU"/>
              </w:rPr>
              <w:t>5</w:t>
            </w:r>
          </w:p>
        </w:tc>
      </w:tr>
      <w:tr w:rsidR="002643D8" w:rsidRPr="003D09C8" w14:paraId="73E6B964" w14:textId="77777777" w:rsidTr="008E185F">
        <w:trPr>
          <w:trHeight w:val="227"/>
          <w:jc w:val="right"/>
        </w:trPr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9330871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Промежуточный итог (B)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55D7A6D9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4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4D28BDD4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F07568B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478FD4E2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5</w:t>
            </w:r>
          </w:p>
        </w:tc>
      </w:tr>
      <w:tr w:rsidR="002643D8" w:rsidRPr="003D09C8" w14:paraId="3F15679F" w14:textId="77777777" w:rsidTr="008E185F">
        <w:trPr>
          <w:trHeight w:val="227"/>
          <w:jc w:val="right"/>
        </w:trPr>
        <w:tc>
          <w:tcPr>
            <w:tcW w:w="33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7563229E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Всего (А + В)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7733F9D0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11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2003887E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4297FADA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5B7F560F" w14:textId="77777777" w:rsidR="002643D8" w:rsidRPr="003D09C8" w:rsidRDefault="002643D8" w:rsidP="008E185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40" w:after="40"/>
              <w:jc w:val="right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 w:rsidRPr="003D09C8">
              <w:rPr>
                <w:rFonts w:eastAsia="SimSun"/>
                <w:b/>
                <w:bCs/>
                <w:sz w:val="18"/>
                <w:szCs w:val="18"/>
                <w:lang w:val="ru-RU"/>
              </w:rPr>
              <w:t>14</w:t>
            </w:r>
          </w:p>
        </w:tc>
      </w:tr>
    </w:tbl>
    <w:p w14:paraId="2A4E7EDC" w14:textId="3335275D" w:rsidR="00746753" w:rsidRPr="00BC6590" w:rsidRDefault="002643D8" w:rsidP="002643D8">
      <w:pPr>
        <w:pStyle w:val="CH1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right="567" w:firstLine="0"/>
        <w:rPr>
          <w:lang w:val="fr-CH"/>
        </w:rPr>
      </w:pPr>
      <w:r w:rsidRPr="00211011">
        <w:rPr>
          <w:rFonts w:eastAsia="SimSun"/>
          <w:i/>
          <w:iCs/>
          <w:sz w:val="18"/>
          <w:szCs w:val="18"/>
        </w:rPr>
        <w:t>Примечание</w:t>
      </w:r>
      <w:r w:rsidRPr="00211011">
        <w:rPr>
          <w:rFonts w:eastAsia="SimSun"/>
          <w:sz w:val="18"/>
          <w:szCs w:val="18"/>
        </w:rPr>
        <w:t xml:space="preserve">: В штатное расписание включена </w:t>
      </w:r>
      <w:proofErr w:type="spellStart"/>
      <w:r w:rsidRPr="00211011">
        <w:rPr>
          <w:rFonts w:eastAsia="SimSun"/>
          <w:sz w:val="18"/>
          <w:szCs w:val="18"/>
        </w:rPr>
        <w:t>реклассификация</w:t>
      </w:r>
      <w:proofErr w:type="spellEnd"/>
      <w:r w:rsidRPr="00211011">
        <w:rPr>
          <w:rFonts w:eastAsia="SimSun"/>
          <w:sz w:val="18"/>
          <w:szCs w:val="18"/>
        </w:rPr>
        <w:t xml:space="preserve"> двух должностей С-4 в С-5. Кроме того, Италия финансирует должность младшего сотрудника категории специалистов уровня С-2 до октября 2023</w:t>
      </w:r>
      <w:r>
        <w:rPr>
          <w:rFonts w:eastAsia="SimSun"/>
          <w:sz w:val="18"/>
          <w:szCs w:val="18"/>
        </w:rPr>
        <w:t> </w:t>
      </w:r>
      <w:r w:rsidRPr="00211011">
        <w:rPr>
          <w:rFonts w:eastAsia="SimSun"/>
          <w:sz w:val="18"/>
          <w:szCs w:val="18"/>
        </w:rPr>
        <w:t>года.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15442E" w14:paraId="087F339E" w14:textId="77777777" w:rsidTr="0015442E">
        <w:tc>
          <w:tcPr>
            <w:tcW w:w="1897" w:type="dxa"/>
          </w:tcPr>
          <w:p w14:paraId="33450BE6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7" w:type="dxa"/>
          </w:tcPr>
          <w:p w14:paraId="7AE652CA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71030039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80"/>
            </w:pPr>
          </w:p>
        </w:tc>
        <w:tc>
          <w:tcPr>
            <w:tcW w:w="1897" w:type="dxa"/>
          </w:tcPr>
          <w:p w14:paraId="1B2C79D4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8" w:type="dxa"/>
          </w:tcPr>
          <w:p w14:paraId="144A7BE1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</w:tr>
    </w:tbl>
    <w:p w14:paraId="12EBF5D0" w14:textId="77777777" w:rsidR="008659A0" w:rsidRDefault="008659A0" w:rsidP="00EB015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</w:pPr>
    </w:p>
    <w:sectPr w:rsidR="008659A0" w:rsidSect="0015442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46475" w14:textId="77777777" w:rsidR="0071798B" w:rsidRDefault="0071798B">
      <w:r>
        <w:separator/>
      </w:r>
    </w:p>
  </w:endnote>
  <w:endnote w:type="continuationSeparator" w:id="0">
    <w:p w14:paraId="7FF2C98A" w14:textId="77777777" w:rsidR="0071798B" w:rsidRDefault="00717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5E00" w14:textId="457F0645" w:rsidR="00123699" w:rsidRPr="003B5910" w:rsidRDefault="00123699" w:rsidP="00A70B56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</w:tabs>
      <w:rPr>
        <w:lang w:val="en-US"/>
      </w:rPr>
    </w:pPr>
    <w:r w:rsidRPr="003B5910">
      <w:rPr>
        <w:rStyle w:val="PageNumber"/>
        <w:b/>
        <w:lang w:val="en-US"/>
      </w:rPr>
      <w:fldChar w:fldCharType="begin"/>
    </w:r>
    <w:r w:rsidRPr="003B5910">
      <w:rPr>
        <w:rStyle w:val="PageNumber"/>
        <w:b/>
        <w:lang w:val="en-US"/>
      </w:rPr>
      <w:instrText xml:space="preserve"> PAGE </w:instrText>
    </w:r>
    <w:r w:rsidRPr="003B5910">
      <w:rPr>
        <w:rStyle w:val="PageNumber"/>
        <w:b/>
        <w:lang w:val="en-US"/>
      </w:rPr>
      <w:fldChar w:fldCharType="separate"/>
    </w:r>
    <w:r w:rsidR="00F7542C" w:rsidRPr="003B5910">
      <w:rPr>
        <w:rStyle w:val="PageNumber"/>
        <w:b/>
        <w:noProof/>
        <w:lang w:val="en-US"/>
      </w:rPr>
      <w:t>2</w:t>
    </w:r>
    <w:r w:rsidRPr="003B5910">
      <w:rPr>
        <w:rStyle w:val="PageNumber"/>
        <w:b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00E42" w14:textId="77777777" w:rsidR="00123699" w:rsidRPr="003B5910" w:rsidRDefault="00123699" w:rsidP="003B5910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</w:tabs>
      <w:jc w:val="right"/>
      <w:rPr>
        <w:b w:val="0"/>
        <w:lang w:val="en-US"/>
      </w:rPr>
    </w:pPr>
    <w:r w:rsidRPr="003B5910">
      <w:rPr>
        <w:rStyle w:val="PageNumber"/>
        <w:b/>
        <w:lang w:val="en-US"/>
      </w:rPr>
      <w:fldChar w:fldCharType="begin"/>
    </w:r>
    <w:r w:rsidRPr="003B5910">
      <w:rPr>
        <w:rStyle w:val="PageNumber"/>
        <w:b/>
        <w:lang w:val="en-US"/>
      </w:rPr>
      <w:instrText xml:space="preserve"> PAGE </w:instrText>
    </w:r>
    <w:r w:rsidRPr="003B5910">
      <w:rPr>
        <w:rStyle w:val="PageNumber"/>
        <w:b/>
        <w:lang w:val="en-US"/>
      </w:rPr>
      <w:fldChar w:fldCharType="separate"/>
    </w:r>
    <w:r w:rsidR="00250B6D" w:rsidRPr="003B5910">
      <w:rPr>
        <w:rStyle w:val="PageNumber"/>
        <w:b/>
        <w:noProof/>
        <w:lang w:val="en-US"/>
      </w:rPr>
      <w:t>3</w:t>
    </w:r>
    <w:r w:rsidRPr="003B5910">
      <w:rPr>
        <w:rStyle w:val="PageNumber"/>
        <w:b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10173" w14:textId="502DAC03" w:rsidR="0015442E" w:rsidRPr="003B5910" w:rsidRDefault="0015442E" w:rsidP="00A70B56">
    <w:pPr>
      <w:pStyle w:val="Normal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before="60" w:after="120"/>
      <w:rPr>
        <w:lang w:val="en-US"/>
      </w:rPr>
    </w:pPr>
    <w:r w:rsidRPr="003B5910">
      <w:rPr>
        <w:lang w:val="en-US"/>
      </w:rPr>
      <w:tab/>
    </w:r>
    <w:r w:rsidR="00875E6E" w:rsidRPr="00917F8F">
      <w:rPr>
        <w:lang w:val="en-US"/>
      </w:rPr>
      <w:t>0</w:t>
    </w:r>
    <w:r w:rsidR="00917F8F" w:rsidRPr="00917F8F">
      <w:rPr>
        <w:lang w:val="en-US"/>
      </w:rPr>
      <w:t>311</w:t>
    </w:r>
    <w:r w:rsidR="00A70B56" w:rsidRPr="00917F8F">
      <w:rPr>
        <w:lang w:val="en-US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62598" w14:textId="77777777" w:rsidR="0071798B" w:rsidRPr="0072353B" w:rsidRDefault="0071798B" w:rsidP="0072353B">
      <w:pPr>
        <w:tabs>
          <w:tab w:val="left" w:pos="624"/>
        </w:tabs>
        <w:spacing w:before="60"/>
        <w:ind w:left="624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3663DE5F" w14:textId="77777777" w:rsidR="0071798B" w:rsidRDefault="0071798B">
      <w:r>
        <w:continuationSeparator/>
      </w:r>
    </w:p>
  </w:footnote>
  <w:footnote w:id="1">
    <w:p w14:paraId="1933E425" w14:textId="77777777" w:rsidR="002643D8" w:rsidRPr="00F95B6E" w:rsidRDefault="002643D8" w:rsidP="002643D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F95B6E">
        <w:rPr>
          <w:rStyle w:val="FootnoteReference"/>
          <w:sz w:val="18"/>
        </w:rPr>
        <w:footnoteRef/>
      </w:r>
      <w:r w:rsidRPr="00F95B6E">
        <w:rPr>
          <w:sz w:val="18"/>
          <w:szCs w:val="18"/>
          <w:lang w:val="en-GB"/>
        </w:rPr>
        <w:t xml:space="preserve"> </w:t>
      </w:r>
      <w:r w:rsidRPr="00F95B6E">
        <w:rPr>
          <w:sz w:val="18"/>
          <w:szCs w:val="18"/>
          <w:lang w:val="en-GB"/>
        </w:rPr>
        <w:tab/>
        <w:t>UNEP/MC/COP.4/24.</w:t>
      </w:r>
    </w:p>
  </w:footnote>
  <w:footnote w:id="2">
    <w:p w14:paraId="76C40C3F" w14:textId="77777777" w:rsidR="002643D8" w:rsidRPr="00F95B6E" w:rsidRDefault="002643D8" w:rsidP="002643D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 w:firstLine="1"/>
        <w:rPr>
          <w:sz w:val="18"/>
          <w:szCs w:val="18"/>
          <w:lang w:val="en-GB"/>
        </w:rPr>
      </w:pPr>
      <w:r w:rsidRPr="00F95B6E">
        <w:rPr>
          <w:rStyle w:val="FootnoteReference"/>
          <w:sz w:val="18"/>
        </w:rPr>
        <w:footnoteRef/>
      </w:r>
      <w:r w:rsidRPr="00F95B6E">
        <w:rPr>
          <w:sz w:val="18"/>
          <w:szCs w:val="18"/>
          <w:lang w:val="en-GB"/>
        </w:rPr>
        <w:t xml:space="preserve"> </w:t>
      </w:r>
      <w:r w:rsidRPr="00F95B6E">
        <w:rPr>
          <w:sz w:val="18"/>
          <w:szCs w:val="18"/>
          <w:lang w:val="en-GB"/>
        </w:rPr>
        <w:tab/>
        <w:t>UNEP/MC/COP.4/INF/21.</w:t>
      </w:r>
    </w:p>
  </w:footnote>
  <w:footnote w:id="3">
    <w:p w14:paraId="5A16BE8D" w14:textId="77777777" w:rsidR="002643D8" w:rsidRPr="00F95B6E" w:rsidRDefault="002643D8" w:rsidP="002643D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F95B6E">
        <w:rPr>
          <w:rStyle w:val="FootnoteReference"/>
          <w:sz w:val="18"/>
        </w:rPr>
        <w:footnoteRef/>
      </w:r>
      <w:r w:rsidRPr="00F95B6E">
        <w:rPr>
          <w:sz w:val="18"/>
          <w:szCs w:val="18"/>
          <w:lang w:val="en-GB"/>
        </w:rPr>
        <w:t xml:space="preserve"> </w:t>
      </w:r>
      <w:r w:rsidRPr="00F95B6E">
        <w:rPr>
          <w:sz w:val="18"/>
          <w:szCs w:val="18"/>
          <w:lang w:val="en-GB"/>
        </w:rPr>
        <w:tab/>
        <w:t>UNEP/MC/COP.4/INF/22.</w:t>
      </w:r>
    </w:p>
  </w:footnote>
  <w:footnote w:id="4">
    <w:p w14:paraId="35991631" w14:textId="77777777" w:rsidR="002643D8" w:rsidRPr="00F95B6E" w:rsidRDefault="002643D8" w:rsidP="002643D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F95B6E">
        <w:rPr>
          <w:rStyle w:val="FootnoteReference"/>
          <w:sz w:val="18"/>
        </w:rPr>
        <w:footnoteRef/>
      </w:r>
      <w:r w:rsidRPr="00F95B6E">
        <w:rPr>
          <w:sz w:val="18"/>
          <w:szCs w:val="18"/>
          <w:lang w:val="en-GB"/>
        </w:rPr>
        <w:t xml:space="preserve"> </w:t>
      </w:r>
      <w:r w:rsidRPr="00F95B6E">
        <w:rPr>
          <w:sz w:val="18"/>
          <w:szCs w:val="18"/>
          <w:lang w:val="en-GB"/>
        </w:rPr>
        <w:tab/>
        <w:t>UNEP/MC/COP.4/19.</w:t>
      </w:r>
    </w:p>
  </w:footnote>
  <w:footnote w:id="5">
    <w:p w14:paraId="4CF53004" w14:textId="77777777" w:rsidR="002643D8" w:rsidRPr="004117E5" w:rsidRDefault="002643D8" w:rsidP="002643D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F95B6E">
        <w:rPr>
          <w:rStyle w:val="FootnoteReference"/>
          <w:sz w:val="18"/>
        </w:rPr>
        <w:footnoteRef/>
      </w:r>
      <w:r w:rsidRPr="00F95B6E">
        <w:rPr>
          <w:sz w:val="18"/>
          <w:szCs w:val="18"/>
          <w:lang w:val="en-GB"/>
        </w:rPr>
        <w:t xml:space="preserve"> </w:t>
      </w:r>
      <w:r w:rsidRPr="00F95B6E">
        <w:rPr>
          <w:sz w:val="18"/>
          <w:szCs w:val="18"/>
          <w:lang w:val="en-GB"/>
        </w:rPr>
        <w:tab/>
        <w:t>UNEP/MC/COP.4/23.</w:t>
      </w:r>
    </w:p>
  </w:footnote>
  <w:footnote w:id="6">
    <w:p w14:paraId="753FD79A" w14:textId="77777777" w:rsidR="002643D8" w:rsidRPr="00F93524" w:rsidRDefault="002643D8" w:rsidP="002643D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F93524">
        <w:rPr>
          <w:rStyle w:val="FootnoteReference"/>
          <w:sz w:val="18"/>
        </w:rPr>
        <w:footnoteRef/>
      </w:r>
      <w:r w:rsidRPr="00F93524">
        <w:rPr>
          <w:sz w:val="18"/>
          <w:szCs w:val="18"/>
          <w:lang w:val="en-GB"/>
        </w:rPr>
        <w:t xml:space="preserve"> </w:t>
      </w:r>
      <w:r w:rsidRPr="00F93524">
        <w:rPr>
          <w:sz w:val="18"/>
          <w:szCs w:val="18"/>
          <w:lang w:val="en-GB"/>
        </w:rPr>
        <w:tab/>
        <w:t>UNEP/MC/COP.4/INF/21.</w:t>
      </w:r>
    </w:p>
  </w:footnote>
  <w:footnote w:id="7">
    <w:p w14:paraId="2D3F1A18" w14:textId="77777777" w:rsidR="002643D8" w:rsidRPr="00F93524" w:rsidRDefault="002643D8" w:rsidP="002643D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F93524">
        <w:rPr>
          <w:rStyle w:val="FootnoteReference"/>
          <w:sz w:val="18"/>
        </w:rPr>
        <w:footnoteRef/>
      </w:r>
      <w:r w:rsidRPr="00F93524">
        <w:rPr>
          <w:sz w:val="18"/>
          <w:szCs w:val="18"/>
          <w:lang w:val="en-GB"/>
        </w:rPr>
        <w:t xml:space="preserve"> </w:t>
      </w:r>
      <w:r w:rsidRPr="00F93524">
        <w:rPr>
          <w:sz w:val="18"/>
          <w:szCs w:val="18"/>
          <w:lang w:val="en-GB"/>
        </w:rPr>
        <w:tab/>
        <w:t>UNEP/MC/COP.4/19.</w:t>
      </w:r>
    </w:p>
  </w:footnote>
  <w:footnote w:id="8">
    <w:p w14:paraId="68D8DAF7" w14:textId="77777777" w:rsidR="002643D8" w:rsidRPr="00F93524" w:rsidRDefault="002643D8" w:rsidP="002643D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F93524">
        <w:rPr>
          <w:rStyle w:val="FootnoteReference"/>
          <w:sz w:val="18"/>
        </w:rPr>
        <w:footnoteRef/>
      </w:r>
      <w:r w:rsidRPr="00F93524">
        <w:rPr>
          <w:sz w:val="18"/>
          <w:szCs w:val="18"/>
          <w:lang w:val="en-GB"/>
        </w:rPr>
        <w:t xml:space="preserve"> </w:t>
      </w:r>
      <w:r w:rsidRPr="00F93524">
        <w:rPr>
          <w:sz w:val="18"/>
          <w:szCs w:val="18"/>
          <w:lang w:val="en-GB"/>
        </w:rPr>
        <w:tab/>
        <w:t>UNEP/MC/COP.4/23.</w:t>
      </w:r>
    </w:p>
  </w:footnote>
  <w:footnote w:id="9">
    <w:p w14:paraId="6255242C" w14:textId="77777777" w:rsidR="002643D8" w:rsidRPr="00F93524" w:rsidRDefault="002643D8" w:rsidP="002643D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F93524">
        <w:rPr>
          <w:rStyle w:val="FootnoteReference"/>
          <w:sz w:val="18"/>
        </w:rPr>
        <w:footnoteRef/>
      </w:r>
      <w:r w:rsidRPr="00F93524">
        <w:rPr>
          <w:sz w:val="18"/>
          <w:szCs w:val="18"/>
          <w:lang w:val="en-GB"/>
        </w:rPr>
        <w:t xml:space="preserve"> </w:t>
      </w:r>
      <w:r w:rsidRPr="00F93524">
        <w:rPr>
          <w:sz w:val="18"/>
          <w:szCs w:val="18"/>
          <w:lang w:val="en-GB"/>
        </w:rPr>
        <w:tab/>
        <w:t>UNEP/MC/COP.4/24.</w:t>
      </w:r>
    </w:p>
  </w:footnote>
  <w:footnote w:id="10">
    <w:p w14:paraId="7759A225" w14:textId="77777777" w:rsidR="002643D8" w:rsidRPr="00F93524" w:rsidRDefault="002643D8" w:rsidP="002643D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F93524">
        <w:rPr>
          <w:rStyle w:val="FootnoteReference"/>
          <w:sz w:val="18"/>
        </w:rPr>
        <w:footnoteRef/>
      </w:r>
      <w:r w:rsidRPr="00F93524">
        <w:rPr>
          <w:sz w:val="18"/>
          <w:szCs w:val="18"/>
          <w:lang w:val="en-GB"/>
        </w:rPr>
        <w:t xml:space="preserve"> </w:t>
      </w:r>
      <w:r w:rsidRPr="00F93524">
        <w:rPr>
          <w:sz w:val="18"/>
          <w:szCs w:val="18"/>
          <w:lang w:val="en-GB"/>
        </w:rPr>
        <w:tab/>
        <w:t>UNEP/MC/COP.3/INF/21.</w:t>
      </w:r>
    </w:p>
  </w:footnote>
  <w:footnote w:id="11">
    <w:p w14:paraId="44AE5070" w14:textId="77777777" w:rsidR="002643D8" w:rsidRPr="00F93524" w:rsidRDefault="002643D8" w:rsidP="002643D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  <w:lang w:val="en-GB"/>
        </w:rPr>
      </w:pPr>
      <w:r w:rsidRPr="00F93524">
        <w:rPr>
          <w:rStyle w:val="FootnoteReference"/>
          <w:sz w:val="18"/>
        </w:rPr>
        <w:footnoteRef/>
      </w:r>
      <w:r w:rsidRPr="00F93524">
        <w:rPr>
          <w:sz w:val="18"/>
          <w:szCs w:val="18"/>
          <w:lang w:val="en-GB"/>
        </w:rPr>
        <w:t xml:space="preserve"> </w:t>
      </w:r>
      <w:r w:rsidRPr="00F93524">
        <w:rPr>
          <w:sz w:val="18"/>
          <w:szCs w:val="18"/>
          <w:lang w:val="en-GB"/>
        </w:rPr>
        <w:tab/>
        <w:t>UNEP/MC/COP.3/INF/22.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FE274" w14:textId="53828B1B" w:rsidR="00123699" w:rsidRPr="003B5910" w:rsidRDefault="00F96910" w:rsidP="003B5910">
    <w:pPr>
      <w:pStyle w:val="Header-pool"/>
      <w:tabs>
        <w:tab w:val="clear" w:pos="1247"/>
        <w:tab w:val="clear" w:pos="4082"/>
        <w:tab w:val="clear" w:pos="4536"/>
        <w:tab w:val="clear" w:pos="9072"/>
      </w:tabs>
      <w:rPr>
        <w:lang w:val="en-US"/>
      </w:rPr>
    </w:pPr>
    <w:r w:rsidRPr="003B5910">
      <w:rPr>
        <w:lang w:val="en-US"/>
      </w:rPr>
      <w:t>UNEP/MC</w:t>
    </w:r>
    <w:r w:rsidR="008659A0" w:rsidRPr="003B5910">
      <w:rPr>
        <w:lang w:val="en-US"/>
      </w:rPr>
      <w:t>/</w:t>
    </w:r>
    <w:r w:rsidRPr="003B5910">
      <w:rPr>
        <w:lang w:val="en-US"/>
      </w:rPr>
      <w:t>COP.</w:t>
    </w:r>
    <w:r w:rsidR="003C1CBA">
      <w:rPr>
        <w:lang w:val="en-US"/>
      </w:rPr>
      <w:t>4</w:t>
    </w:r>
    <w:r w:rsidRPr="003B5910">
      <w:rPr>
        <w:lang w:val="en-US"/>
      </w:rPr>
      <w:t>/</w:t>
    </w:r>
    <w:r w:rsidR="003C1CBA">
      <w:rPr>
        <w:lang w:val="en-US"/>
      </w:rPr>
      <w:t>Dec.</w:t>
    </w:r>
    <w:r w:rsidR="002643D8">
      <w:rPr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AE950" w14:textId="3C516813" w:rsidR="00123699" w:rsidRPr="003B5910" w:rsidRDefault="00F96910" w:rsidP="003B5910">
    <w:pPr>
      <w:pStyle w:val="Header-pool"/>
      <w:tabs>
        <w:tab w:val="clear" w:pos="1247"/>
        <w:tab w:val="clear" w:pos="4082"/>
        <w:tab w:val="clear" w:pos="4536"/>
        <w:tab w:val="clear" w:pos="9072"/>
      </w:tabs>
      <w:jc w:val="right"/>
      <w:rPr>
        <w:szCs w:val="18"/>
        <w:lang w:val="en-US"/>
      </w:rPr>
    </w:pPr>
    <w:r w:rsidRPr="003B5910">
      <w:rPr>
        <w:lang w:val="en-US"/>
      </w:rPr>
      <w:t>UNEP/MC</w:t>
    </w:r>
    <w:r w:rsidR="008659A0" w:rsidRPr="003B5910">
      <w:rPr>
        <w:lang w:val="en-US"/>
      </w:rPr>
      <w:t>/</w:t>
    </w:r>
    <w:r w:rsidRPr="003B5910">
      <w:rPr>
        <w:lang w:val="en-US"/>
      </w:rPr>
      <w:t>COP.</w:t>
    </w:r>
    <w:r w:rsidR="003C1CBA">
      <w:rPr>
        <w:lang w:val="en-US"/>
      </w:rPr>
      <w:t>4</w:t>
    </w:r>
    <w:r w:rsidRPr="003B5910">
      <w:rPr>
        <w:lang w:val="en-US"/>
      </w:rPr>
      <w:t>/</w:t>
    </w:r>
    <w:r w:rsidR="003C1CBA">
      <w:rPr>
        <w:lang w:val="en-US"/>
      </w:rPr>
      <w:t>Dec.</w:t>
    </w:r>
    <w:r w:rsidR="002643D8">
      <w:rPr>
        <w:lang w:val="en-US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E264" w14:textId="77777777" w:rsidR="00C059F0" w:rsidRPr="00F7542C" w:rsidRDefault="00C059F0" w:rsidP="00F7542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F42AB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53B7225"/>
    <w:multiLevelType w:val="hybridMultilevel"/>
    <w:tmpl w:val="3596141A"/>
    <w:lvl w:ilvl="0" w:tplc="A008EDF4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A35F0"/>
    <w:multiLevelType w:val="hybridMultilevel"/>
    <w:tmpl w:val="0484BBD2"/>
    <w:lvl w:ilvl="0" w:tplc="0B82E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3C69BE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30635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8" w15:restartNumberingAfterBreak="0">
    <w:nsid w:val="5D1D76CE"/>
    <w:multiLevelType w:val="hybridMultilevel"/>
    <w:tmpl w:val="C1F0A142"/>
    <w:lvl w:ilvl="0" w:tplc="CA8E303C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291BF8"/>
    <w:multiLevelType w:val="multilevel"/>
    <w:tmpl w:val="F4ACF36E"/>
    <w:numStyleLink w:val="Normallist"/>
  </w:abstractNum>
  <w:abstractNum w:abstractNumId="10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1" w15:restartNumberingAfterBreak="0">
    <w:nsid w:val="778D2848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2"/>
  </w:num>
  <w:num w:numId="10">
    <w:abstractNumId w:val="11"/>
  </w:num>
  <w:num w:numId="11">
    <w:abstractNumId w:val="3"/>
  </w:num>
  <w:num w:numId="12">
    <w:abstractNumId w:val="10"/>
  </w:num>
  <w:num w:numId="13">
    <w:abstractNumId w:val="7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removePersonalInformation/>
  <w:removeDateAndTime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s-ES_tradnl" w:vendorID="64" w:dllVersion="0" w:nlCheck="1" w:checkStyle="0"/>
  <w:activeWritingStyle w:appName="MSWord" w:lang="ru-RU" w:vendorID="64" w:dllVersion="0" w:nlCheck="1" w:checkStyle="0"/>
  <w:proofState w:spelling="clean" w:grammar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B2"/>
    <w:rsid w:val="00003BCB"/>
    <w:rsid w:val="000149E6"/>
    <w:rsid w:val="000247B0"/>
    <w:rsid w:val="00026997"/>
    <w:rsid w:val="00033E0B"/>
    <w:rsid w:val="00035EDE"/>
    <w:rsid w:val="00037460"/>
    <w:rsid w:val="00044340"/>
    <w:rsid w:val="000503BC"/>
    <w:rsid w:val="000509B4"/>
    <w:rsid w:val="0006035B"/>
    <w:rsid w:val="0006181A"/>
    <w:rsid w:val="000669FB"/>
    <w:rsid w:val="00071886"/>
    <w:rsid w:val="000742BC"/>
    <w:rsid w:val="00082A0C"/>
    <w:rsid w:val="00083504"/>
    <w:rsid w:val="000843C6"/>
    <w:rsid w:val="000941E5"/>
    <w:rsid w:val="0009640C"/>
    <w:rsid w:val="000B22A2"/>
    <w:rsid w:val="000B6914"/>
    <w:rsid w:val="000C0F46"/>
    <w:rsid w:val="000C2A52"/>
    <w:rsid w:val="000D0733"/>
    <w:rsid w:val="000D33C0"/>
    <w:rsid w:val="000D6941"/>
    <w:rsid w:val="000E4868"/>
    <w:rsid w:val="000F4549"/>
    <w:rsid w:val="001064A3"/>
    <w:rsid w:val="001202E3"/>
    <w:rsid w:val="00123699"/>
    <w:rsid w:val="0012644F"/>
    <w:rsid w:val="0013059D"/>
    <w:rsid w:val="001346DB"/>
    <w:rsid w:val="00141A55"/>
    <w:rsid w:val="001446A3"/>
    <w:rsid w:val="00145960"/>
    <w:rsid w:val="0015442E"/>
    <w:rsid w:val="00155395"/>
    <w:rsid w:val="00160D74"/>
    <w:rsid w:val="00167D02"/>
    <w:rsid w:val="00171AF1"/>
    <w:rsid w:val="00181EC8"/>
    <w:rsid w:val="00184349"/>
    <w:rsid w:val="00193DC9"/>
    <w:rsid w:val="00195E9F"/>
    <w:rsid w:val="00195F33"/>
    <w:rsid w:val="001B1617"/>
    <w:rsid w:val="001B504B"/>
    <w:rsid w:val="001B69D4"/>
    <w:rsid w:val="001B7D42"/>
    <w:rsid w:val="001C3E7A"/>
    <w:rsid w:val="001D3874"/>
    <w:rsid w:val="001D4C3C"/>
    <w:rsid w:val="001D7E75"/>
    <w:rsid w:val="001E56D2"/>
    <w:rsid w:val="001E7D56"/>
    <w:rsid w:val="001F75DE"/>
    <w:rsid w:val="00200D58"/>
    <w:rsid w:val="002013BE"/>
    <w:rsid w:val="002063A4"/>
    <w:rsid w:val="0021145B"/>
    <w:rsid w:val="00222F26"/>
    <w:rsid w:val="00234B59"/>
    <w:rsid w:val="002431AE"/>
    <w:rsid w:val="00243D36"/>
    <w:rsid w:val="00247707"/>
    <w:rsid w:val="00250B6D"/>
    <w:rsid w:val="0026018E"/>
    <w:rsid w:val="00260799"/>
    <w:rsid w:val="002643D8"/>
    <w:rsid w:val="00270374"/>
    <w:rsid w:val="00270AAF"/>
    <w:rsid w:val="00275DA1"/>
    <w:rsid w:val="002768BA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F28D0"/>
    <w:rsid w:val="002F4761"/>
    <w:rsid w:val="002F5C79"/>
    <w:rsid w:val="003019E2"/>
    <w:rsid w:val="0031413F"/>
    <w:rsid w:val="003148BB"/>
    <w:rsid w:val="00317976"/>
    <w:rsid w:val="00321398"/>
    <w:rsid w:val="00324B1A"/>
    <w:rsid w:val="00336111"/>
    <w:rsid w:val="00342FBF"/>
    <w:rsid w:val="00350ADA"/>
    <w:rsid w:val="00355EA9"/>
    <w:rsid w:val="003578DE"/>
    <w:rsid w:val="00362047"/>
    <w:rsid w:val="0036669D"/>
    <w:rsid w:val="00372781"/>
    <w:rsid w:val="00375D74"/>
    <w:rsid w:val="0039169B"/>
    <w:rsid w:val="00392F9C"/>
    <w:rsid w:val="00396257"/>
    <w:rsid w:val="003963DF"/>
    <w:rsid w:val="00397EB8"/>
    <w:rsid w:val="003A1C5B"/>
    <w:rsid w:val="003A4FD0"/>
    <w:rsid w:val="003A69D1"/>
    <w:rsid w:val="003A7705"/>
    <w:rsid w:val="003A77F1"/>
    <w:rsid w:val="003B1545"/>
    <w:rsid w:val="003B5910"/>
    <w:rsid w:val="003B5FFF"/>
    <w:rsid w:val="003B7D67"/>
    <w:rsid w:val="003C1CBA"/>
    <w:rsid w:val="003C409D"/>
    <w:rsid w:val="003C5BA6"/>
    <w:rsid w:val="003D104A"/>
    <w:rsid w:val="003E4593"/>
    <w:rsid w:val="003E6F41"/>
    <w:rsid w:val="003E7DE3"/>
    <w:rsid w:val="003F06BB"/>
    <w:rsid w:val="003F09D4"/>
    <w:rsid w:val="003F0E85"/>
    <w:rsid w:val="00410C55"/>
    <w:rsid w:val="00416854"/>
    <w:rsid w:val="00417725"/>
    <w:rsid w:val="004267BF"/>
    <w:rsid w:val="00430726"/>
    <w:rsid w:val="00437F26"/>
    <w:rsid w:val="00443D04"/>
    <w:rsid w:val="00444097"/>
    <w:rsid w:val="00445487"/>
    <w:rsid w:val="00454769"/>
    <w:rsid w:val="0046322E"/>
    <w:rsid w:val="00466991"/>
    <w:rsid w:val="0047064C"/>
    <w:rsid w:val="004A42E1"/>
    <w:rsid w:val="004B162C"/>
    <w:rsid w:val="004B614E"/>
    <w:rsid w:val="004C3DBE"/>
    <w:rsid w:val="004C5C96"/>
    <w:rsid w:val="004C794B"/>
    <w:rsid w:val="004D06A4"/>
    <w:rsid w:val="004D69D1"/>
    <w:rsid w:val="004E1B24"/>
    <w:rsid w:val="004F1A81"/>
    <w:rsid w:val="0050052E"/>
    <w:rsid w:val="005064EF"/>
    <w:rsid w:val="0050733D"/>
    <w:rsid w:val="005218D9"/>
    <w:rsid w:val="00522FC4"/>
    <w:rsid w:val="00536186"/>
    <w:rsid w:val="005369CB"/>
    <w:rsid w:val="005421B9"/>
    <w:rsid w:val="00544CBB"/>
    <w:rsid w:val="005472A3"/>
    <w:rsid w:val="00550D07"/>
    <w:rsid w:val="00551104"/>
    <w:rsid w:val="00555ADC"/>
    <w:rsid w:val="00561676"/>
    <w:rsid w:val="00566B59"/>
    <w:rsid w:val="0057315F"/>
    <w:rsid w:val="005746EA"/>
    <w:rsid w:val="00576104"/>
    <w:rsid w:val="0059162C"/>
    <w:rsid w:val="00595B8E"/>
    <w:rsid w:val="005B42A6"/>
    <w:rsid w:val="005C5835"/>
    <w:rsid w:val="005C67C8"/>
    <w:rsid w:val="005C7D1D"/>
    <w:rsid w:val="005D0249"/>
    <w:rsid w:val="005D1DA1"/>
    <w:rsid w:val="005D6E8C"/>
    <w:rsid w:val="005F100C"/>
    <w:rsid w:val="005F68DA"/>
    <w:rsid w:val="0060773B"/>
    <w:rsid w:val="00611117"/>
    <w:rsid w:val="006157B5"/>
    <w:rsid w:val="00622D02"/>
    <w:rsid w:val="00626FC6"/>
    <w:rsid w:val="006303B4"/>
    <w:rsid w:val="00633D3D"/>
    <w:rsid w:val="00641703"/>
    <w:rsid w:val="006431A6"/>
    <w:rsid w:val="006459F6"/>
    <w:rsid w:val="006501AD"/>
    <w:rsid w:val="00651BFA"/>
    <w:rsid w:val="00654475"/>
    <w:rsid w:val="00665A4B"/>
    <w:rsid w:val="006717E6"/>
    <w:rsid w:val="00673665"/>
    <w:rsid w:val="00680611"/>
    <w:rsid w:val="00692E2A"/>
    <w:rsid w:val="006A76F2"/>
    <w:rsid w:val="006C2B82"/>
    <w:rsid w:val="006D4F04"/>
    <w:rsid w:val="006D7EFB"/>
    <w:rsid w:val="006E6672"/>
    <w:rsid w:val="006E6722"/>
    <w:rsid w:val="006F5276"/>
    <w:rsid w:val="007027B9"/>
    <w:rsid w:val="00715E88"/>
    <w:rsid w:val="0071798B"/>
    <w:rsid w:val="0072353B"/>
    <w:rsid w:val="00734CAA"/>
    <w:rsid w:val="00734DC8"/>
    <w:rsid w:val="00741B20"/>
    <w:rsid w:val="00746753"/>
    <w:rsid w:val="00751150"/>
    <w:rsid w:val="007540E8"/>
    <w:rsid w:val="0075533C"/>
    <w:rsid w:val="00757581"/>
    <w:rsid w:val="007611A0"/>
    <w:rsid w:val="0076147A"/>
    <w:rsid w:val="007828A5"/>
    <w:rsid w:val="007841F5"/>
    <w:rsid w:val="00785D9B"/>
    <w:rsid w:val="00795B9D"/>
    <w:rsid w:val="00796D3F"/>
    <w:rsid w:val="007A1683"/>
    <w:rsid w:val="007A5C12"/>
    <w:rsid w:val="007A7CB0"/>
    <w:rsid w:val="007B24F8"/>
    <w:rsid w:val="007B33B3"/>
    <w:rsid w:val="007B68A3"/>
    <w:rsid w:val="007C2541"/>
    <w:rsid w:val="007C521D"/>
    <w:rsid w:val="007D66A8"/>
    <w:rsid w:val="007E003F"/>
    <w:rsid w:val="007F2D08"/>
    <w:rsid w:val="008164F2"/>
    <w:rsid w:val="008201A2"/>
    <w:rsid w:val="00821395"/>
    <w:rsid w:val="00821642"/>
    <w:rsid w:val="00824FC7"/>
    <w:rsid w:val="00830E26"/>
    <w:rsid w:val="008311DD"/>
    <w:rsid w:val="00843576"/>
    <w:rsid w:val="00843B64"/>
    <w:rsid w:val="008478FC"/>
    <w:rsid w:val="008659A0"/>
    <w:rsid w:val="00867BFF"/>
    <w:rsid w:val="00875E6E"/>
    <w:rsid w:val="0088480A"/>
    <w:rsid w:val="0088757A"/>
    <w:rsid w:val="008957DD"/>
    <w:rsid w:val="00897D98"/>
    <w:rsid w:val="008A1E92"/>
    <w:rsid w:val="008A3441"/>
    <w:rsid w:val="008A6DF2"/>
    <w:rsid w:val="008A7807"/>
    <w:rsid w:val="008B4CC9"/>
    <w:rsid w:val="008D7C99"/>
    <w:rsid w:val="008E0FCB"/>
    <w:rsid w:val="008F201B"/>
    <w:rsid w:val="008F5D00"/>
    <w:rsid w:val="00917F8F"/>
    <w:rsid w:val="0092178C"/>
    <w:rsid w:val="00930B88"/>
    <w:rsid w:val="00930E68"/>
    <w:rsid w:val="0094095A"/>
    <w:rsid w:val="00940DCC"/>
    <w:rsid w:val="0094179A"/>
    <w:rsid w:val="0094459E"/>
    <w:rsid w:val="00944DBC"/>
    <w:rsid w:val="009473C6"/>
    <w:rsid w:val="00950977"/>
    <w:rsid w:val="00951A7B"/>
    <w:rsid w:val="00954F9B"/>
    <w:rsid w:val="009564A6"/>
    <w:rsid w:val="00962471"/>
    <w:rsid w:val="00967621"/>
    <w:rsid w:val="00967E6A"/>
    <w:rsid w:val="00984069"/>
    <w:rsid w:val="009876DF"/>
    <w:rsid w:val="009906E7"/>
    <w:rsid w:val="00992DE3"/>
    <w:rsid w:val="009B3D8D"/>
    <w:rsid w:val="009B4A0F"/>
    <w:rsid w:val="009C11D2"/>
    <w:rsid w:val="009C6C70"/>
    <w:rsid w:val="009D0B63"/>
    <w:rsid w:val="009D2DCF"/>
    <w:rsid w:val="009E24BE"/>
    <w:rsid w:val="009E2F3F"/>
    <w:rsid w:val="009E307E"/>
    <w:rsid w:val="009F308C"/>
    <w:rsid w:val="00A001C6"/>
    <w:rsid w:val="00A07870"/>
    <w:rsid w:val="00A07F19"/>
    <w:rsid w:val="00A11B9F"/>
    <w:rsid w:val="00A1348D"/>
    <w:rsid w:val="00A142E9"/>
    <w:rsid w:val="00A232EE"/>
    <w:rsid w:val="00A32F74"/>
    <w:rsid w:val="00A3546E"/>
    <w:rsid w:val="00A35EA7"/>
    <w:rsid w:val="00A4175F"/>
    <w:rsid w:val="00A44411"/>
    <w:rsid w:val="00A469FA"/>
    <w:rsid w:val="00A54034"/>
    <w:rsid w:val="00A55B01"/>
    <w:rsid w:val="00A56B5B"/>
    <w:rsid w:val="00A603FF"/>
    <w:rsid w:val="00A657DD"/>
    <w:rsid w:val="00A666A6"/>
    <w:rsid w:val="00A675FD"/>
    <w:rsid w:val="00A706CF"/>
    <w:rsid w:val="00A70B56"/>
    <w:rsid w:val="00A71EFB"/>
    <w:rsid w:val="00A72437"/>
    <w:rsid w:val="00A80611"/>
    <w:rsid w:val="00AB5340"/>
    <w:rsid w:val="00AC0A89"/>
    <w:rsid w:val="00AC5CBF"/>
    <w:rsid w:val="00AC7C96"/>
    <w:rsid w:val="00AE237D"/>
    <w:rsid w:val="00AE502A"/>
    <w:rsid w:val="00AF7C07"/>
    <w:rsid w:val="00B11663"/>
    <w:rsid w:val="00B12B35"/>
    <w:rsid w:val="00B15CEE"/>
    <w:rsid w:val="00B17AE1"/>
    <w:rsid w:val="00B22C93"/>
    <w:rsid w:val="00B27589"/>
    <w:rsid w:val="00B405B7"/>
    <w:rsid w:val="00B4162D"/>
    <w:rsid w:val="00B52222"/>
    <w:rsid w:val="00B52657"/>
    <w:rsid w:val="00B5428A"/>
    <w:rsid w:val="00B54847"/>
    <w:rsid w:val="00B54FE7"/>
    <w:rsid w:val="00B66901"/>
    <w:rsid w:val="00B71E6D"/>
    <w:rsid w:val="00B72070"/>
    <w:rsid w:val="00B737E9"/>
    <w:rsid w:val="00B779E1"/>
    <w:rsid w:val="00B80083"/>
    <w:rsid w:val="00B849E3"/>
    <w:rsid w:val="00B91EE1"/>
    <w:rsid w:val="00B925AB"/>
    <w:rsid w:val="00BA0090"/>
    <w:rsid w:val="00BA1A67"/>
    <w:rsid w:val="00BA7128"/>
    <w:rsid w:val="00BC6590"/>
    <w:rsid w:val="00BD0DB2"/>
    <w:rsid w:val="00BD7742"/>
    <w:rsid w:val="00BE5B5F"/>
    <w:rsid w:val="00BF17E5"/>
    <w:rsid w:val="00C059F0"/>
    <w:rsid w:val="00C120EE"/>
    <w:rsid w:val="00C228DB"/>
    <w:rsid w:val="00C26F55"/>
    <w:rsid w:val="00C30C63"/>
    <w:rsid w:val="00C36B8B"/>
    <w:rsid w:val="00C415C1"/>
    <w:rsid w:val="00C47DBF"/>
    <w:rsid w:val="00C52AC2"/>
    <w:rsid w:val="00C552FF"/>
    <w:rsid w:val="00C558DA"/>
    <w:rsid w:val="00C55AF3"/>
    <w:rsid w:val="00C74042"/>
    <w:rsid w:val="00C84759"/>
    <w:rsid w:val="00C86D73"/>
    <w:rsid w:val="00CA6C7F"/>
    <w:rsid w:val="00CB36CC"/>
    <w:rsid w:val="00CC10A6"/>
    <w:rsid w:val="00CD5EB8"/>
    <w:rsid w:val="00CD7044"/>
    <w:rsid w:val="00CE08B9"/>
    <w:rsid w:val="00CE3103"/>
    <w:rsid w:val="00CE524C"/>
    <w:rsid w:val="00CE61E7"/>
    <w:rsid w:val="00CF141F"/>
    <w:rsid w:val="00CF4777"/>
    <w:rsid w:val="00D067BB"/>
    <w:rsid w:val="00D07EDB"/>
    <w:rsid w:val="00D1352A"/>
    <w:rsid w:val="00D13873"/>
    <w:rsid w:val="00D169AF"/>
    <w:rsid w:val="00D25249"/>
    <w:rsid w:val="00D25ED8"/>
    <w:rsid w:val="00D314F4"/>
    <w:rsid w:val="00D33365"/>
    <w:rsid w:val="00D34DE9"/>
    <w:rsid w:val="00D35F94"/>
    <w:rsid w:val="00D44172"/>
    <w:rsid w:val="00D44E88"/>
    <w:rsid w:val="00D61FBB"/>
    <w:rsid w:val="00D63B8C"/>
    <w:rsid w:val="00D63D88"/>
    <w:rsid w:val="00D65163"/>
    <w:rsid w:val="00D739CC"/>
    <w:rsid w:val="00D76E06"/>
    <w:rsid w:val="00D8093D"/>
    <w:rsid w:val="00D8108C"/>
    <w:rsid w:val="00D842AE"/>
    <w:rsid w:val="00D9211C"/>
    <w:rsid w:val="00D92DE0"/>
    <w:rsid w:val="00D92FEF"/>
    <w:rsid w:val="00D93A0F"/>
    <w:rsid w:val="00DA1BCA"/>
    <w:rsid w:val="00DA606E"/>
    <w:rsid w:val="00DC1767"/>
    <w:rsid w:val="00DC46FF"/>
    <w:rsid w:val="00DC5254"/>
    <w:rsid w:val="00DD1A4F"/>
    <w:rsid w:val="00DD3107"/>
    <w:rsid w:val="00DD3619"/>
    <w:rsid w:val="00DD7C2C"/>
    <w:rsid w:val="00DF70BF"/>
    <w:rsid w:val="00E04FF0"/>
    <w:rsid w:val="00E06797"/>
    <w:rsid w:val="00E072CC"/>
    <w:rsid w:val="00E1265B"/>
    <w:rsid w:val="00E13B48"/>
    <w:rsid w:val="00E1404F"/>
    <w:rsid w:val="00E21C83"/>
    <w:rsid w:val="00E24ADA"/>
    <w:rsid w:val="00E276A4"/>
    <w:rsid w:val="00E317A4"/>
    <w:rsid w:val="00E32F59"/>
    <w:rsid w:val="00E46D9A"/>
    <w:rsid w:val="00E565FF"/>
    <w:rsid w:val="00E65388"/>
    <w:rsid w:val="00E726A7"/>
    <w:rsid w:val="00E85B7D"/>
    <w:rsid w:val="00E9121B"/>
    <w:rsid w:val="00E91D53"/>
    <w:rsid w:val="00E942CC"/>
    <w:rsid w:val="00E96DA8"/>
    <w:rsid w:val="00EA0AE2"/>
    <w:rsid w:val="00EA39E5"/>
    <w:rsid w:val="00EB0150"/>
    <w:rsid w:val="00EB6A99"/>
    <w:rsid w:val="00EC3017"/>
    <w:rsid w:val="00EC5A46"/>
    <w:rsid w:val="00EC63E2"/>
    <w:rsid w:val="00EE0374"/>
    <w:rsid w:val="00EE30F2"/>
    <w:rsid w:val="00EF22B3"/>
    <w:rsid w:val="00F03B69"/>
    <w:rsid w:val="00F041C8"/>
    <w:rsid w:val="00F05C85"/>
    <w:rsid w:val="00F07A50"/>
    <w:rsid w:val="00F113DA"/>
    <w:rsid w:val="00F116A8"/>
    <w:rsid w:val="00F11AC1"/>
    <w:rsid w:val="00F25AE4"/>
    <w:rsid w:val="00F34719"/>
    <w:rsid w:val="00F37BD7"/>
    <w:rsid w:val="00F37DC8"/>
    <w:rsid w:val="00F439B3"/>
    <w:rsid w:val="00F55451"/>
    <w:rsid w:val="00F60EA5"/>
    <w:rsid w:val="00F650C3"/>
    <w:rsid w:val="00F65D85"/>
    <w:rsid w:val="00F66957"/>
    <w:rsid w:val="00F7542C"/>
    <w:rsid w:val="00F8091E"/>
    <w:rsid w:val="00F839A2"/>
    <w:rsid w:val="00F83EA1"/>
    <w:rsid w:val="00F8615C"/>
    <w:rsid w:val="00F873F8"/>
    <w:rsid w:val="00F92E48"/>
    <w:rsid w:val="00F96910"/>
    <w:rsid w:val="00F969E5"/>
    <w:rsid w:val="00FA6BB0"/>
    <w:rsid w:val="00FB49C6"/>
    <w:rsid w:val="00FB7DD2"/>
    <w:rsid w:val="00FC1521"/>
    <w:rsid w:val="00FC41AC"/>
    <w:rsid w:val="00FD03FA"/>
    <w:rsid w:val="00FD5860"/>
    <w:rsid w:val="00FE0852"/>
    <w:rsid w:val="00FE352D"/>
    <w:rsid w:val="00FE40EB"/>
    <w:rsid w:val="00FE4D02"/>
    <w:rsid w:val="00FE7D62"/>
    <w:rsid w:val="00FF3819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26B1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5D74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link w:val="Heading1Char"/>
    <w:qFormat/>
    <w:rsid w:val="00375D74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375D74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375D74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375D74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75D74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375D74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75D74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75D74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75D74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75D74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75D74"/>
    <w:pPr>
      <w:spacing w:before="40" w:after="40"/>
    </w:pPr>
    <w:rPr>
      <w:sz w:val="18"/>
      <w:szCs w:val="18"/>
      <w:lang w:val="en-US" w:eastAsia="en-US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uiPriority w:val="99"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99"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99"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99"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uiPriority w:val="99"/>
    <w:qFormat/>
    <w:rsid w:val="00375D74"/>
    <w:rPr>
      <w:bCs w:val="0"/>
    </w:rPr>
  </w:style>
  <w:style w:type="paragraph" w:styleId="TableofFigures">
    <w:name w:val="table of figures"/>
    <w:basedOn w:val="Normal"/>
    <w:next w:val="Normal"/>
    <w:autoRedefine/>
    <w:uiPriority w:val="99"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-pool"/>
    <w:next w:val="CH2"/>
    <w:uiPriority w:val="99"/>
    <w:qFormat/>
    <w:rsid w:val="00375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link w:val="CH2Char"/>
    <w:qFormat/>
    <w:rsid w:val="00375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uiPriority w:val="99"/>
    <w:qFormat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paragraph" w:customStyle="1" w:styleId="CH4">
    <w:name w:val="CH4"/>
    <w:basedOn w:val="Normal"/>
    <w:next w:val="Normalnumber"/>
    <w:uiPriority w:val="99"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table" w:customStyle="1" w:styleId="Footertable">
    <w:name w:val="Footer_table"/>
    <w:basedOn w:val="TableNormal"/>
    <w:semiHidden/>
    <w:rsid w:val="00375D74"/>
    <w:rPr>
      <w:rFonts w:ascii="Arial" w:hAnsi="Arial"/>
      <w:sz w:val="16"/>
      <w:lang w:val="en-US" w:eastAsia="en-US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uiPriority w:val="99"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paragraph" w:customStyle="1" w:styleId="Footerpool">
    <w:name w:val="Footer_pool"/>
    <w:basedOn w:val="Normal"/>
    <w:next w:val="Normal"/>
    <w:uiPriority w:val="99"/>
    <w:semiHidden/>
    <w:rsid w:val="00375D74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uiPriority w:val="99"/>
    <w:semiHidden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uiPriority w:val="99"/>
    <w:rsid w:val="00375D74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uiPriority w:val="99"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375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ru-RU" w:eastAsia="en-US"/>
    </w:rPr>
  </w:style>
  <w:style w:type="paragraph" w:styleId="FootnoteText">
    <w:name w:val="footnote text"/>
    <w:aliases w:val="Geneva 9,Font: Geneva 9,Boston 10,f,fn,Footnotes,Footnote ak,ft,fn cafc,Footnotes Char Char,Footnote Text Char Char,fn Char Char,footnote text Char Char Char Ch,Footnote Text Char1,footnote text Char Char Char Ch Char,DNV-FT,-E Fußnotente"/>
    <w:basedOn w:val="Normal"/>
    <w:link w:val="FootnoteTextChar"/>
    <w:uiPriority w:val="99"/>
    <w:qFormat/>
    <w:rsid w:val="00375D74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HeaderChar">
    <w:name w:val="Header Char"/>
    <w:link w:val="Header"/>
    <w:uiPriority w:val="99"/>
    <w:semiHidden/>
    <w:rsid w:val="00250B6D"/>
    <w:rPr>
      <w:b/>
      <w:sz w:val="18"/>
      <w:lang w:val="fr-FR" w:eastAsia="en-US"/>
    </w:rPr>
  </w:style>
  <w:style w:type="table" w:customStyle="1" w:styleId="AATable">
    <w:name w:val="AA_Table"/>
    <w:basedOn w:val="TableNormal"/>
    <w:semiHidden/>
    <w:rsid w:val="00375D74"/>
    <w:rPr>
      <w:lang w:val="en-US"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uiPriority w:val="99"/>
    <w:qFormat/>
    <w:rsid w:val="00375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uiPriority w:val="99"/>
    <w:qFormat/>
    <w:rsid w:val="00375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-pool"/>
    <w:link w:val="BBTitleChar"/>
    <w:uiPriority w:val="99"/>
    <w:qFormat/>
    <w:rsid w:val="00375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rsid w:val="00375D74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semiHidden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375D74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75D74"/>
    <w:pPr>
      <w:numPr>
        <w:numId w:val="1"/>
      </w:numPr>
    </w:pPr>
  </w:style>
  <w:style w:type="paragraph" w:customStyle="1" w:styleId="NormalNonumber">
    <w:name w:val="Normal_No_number"/>
    <w:basedOn w:val="Normal-pool"/>
    <w:uiPriority w:val="99"/>
    <w:qFormat/>
    <w:rsid w:val="00375D74"/>
    <w:pPr>
      <w:spacing w:after="120"/>
      <w:ind w:left="1247"/>
    </w:pPr>
  </w:style>
  <w:style w:type="paragraph" w:customStyle="1" w:styleId="Normalnumber">
    <w:name w:val="Normal_number"/>
    <w:basedOn w:val="Normal-pool"/>
    <w:link w:val="NormalnumberChar"/>
    <w:qFormat/>
    <w:rsid w:val="00375D74"/>
    <w:pPr>
      <w:numPr>
        <w:numId w:val="4"/>
      </w:numPr>
      <w:spacing w:after="120"/>
    </w:pPr>
  </w:style>
  <w:style w:type="paragraph" w:customStyle="1" w:styleId="Titletable">
    <w:name w:val="Title_table"/>
    <w:basedOn w:val="Normal-pool"/>
    <w:qFormat/>
    <w:rsid w:val="00375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uiPriority w:val="39"/>
    <w:unhideWhenUsed/>
    <w:rsid w:val="00375D74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  <w:lang w:val="fr-CA"/>
    </w:rPr>
  </w:style>
  <w:style w:type="paragraph" w:styleId="TOC2">
    <w:name w:val="toc 2"/>
    <w:basedOn w:val="Normal"/>
    <w:next w:val="Normal"/>
    <w:unhideWhenUsed/>
    <w:rsid w:val="00375D74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  <w:rPr>
      <w:lang w:val="fr-CA"/>
    </w:rPr>
  </w:style>
  <w:style w:type="paragraph" w:styleId="TOC3">
    <w:name w:val="toc 3"/>
    <w:basedOn w:val="Normal"/>
    <w:next w:val="Normal"/>
    <w:unhideWhenUsed/>
    <w:rsid w:val="00375D74"/>
    <w:pPr>
      <w:tabs>
        <w:tab w:val="clear" w:pos="1814"/>
        <w:tab w:val="clear" w:pos="2381"/>
        <w:tab w:val="clear" w:pos="2948"/>
        <w:tab w:val="clear" w:pos="3515"/>
        <w:tab w:val="left" w:pos="4082"/>
        <w:tab w:val="right" w:leader="dot" w:pos="9486"/>
      </w:tabs>
      <w:ind w:left="2948" w:hanging="567"/>
    </w:pPr>
    <w:rPr>
      <w:iCs/>
      <w:lang w:val="fr-CA"/>
    </w:rPr>
  </w:style>
  <w:style w:type="paragraph" w:styleId="TOC4">
    <w:name w:val="toc 4"/>
    <w:basedOn w:val="Normal"/>
    <w:next w:val="Normal"/>
    <w:unhideWhenUsed/>
    <w:rsid w:val="00375D74"/>
    <w:pPr>
      <w:tabs>
        <w:tab w:val="clear" w:pos="1814"/>
        <w:tab w:val="clear" w:pos="2381"/>
        <w:tab w:val="clear" w:pos="2948"/>
        <w:tab w:val="clear" w:pos="3515"/>
        <w:tab w:val="left" w:pos="1000"/>
        <w:tab w:val="left" w:pos="4082"/>
        <w:tab w:val="right" w:leader="dot" w:pos="9486"/>
      </w:tabs>
      <w:ind w:left="3515" w:hanging="567"/>
    </w:pPr>
    <w:rPr>
      <w:szCs w:val="18"/>
      <w:lang w:val="fr-CA"/>
    </w:rPr>
  </w:style>
  <w:style w:type="paragraph" w:styleId="TOC5">
    <w:name w:val="toc 5"/>
    <w:basedOn w:val="Normal"/>
    <w:next w:val="Normal"/>
    <w:autoRedefine/>
    <w:rsid w:val="00375D74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-pool"/>
    <w:uiPriority w:val="99"/>
    <w:qFormat/>
    <w:rsid w:val="00375D74"/>
    <w:rPr>
      <w:b/>
      <w:bCs/>
      <w:sz w:val="28"/>
      <w:szCs w:val="22"/>
    </w:rPr>
  </w:style>
  <w:style w:type="paragraph" w:customStyle="1" w:styleId="ZZAnxtitle">
    <w:name w:val="ZZ_Anx_title"/>
    <w:basedOn w:val="Normal-pool"/>
    <w:link w:val="ZZAnxtitleChar"/>
    <w:qFormat/>
    <w:rsid w:val="00375D74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uiPriority w:val="99"/>
    <w:rsid w:val="003E6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6F41"/>
    <w:rPr>
      <w:rFonts w:ascii="Segoe UI" w:hAnsi="Segoe UI" w:cs="Segoe UI"/>
      <w:sz w:val="18"/>
      <w:szCs w:val="18"/>
      <w:lang w:val="fr-FR" w:eastAsia="en-US"/>
    </w:rPr>
  </w:style>
  <w:style w:type="character" w:styleId="CommentReference">
    <w:name w:val="annotation reference"/>
    <w:basedOn w:val="DefaultParagraphFont"/>
    <w:uiPriority w:val="99"/>
    <w:rsid w:val="003E6F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E6F41"/>
    <w:rPr>
      <w:sz w:val="24"/>
      <w:szCs w:val="24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6F4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841F5"/>
    <w:rPr>
      <w:b/>
      <w:bCs/>
      <w:sz w:val="20"/>
      <w:szCs w:val="20"/>
      <w:lang w:val="fr-FR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41F5"/>
    <w:rPr>
      <w:b/>
      <w:bCs/>
      <w:sz w:val="24"/>
      <w:szCs w:val="24"/>
      <w:lang w:val="fr-FR" w:eastAsia="en-US"/>
    </w:rPr>
  </w:style>
  <w:style w:type="character" w:customStyle="1" w:styleId="FootnoteTextChar">
    <w:name w:val="Footnote Text Char"/>
    <w:aliases w:val="Geneva 9 Char,Font: Geneva 9 Char,Boston 10 Char,f Char,fn Char,Footnotes Char,Footnote ak Char,ft Char,fn cafc Char,Footnotes Char Char Char,Footnote Text Char Char Char,fn Char Char Char,footnote text Char Char Char Ch Char1"/>
    <w:link w:val="FootnoteText"/>
    <w:uiPriority w:val="99"/>
    <w:locked/>
    <w:rsid w:val="0012644F"/>
    <w:rPr>
      <w:sz w:val="18"/>
      <w:lang w:val="fr-CA" w:eastAsia="en-US"/>
    </w:rPr>
  </w:style>
  <w:style w:type="paragraph" w:styleId="ListParagraph">
    <w:name w:val="List Paragraph"/>
    <w:basedOn w:val="Normal"/>
    <w:uiPriority w:val="99"/>
    <w:qFormat/>
    <w:rsid w:val="00D07EDB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,fr,Ref,de nota al pie,註腳內容,de nota al pie + (Asian) MS Mincho,Footnote Reference1,11 pt,Ref. de nota de rodapé1,stylish,4_G,note TESI"/>
    <w:uiPriority w:val="99"/>
    <w:qFormat/>
    <w:rsid w:val="00375D74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15442E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15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-Text">
    <w:name w:val="Footnote-Text"/>
    <w:basedOn w:val="Normal-pool"/>
    <w:rsid w:val="001064A3"/>
    <w:pPr>
      <w:spacing w:before="20" w:after="40"/>
      <w:ind w:left="1247"/>
    </w:pPr>
    <w:rPr>
      <w:sz w:val="18"/>
      <w:lang w:val="en-US"/>
    </w:rPr>
  </w:style>
  <w:style w:type="character" w:customStyle="1" w:styleId="Normal-poolChar">
    <w:name w:val="Normal-pool Char"/>
    <w:link w:val="Normal-pool"/>
    <w:locked/>
    <w:rsid w:val="001064A3"/>
    <w:rPr>
      <w:lang w:val="ru-RU" w:eastAsia="en-US"/>
    </w:rPr>
  </w:style>
  <w:style w:type="numbering" w:customStyle="1" w:styleId="NoList1">
    <w:name w:val="No List1"/>
    <w:next w:val="NoList"/>
    <w:uiPriority w:val="99"/>
    <w:semiHidden/>
    <w:unhideWhenUsed/>
    <w:rsid w:val="002643D8"/>
  </w:style>
  <w:style w:type="table" w:customStyle="1" w:styleId="Tabledocright1">
    <w:name w:val="Table_doc_right1"/>
    <w:basedOn w:val="TableNormal"/>
    <w:rsid w:val="002643D8"/>
    <w:pPr>
      <w:spacing w:before="40" w:after="40"/>
    </w:pPr>
    <w:rPr>
      <w:rFonts w:eastAsia="SimSun"/>
      <w:sz w:val="18"/>
      <w:szCs w:val="18"/>
      <w:lang w:val="fr-FR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table" w:customStyle="1" w:styleId="Footertable1">
    <w:name w:val="Footer_table1"/>
    <w:basedOn w:val="TableNormal"/>
    <w:semiHidden/>
    <w:rsid w:val="002643D8"/>
    <w:rPr>
      <w:rFonts w:ascii="Arial" w:eastAsia="SimSun" w:hAnsi="Arial"/>
      <w:sz w:val="16"/>
      <w:lang w:val="fr-FR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table" w:customStyle="1" w:styleId="AATable1">
    <w:name w:val="AA_Table1"/>
    <w:basedOn w:val="TableNormal"/>
    <w:semiHidden/>
    <w:rsid w:val="002643D8"/>
    <w:rPr>
      <w:rFonts w:eastAsia="SimSun"/>
      <w:lang w:val="fr-FR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">
    <w:name w:val="Normal_list1"/>
    <w:basedOn w:val="NoList"/>
    <w:rsid w:val="002643D8"/>
    <w:pPr>
      <w:numPr>
        <w:numId w:val="2"/>
      </w:numPr>
    </w:pPr>
  </w:style>
  <w:style w:type="character" w:customStyle="1" w:styleId="Heading3Char">
    <w:name w:val="Heading 3 Char"/>
    <w:basedOn w:val="DefaultParagraphFont"/>
    <w:link w:val="Heading3"/>
    <w:rsid w:val="002643D8"/>
    <w:rPr>
      <w:b/>
      <w:lang w:val="fr-FR" w:eastAsia="en-US"/>
    </w:rPr>
  </w:style>
  <w:style w:type="character" w:customStyle="1" w:styleId="BalloonTextChar2">
    <w:name w:val="Balloon Text Char2"/>
    <w:basedOn w:val="DefaultParagraphFont"/>
    <w:uiPriority w:val="99"/>
    <w:semiHidden/>
    <w:rsid w:val="002643D8"/>
    <w:rPr>
      <w:rFonts w:ascii="Lucida Grande" w:hAnsi="Lucida Grande"/>
      <w:sz w:val="18"/>
      <w:szCs w:val="18"/>
    </w:rPr>
  </w:style>
  <w:style w:type="character" w:customStyle="1" w:styleId="NormalnumberChar">
    <w:name w:val="Normal_number Char"/>
    <w:link w:val="Normalnumber"/>
    <w:locked/>
    <w:rsid w:val="002643D8"/>
    <w:rPr>
      <w:lang w:val="ru-RU" w:eastAsia="en-US"/>
    </w:rPr>
  </w:style>
  <w:style w:type="character" w:customStyle="1" w:styleId="BBTitleChar">
    <w:name w:val="BB_Title Char"/>
    <w:link w:val="BBTitle"/>
    <w:uiPriority w:val="99"/>
    <w:locked/>
    <w:rsid w:val="002643D8"/>
    <w:rPr>
      <w:b/>
      <w:sz w:val="28"/>
      <w:szCs w:val="28"/>
      <w:lang w:val="ru-RU" w:eastAsia="en-US"/>
    </w:rPr>
  </w:style>
  <w:style w:type="character" w:customStyle="1" w:styleId="Heading1Char">
    <w:name w:val="Heading 1 Char"/>
    <w:basedOn w:val="DefaultParagraphFont"/>
    <w:link w:val="Heading1"/>
    <w:rsid w:val="002643D8"/>
    <w:rPr>
      <w:b/>
      <w:sz w:val="28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2643D8"/>
    <w:rPr>
      <w:b/>
      <w:sz w:val="24"/>
      <w:szCs w:val="24"/>
      <w:lang w:val="fr-FR" w:eastAsia="en-US"/>
    </w:rPr>
  </w:style>
  <w:style w:type="character" w:customStyle="1" w:styleId="Heading4Char">
    <w:name w:val="Heading 4 Char"/>
    <w:basedOn w:val="DefaultParagraphFont"/>
    <w:link w:val="Heading4"/>
    <w:rsid w:val="002643D8"/>
    <w:rPr>
      <w:b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2643D8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basedOn w:val="DefaultParagraphFont"/>
    <w:link w:val="Heading6"/>
    <w:rsid w:val="002643D8"/>
    <w:rPr>
      <w:b/>
      <w:bCs/>
      <w:sz w:val="24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2643D8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2643D8"/>
    <w:rPr>
      <w:snapToGrid w:val="0"/>
      <w:u w:val="single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2643D8"/>
    <w:rPr>
      <w:snapToGrid w:val="0"/>
      <w:u w:val="single"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2643D8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semiHidden/>
    <w:rsid w:val="002643D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Theme="minorEastAsia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643D8"/>
    <w:rPr>
      <w:sz w:val="18"/>
      <w:lang w:val="fr-FR" w:eastAsia="en-US"/>
    </w:rPr>
  </w:style>
  <w:style w:type="paragraph" w:styleId="Revision">
    <w:name w:val="Revision"/>
    <w:uiPriority w:val="71"/>
    <w:semiHidden/>
    <w:rsid w:val="002643D8"/>
    <w:rPr>
      <w:sz w:val="24"/>
      <w:szCs w:val="24"/>
      <w:lang w:val="en-US" w:eastAsia="en-US"/>
    </w:rPr>
  </w:style>
  <w:style w:type="character" w:customStyle="1" w:styleId="CH2Char">
    <w:name w:val="CH2 Char"/>
    <w:link w:val="CH2"/>
    <w:locked/>
    <w:rsid w:val="002643D8"/>
    <w:rPr>
      <w:b/>
      <w:sz w:val="24"/>
      <w:szCs w:val="24"/>
      <w:lang w:val="ru-RU" w:eastAsia="en-US"/>
    </w:rPr>
  </w:style>
  <w:style w:type="character" w:customStyle="1" w:styleId="ZZAnxtitleChar">
    <w:name w:val="ZZ_Anx_title Char"/>
    <w:link w:val="ZZAnxtitle"/>
    <w:locked/>
    <w:rsid w:val="002643D8"/>
    <w:rPr>
      <w:b/>
      <w:bCs/>
      <w:sz w:val="28"/>
      <w:szCs w:val="26"/>
      <w:lang w:val="ru-RU" w:eastAsia="en-US"/>
    </w:rPr>
  </w:style>
  <w:style w:type="paragraph" w:customStyle="1" w:styleId="ColorfulShading-Accent11">
    <w:name w:val="Colorful Shading - Accent 11"/>
    <w:uiPriority w:val="71"/>
    <w:semiHidden/>
    <w:rsid w:val="002643D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kalovn\AppData\Local\Microsoft\Windows\INetCache\Content.Outlook\9FA7NKUY\UNEP-MC-COP_RU-COR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7" ma:contentTypeDescription="Create a new document." ma:contentTypeScope="" ma:versionID="359393e07b33a8ef8f3666f24241a527">
  <xsd:schema xmlns:xsd="http://www.w3.org/2001/XMLSchema" xmlns:xs="http://www.w3.org/2001/XMLSchema" xmlns:p="http://schemas.microsoft.com/office/2006/metadata/properties" xmlns:ns2="822da31b-d518-49e2-88cd-1351ccd720a8" xmlns:ns3="8e99bad0-3155-475a-8063-b4d93685c2ad" xmlns:ns4="985ec44e-1bab-4c0b-9df0-6ba128686fc9" targetNamespace="http://schemas.microsoft.com/office/2006/metadata/properties" ma:root="true" ma:fieldsID="a7c5010ebf6063ec176d97700c8fc460" ns2:_="" ns3:_="" ns4:_="">
    <xsd:import namespace="822da31b-d518-49e2-88cd-1351ccd720a8"/>
    <xsd:import namespace="8e99bad0-3155-475a-8063-b4d93685c2a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42ff2ae-b80c-41f6-b4f1-f813bc1fe85a}" ma:internalName="TaxCatchAll" ma:showField="CatchAllData" ma:web="8e99bad0-3155-475a-8063-b4d93685c2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822da31b-d518-49e2-88cd-1351ccd720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DF0FD8-0DF0-43DF-A18B-E3E54A742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F751DE-1853-48C5-A75E-4A00751BDD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D1AA38-59FF-4711-9D7E-96293D41A5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32776-3547-499D-8017-9BCDD6635DBC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822da31b-d518-49e2-88cd-1351ccd720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UNEP-MC-COP_RU-CORR.dotm</Template>
  <TotalTime>0</TotalTime>
  <Pages>10</Pages>
  <Words>2394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2022-07-12T05:53:00Z</dcterms:created>
  <dcterms:modified xsi:type="dcterms:W3CDTF">2022-11-21T07:29:00Z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0x010100B02834EECE41684AACCF26BD9C8A42B6</vt:lpwstr>
  </property>
  <property fmtid="{D5CDD505-2E9C-101B-9397-08002B2CF9AE}" pid="3" name="MediaServiceImageTags">
    <vt:lpwstr/>
  </property>
</Properties>
</file>