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13"/>
        <w:gridCol w:w="2073"/>
        <w:gridCol w:w="2734"/>
        <w:gridCol w:w="1660"/>
        <w:gridCol w:w="1416"/>
      </w:tblGrid>
      <w:tr w:rsidR="0015442E" w:rsidRPr="00D705C8" w14:paraId="47E1F054" w14:textId="77777777" w:rsidTr="00D94281">
        <w:trPr>
          <w:trHeight w:val="57"/>
          <w:jc w:val="right"/>
        </w:trPr>
        <w:tc>
          <w:tcPr>
            <w:tcW w:w="1613" w:type="dxa"/>
          </w:tcPr>
          <w:p w14:paraId="1B7355C2" w14:textId="77777777" w:rsidR="0015442E" w:rsidRPr="002F59C7" w:rsidRDefault="0015442E" w:rsidP="00D94281">
            <w:pPr>
              <w:rPr>
                <w:rFonts w:ascii="Arial" w:hAnsi="Arial" w:cs="Arial"/>
                <w:b/>
                <w:bCs/>
                <w:sz w:val="27"/>
                <w:szCs w:val="27"/>
              </w:rPr>
            </w:pPr>
            <w:r w:rsidRPr="002F59C7">
              <w:rPr>
                <w:rFonts w:ascii="Arial" w:hAnsi="Arial" w:cs="Arial"/>
                <w:b/>
                <w:bCs/>
                <w:sz w:val="27"/>
                <w:szCs w:val="27"/>
              </w:rPr>
              <w:t xml:space="preserve">UNITED </w:t>
            </w:r>
            <w:r w:rsidRPr="002F59C7">
              <w:rPr>
                <w:rFonts w:ascii="Arial" w:hAnsi="Arial" w:cs="Arial"/>
                <w:b/>
                <w:bCs/>
                <w:sz w:val="27"/>
                <w:szCs w:val="27"/>
              </w:rPr>
              <w:br/>
              <w:t>NATIONS</w:t>
            </w:r>
          </w:p>
        </w:tc>
        <w:tc>
          <w:tcPr>
            <w:tcW w:w="6467" w:type="dxa"/>
            <w:gridSpan w:val="3"/>
          </w:tcPr>
          <w:p w14:paraId="32ADAB26" w14:textId="77777777" w:rsidR="0015442E" w:rsidRPr="00D705C8" w:rsidRDefault="0015442E" w:rsidP="00D94281">
            <w:pPr>
              <w:spacing w:before="20"/>
            </w:pPr>
            <w:r>
              <w:rPr>
                <w:noProof/>
              </w:rPr>
              <w:drawing>
                <wp:inline distT="0" distB="0" distL="0" distR="0" wp14:anchorId="5770F4FC" wp14:editId="23735BD6">
                  <wp:extent cx="1267200" cy="54957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UNEP.png"/>
                          <pic:cNvPicPr/>
                        </pic:nvPicPr>
                        <pic:blipFill>
                          <a:blip r:embed="rId11"/>
                          <a:stretch>
                            <a:fillRect/>
                          </a:stretch>
                        </pic:blipFill>
                        <pic:spPr>
                          <a:xfrm>
                            <a:off x="0" y="0"/>
                            <a:ext cx="1267200" cy="549573"/>
                          </a:xfrm>
                          <a:prstGeom prst="rect">
                            <a:avLst/>
                          </a:prstGeom>
                        </pic:spPr>
                      </pic:pic>
                    </a:graphicData>
                  </a:graphic>
                </wp:inline>
              </w:drawing>
            </w:r>
          </w:p>
        </w:tc>
        <w:tc>
          <w:tcPr>
            <w:tcW w:w="1416" w:type="dxa"/>
          </w:tcPr>
          <w:p w14:paraId="4B8BA912" w14:textId="77777777" w:rsidR="0015442E" w:rsidRPr="002F59C7" w:rsidRDefault="00E3329D" w:rsidP="00D94281">
            <w:pPr>
              <w:jc w:val="right"/>
              <w:rPr>
                <w:rFonts w:ascii="Arial" w:hAnsi="Arial" w:cs="Arial"/>
                <w:b/>
                <w:bCs/>
                <w:sz w:val="64"/>
                <w:szCs w:val="64"/>
              </w:rPr>
            </w:pPr>
            <w:r>
              <w:rPr>
                <w:rFonts w:ascii="Arial" w:hAnsi="Arial" w:cs="Arial"/>
                <w:b/>
                <w:bCs/>
                <w:sz w:val="64"/>
                <w:szCs w:val="64"/>
              </w:rPr>
              <w:t>M</w:t>
            </w:r>
            <w:r w:rsidR="0015442E" w:rsidRPr="002F59C7">
              <w:rPr>
                <w:rFonts w:ascii="Arial" w:hAnsi="Arial" w:cs="Arial"/>
                <w:b/>
                <w:bCs/>
                <w:sz w:val="64"/>
                <w:szCs w:val="64"/>
              </w:rPr>
              <w:t>C</w:t>
            </w:r>
          </w:p>
        </w:tc>
      </w:tr>
      <w:tr w:rsidR="0015442E" w:rsidRPr="00D705C8" w14:paraId="4FBC9EB9" w14:textId="77777777" w:rsidTr="00F96910">
        <w:trPr>
          <w:trHeight w:val="57"/>
          <w:jc w:val="right"/>
        </w:trPr>
        <w:tc>
          <w:tcPr>
            <w:tcW w:w="1613" w:type="dxa"/>
            <w:tcBorders>
              <w:bottom w:val="single" w:sz="4" w:space="0" w:color="auto"/>
            </w:tcBorders>
          </w:tcPr>
          <w:p w14:paraId="41CDA9B9" w14:textId="77777777" w:rsidR="0015442E" w:rsidRPr="00487B54" w:rsidRDefault="0015442E" w:rsidP="00D94281"/>
        </w:tc>
        <w:tc>
          <w:tcPr>
            <w:tcW w:w="4807" w:type="dxa"/>
            <w:gridSpan w:val="2"/>
            <w:tcBorders>
              <w:bottom w:val="single" w:sz="4" w:space="0" w:color="auto"/>
            </w:tcBorders>
          </w:tcPr>
          <w:p w14:paraId="09F4E491" w14:textId="77777777" w:rsidR="0015442E" w:rsidRPr="00487B54" w:rsidRDefault="0015442E" w:rsidP="00D94281"/>
        </w:tc>
        <w:tc>
          <w:tcPr>
            <w:tcW w:w="3076" w:type="dxa"/>
            <w:gridSpan w:val="2"/>
            <w:tcBorders>
              <w:bottom w:val="single" w:sz="4" w:space="0" w:color="auto"/>
            </w:tcBorders>
          </w:tcPr>
          <w:p w14:paraId="12F157A9" w14:textId="174C9684" w:rsidR="0015442E" w:rsidRPr="00D665EF" w:rsidRDefault="0015442E" w:rsidP="00D94281">
            <w:r w:rsidRPr="002F59C7">
              <w:rPr>
                <w:b/>
                <w:bCs/>
                <w:sz w:val="28"/>
                <w:szCs w:val="28"/>
              </w:rPr>
              <w:t>UNEP</w:t>
            </w:r>
            <w:r w:rsidRPr="00D705C8">
              <w:t>/</w:t>
            </w:r>
            <w:r w:rsidR="00962471">
              <w:t>MC</w:t>
            </w:r>
            <w:r w:rsidR="00EA2CF9">
              <w:t>/</w:t>
            </w:r>
            <w:r w:rsidR="00962471">
              <w:t>COP.</w:t>
            </w:r>
            <w:r w:rsidR="003402F4">
              <w:t>4</w:t>
            </w:r>
            <w:r>
              <w:t>/</w:t>
            </w:r>
            <w:r w:rsidR="003402F4">
              <w:t>Dec.</w:t>
            </w:r>
            <w:r w:rsidR="0023336D">
              <w:t>2</w:t>
            </w:r>
          </w:p>
        </w:tc>
      </w:tr>
      <w:tr w:rsidR="0015442E" w:rsidRPr="00D705C8" w14:paraId="79A89A61" w14:textId="77777777" w:rsidTr="009D7B82">
        <w:trPr>
          <w:trHeight w:val="57"/>
          <w:jc w:val="right"/>
        </w:trPr>
        <w:tc>
          <w:tcPr>
            <w:tcW w:w="3686" w:type="dxa"/>
            <w:gridSpan w:val="2"/>
            <w:tcBorders>
              <w:top w:val="single" w:sz="4" w:space="0" w:color="auto"/>
              <w:bottom w:val="single" w:sz="18" w:space="0" w:color="auto"/>
            </w:tcBorders>
          </w:tcPr>
          <w:p w14:paraId="1221FF1E" w14:textId="77777777" w:rsidR="0015442E" w:rsidRPr="00D705C8" w:rsidRDefault="009D7B82" w:rsidP="006520E8">
            <w:pPr>
              <w:spacing w:before="120" w:after="240"/>
              <w:ind w:left="-85"/>
              <w:rPr>
                <w:sz w:val="22"/>
              </w:rPr>
            </w:pPr>
            <w:r>
              <w:rPr>
                <w:noProof/>
                <w:sz w:val="22"/>
              </w:rPr>
              <w:drawing>
                <wp:inline distT="0" distB="0" distL="0" distR="0" wp14:anchorId="1B96F6FD" wp14:editId="098DFE03">
                  <wp:extent cx="2204961" cy="10296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NAMATA-BW_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4961" cy="1029600"/>
                          </a:xfrm>
                          <a:prstGeom prst="rect">
                            <a:avLst/>
                          </a:prstGeom>
                        </pic:spPr>
                      </pic:pic>
                    </a:graphicData>
                  </a:graphic>
                </wp:inline>
              </w:drawing>
            </w:r>
          </w:p>
        </w:tc>
        <w:tc>
          <w:tcPr>
            <w:tcW w:w="2734" w:type="dxa"/>
            <w:tcBorders>
              <w:top w:val="single" w:sz="4" w:space="0" w:color="auto"/>
              <w:bottom w:val="single" w:sz="18" w:space="0" w:color="auto"/>
            </w:tcBorders>
          </w:tcPr>
          <w:p w14:paraId="3D44E88E" w14:textId="77777777" w:rsidR="0015442E" w:rsidRPr="00962471" w:rsidRDefault="0015442E" w:rsidP="00962471">
            <w:pPr>
              <w:spacing w:before="240" w:after="480"/>
              <w:rPr>
                <w:rFonts w:ascii="Arial" w:hAnsi="Arial" w:cs="Arial"/>
                <w:b/>
                <w:bCs/>
                <w:sz w:val="28"/>
                <w:szCs w:val="28"/>
              </w:rPr>
            </w:pPr>
          </w:p>
        </w:tc>
        <w:tc>
          <w:tcPr>
            <w:tcW w:w="3076" w:type="dxa"/>
            <w:gridSpan w:val="2"/>
            <w:tcBorders>
              <w:top w:val="single" w:sz="4" w:space="0" w:color="auto"/>
              <w:bottom w:val="single" w:sz="18" w:space="0" w:color="auto"/>
            </w:tcBorders>
          </w:tcPr>
          <w:p w14:paraId="179A7471" w14:textId="1B5F07AF" w:rsidR="0015442E" w:rsidRPr="00541ED6" w:rsidRDefault="0015442E" w:rsidP="00D94281">
            <w:pPr>
              <w:spacing w:before="120"/>
              <w:rPr>
                <w:iCs/>
              </w:rPr>
            </w:pPr>
            <w:r w:rsidRPr="00D665EF">
              <w:t>Distr.: General</w:t>
            </w:r>
            <w:r>
              <w:t xml:space="preserve"> </w:t>
            </w:r>
            <w:r>
              <w:br/>
            </w:r>
            <w:r w:rsidR="008970CD">
              <w:rPr>
                <w:iCs/>
              </w:rPr>
              <w:t>16 November 2021</w:t>
            </w:r>
          </w:p>
          <w:p w14:paraId="1B71D943" w14:textId="77777777" w:rsidR="0015442E" w:rsidRPr="000E4F48" w:rsidRDefault="0015442E" w:rsidP="00D94281">
            <w:pPr>
              <w:spacing w:before="120"/>
              <w:rPr>
                <w:sz w:val="22"/>
              </w:rPr>
            </w:pPr>
            <w:r w:rsidRPr="0015442E">
              <w:t>Original: English</w:t>
            </w:r>
          </w:p>
        </w:tc>
      </w:tr>
    </w:tbl>
    <w:p w14:paraId="54378089" w14:textId="77777777" w:rsidR="00962471" w:rsidRPr="0009694E" w:rsidRDefault="00962471" w:rsidP="00962471">
      <w:pPr>
        <w:pStyle w:val="AATitle"/>
      </w:pPr>
      <w:r w:rsidRPr="0009694E">
        <w:t xml:space="preserve">Conference of the Parties to the </w:t>
      </w:r>
      <w:r w:rsidRPr="0009694E">
        <w:br/>
        <w:t>Minamata Convention on Mercury</w:t>
      </w:r>
    </w:p>
    <w:p w14:paraId="704AE700" w14:textId="6FB797FD" w:rsidR="00962471" w:rsidRPr="0009694E" w:rsidRDefault="003402F4" w:rsidP="00962471">
      <w:pPr>
        <w:pStyle w:val="AATitle"/>
      </w:pPr>
      <w:r>
        <w:t>Fourth</w:t>
      </w:r>
      <w:r w:rsidR="00962471" w:rsidRPr="0009694E">
        <w:t xml:space="preserve"> meeting</w:t>
      </w:r>
    </w:p>
    <w:p w14:paraId="048CE609" w14:textId="6D793EB1" w:rsidR="005369CB" w:rsidRPr="0015442E" w:rsidRDefault="003402F4" w:rsidP="003402F4">
      <w:pPr>
        <w:pStyle w:val="AATitle"/>
        <w:ind w:right="5536"/>
        <w:rPr>
          <w:b w:val="0"/>
        </w:rPr>
      </w:pPr>
      <w:r w:rsidRPr="003402F4">
        <w:rPr>
          <w:b w:val="0"/>
        </w:rPr>
        <w:t>Online, 1–5 November 2021 and Bali, Indonesia, 21–25 March 2022</w:t>
      </w:r>
    </w:p>
    <w:p w14:paraId="2C61A4A3" w14:textId="415ACB62" w:rsidR="000C0F46" w:rsidRDefault="003402F4" w:rsidP="00F96910">
      <w:pPr>
        <w:pStyle w:val="BBTitle"/>
      </w:pPr>
      <w:r>
        <w:t>Decision adopted by the fourth meeting of the Conference of the Parties to the Minamata Convention on Mercury</w:t>
      </w:r>
    </w:p>
    <w:p w14:paraId="3D076E10" w14:textId="636564FF" w:rsidR="0023336D" w:rsidRPr="00C90FBC" w:rsidRDefault="0023336D" w:rsidP="0023336D">
      <w:pPr>
        <w:pStyle w:val="ZZAnxtitle"/>
        <w:rPr>
          <w:lang w:val="en-GB"/>
        </w:rPr>
      </w:pPr>
      <w:r w:rsidRPr="00C90FBC">
        <w:rPr>
          <w:lang w:val="en-GB"/>
        </w:rPr>
        <w:t xml:space="preserve">Decision MC-4/2: Programme of work and budget for 2022 </w:t>
      </w:r>
    </w:p>
    <w:p w14:paraId="6116331A" w14:textId="77777777" w:rsidR="0023336D" w:rsidRPr="00C90FBC" w:rsidRDefault="0023336D" w:rsidP="0023336D">
      <w:pPr>
        <w:pStyle w:val="NormalNonumber"/>
        <w:tabs>
          <w:tab w:val="left" w:pos="624"/>
        </w:tabs>
        <w:ind w:firstLine="624"/>
        <w:rPr>
          <w:i/>
          <w:iCs/>
          <w:lang w:val="en-GB"/>
        </w:rPr>
      </w:pPr>
      <w:r w:rsidRPr="00C90FBC">
        <w:rPr>
          <w:i/>
          <w:iCs/>
          <w:lang w:val="en-GB"/>
        </w:rPr>
        <w:t xml:space="preserve">The Conference of the Parties, </w:t>
      </w:r>
    </w:p>
    <w:p w14:paraId="2BB35DBD" w14:textId="77777777" w:rsidR="0023336D" w:rsidRPr="00C90FBC" w:rsidRDefault="0023336D" w:rsidP="0023336D">
      <w:pPr>
        <w:pStyle w:val="NormalNonumber"/>
        <w:tabs>
          <w:tab w:val="left" w:pos="624"/>
        </w:tabs>
        <w:ind w:firstLine="624"/>
        <w:rPr>
          <w:lang w:val="en-GB"/>
        </w:rPr>
      </w:pPr>
      <w:r w:rsidRPr="00C90FBC">
        <w:rPr>
          <w:i/>
          <w:lang w:val="en-GB"/>
        </w:rPr>
        <w:t xml:space="preserve">Recalling </w:t>
      </w:r>
      <w:r w:rsidRPr="00C90FBC">
        <w:rPr>
          <w:lang w:val="en-GB"/>
        </w:rPr>
        <w:t xml:space="preserve">its decision MC-3/12 on the programme of work and budget for the biennium </w:t>
      </w:r>
      <w:r w:rsidRPr="00C90FBC">
        <w:rPr>
          <w:lang w:val="en-GB"/>
        </w:rPr>
        <w:br/>
        <w:t>2020–2021</w:t>
      </w:r>
      <w:r w:rsidRPr="00C90FBC">
        <w:rPr>
          <w:i/>
          <w:iCs/>
          <w:lang w:val="en-GB"/>
        </w:rPr>
        <w:t>,</w:t>
      </w:r>
    </w:p>
    <w:p w14:paraId="1B1FE7B7" w14:textId="77777777" w:rsidR="0023336D" w:rsidRPr="00C90FBC" w:rsidRDefault="0023336D" w:rsidP="0023336D">
      <w:pPr>
        <w:pStyle w:val="NormalNonumber"/>
        <w:tabs>
          <w:tab w:val="left" w:pos="624"/>
        </w:tabs>
        <w:ind w:firstLine="624"/>
        <w:rPr>
          <w:lang w:val="en-GB"/>
        </w:rPr>
      </w:pPr>
      <w:r w:rsidRPr="00C90FBC">
        <w:rPr>
          <w:i/>
          <w:lang w:val="en-GB"/>
        </w:rPr>
        <w:t xml:space="preserve">Welcoming </w:t>
      </w:r>
      <w:r w:rsidRPr="00C90FBC">
        <w:rPr>
          <w:lang w:val="en-GB"/>
        </w:rPr>
        <w:t>the annual contribution by Switzerland, the host country of the secretariat, of 1 million Swiss francs, apportioned 60 per cent to the general trust fund and 40 per cent to the special trust fund to be prioritized for the purpose of supporting the participation of representatives from developing countries and countries with economies in transition in the meetings of the Conference of the Parties,</w:t>
      </w:r>
    </w:p>
    <w:p w14:paraId="320918F8" w14:textId="77777777" w:rsidR="0023336D" w:rsidRPr="00C90FBC" w:rsidRDefault="0023336D" w:rsidP="0023336D">
      <w:pPr>
        <w:pStyle w:val="NormalNonumber"/>
        <w:tabs>
          <w:tab w:val="left" w:pos="624"/>
        </w:tabs>
        <w:ind w:firstLine="624"/>
        <w:rPr>
          <w:lang w:val="en-GB"/>
        </w:rPr>
      </w:pPr>
      <w:r w:rsidRPr="00C90FBC">
        <w:rPr>
          <w:i/>
          <w:lang w:val="en-GB"/>
        </w:rPr>
        <w:t>Taking note</w:t>
      </w:r>
      <w:r w:rsidRPr="00C90FBC">
        <w:rPr>
          <w:lang w:val="en-GB"/>
        </w:rPr>
        <w:t xml:space="preserve"> of the contributions paid to the general trust fund by parties,</w:t>
      </w:r>
    </w:p>
    <w:p w14:paraId="220FB27E" w14:textId="77777777" w:rsidR="0023336D" w:rsidRPr="00C90FBC" w:rsidRDefault="0023336D" w:rsidP="0023336D">
      <w:pPr>
        <w:pStyle w:val="NormalNonumber"/>
        <w:tabs>
          <w:tab w:val="left" w:pos="624"/>
        </w:tabs>
        <w:ind w:firstLine="624"/>
        <w:rPr>
          <w:lang w:val="en-GB"/>
        </w:rPr>
      </w:pPr>
      <w:r w:rsidRPr="00C90FBC">
        <w:rPr>
          <w:i/>
          <w:lang w:val="en-GB"/>
        </w:rPr>
        <w:t>Noting</w:t>
      </w:r>
      <w:r w:rsidRPr="00C90FBC">
        <w:rPr>
          <w:lang w:val="en-GB"/>
        </w:rPr>
        <w:t xml:space="preserve"> that the Convention’s full working capital reserve in the general trust fund was established in 2018,</w:t>
      </w:r>
    </w:p>
    <w:p w14:paraId="4F3F61CA" w14:textId="77777777" w:rsidR="0023336D" w:rsidRPr="00C90FBC" w:rsidRDefault="0023336D" w:rsidP="0023336D">
      <w:pPr>
        <w:pStyle w:val="NormalNonumber"/>
        <w:tabs>
          <w:tab w:val="left" w:pos="624"/>
        </w:tabs>
        <w:ind w:firstLine="624"/>
        <w:rPr>
          <w:lang w:val="en-GB"/>
        </w:rPr>
      </w:pPr>
      <w:r w:rsidRPr="00C90FBC">
        <w:rPr>
          <w:i/>
          <w:lang w:val="en-GB"/>
        </w:rPr>
        <w:t xml:space="preserve">Recognizing with appreciation </w:t>
      </w:r>
      <w:r w:rsidRPr="00C90FBC">
        <w:rPr>
          <w:lang w:val="en-GB"/>
        </w:rPr>
        <w:t xml:space="preserve">the contributions and pledges made by Austria, the European Union, Finland, France, Japan, Norway, </w:t>
      </w:r>
      <w:proofErr w:type="gramStart"/>
      <w:r w:rsidRPr="00C90FBC">
        <w:rPr>
          <w:lang w:val="en-GB"/>
        </w:rPr>
        <w:t>Sweden</w:t>
      </w:r>
      <w:proofErr w:type="gramEnd"/>
      <w:r w:rsidRPr="00C90FBC">
        <w:rPr>
          <w:lang w:val="en-GB"/>
        </w:rPr>
        <w:t xml:space="preserve"> and Switzerland to the special trust fund in the biennium 2020</w:t>
      </w:r>
      <w:r w:rsidRPr="00C90FBC">
        <w:rPr>
          <w:lang w:val="en-GB"/>
        </w:rPr>
        <w:sym w:font="Symbol" w:char="F02D"/>
      </w:r>
      <w:r w:rsidRPr="00C90FBC">
        <w:rPr>
          <w:lang w:val="en-GB"/>
        </w:rPr>
        <w:t xml:space="preserve">2021, </w:t>
      </w:r>
    </w:p>
    <w:p w14:paraId="4D97704D" w14:textId="77777777" w:rsidR="0023336D" w:rsidRPr="00C90FBC" w:rsidRDefault="0023336D" w:rsidP="0023336D">
      <w:pPr>
        <w:pStyle w:val="NormalNonumber"/>
        <w:tabs>
          <w:tab w:val="left" w:pos="624"/>
        </w:tabs>
        <w:ind w:firstLine="624"/>
        <w:rPr>
          <w:lang w:val="en-GB"/>
        </w:rPr>
      </w:pPr>
      <w:r w:rsidRPr="00C90FBC">
        <w:rPr>
          <w:i/>
          <w:lang w:val="en-GB"/>
        </w:rPr>
        <w:t xml:space="preserve">Recalling </w:t>
      </w:r>
      <w:r w:rsidRPr="00C90FBC">
        <w:rPr>
          <w:lang w:val="en-GB"/>
        </w:rPr>
        <w:t xml:space="preserve">its request to the Executive Secretary to prepare a budget for the biennium </w:t>
      </w:r>
      <w:r w:rsidRPr="00C90FBC">
        <w:rPr>
          <w:lang w:val="en-GB"/>
        </w:rPr>
        <w:br/>
        <w:t xml:space="preserve">2022–2023 for consideration by the Conference of the Parties at its fourth meeting, explaining the key principles, </w:t>
      </w:r>
      <w:proofErr w:type="gramStart"/>
      <w:r w:rsidRPr="00C90FBC">
        <w:rPr>
          <w:lang w:val="en-GB"/>
        </w:rPr>
        <w:t>assumptions</w:t>
      </w:r>
      <w:proofErr w:type="gramEnd"/>
      <w:r w:rsidRPr="00C90FBC">
        <w:rPr>
          <w:lang w:val="en-GB"/>
        </w:rPr>
        <w:t xml:space="preserve"> and programmatic strategy on which the budget was based and presenting expenditures for that biennium in a programmatic format and broken down by budget activity, with each activity supported by a budget activity fact sheet,</w:t>
      </w:r>
    </w:p>
    <w:p w14:paraId="45BC25B8" w14:textId="77777777" w:rsidR="0023336D" w:rsidRPr="00C90FBC" w:rsidRDefault="0023336D" w:rsidP="0023336D">
      <w:pPr>
        <w:pStyle w:val="NormalNonumber"/>
        <w:tabs>
          <w:tab w:val="left" w:pos="624"/>
        </w:tabs>
        <w:ind w:firstLine="624"/>
        <w:rPr>
          <w:i/>
          <w:iCs/>
          <w:lang w:val="en-GB"/>
        </w:rPr>
      </w:pPr>
      <w:proofErr w:type="gramStart"/>
      <w:r w:rsidRPr="00C90FBC">
        <w:rPr>
          <w:i/>
          <w:lang w:val="en-GB"/>
        </w:rPr>
        <w:t>Recalling also</w:t>
      </w:r>
      <w:proofErr w:type="gramEnd"/>
      <w:r w:rsidRPr="00C90FBC">
        <w:rPr>
          <w:i/>
          <w:lang w:val="en-GB"/>
        </w:rPr>
        <w:t xml:space="preserve"> </w:t>
      </w:r>
      <w:r w:rsidRPr="00C90FBC">
        <w:rPr>
          <w:lang w:val="en-GB"/>
        </w:rPr>
        <w:t>its request to the Executive Secretary, in preparing the budgets and programme of work for the biennium 2022‒2023, to present two scenarios:</w:t>
      </w:r>
    </w:p>
    <w:p w14:paraId="5DFFE553" w14:textId="77777777" w:rsidR="0023336D" w:rsidRPr="00C90FBC" w:rsidRDefault="0023336D" w:rsidP="0023336D">
      <w:pPr>
        <w:numPr>
          <w:ilvl w:val="0"/>
          <w:numId w:val="4"/>
        </w:numPr>
        <w:tabs>
          <w:tab w:val="left" w:pos="624"/>
        </w:tabs>
        <w:spacing w:after="120"/>
        <w:ind w:left="1247" w:firstLine="624"/>
      </w:pPr>
      <w:r w:rsidRPr="00C90FBC">
        <w:t xml:space="preserve">One maintaining the operational budget at the 2020‒2021 level in nominal </w:t>
      </w:r>
      <w:proofErr w:type="gramStart"/>
      <w:r w:rsidRPr="00C90FBC">
        <w:t>terms;</w:t>
      </w:r>
      <w:proofErr w:type="gramEnd"/>
      <w:r w:rsidRPr="00C90FBC">
        <w:t xml:space="preserve"> </w:t>
      </w:r>
    </w:p>
    <w:p w14:paraId="3D0D870E" w14:textId="77777777" w:rsidR="0023336D" w:rsidRPr="00C90FBC" w:rsidRDefault="0023336D" w:rsidP="0023336D">
      <w:pPr>
        <w:numPr>
          <w:ilvl w:val="0"/>
          <w:numId w:val="4"/>
        </w:numPr>
        <w:tabs>
          <w:tab w:val="left" w:pos="624"/>
        </w:tabs>
        <w:spacing w:after="120"/>
        <w:ind w:left="1247" w:firstLine="624"/>
      </w:pPr>
      <w:r w:rsidRPr="00C90FBC">
        <w:t>One reflecting required changes to the above-mentioned scenario to meet the projected needs and costs or savings related thereto, which should not exceed a 5 per cent increase over the 2020‒2021 level in nominal terms,</w:t>
      </w:r>
    </w:p>
    <w:p w14:paraId="4B02FF20" w14:textId="77777777" w:rsidR="0023336D" w:rsidRPr="00C90FBC" w:rsidRDefault="0023336D" w:rsidP="0023336D">
      <w:pPr>
        <w:pStyle w:val="CH2"/>
        <w:ind w:firstLine="0"/>
        <w:jc w:val="center"/>
      </w:pPr>
      <w:r w:rsidRPr="00C90FBC">
        <w:lastRenderedPageBreak/>
        <w:t>I</w:t>
      </w:r>
    </w:p>
    <w:p w14:paraId="4D023CB3" w14:textId="77777777" w:rsidR="0023336D" w:rsidRPr="00C90FBC" w:rsidRDefault="0023336D" w:rsidP="0023336D">
      <w:pPr>
        <w:pStyle w:val="CH2"/>
        <w:ind w:firstLine="0"/>
        <w:jc w:val="center"/>
      </w:pPr>
      <w:r w:rsidRPr="00C90FBC">
        <w:t>General Trust Fund of the Minamata Convention on Mercury</w:t>
      </w:r>
    </w:p>
    <w:p w14:paraId="69DF8334" w14:textId="77777777" w:rsidR="0023336D" w:rsidRPr="00C90FBC" w:rsidRDefault="0023336D" w:rsidP="0023336D">
      <w:pPr>
        <w:pStyle w:val="Normalnumber"/>
        <w:keepNext/>
        <w:keepLines/>
        <w:numPr>
          <w:ilvl w:val="0"/>
          <w:numId w:val="3"/>
        </w:numPr>
        <w:tabs>
          <w:tab w:val="clear" w:pos="567"/>
          <w:tab w:val="left" w:pos="624"/>
        </w:tabs>
        <w:ind w:firstLine="624"/>
      </w:pPr>
      <w:proofErr w:type="spellStart"/>
      <w:r w:rsidRPr="00C90FBC">
        <w:rPr>
          <w:i/>
        </w:rPr>
        <w:t>Takes</w:t>
      </w:r>
      <w:proofErr w:type="spellEnd"/>
      <w:r w:rsidRPr="00C90FBC">
        <w:rPr>
          <w:i/>
        </w:rPr>
        <w:t xml:space="preserve"> note</w:t>
      </w:r>
      <w:r w:rsidRPr="00C90FBC">
        <w:t xml:space="preserve"> of the </w:t>
      </w:r>
      <w:proofErr w:type="spellStart"/>
      <w:r w:rsidRPr="00C90FBC">
        <w:t>proposed</w:t>
      </w:r>
      <w:proofErr w:type="spellEnd"/>
      <w:r w:rsidRPr="00C90FBC">
        <w:t xml:space="preserve"> programme of </w:t>
      </w:r>
      <w:proofErr w:type="spellStart"/>
      <w:r w:rsidRPr="00C90FBC">
        <w:t>work</w:t>
      </w:r>
      <w:proofErr w:type="spellEnd"/>
      <w:r w:rsidRPr="00C90FBC">
        <w:t xml:space="preserve"> and budget for the biennium 2022</w:t>
      </w:r>
      <w:r w:rsidRPr="00C90FBC">
        <w:sym w:font="Symbol" w:char="F02D"/>
      </w:r>
      <w:r w:rsidRPr="00C90FBC">
        <w:t>2023;</w:t>
      </w:r>
      <w:r w:rsidRPr="00C90FBC">
        <w:rPr>
          <w:rStyle w:val="FootnoteReference"/>
          <w:rFonts w:eastAsia="SimSun"/>
        </w:rPr>
        <w:footnoteReference w:id="2"/>
      </w:r>
      <w:r w:rsidRPr="00C90FBC">
        <w:t xml:space="preserve"> the information on </w:t>
      </w:r>
      <w:proofErr w:type="spellStart"/>
      <w:r w:rsidRPr="00C90FBC">
        <w:t>financial</w:t>
      </w:r>
      <w:proofErr w:type="spellEnd"/>
      <w:r w:rsidRPr="00C90FBC">
        <w:t xml:space="preserve"> </w:t>
      </w:r>
      <w:proofErr w:type="spellStart"/>
      <w:r w:rsidRPr="00C90FBC">
        <w:t>matters</w:t>
      </w:r>
      <w:proofErr w:type="spellEnd"/>
      <w:r w:rsidRPr="00C90FBC">
        <w:t xml:space="preserve">, </w:t>
      </w:r>
      <w:proofErr w:type="spellStart"/>
      <w:r w:rsidRPr="00C90FBC">
        <w:t>including</w:t>
      </w:r>
      <w:proofErr w:type="spellEnd"/>
      <w:r w:rsidRPr="00C90FBC">
        <w:t xml:space="preserve"> the report on </w:t>
      </w:r>
      <w:proofErr w:type="spellStart"/>
      <w:r w:rsidRPr="00C90FBC">
        <w:t>expenditures</w:t>
      </w:r>
      <w:proofErr w:type="spellEnd"/>
      <w:r w:rsidRPr="00C90FBC">
        <w:t>,</w:t>
      </w:r>
      <w:r w:rsidRPr="00C90FBC">
        <w:rPr>
          <w:rStyle w:val="FootnoteReference"/>
          <w:rFonts w:eastAsia="SimSun"/>
        </w:rPr>
        <w:footnoteReference w:id="3"/>
      </w:r>
      <w:r w:rsidRPr="00C90FBC">
        <w:t xml:space="preserve"> and the budget </w:t>
      </w:r>
      <w:proofErr w:type="spellStart"/>
      <w:r w:rsidRPr="00C90FBC">
        <w:t>activity</w:t>
      </w:r>
      <w:proofErr w:type="spellEnd"/>
      <w:r w:rsidRPr="00C90FBC">
        <w:t xml:space="preserve"> </w:t>
      </w:r>
      <w:proofErr w:type="spellStart"/>
      <w:r w:rsidRPr="00C90FBC">
        <w:t>fact</w:t>
      </w:r>
      <w:proofErr w:type="spellEnd"/>
      <w:r w:rsidRPr="00C90FBC">
        <w:t xml:space="preserve"> </w:t>
      </w:r>
      <w:proofErr w:type="spellStart"/>
      <w:r w:rsidRPr="00C90FBC">
        <w:t>sheets</w:t>
      </w:r>
      <w:proofErr w:type="spellEnd"/>
      <w:r w:rsidRPr="00C90FBC">
        <w:t>;</w:t>
      </w:r>
      <w:r w:rsidRPr="00C90FBC">
        <w:rPr>
          <w:rStyle w:val="FootnoteReference"/>
          <w:rFonts w:eastAsia="SimSun"/>
        </w:rPr>
        <w:footnoteReference w:id="4"/>
      </w:r>
      <w:r w:rsidRPr="00C90FBC">
        <w:t xml:space="preserve"> and the information </w:t>
      </w:r>
      <w:proofErr w:type="spellStart"/>
      <w:r w:rsidRPr="00C90FBC">
        <w:t>provided</w:t>
      </w:r>
      <w:proofErr w:type="spellEnd"/>
      <w:r w:rsidRPr="00C90FBC">
        <w:t xml:space="preserve"> by the </w:t>
      </w:r>
      <w:proofErr w:type="spellStart"/>
      <w:r w:rsidRPr="00C90FBC">
        <w:t>secretariat</w:t>
      </w:r>
      <w:proofErr w:type="spellEnd"/>
      <w:r w:rsidRPr="00C90FBC">
        <w:t xml:space="preserve"> on </w:t>
      </w:r>
      <w:proofErr w:type="spellStart"/>
      <w:r w:rsidRPr="00C90FBC">
        <w:t>progress</w:t>
      </w:r>
      <w:proofErr w:type="spellEnd"/>
      <w:r w:rsidRPr="00C90FBC">
        <w:t xml:space="preserve"> in the </w:t>
      </w:r>
      <w:proofErr w:type="spellStart"/>
      <w:r w:rsidRPr="00C90FBC">
        <w:t>implementation</w:t>
      </w:r>
      <w:proofErr w:type="spellEnd"/>
      <w:r w:rsidRPr="00C90FBC">
        <w:t xml:space="preserve"> of the programme of </w:t>
      </w:r>
      <w:proofErr w:type="spellStart"/>
      <w:r w:rsidRPr="00C90FBC">
        <w:t>work</w:t>
      </w:r>
      <w:proofErr w:type="spellEnd"/>
      <w:r w:rsidRPr="00C90FBC">
        <w:t xml:space="preserve"> for the biennium 2020</w:t>
      </w:r>
      <w:r w:rsidRPr="00C90FBC">
        <w:sym w:font="Symbol" w:char="F02D"/>
      </w:r>
      <w:r w:rsidRPr="00C90FBC">
        <w:t>2021</w:t>
      </w:r>
      <w:r w:rsidRPr="00C90FBC">
        <w:rPr>
          <w:rStyle w:val="FootnoteReference"/>
          <w:rFonts w:eastAsia="SimSun"/>
        </w:rPr>
        <w:footnoteReference w:id="5"/>
      </w:r>
      <w:r w:rsidRPr="00C90FBC">
        <w:t xml:space="preserve"> and on international </w:t>
      </w:r>
      <w:proofErr w:type="spellStart"/>
      <w:r w:rsidRPr="00C90FBC">
        <w:t>cooperation</w:t>
      </w:r>
      <w:proofErr w:type="spellEnd"/>
      <w:r w:rsidRPr="00C90FBC">
        <w:t xml:space="preserve"> and coordination;</w:t>
      </w:r>
      <w:r w:rsidRPr="00C90FBC">
        <w:rPr>
          <w:rStyle w:val="FootnoteReference"/>
          <w:rFonts w:eastAsia="SimSun"/>
        </w:rPr>
        <w:footnoteReference w:id="6"/>
      </w:r>
    </w:p>
    <w:p w14:paraId="3EB95C79" w14:textId="77777777" w:rsidR="0023336D" w:rsidRPr="00C90FBC" w:rsidRDefault="0023336D" w:rsidP="0023336D">
      <w:pPr>
        <w:pStyle w:val="Normalnumber"/>
        <w:numPr>
          <w:ilvl w:val="0"/>
          <w:numId w:val="3"/>
        </w:numPr>
        <w:tabs>
          <w:tab w:val="clear" w:pos="567"/>
          <w:tab w:val="left" w:pos="624"/>
        </w:tabs>
        <w:ind w:firstLine="624"/>
      </w:pPr>
      <w:proofErr w:type="spellStart"/>
      <w:r w:rsidRPr="00C90FBC">
        <w:rPr>
          <w:i/>
        </w:rPr>
        <w:t>Approves</w:t>
      </w:r>
      <w:proofErr w:type="spellEnd"/>
      <w:r w:rsidRPr="00C90FBC">
        <w:rPr>
          <w:i/>
        </w:rPr>
        <w:t xml:space="preserve">, </w:t>
      </w:r>
      <w:r w:rsidRPr="00C90FBC">
        <w:rPr>
          <w:iCs/>
        </w:rPr>
        <w:t xml:space="preserve">on an </w:t>
      </w:r>
      <w:proofErr w:type="spellStart"/>
      <w:r w:rsidRPr="00C90FBC">
        <w:rPr>
          <w:iCs/>
        </w:rPr>
        <w:t>exceptional</w:t>
      </w:r>
      <w:proofErr w:type="spellEnd"/>
      <w:r w:rsidRPr="00C90FBC">
        <w:rPr>
          <w:iCs/>
        </w:rPr>
        <w:t xml:space="preserve"> basis and </w:t>
      </w:r>
      <w:proofErr w:type="spellStart"/>
      <w:r w:rsidRPr="00C90FBC">
        <w:rPr>
          <w:iCs/>
        </w:rPr>
        <w:t>without</w:t>
      </w:r>
      <w:proofErr w:type="spellEnd"/>
      <w:r w:rsidRPr="00C90FBC">
        <w:rPr>
          <w:iCs/>
        </w:rPr>
        <w:t xml:space="preserve"> setting a </w:t>
      </w:r>
      <w:proofErr w:type="spellStart"/>
      <w:r w:rsidRPr="00C90FBC">
        <w:rPr>
          <w:iCs/>
        </w:rPr>
        <w:t>precedent</w:t>
      </w:r>
      <w:proofErr w:type="spellEnd"/>
      <w:r w:rsidRPr="00C90FBC">
        <w:rPr>
          <w:iCs/>
        </w:rPr>
        <w:t>,</w:t>
      </w:r>
      <w:r w:rsidRPr="00C90FBC">
        <w:rPr>
          <w:i/>
        </w:rPr>
        <w:t xml:space="preserve"> </w:t>
      </w:r>
      <w:r w:rsidRPr="00C90FBC">
        <w:t xml:space="preserve">the budget for the </w:t>
      </w:r>
      <w:proofErr w:type="spellStart"/>
      <w:r w:rsidRPr="00C90FBC">
        <w:t>general</w:t>
      </w:r>
      <w:proofErr w:type="spellEnd"/>
      <w:r w:rsidRPr="00C90FBC">
        <w:t xml:space="preserve"> trust </w:t>
      </w:r>
      <w:proofErr w:type="spellStart"/>
      <w:r w:rsidRPr="00C90FBC">
        <w:t>fund</w:t>
      </w:r>
      <w:proofErr w:type="spellEnd"/>
      <w:r w:rsidRPr="00C90FBC">
        <w:t xml:space="preserve"> for 2022 of 3,397,684 United States dollars as part of the budget for the biennium 2022</w:t>
      </w:r>
      <w:r w:rsidRPr="00C90FBC">
        <w:sym w:font="Symbol" w:char="F02D"/>
      </w:r>
      <w:r w:rsidRPr="00C90FBC">
        <w:t>2023;</w:t>
      </w:r>
    </w:p>
    <w:p w14:paraId="681D6E17" w14:textId="77777777" w:rsidR="0023336D" w:rsidRPr="00C90FBC" w:rsidRDefault="0023336D" w:rsidP="0023336D">
      <w:pPr>
        <w:pStyle w:val="Normalnumber"/>
        <w:numPr>
          <w:ilvl w:val="0"/>
          <w:numId w:val="3"/>
        </w:numPr>
        <w:tabs>
          <w:tab w:val="clear" w:pos="567"/>
          <w:tab w:val="left" w:pos="624"/>
        </w:tabs>
        <w:ind w:firstLine="624"/>
      </w:pPr>
      <w:proofErr w:type="spellStart"/>
      <w:r w:rsidRPr="00C90FBC">
        <w:rPr>
          <w:i/>
        </w:rPr>
        <w:t>Decides</w:t>
      </w:r>
      <w:proofErr w:type="spellEnd"/>
      <w:r w:rsidRPr="00C90FBC">
        <w:rPr>
          <w:i/>
        </w:rPr>
        <w:t xml:space="preserve"> </w:t>
      </w:r>
      <w:r w:rsidRPr="00C90FBC">
        <w:rPr>
          <w:iCs/>
        </w:rPr>
        <w:t xml:space="preserve">to </w:t>
      </w:r>
      <w:proofErr w:type="spellStart"/>
      <w:r w:rsidRPr="00C90FBC">
        <w:rPr>
          <w:iCs/>
        </w:rPr>
        <w:t>review</w:t>
      </w:r>
      <w:proofErr w:type="spellEnd"/>
      <w:r w:rsidRPr="00C90FBC">
        <w:rPr>
          <w:iCs/>
        </w:rPr>
        <w:t xml:space="preserve"> and </w:t>
      </w:r>
      <w:proofErr w:type="spellStart"/>
      <w:r w:rsidRPr="00C90FBC">
        <w:rPr>
          <w:iCs/>
        </w:rPr>
        <w:t>agree</w:t>
      </w:r>
      <w:proofErr w:type="spellEnd"/>
      <w:r w:rsidRPr="00C90FBC">
        <w:rPr>
          <w:iCs/>
        </w:rPr>
        <w:t xml:space="preserve"> on</w:t>
      </w:r>
      <w:r w:rsidRPr="00C90FBC">
        <w:rPr>
          <w:i/>
        </w:rPr>
        <w:t xml:space="preserve"> </w:t>
      </w:r>
      <w:r w:rsidRPr="00C90FBC">
        <w:t xml:space="preserve">the budget for the </w:t>
      </w:r>
      <w:proofErr w:type="spellStart"/>
      <w:r w:rsidRPr="00C90FBC">
        <w:t>general</w:t>
      </w:r>
      <w:proofErr w:type="spellEnd"/>
      <w:r w:rsidRPr="00C90FBC">
        <w:t xml:space="preserve"> trust </w:t>
      </w:r>
      <w:proofErr w:type="spellStart"/>
      <w:r w:rsidRPr="00C90FBC">
        <w:t>fund</w:t>
      </w:r>
      <w:proofErr w:type="spellEnd"/>
      <w:r w:rsidRPr="00C90FBC">
        <w:t xml:space="preserve"> for 2023 </w:t>
      </w:r>
      <w:proofErr w:type="spellStart"/>
      <w:r w:rsidRPr="00C90FBC">
        <w:t>during</w:t>
      </w:r>
      <w:proofErr w:type="spellEnd"/>
      <w:r w:rsidRPr="00C90FBC">
        <w:t xml:space="preserve"> the in</w:t>
      </w:r>
      <w:r w:rsidRPr="00C90FBC">
        <w:noBreakHyphen/>
      </w:r>
      <w:proofErr w:type="spellStart"/>
      <w:r w:rsidRPr="00C90FBC">
        <w:t>person</w:t>
      </w:r>
      <w:proofErr w:type="spellEnd"/>
      <w:r w:rsidRPr="00C90FBC">
        <w:t xml:space="preserve"> segment of </w:t>
      </w:r>
      <w:proofErr w:type="spellStart"/>
      <w:r w:rsidRPr="00C90FBC">
        <w:t>its</w:t>
      </w:r>
      <w:proofErr w:type="spellEnd"/>
      <w:r w:rsidRPr="00C90FBC">
        <w:t xml:space="preserve"> </w:t>
      </w:r>
      <w:proofErr w:type="spellStart"/>
      <w:r w:rsidRPr="00C90FBC">
        <w:t>fourth</w:t>
      </w:r>
      <w:proofErr w:type="spellEnd"/>
      <w:r w:rsidRPr="00C90FBC">
        <w:t xml:space="preserve"> </w:t>
      </w:r>
      <w:proofErr w:type="gramStart"/>
      <w:r w:rsidRPr="00C90FBC">
        <w:t>meeting</w:t>
      </w:r>
      <w:proofErr w:type="gramEnd"/>
      <w:r w:rsidRPr="00C90FBC">
        <w:t xml:space="preserve">, </w:t>
      </w:r>
      <w:proofErr w:type="spellStart"/>
      <w:r w:rsidRPr="00C90FBC">
        <w:t>which</w:t>
      </w:r>
      <w:proofErr w:type="spellEnd"/>
      <w:r w:rsidRPr="00C90FBC">
        <w:t xml:space="preserve"> </w:t>
      </w:r>
      <w:proofErr w:type="spellStart"/>
      <w:r w:rsidRPr="00C90FBC">
        <w:t>will</w:t>
      </w:r>
      <w:proofErr w:type="spellEnd"/>
      <w:r w:rsidRPr="00C90FBC">
        <w:t xml:space="preserve"> </w:t>
      </w:r>
      <w:proofErr w:type="spellStart"/>
      <w:r w:rsidRPr="00C90FBC">
        <w:t>complete</w:t>
      </w:r>
      <w:proofErr w:type="spellEnd"/>
      <w:r w:rsidRPr="00C90FBC">
        <w:t xml:space="preserve"> the </w:t>
      </w:r>
      <w:proofErr w:type="spellStart"/>
      <w:r w:rsidRPr="00C90FBC">
        <w:t>consideration</w:t>
      </w:r>
      <w:proofErr w:type="spellEnd"/>
      <w:r w:rsidRPr="00C90FBC">
        <w:t xml:space="preserve"> of the full budget of the Convention for the biennium 2022‒2023;</w:t>
      </w:r>
      <w:r w:rsidRPr="00C90FBC">
        <w:rPr>
          <w:i/>
        </w:rPr>
        <w:t xml:space="preserve"> </w:t>
      </w:r>
    </w:p>
    <w:p w14:paraId="4C1543EB" w14:textId="77777777" w:rsidR="0023336D" w:rsidRPr="00C90FBC" w:rsidRDefault="0023336D" w:rsidP="0023336D">
      <w:pPr>
        <w:pStyle w:val="Normalnumber"/>
        <w:numPr>
          <w:ilvl w:val="0"/>
          <w:numId w:val="3"/>
        </w:numPr>
        <w:tabs>
          <w:tab w:val="clear" w:pos="567"/>
          <w:tab w:val="left" w:pos="624"/>
        </w:tabs>
        <w:ind w:firstLine="624"/>
      </w:pPr>
      <w:bookmarkStart w:id="0" w:name="_Hlk15257842"/>
      <w:proofErr w:type="spellStart"/>
      <w:r w:rsidRPr="00C90FBC">
        <w:rPr>
          <w:i/>
        </w:rPr>
        <w:t>Authorizes</w:t>
      </w:r>
      <w:proofErr w:type="spellEnd"/>
      <w:r w:rsidRPr="00C90FBC">
        <w:rPr>
          <w:i/>
        </w:rPr>
        <w:t xml:space="preserve"> </w:t>
      </w:r>
      <w:r w:rsidRPr="00C90FBC">
        <w:t xml:space="preserve">the </w:t>
      </w:r>
      <w:proofErr w:type="spellStart"/>
      <w:r w:rsidRPr="00C90FBC">
        <w:t>Executive</w:t>
      </w:r>
      <w:proofErr w:type="spellEnd"/>
      <w:r w:rsidRPr="00C90FBC">
        <w:t xml:space="preserve"> </w:t>
      </w:r>
      <w:proofErr w:type="spellStart"/>
      <w:r w:rsidRPr="00C90FBC">
        <w:t>Secretary</w:t>
      </w:r>
      <w:proofErr w:type="spellEnd"/>
      <w:r w:rsidRPr="00C90FBC">
        <w:t xml:space="preserve"> to </w:t>
      </w:r>
      <w:proofErr w:type="spellStart"/>
      <w:r w:rsidRPr="00C90FBC">
        <w:t>draw</w:t>
      </w:r>
      <w:proofErr w:type="spellEnd"/>
      <w:r w:rsidRPr="00C90FBC">
        <w:t xml:space="preserve"> down </w:t>
      </w:r>
      <w:proofErr w:type="spellStart"/>
      <w:r w:rsidRPr="00C90FBC">
        <w:t>from</w:t>
      </w:r>
      <w:proofErr w:type="spellEnd"/>
      <w:r w:rsidRPr="00C90FBC">
        <w:t xml:space="preserve"> the </w:t>
      </w:r>
      <w:proofErr w:type="spellStart"/>
      <w:r w:rsidRPr="00C90FBC">
        <w:t>estimated</w:t>
      </w:r>
      <w:proofErr w:type="spellEnd"/>
      <w:r w:rsidRPr="00C90FBC">
        <w:t xml:space="preserve"> </w:t>
      </w:r>
      <w:proofErr w:type="spellStart"/>
      <w:r w:rsidRPr="00C90FBC">
        <w:t>available</w:t>
      </w:r>
      <w:proofErr w:type="spellEnd"/>
      <w:r w:rsidRPr="00C90FBC">
        <w:t xml:space="preserve"> surplus of the </w:t>
      </w:r>
      <w:proofErr w:type="spellStart"/>
      <w:r w:rsidRPr="00C90FBC">
        <w:t>general</w:t>
      </w:r>
      <w:proofErr w:type="spellEnd"/>
      <w:r w:rsidRPr="00C90FBC">
        <w:t xml:space="preserve"> trust </w:t>
      </w:r>
      <w:proofErr w:type="spellStart"/>
      <w:r w:rsidRPr="00C90FBC">
        <w:t>fund</w:t>
      </w:r>
      <w:proofErr w:type="spellEnd"/>
      <w:r w:rsidRPr="00C90FBC">
        <w:t xml:space="preserve"> the </w:t>
      </w:r>
      <w:proofErr w:type="spellStart"/>
      <w:r w:rsidRPr="00C90FBC">
        <w:t>amount</w:t>
      </w:r>
      <w:proofErr w:type="spellEnd"/>
      <w:r w:rsidRPr="00C90FBC">
        <w:t xml:space="preserve"> of up to 500,962 United States dollars to cover a portion of the </w:t>
      </w:r>
      <w:proofErr w:type="spellStart"/>
      <w:r w:rsidRPr="00C90FBC">
        <w:t>additional</w:t>
      </w:r>
      <w:proofErr w:type="spellEnd"/>
      <w:r w:rsidRPr="00C90FBC">
        <w:t xml:space="preserve"> </w:t>
      </w:r>
      <w:proofErr w:type="spellStart"/>
      <w:r w:rsidRPr="00C90FBC">
        <w:t>costs</w:t>
      </w:r>
      <w:proofErr w:type="spellEnd"/>
      <w:r w:rsidRPr="00C90FBC">
        <w:t xml:space="preserve"> of the </w:t>
      </w:r>
      <w:proofErr w:type="spellStart"/>
      <w:r w:rsidRPr="00C90FBC">
        <w:t>fourth</w:t>
      </w:r>
      <w:proofErr w:type="spellEnd"/>
      <w:r w:rsidRPr="00C90FBC">
        <w:t xml:space="preserve"> meeting of the </w:t>
      </w:r>
      <w:proofErr w:type="spellStart"/>
      <w:r w:rsidRPr="00C90FBC">
        <w:t>Conference</w:t>
      </w:r>
      <w:proofErr w:type="spellEnd"/>
      <w:r w:rsidRPr="00C90FBC">
        <w:t xml:space="preserve"> of the Parties, to </w:t>
      </w:r>
      <w:proofErr w:type="spellStart"/>
      <w:r w:rsidRPr="00C90FBC">
        <w:t>meet</w:t>
      </w:r>
      <w:proofErr w:type="spellEnd"/>
      <w:r w:rsidRPr="00C90FBC">
        <w:t xml:space="preserve"> the </w:t>
      </w:r>
      <w:proofErr w:type="spellStart"/>
      <w:r w:rsidRPr="00C90FBC">
        <w:t>commitment</w:t>
      </w:r>
      <w:proofErr w:type="spellEnd"/>
      <w:r w:rsidRPr="00C90FBC">
        <w:t xml:space="preserve"> for the P</w:t>
      </w:r>
      <w:r w:rsidRPr="00C90FBC">
        <w:noBreakHyphen/>
        <w:t xml:space="preserve">3 </w:t>
      </w:r>
      <w:proofErr w:type="gramStart"/>
      <w:r w:rsidRPr="00C90FBC">
        <w:t>programme</w:t>
      </w:r>
      <w:proofErr w:type="gramEnd"/>
      <w:r w:rsidRPr="00C90FBC">
        <w:t xml:space="preserve"> management position to </w:t>
      </w:r>
      <w:proofErr w:type="spellStart"/>
      <w:r w:rsidRPr="00C90FBC">
        <w:t>be</w:t>
      </w:r>
      <w:proofErr w:type="spellEnd"/>
      <w:r w:rsidRPr="00C90FBC">
        <w:t xml:space="preserve"> </w:t>
      </w:r>
      <w:proofErr w:type="spellStart"/>
      <w:r w:rsidRPr="00C90FBC">
        <w:t>carried</w:t>
      </w:r>
      <w:proofErr w:type="spellEnd"/>
      <w:r w:rsidRPr="00C90FBC">
        <w:t xml:space="preserve"> </w:t>
      </w:r>
      <w:proofErr w:type="spellStart"/>
      <w:r w:rsidRPr="00C90FBC">
        <w:t>forward</w:t>
      </w:r>
      <w:proofErr w:type="spellEnd"/>
      <w:r w:rsidRPr="00C90FBC">
        <w:t xml:space="preserve"> </w:t>
      </w:r>
      <w:proofErr w:type="spellStart"/>
      <w:r w:rsidRPr="00C90FBC">
        <w:t>from</w:t>
      </w:r>
      <w:proofErr w:type="spellEnd"/>
      <w:r w:rsidRPr="00C90FBC">
        <w:t xml:space="preserve"> the biennium 2020–2021, and to </w:t>
      </w:r>
      <w:proofErr w:type="spellStart"/>
      <w:r w:rsidRPr="00C90FBC">
        <w:t>finalize</w:t>
      </w:r>
      <w:proofErr w:type="spellEnd"/>
      <w:r w:rsidRPr="00C90FBC">
        <w:t xml:space="preserve"> the </w:t>
      </w:r>
      <w:proofErr w:type="spellStart"/>
      <w:r w:rsidRPr="00C90FBC">
        <w:t>trade</w:t>
      </w:r>
      <w:proofErr w:type="spellEnd"/>
      <w:r w:rsidRPr="00C90FBC">
        <w:t xml:space="preserve"> report </w:t>
      </w:r>
      <w:proofErr w:type="spellStart"/>
      <w:r w:rsidRPr="00C90FBC">
        <w:t>budgeted</w:t>
      </w:r>
      <w:proofErr w:type="spellEnd"/>
      <w:r w:rsidRPr="00C90FBC">
        <w:t xml:space="preserve"> for in the biennium 2020</w:t>
      </w:r>
      <w:r w:rsidRPr="00C90FBC">
        <w:sym w:font="Symbol" w:char="F02D"/>
      </w:r>
      <w:r w:rsidRPr="00C90FBC">
        <w:t>2021;</w:t>
      </w:r>
    </w:p>
    <w:bookmarkEnd w:id="0"/>
    <w:p w14:paraId="66DB66DC" w14:textId="77777777" w:rsidR="0023336D" w:rsidRPr="00C90FBC" w:rsidRDefault="0023336D" w:rsidP="0023336D">
      <w:pPr>
        <w:pStyle w:val="Normalnumber"/>
        <w:numPr>
          <w:ilvl w:val="0"/>
          <w:numId w:val="3"/>
        </w:numPr>
        <w:tabs>
          <w:tab w:val="clear" w:pos="567"/>
          <w:tab w:val="left" w:pos="624"/>
        </w:tabs>
        <w:ind w:firstLine="624"/>
      </w:pPr>
      <w:proofErr w:type="spellStart"/>
      <w:r w:rsidRPr="00C90FBC">
        <w:rPr>
          <w:i/>
        </w:rPr>
        <w:t>Adopts</w:t>
      </w:r>
      <w:proofErr w:type="spellEnd"/>
      <w:r w:rsidRPr="00C90FBC">
        <w:rPr>
          <w:i/>
        </w:rPr>
        <w:t xml:space="preserve"> </w:t>
      </w:r>
      <w:r w:rsidRPr="00C90FBC">
        <w:t xml:space="preserve">the indicative </w:t>
      </w:r>
      <w:proofErr w:type="spellStart"/>
      <w:r w:rsidRPr="00C90FBC">
        <w:t>scale</w:t>
      </w:r>
      <w:proofErr w:type="spellEnd"/>
      <w:r w:rsidRPr="00C90FBC">
        <w:t xml:space="preserve"> of </w:t>
      </w:r>
      <w:proofErr w:type="spellStart"/>
      <w:r w:rsidRPr="00C90FBC">
        <w:t>assessment</w:t>
      </w:r>
      <w:proofErr w:type="spellEnd"/>
      <w:r w:rsidRPr="00C90FBC">
        <w:t xml:space="preserve"> for the </w:t>
      </w:r>
      <w:proofErr w:type="spellStart"/>
      <w:r w:rsidRPr="00C90FBC">
        <w:t>apportionment</w:t>
      </w:r>
      <w:proofErr w:type="spellEnd"/>
      <w:r w:rsidRPr="00C90FBC">
        <w:t xml:space="preserve"> of </w:t>
      </w:r>
      <w:proofErr w:type="spellStart"/>
      <w:r w:rsidRPr="00C90FBC">
        <w:t>expenses</w:t>
      </w:r>
      <w:proofErr w:type="spellEnd"/>
      <w:r w:rsidRPr="00C90FBC">
        <w:t xml:space="preserve"> for 2022 as set out in table 2 of the </w:t>
      </w:r>
      <w:proofErr w:type="spellStart"/>
      <w:r w:rsidRPr="00C90FBC">
        <w:t>present</w:t>
      </w:r>
      <w:proofErr w:type="spellEnd"/>
      <w:r w:rsidRPr="00C90FBC">
        <w:t xml:space="preserve"> </w:t>
      </w:r>
      <w:proofErr w:type="spellStart"/>
      <w:r w:rsidRPr="00C90FBC">
        <w:t>decision</w:t>
      </w:r>
      <w:proofErr w:type="spellEnd"/>
      <w:r w:rsidRPr="00C90FBC">
        <w:t xml:space="preserve"> and </w:t>
      </w:r>
      <w:proofErr w:type="spellStart"/>
      <w:r w:rsidRPr="00C90FBC">
        <w:t>authorizes</w:t>
      </w:r>
      <w:proofErr w:type="spellEnd"/>
      <w:r w:rsidRPr="00C90FBC">
        <w:t xml:space="preserve"> the </w:t>
      </w:r>
      <w:proofErr w:type="spellStart"/>
      <w:r w:rsidRPr="00C90FBC">
        <w:t>Executive</w:t>
      </w:r>
      <w:proofErr w:type="spellEnd"/>
      <w:r w:rsidRPr="00C90FBC">
        <w:t xml:space="preserve"> </w:t>
      </w:r>
      <w:proofErr w:type="spellStart"/>
      <w:r w:rsidRPr="00C90FBC">
        <w:t>Secretary</w:t>
      </w:r>
      <w:proofErr w:type="spellEnd"/>
      <w:r w:rsidRPr="00C90FBC">
        <w:t xml:space="preserve">, consistent </w:t>
      </w:r>
      <w:proofErr w:type="spellStart"/>
      <w:r w:rsidRPr="00C90FBC">
        <w:t>with</w:t>
      </w:r>
      <w:proofErr w:type="spellEnd"/>
      <w:r w:rsidRPr="00C90FBC">
        <w:t xml:space="preserve"> the Financial </w:t>
      </w:r>
      <w:proofErr w:type="spellStart"/>
      <w:r w:rsidRPr="00C90FBC">
        <w:t>Regulations</w:t>
      </w:r>
      <w:proofErr w:type="spellEnd"/>
      <w:r w:rsidRPr="00C90FBC">
        <w:t xml:space="preserve"> and Rules of the United Nations, to </w:t>
      </w:r>
      <w:proofErr w:type="spellStart"/>
      <w:r w:rsidRPr="00C90FBC">
        <w:t>adjust</w:t>
      </w:r>
      <w:proofErr w:type="spellEnd"/>
      <w:r w:rsidRPr="00C90FBC">
        <w:t xml:space="preserve"> the </w:t>
      </w:r>
      <w:proofErr w:type="spellStart"/>
      <w:r w:rsidRPr="00C90FBC">
        <w:t>scale</w:t>
      </w:r>
      <w:proofErr w:type="spellEnd"/>
      <w:r w:rsidRPr="00C90FBC">
        <w:t xml:space="preserve"> to </w:t>
      </w:r>
      <w:proofErr w:type="spellStart"/>
      <w:r w:rsidRPr="00C90FBC">
        <w:t>include</w:t>
      </w:r>
      <w:proofErr w:type="spellEnd"/>
      <w:r w:rsidRPr="00C90FBC">
        <w:t xml:space="preserve"> all parties for </w:t>
      </w:r>
      <w:proofErr w:type="spellStart"/>
      <w:r w:rsidRPr="00C90FBC">
        <w:t>which</w:t>
      </w:r>
      <w:proofErr w:type="spellEnd"/>
      <w:r w:rsidRPr="00C90FBC">
        <w:t xml:space="preserve"> the Convention </w:t>
      </w:r>
      <w:proofErr w:type="spellStart"/>
      <w:r w:rsidRPr="00C90FBC">
        <w:t>is</w:t>
      </w:r>
      <w:proofErr w:type="spellEnd"/>
      <w:r w:rsidRPr="00C90FBC">
        <w:t xml:space="preserve"> in force by 1 </w:t>
      </w:r>
      <w:proofErr w:type="spellStart"/>
      <w:r w:rsidRPr="00C90FBC">
        <w:t>January</w:t>
      </w:r>
      <w:proofErr w:type="spellEnd"/>
      <w:r w:rsidRPr="00C90FBC">
        <w:t xml:space="preserve"> 2022; </w:t>
      </w:r>
    </w:p>
    <w:p w14:paraId="0A05F39F" w14:textId="77777777" w:rsidR="0023336D" w:rsidRPr="00C90FBC" w:rsidRDefault="0023336D" w:rsidP="0023336D">
      <w:pPr>
        <w:pStyle w:val="Normalnumber"/>
        <w:numPr>
          <w:ilvl w:val="0"/>
          <w:numId w:val="3"/>
        </w:numPr>
        <w:tabs>
          <w:tab w:val="clear" w:pos="567"/>
          <w:tab w:val="left" w:pos="624"/>
        </w:tabs>
        <w:ind w:firstLine="624"/>
      </w:pPr>
      <w:proofErr w:type="spellStart"/>
      <w:r w:rsidRPr="00C90FBC">
        <w:rPr>
          <w:i/>
        </w:rPr>
        <w:t>Recalls</w:t>
      </w:r>
      <w:proofErr w:type="spellEnd"/>
      <w:r w:rsidRPr="00C90FBC">
        <w:rPr>
          <w:i/>
        </w:rPr>
        <w:t xml:space="preserve"> </w:t>
      </w:r>
      <w:proofErr w:type="spellStart"/>
      <w:r w:rsidRPr="00C90FBC">
        <w:t>that</w:t>
      </w:r>
      <w:proofErr w:type="spellEnd"/>
      <w:r w:rsidRPr="00C90FBC">
        <w:t xml:space="preserve"> contributions to the </w:t>
      </w:r>
      <w:proofErr w:type="spellStart"/>
      <w:r w:rsidRPr="00C90FBC">
        <w:t>general</w:t>
      </w:r>
      <w:proofErr w:type="spellEnd"/>
      <w:r w:rsidRPr="00C90FBC">
        <w:t xml:space="preserve"> trust </w:t>
      </w:r>
      <w:proofErr w:type="spellStart"/>
      <w:r w:rsidRPr="00C90FBC">
        <w:t>fund</w:t>
      </w:r>
      <w:proofErr w:type="spellEnd"/>
      <w:r w:rsidRPr="00C90FBC">
        <w:t xml:space="preserve"> are due by 1 </w:t>
      </w:r>
      <w:proofErr w:type="spellStart"/>
      <w:r w:rsidRPr="00C90FBC">
        <w:t>January</w:t>
      </w:r>
      <w:proofErr w:type="spellEnd"/>
      <w:r w:rsidRPr="00C90FBC">
        <w:t xml:space="preserve"> of the </w:t>
      </w:r>
      <w:proofErr w:type="spellStart"/>
      <w:r w:rsidRPr="00C90FBC">
        <w:t>year</w:t>
      </w:r>
      <w:proofErr w:type="spellEnd"/>
      <w:r w:rsidRPr="00C90FBC">
        <w:t xml:space="preserve"> for </w:t>
      </w:r>
      <w:proofErr w:type="spellStart"/>
      <w:r w:rsidRPr="00C90FBC">
        <w:t>which</w:t>
      </w:r>
      <w:proofErr w:type="spellEnd"/>
      <w:r w:rsidRPr="00C90FBC">
        <w:t xml:space="preserve"> </w:t>
      </w:r>
      <w:proofErr w:type="spellStart"/>
      <w:r w:rsidRPr="00C90FBC">
        <w:t>those</w:t>
      </w:r>
      <w:proofErr w:type="spellEnd"/>
      <w:r w:rsidRPr="00C90FBC">
        <w:t xml:space="preserve"> contributions have been </w:t>
      </w:r>
      <w:proofErr w:type="spellStart"/>
      <w:r w:rsidRPr="00C90FBC">
        <w:t>budgeted</w:t>
      </w:r>
      <w:proofErr w:type="spellEnd"/>
      <w:r w:rsidRPr="00C90FBC">
        <w:t xml:space="preserve"> and at the </w:t>
      </w:r>
      <w:proofErr w:type="spellStart"/>
      <w:r w:rsidRPr="00C90FBC">
        <w:t>latest</w:t>
      </w:r>
      <w:proofErr w:type="spellEnd"/>
      <w:r w:rsidRPr="00C90FBC">
        <w:t xml:space="preserve"> by 31 </w:t>
      </w:r>
      <w:proofErr w:type="spellStart"/>
      <w:r w:rsidRPr="00C90FBC">
        <w:t>December</w:t>
      </w:r>
      <w:proofErr w:type="spellEnd"/>
      <w:r w:rsidRPr="00C90FBC">
        <w:t xml:space="preserve"> of </w:t>
      </w:r>
      <w:proofErr w:type="spellStart"/>
      <w:r w:rsidRPr="00C90FBC">
        <w:t>that</w:t>
      </w:r>
      <w:proofErr w:type="spellEnd"/>
      <w:r w:rsidRPr="00C90FBC">
        <w:t xml:space="preserve"> </w:t>
      </w:r>
      <w:proofErr w:type="spellStart"/>
      <w:r w:rsidRPr="00C90FBC">
        <w:t>year</w:t>
      </w:r>
      <w:proofErr w:type="spellEnd"/>
      <w:r w:rsidRPr="00C90FBC">
        <w:t xml:space="preserve">, and </w:t>
      </w:r>
      <w:proofErr w:type="spellStart"/>
      <w:r w:rsidRPr="00C90FBC">
        <w:t>requests</w:t>
      </w:r>
      <w:proofErr w:type="spellEnd"/>
      <w:r w:rsidRPr="00C90FBC">
        <w:t xml:space="preserve"> parties to </w:t>
      </w:r>
      <w:proofErr w:type="spellStart"/>
      <w:r w:rsidRPr="00C90FBC">
        <w:t>pay</w:t>
      </w:r>
      <w:proofErr w:type="spellEnd"/>
      <w:r w:rsidRPr="00C90FBC">
        <w:t xml:space="preserve"> </w:t>
      </w:r>
      <w:proofErr w:type="spellStart"/>
      <w:r w:rsidRPr="00C90FBC">
        <w:t>their</w:t>
      </w:r>
      <w:proofErr w:type="spellEnd"/>
      <w:r w:rsidRPr="00C90FBC">
        <w:t xml:space="preserve"> contributions as </w:t>
      </w:r>
      <w:proofErr w:type="spellStart"/>
      <w:r w:rsidRPr="00C90FBC">
        <w:t>soon</w:t>
      </w:r>
      <w:proofErr w:type="spellEnd"/>
      <w:r w:rsidRPr="00C90FBC">
        <w:t xml:space="preserve"> as possible to enable the </w:t>
      </w:r>
      <w:proofErr w:type="spellStart"/>
      <w:r w:rsidRPr="00C90FBC">
        <w:t>secretariat</w:t>
      </w:r>
      <w:proofErr w:type="spellEnd"/>
      <w:r w:rsidRPr="00C90FBC">
        <w:t xml:space="preserve"> to carry out </w:t>
      </w:r>
      <w:proofErr w:type="spellStart"/>
      <w:r w:rsidRPr="00C90FBC">
        <w:t>its</w:t>
      </w:r>
      <w:proofErr w:type="spellEnd"/>
      <w:r w:rsidRPr="00C90FBC">
        <w:t xml:space="preserve"> </w:t>
      </w:r>
      <w:proofErr w:type="spellStart"/>
      <w:r w:rsidRPr="00C90FBC">
        <w:t>work</w:t>
      </w:r>
      <w:proofErr w:type="spellEnd"/>
      <w:r w:rsidRPr="00C90FBC">
        <w:t>;</w:t>
      </w:r>
    </w:p>
    <w:p w14:paraId="215FCB3E" w14:textId="77777777" w:rsidR="0023336D" w:rsidRPr="00C90FBC" w:rsidRDefault="0023336D" w:rsidP="0023336D">
      <w:pPr>
        <w:pStyle w:val="CH2"/>
        <w:ind w:firstLine="0"/>
        <w:jc w:val="center"/>
      </w:pPr>
      <w:r w:rsidRPr="00C90FBC">
        <w:t>II</w:t>
      </w:r>
    </w:p>
    <w:p w14:paraId="7304D101" w14:textId="77777777" w:rsidR="0023336D" w:rsidRPr="00C90FBC" w:rsidRDefault="0023336D" w:rsidP="0023336D">
      <w:pPr>
        <w:pStyle w:val="CH2"/>
        <w:ind w:firstLine="0"/>
        <w:jc w:val="center"/>
      </w:pPr>
      <w:r w:rsidRPr="00C90FBC">
        <w:t>Special Trust Fund of the Minamata Convention on Mercury</w:t>
      </w:r>
    </w:p>
    <w:p w14:paraId="1AD2F825" w14:textId="77777777" w:rsidR="0023336D" w:rsidRPr="00C90FBC" w:rsidRDefault="0023336D" w:rsidP="0023336D">
      <w:pPr>
        <w:pStyle w:val="Normalnumber"/>
        <w:numPr>
          <w:ilvl w:val="0"/>
          <w:numId w:val="3"/>
        </w:numPr>
        <w:tabs>
          <w:tab w:val="left" w:pos="624"/>
        </w:tabs>
        <w:ind w:firstLine="624"/>
      </w:pPr>
      <w:proofErr w:type="spellStart"/>
      <w:r w:rsidRPr="00C90FBC">
        <w:rPr>
          <w:i/>
        </w:rPr>
        <w:t>Takes</w:t>
      </w:r>
      <w:proofErr w:type="spellEnd"/>
      <w:r w:rsidRPr="00C90FBC">
        <w:rPr>
          <w:i/>
        </w:rPr>
        <w:t xml:space="preserve"> note</w:t>
      </w:r>
      <w:r w:rsidRPr="00C90FBC">
        <w:t xml:space="preserve"> of the report </w:t>
      </w:r>
      <w:proofErr w:type="spellStart"/>
      <w:r w:rsidRPr="00C90FBC">
        <w:t>provided</w:t>
      </w:r>
      <w:proofErr w:type="spellEnd"/>
      <w:r w:rsidRPr="00C90FBC">
        <w:t xml:space="preserve"> by the </w:t>
      </w:r>
      <w:proofErr w:type="spellStart"/>
      <w:r w:rsidRPr="00C90FBC">
        <w:t>Executive</w:t>
      </w:r>
      <w:proofErr w:type="spellEnd"/>
      <w:r w:rsidRPr="00C90FBC">
        <w:t xml:space="preserve"> </w:t>
      </w:r>
      <w:proofErr w:type="spellStart"/>
      <w:r w:rsidRPr="00C90FBC">
        <w:t>Secretary</w:t>
      </w:r>
      <w:proofErr w:type="spellEnd"/>
      <w:r w:rsidRPr="00C90FBC">
        <w:t xml:space="preserve"> on the </w:t>
      </w:r>
      <w:proofErr w:type="spellStart"/>
      <w:r w:rsidRPr="00C90FBC">
        <w:t>activities</w:t>
      </w:r>
      <w:proofErr w:type="spellEnd"/>
      <w:r w:rsidRPr="00C90FBC">
        <w:t xml:space="preserve"> and </w:t>
      </w:r>
      <w:proofErr w:type="spellStart"/>
      <w:r w:rsidRPr="00C90FBC">
        <w:t>expenditures</w:t>
      </w:r>
      <w:proofErr w:type="spellEnd"/>
      <w:r w:rsidRPr="00C90FBC">
        <w:t xml:space="preserve"> for 2018</w:t>
      </w:r>
      <w:r w:rsidRPr="00C90FBC">
        <w:sym w:font="Symbol" w:char="F02D"/>
      </w:r>
      <w:r w:rsidRPr="00C90FBC">
        <w:t xml:space="preserve">2019 and 2020‒2021 </w:t>
      </w:r>
      <w:proofErr w:type="spellStart"/>
      <w:r w:rsidRPr="00C90FBC">
        <w:t>through</w:t>
      </w:r>
      <w:proofErr w:type="spellEnd"/>
      <w:r w:rsidRPr="00C90FBC">
        <w:t xml:space="preserve"> the </w:t>
      </w:r>
      <w:proofErr w:type="spellStart"/>
      <w:r w:rsidRPr="00C90FBC">
        <w:t>special</w:t>
      </w:r>
      <w:proofErr w:type="spellEnd"/>
      <w:r w:rsidRPr="00C90FBC">
        <w:t xml:space="preserve"> trust </w:t>
      </w:r>
      <w:proofErr w:type="spellStart"/>
      <w:r w:rsidRPr="00C90FBC">
        <w:t>fund</w:t>
      </w:r>
      <w:proofErr w:type="spellEnd"/>
      <w:r w:rsidRPr="00C90FBC">
        <w:t xml:space="preserve"> as </w:t>
      </w:r>
      <w:proofErr w:type="spellStart"/>
      <w:r w:rsidRPr="00C90FBC">
        <w:t>contained</w:t>
      </w:r>
      <w:proofErr w:type="spellEnd"/>
      <w:r w:rsidRPr="00C90FBC">
        <w:t xml:space="preserve"> in the information on </w:t>
      </w:r>
      <w:proofErr w:type="spellStart"/>
      <w:r w:rsidRPr="00C90FBC">
        <w:t>financial</w:t>
      </w:r>
      <w:proofErr w:type="spellEnd"/>
      <w:r w:rsidRPr="00C90FBC">
        <w:t xml:space="preserve"> </w:t>
      </w:r>
      <w:proofErr w:type="spellStart"/>
      <w:r w:rsidRPr="00C90FBC">
        <w:t>matters</w:t>
      </w:r>
      <w:proofErr w:type="spellEnd"/>
      <w:r w:rsidRPr="00C90FBC">
        <w:t>,</w:t>
      </w:r>
      <w:r w:rsidRPr="00C90FBC">
        <w:rPr>
          <w:rStyle w:val="FootnoteReference"/>
          <w:rFonts w:eastAsia="SimSun"/>
        </w:rPr>
        <w:footnoteReference w:id="7"/>
      </w:r>
      <w:r w:rsidRPr="00C90FBC">
        <w:t xml:space="preserve"> as </w:t>
      </w:r>
      <w:proofErr w:type="spellStart"/>
      <w:r w:rsidRPr="00C90FBC">
        <w:t>well</w:t>
      </w:r>
      <w:proofErr w:type="spellEnd"/>
      <w:r w:rsidRPr="00C90FBC">
        <w:t xml:space="preserve"> as the information </w:t>
      </w:r>
      <w:proofErr w:type="spellStart"/>
      <w:r w:rsidRPr="00C90FBC">
        <w:t>provided</w:t>
      </w:r>
      <w:proofErr w:type="spellEnd"/>
      <w:r w:rsidRPr="00C90FBC">
        <w:t xml:space="preserve"> by the </w:t>
      </w:r>
      <w:proofErr w:type="spellStart"/>
      <w:r w:rsidRPr="00C90FBC">
        <w:t>secretariat</w:t>
      </w:r>
      <w:proofErr w:type="spellEnd"/>
      <w:r w:rsidRPr="00C90FBC">
        <w:t xml:space="preserve"> on </w:t>
      </w:r>
      <w:proofErr w:type="spellStart"/>
      <w:r w:rsidRPr="00C90FBC">
        <w:t>progress</w:t>
      </w:r>
      <w:proofErr w:type="spellEnd"/>
      <w:r w:rsidRPr="00C90FBC">
        <w:t xml:space="preserve"> in the </w:t>
      </w:r>
      <w:proofErr w:type="spellStart"/>
      <w:r w:rsidRPr="00C90FBC">
        <w:t>implementation</w:t>
      </w:r>
      <w:proofErr w:type="spellEnd"/>
      <w:r w:rsidRPr="00C90FBC">
        <w:t xml:space="preserve"> of the programme of </w:t>
      </w:r>
      <w:proofErr w:type="spellStart"/>
      <w:r w:rsidRPr="00C90FBC">
        <w:t>work</w:t>
      </w:r>
      <w:proofErr w:type="spellEnd"/>
      <w:r w:rsidRPr="00C90FBC">
        <w:t xml:space="preserve"> for the biennium 2020</w:t>
      </w:r>
      <w:r w:rsidRPr="00C90FBC">
        <w:sym w:font="Symbol" w:char="F02D"/>
      </w:r>
      <w:r w:rsidRPr="00C90FBC">
        <w:t>2021</w:t>
      </w:r>
      <w:r w:rsidRPr="00C90FBC">
        <w:rPr>
          <w:rStyle w:val="FootnoteReference"/>
          <w:rFonts w:eastAsia="SimSun"/>
        </w:rPr>
        <w:footnoteReference w:id="8"/>
      </w:r>
      <w:r w:rsidRPr="00C90FBC">
        <w:t xml:space="preserve"> and on international </w:t>
      </w:r>
      <w:proofErr w:type="spellStart"/>
      <w:r w:rsidRPr="00C90FBC">
        <w:t>cooperation</w:t>
      </w:r>
      <w:proofErr w:type="spellEnd"/>
      <w:r w:rsidRPr="00C90FBC">
        <w:t xml:space="preserve"> and coordination;</w:t>
      </w:r>
      <w:r w:rsidRPr="00C90FBC">
        <w:rPr>
          <w:rStyle w:val="FootnoteReference"/>
          <w:rFonts w:eastAsia="SimSun"/>
        </w:rPr>
        <w:footnoteReference w:id="9"/>
      </w:r>
      <w:r w:rsidRPr="00C90FBC">
        <w:t xml:space="preserve"> </w:t>
      </w:r>
    </w:p>
    <w:p w14:paraId="2A8662C2" w14:textId="77777777" w:rsidR="0023336D" w:rsidRPr="00C90FBC" w:rsidRDefault="0023336D" w:rsidP="0023336D">
      <w:pPr>
        <w:pStyle w:val="Normalnumber"/>
        <w:numPr>
          <w:ilvl w:val="0"/>
          <w:numId w:val="3"/>
        </w:numPr>
        <w:tabs>
          <w:tab w:val="clear" w:pos="567"/>
          <w:tab w:val="left" w:pos="624"/>
        </w:tabs>
        <w:ind w:firstLine="624"/>
      </w:pPr>
      <w:proofErr w:type="spellStart"/>
      <w:r w:rsidRPr="00C90FBC">
        <w:rPr>
          <w:i/>
        </w:rPr>
        <w:t>Also</w:t>
      </w:r>
      <w:proofErr w:type="spellEnd"/>
      <w:r w:rsidRPr="00C90FBC">
        <w:rPr>
          <w:i/>
        </w:rPr>
        <w:t xml:space="preserve"> </w:t>
      </w:r>
      <w:proofErr w:type="spellStart"/>
      <w:r w:rsidRPr="00C90FBC">
        <w:rPr>
          <w:i/>
        </w:rPr>
        <w:t>takes</w:t>
      </w:r>
      <w:proofErr w:type="spellEnd"/>
      <w:r w:rsidRPr="00C90FBC">
        <w:rPr>
          <w:i/>
        </w:rPr>
        <w:t xml:space="preserve"> note</w:t>
      </w:r>
      <w:r w:rsidRPr="00C90FBC">
        <w:t xml:space="preserve"> of the </w:t>
      </w:r>
      <w:proofErr w:type="spellStart"/>
      <w:r w:rsidRPr="00C90FBC">
        <w:t>proposed</w:t>
      </w:r>
      <w:proofErr w:type="spellEnd"/>
      <w:r w:rsidRPr="00C90FBC">
        <w:t xml:space="preserve"> programme of </w:t>
      </w:r>
      <w:proofErr w:type="spellStart"/>
      <w:r w:rsidRPr="00C90FBC">
        <w:t>work</w:t>
      </w:r>
      <w:proofErr w:type="spellEnd"/>
      <w:r w:rsidRPr="00C90FBC">
        <w:t xml:space="preserve"> and budget for the biennium 2022</w:t>
      </w:r>
      <w:r w:rsidRPr="00C90FBC">
        <w:sym w:font="Symbol" w:char="F02D"/>
      </w:r>
      <w:r w:rsidRPr="00C90FBC">
        <w:t>2023,</w:t>
      </w:r>
      <w:r w:rsidRPr="00C90FBC">
        <w:rPr>
          <w:rStyle w:val="FootnoteReference"/>
          <w:rFonts w:eastAsia="SimSun"/>
        </w:rPr>
        <w:footnoteReference w:id="10"/>
      </w:r>
      <w:r w:rsidRPr="00C90FBC">
        <w:t xml:space="preserve"> as </w:t>
      </w:r>
      <w:proofErr w:type="spellStart"/>
      <w:r w:rsidRPr="00C90FBC">
        <w:t>well</w:t>
      </w:r>
      <w:proofErr w:type="spellEnd"/>
      <w:r w:rsidRPr="00C90FBC">
        <w:t xml:space="preserve"> as the </w:t>
      </w:r>
      <w:proofErr w:type="spellStart"/>
      <w:r w:rsidRPr="00C90FBC">
        <w:t>additional</w:t>
      </w:r>
      <w:proofErr w:type="spellEnd"/>
      <w:r w:rsidRPr="00C90FBC">
        <w:t xml:space="preserve"> information on </w:t>
      </w:r>
      <w:proofErr w:type="spellStart"/>
      <w:r w:rsidRPr="00C90FBC">
        <w:t>financial</w:t>
      </w:r>
      <w:proofErr w:type="spellEnd"/>
      <w:r w:rsidRPr="00C90FBC">
        <w:t xml:space="preserve"> </w:t>
      </w:r>
      <w:proofErr w:type="spellStart"/>
      <w:r w:rsidRPr="00C90FBC">
        <w:t>matters</w:t>
      </w:r>
      <w:proofErr w:type="spellEnd"/>
      <w:r w:rsidRPr="00C90FBC">
        <w:rPr>
          <w:rStyle w:val="FootnoteReference"/>
          <w:rFonts w:eastAsia="SimSun"/>
        </w:rPr>
        <w:footnoteReference w:id="11"/>
      </w:r>
      <w:r w:rsidRPr="00C90FBC">
        <w:t xml:space="preserve"> and the budget </w:t>
      </w:r>
      <w:proofErr w:type="spellStart"/>
      <w:r w:rsidRPr="00C90FBC">
        <w:t>activity</w:t>
      </w:r>
      <w:proofErr w:type="spellEnd"/>
      <w:r w:rsidRPr="00C90FBC">
        <w:t xml:space="preserve"> </w:t>
      </w:r>
      <w:proofErr w:type="spellStart"/>
      <w:r w:rsidRPr="00C90FBC">
        <w:t>fact</w:t>
      </w:r>
      <w:proofErr w:type="spellEnd"/>
      <w:r w:rsidRPr="00C90FBC">
        <w:t xml:space="preserve"> </w:t>
      </w:r>
      <w:proofErr w:type="spellStart"/>
      <w:r w:rsidRPr="00C90FBC">
        <w:t>sheets</w:t>
      </w:r>
      <w:proofErr w:type="spellEnd"/>
      <w:r w:rsidRPr="00C90FBC">
        <w:t>;</w:t>
      </w:r>
      <w:r w:rsidRPr="00C90FBC">
        <w:rPr>
          <w:rStyle w:val="FootnoteReference"/>
          <w:rFonts w:eastAsia="SimSun"/>
        </w:rPr>
        <w:footnoteReference w:id="12"/>
      </w:r>
    </w:p>
    <w:p w14:paraId="0087729D" w14:textId="77777777" w:rsidR="0023336D" w:rsidRPr="00C90FBC" w:rsidRDefault="0023336D" w:rsidP="0023336D">
      <w:pPr>
        <w:pStyle w:val="Normalnumber"/>
        <w:numPr>
          <w:ilvl w:val="0"/>
          <w:numId w:val="3"/>
        </w:numPr>
        <w:tabs>
          <w:tab w:val="clear" w:pos="567"/>
          <w:tab w:val="left" w:pos="624"/>
        </w:tabs>
        <w:ind w:firstLine="624"/>
      </w:pPr>
      <w:proofErr w:type="spellStart"/>
      <w:r w:rsidRPr="00C90FBC">
        <w:rPr>
          <w:i/>
          <w:iCs/>
        </w:rPr>
        <w:t>Further</w:t>
      </w:r>
      <w:proofErr w:type="spellEnd"/>
      <w:r w:rsidRPr="00C90FBC">
        <w:rPr>
          <w:i/>
          <w:iCs/>
        </w:rPr>
        <w:t xml:space="preserve"> </w:t>
      </w:r>
      <w:proofErr w:type="spellStart"/>
      <w:r w:rsidRPr="00C90FBC">
        <w:rPr>
          <w:i/>
          <w:iCs/>
        </w:rPr>
        <w:t>takes</w:t>
      </w:r>
      <w:proofErr w:type="spellEnd"/>
      <w:r w:rsidRPr="00C90FBC">
        <w:rPr>
          <w:i/>
        </w:rPr>
        <w:t xml:space="preserve"> note </w:t>
      </w:r>
      <w:r w:rsidRPr="00C90FBC">
        <w:rPr>
          <w:iCs/>
        </w:rPr>
        <w:t>of</w:t>
      </w:r>
      <w:r w:rsidRPr="00C90FBC">
        <w:rPr>
          <w:i/>
        </w:rPr>
        <w:t xml:space="preserve"> </w:t>
      </w:r>
      <w:r w:rsidRPr="00C90FBC">
        <w:t xml:space="preserve">the </w:t>
      </w:r>
      <w:proofErr w:type="spellStart"/>
      <w:r w:rsidRPr="00C90FBC">
        <w:t>estimates</w:t>
      </w:r>
      <w:proofErr w:type="spellEnd"/>
      <w:r w:rsidRPr="00C90FBC">
        <w:t xml:space="preserve"> for the </w:t>
      </w:r>
      <w:proofErr w:type="spellStart"/>
      <w:r w:rsidRPr="00C90FBC">
        <w:t>special</w:t>
      </w:r>
      <w:proofErr w:type="spellEnd"/>
      <w:r w:rsidRPr="00C90FBC">
        <w:t xml:space="preserve"> trust </w:t>
      </w:r>
      <w:proofErr w:type="spellStart"/>
      <w:r w:rsidRPr="00C90FBC">
        <w:t>fund</w:t>
      </w:r>
      <w:proofErr w:type="spellEnd"/>
      <w:r w:rsidRPr="00C90FBC">
        <w:t xml:space="preserve"> for 2022 of 1,921,000 United States dollars; </w:t>
      </w:r>
    </w:p>
    <w:p w14:paraId="6744A51C" w14:textId="77777777" w:rsidR="0023336D" w:rsidRPr="00C90FBC" w:rsidRDefault="0023336D" w:rsidP="0023336D">
      <w:pPr>
        <w:pStyle w:val="Normalnumber"/>
        <w:numPr>
          <w:ilvl w:val="0"/>
          <w:numId w:val="3"/>
        </w:numPr>
        <w:tabs>
          <w:tab w:val="clear" w:pos="567"/>
          <w:tab w:val="left" w:pos="624"/>
        </w:tabs>
        <w:ind w:firstLine="624"/>
      </w:pPr>
      <w:r w:rsidRPr="00C90FBC">
        <w:rPr>
          <w:i/>
        </w:rPr>
        <w:lastRenderedPageBreak/>
        <w:t xml:space="preserve">Notes </w:t>
      </w:r>
      <w:proofErr w:type="spellStart"/>
      <w:r w:rsidRPr="00C90FBC">
        <w:t>that</w:t>
      </w:r>
      <w:proofErr w:type="spellEnd"/>
      <w:r w:rsidRPr="00C90FBC">
        <w:t xml:space="preserve"> </w:t>
      </w:r>
      <w:proofErr w:type="spellStart"/>
      <w:r w:rsidRPr="00C90FBC">
        <w:t>implementation</w:t>
      </w:r>
      <w:proofErr w:type="spellEnd"/>
      <w:r w:rsidRPr="00C90FBC">
        <w:t xml:space="preserve"> of the </w:t>
      </w:r>
      <w:proofErr w:type="spellStart"/>
      <w:r w:rsidRPr="00C90FBC">
        <w:t>planned</w:t>
      </w:r>
      <w:proofErr w:type="spellEnd"/>
      <w:r w:rsidRPr="00C90FBC">
        <w:t xml:space="preserve"> </w:t>
      </w:r>
      <w:proofErr w:type="spellStart"/>
      <w:r w:rsidRPr="00C90FBC">
        <w:t>activities</w:t>
      </w:r>
      <w:proofErr w:type="spellEnd"/>
      <w:r w:rsidRPr="00C90FBC">
        <w:t xml:space="preserve"> </w:t>
      </w:r>
      <w:proofErr w:type="spellStart"/>
      <w:r w:rsidRPr="00C90FBC">
        <w:t>is</w:t>
      </w:r>
      <w:proofErr w:type="spellEnd"/>
      <w:r w:rsidRPr="00C90FBC">
        <w:t xml:space="preserve"> </w:t>
      </w:r>
      <w:proofErr w:type="spellStart"/>
      <w:r w:rsidRPr="00C90FBC">
        <w:t>subject</w:t>
      </w:r>
      <w:proofErr w:type="spellEnd"/>
      <w:r w:rsidRPr="00C90FBC">
        <w:t xml:space="preserve"> to the </w:t>
      </w:r>
      <w:proofErr w:type="spellStart"/>
      <w:r w:rsidRPr="00C90FBC">
        <w:t>availability</w:t>
      </w:r>
      <w:proofErr w:type="spellEnd"/>
      <w:r w:rsidRPr="00C90FBC">
        <w:t xml:space="preserve"> of </w:t>
      </w:r>
      <w:proofErr w:type="spellStart"/>
      <w:r w:rsidRPr="00C90FBC">
        <w:t>resources</w:t>
      </w:r>
      <w:proofErr w:type="spellEnd"/>
      <w:r w:rsidRPr="00C90FBC">
        <w:t xml:space="preserve"> </w:t>
      </w:r>
      <w:proofErr w:type="spellStart"/>
      <w:r w:rsidRPr="00C90FBC">
        <w:t>contributed</w:t>
      </w:r>
      <w:proofErr w:type="spellEnd"/>
      <w:r w:rsidRPr="00C90FBC">
        <w:t xml:space="preserve"> to the </w:t>
      </w:r>
      <w:proofErr w:type="spellStart"/>
      <w:r w:rsidRPr="00C90FBC">
        <w:t>special</w:t>
      </w:r>
      <w:proofErr w:type="spellEnd"/>
      <w:r w:rsidRPr="00C90FBC">
        <w:t xml:space="preserve"> trust </w:t>
      </w:r>
      <w:proofErr w:type="spellStart"/>
      <w:r w:rsidRPr="00C90FBC">
        <w:t>fund</w:t>
      </w:r>
      <w:proofErr w:type="spellEnd"/>
      <w:r w:rsidRPr="00C90FBC">
        <w:t>;</w:t>
      </w:r>
    </w:p>
    <w:p w14:paraId="4F7F063A" w14:textId="77777777" w:rsidR="0023336D" w:rsidRPr="00C90FBC" w:rsidRDefault="0023336D" w:rsidP="0023336D">
      <w:pPr>
        <w:pStyle w:val="Normalnumber"/>
        <w:numPr>
          <w:ilvl w:val="0"/>
          <w:numId w:val="3"/>
        </w:numPr>
        <w:tabs>
          <w:tab w:val="clear" w:pos="567"/>
          <w:tab w:val="left" w:pos="624"/>
        </w:tabs>
        <w:ind w:firstLine="624"/>
      </w:pPr>
      <w:proofErr w:type="spellStart"/>
      <w:r w:rsidRPr="00C90FBC">
        <w:rPr>
          <w:i/>
        </w:rPr>
        <w:t>Requests</w:t>
      </w:r>
      <w:proofErr w:type="spellEnd"/>
      <w:r w:rsidRPr="00C90FBC">
        <w:rPr>
          <w:i/>
        </w:rPr>
        <w:t xml:space="preserve"> </w:t>
      </w:r>
      <w:r w:rsidRPr="00C90FBC">
        <w:t xml:space="preserve">parties to the Convention, and invites non-parties to the Convention and </w:t>
      </w:r>
      <w:proofErr w:type="spellStart"/>
      <w:r w:rsidRPr="00C90FBC">
        <w:t>others</w:t>
      </w:r>
      <w:proofErr w:type="spellEnd"/>
      <w:r w:rsidRPr="00C90FBC">
        <w:t xml:space="preserve"> in </w:t>
      </w:r>
      <w:proofErr w:type="gramStart"/>
      <w:r w:rsidRPr="00C90FBC">
        <w:t>a</w:t>
      </w:r>
      <w:proofErr w:type="gramEnd"/>
      <w:r w:rsidRPr="00C90FBC">
        <w:t xml:space="preserve"> position to do </w:t>
      </w:r>
      <w:proofErr w:type="spellStart"/>
      <w:r w:rsidRPr="00C90FBC">
        <w:t>so</w:t>
      </w:r>
      <w:proofErr w:type="spellEnd"/>
      <w:r w:rsidRPr="00C90FBC">
        <w:t xml:space="preserve">, to </w:t>
      </w:r>
      <w:proofErr w:type="spellStart"/>
      <w:r w:rsidRPr="00C90FBC">
        <w:t>contribute</w:t>
      </w:r>
      <w:proofErr w:type="spellEnd"/>
      <w:r w:rsidRPr="00C90FBC">
        <w:t xml:space="preserve"> to the </w:t>
      </w:r>
      <w:proofErr w:type="spellStart"/>
      <w:r w:rsidRPr="00C90FBC">
        <w:t>special</w:t>
      </w:r>
      <w:proofErr w:type="spellEnd"/>
      <w:r w:rsidRPr="00C90FBC">
        <w:t xml:space="preserve"> trust </w:t>
      </w:r>
      <w:proofErr w:type="spellStart"/>
      <w:r w:rsidRPr="00C90FBC">
        <w:t>fund</w:t>
      </w:r>
      <w:proofErr w:type="spellEnd"/>
      <w:r w:rsidRPr="00C90FBC">
        <w:t>;</w:t>
      </w:r>
    </w:p>
    <w:p w14:paraId="571EC951" w14:textId="77777777" w:rsidR="0023336D" w:rsidRPr="00C90FBC" w:rsidRDefault="0023336D" w:rsidP="0023336D">
      <w:pPr>
        <w:pStyle w:val="Normalnumber"/>
        <w:numPr>
          <w:ilvl w:val="0"/>
          <w:numId w:val="3"/>
        </w:numPr>
        <w:tabs>
          <w:tab w:val="clear" w:pos="567"/>
          <w:tab w:val="left" w:pos="624"/>
        </w:tabs>
        <w:ind w:firstLine="624"/>
      </w:pPr>
      <w:r w:rsidRPr="00C90FBC">
        <w:rPr>
          <w:i/>
        </w:rPr>
        <w:t>Invites</w:t>
      </w:r>
      <w:r w:rsidRPr="00C90FBC">
        <w:t xml:space="preserve"> parties and non-parties to the Convention and </w:t>
      </w:r>
      <w:proofErr w:type="spellStart"/>
      <w:r w:rsidRPr="00C90FBC">
        <w:t>others</w:t>
      </w:r>
      <w:proofErr w:type="spellEnd"/>
      <w:r w:rsidRPr="00C90FBC">
        <w:t xml:space="preserve"> in </w:t>
      </w:r>
      <w:proofErr w:type="gramStart"/>
      <w:r w:rsidRPr="00C90FBC">
        <w:t>a</w:t>
      </w:r>
      <w:proofErr w:type="gramEnd"/>
      <w:r w:rsidRPr="00C90FBC">
        <w:t xml:space="preserve"> position to do </w:t>
      </w:r>
      <w:proofErr w:type="spellStart"/>
      <w:r w:rsidRPr="00C90FBC">
        <w:t>so</w:t>
      </w:r>
      <w:proofErr w:type="spellEnd"/>
      <w:r w:rsidRPr="00C90FBC">
        <w:t xml:space="preserve"> to </w:t>
      </w:r>
      <w:proofErr w:type="spellStart"/>
      <w:r w:rsidRPr="00C90FBC">
        <w:t>contribute</w:t>
      </w:r>
      <w:proofErr w:type="spellEnd"/>
      <w:r w:rsidRPr="00C90FBC">
        <w:t xml:space="preserve"> to the </w:t>
      </w:r>
      <w:proofErr w:type="spellStart"/>
      <w:r w:rsidRPr="00C90FBC">
        <w:t>special</w:t>
      </w:r>
      <w:proofErr w:type="spellEnd"/>
      <w:r w:rsidRPr="00C90FBC">
        <w:t xml:space="preserve"> trust </w:t>
      </w:r>
      <w:proofErr w:type="spellStart"/>
      <w:r w:rsidRPr="00C90FBC">
        <w:t>fund</w:t>
      </w:r>
      <w:proofErr w:type="spellEnd"/>
      <w:r w:rsidRPr="00C90FBC">
        <w:t xml:space="preserve"> to support the participation of </w:t>
      </w:r>
      <w:proofErr w:type="spellStart"/>
      <w:r w:rsidRPr="00C90FBC">
        <w:t>representatives</w:t>
      </w:r>
      <w:proofErr w:type="spellEnd"/>
      <w:r w:rsidRPr="00C90FBC">
        <w:t xml:space="preserve"> </w:t>
      </w:r>
      <w:proofErr w:type="spellStart"/>
      <w:r w:rsidRPr="00C90FBC">
        <w:t>from</w:t>
      </w:r>
      <w:proofErr w:type="spellEnd"/>
      <w:r w:rsidRPr="00C90FBC">
        <w:t xml:space="preserve"> </w:t>
      </w:r>
      <w:proofErr w:type="spellStart"/>
      <w:r w:rsidRPr="00C90FBC">
        <w:t>developing</w:t>
      </w:r>
      <w:proofErr w:type="spellEnd"/>
      <w:r w:rsidRPr="00C90FBC">
        <w:t xml:space="preserve"> countries and countries </w:t>
      </w:r>
      <w:proofErr w:type="spellStart"/>
      <w:r w:rsidRPr="00C90FBC">
        <w:t>with</w:t>
      </w:r>
      <w:proofErr w:type="spellEnd"/>
      <w:r w:rsidRPr="00C90FBC">
        <w:t xml:space="preserve"> </w:t>
      </w:r>
      <w:proofErr w:type="spellStart"/>
      <w:r w:rsidRPr="00C90FBC">
        <w:t>economies</w:t>
      </w:r>
      <w:proofErr w:type="spellEnd"/>
      <w:r w:rsidRPr="00C90FBC">
        <w:t xml:space="preserve"> in transition in the meetings of the </w:t>
      </w:r>
      <w:proofErr w:type="spellStart"/>
      <w:r w:rsidRPr="00C90FBC">
        <w:t>Conference</w:t>
      </w:r>
      <w:proofErr w:type="spellEnd"/>
      <w:r w:rsidRPr="00C90FBC">
        <w:t xml:space="preserve"> of the Parties and </w:t>
      </w:r>
      <w:proofErr w:type="spellStart"/>
      <w:r w:rsidRPr="00C90FBC">
        <w:t>its</w:t>
      </w:r>
      <w:proofErr w:type="spellEnd"/>
      <w:r w:rsidRPr="00C90FBC">
        <w:t xml:space="preserve"> </w:t>
      </w:r>
      <w:proofErr w:type="spellStart"/>
      <w:r w:rsidRPr="00C90FBC">
        <w:t>subsidiary</w:t>
      </w:r>
      <w:proofErr w:type="spellEnd"/>
      <w:r w:rsidRPr="00C90FBC">
        <w:t xml:space="preserve"> bodies.</w:t>
      </w:r>
    </w:p>
    <w:p w14:paraId="531E17FE" w14:textId="77777777" w:rsidR="0023336D" w:rsidRPr="00C90FBC" w:rsidRDefault="0023336D" w:rsidP="0023336D">
      <w:pPr>
        <w:rPr>
          <w:lang w:eastAsia="en-US"/>
        </w:rPr>
      </w:pPr>
      <w:r w:rsidRPr="00C90FBC">
        <w:rPr>
          <w:b/>
          <w:bCs/>
        </w:rPr>
        <w:br w:type="page"/>
      </w:r>
    </w:p>
    <w:p w14:paraId="448B56DF" w14:textId="77777777" w:rsidR="0023336D" w:rsidRPr="00C90FBC" w:rsidRDefault="0023336D" w:rsidP="0023336D">
      <w:pPr>
        <w:pStyle w:val="Titletable"/>
        <w:rPr>
          <w:b w:val="0"/>
          <w:bCs w:val="0"/>
          <w:sz w:val="18"/>
          <w:szCs w:val="18"/>
          <w:lang w:val="en-GB"/>
        </w:rPr>
      </w:pPr>
      <w:r w:rsidRPr="00C90FBC">
        <w:rPr>
          <w:b w:val="0"/>
          <w:bCs w:val="0"/>
          <w:lang w:val="en-GB"/>
        </w:rPr>
        <w:lastRenderedPageBreak/>
        <w:t xml:space="preserve">Table 1 </w:t>
      </w:r>
      <w:r w:rsidRPr="00C90FBC">
        <w:rPr>
          <w:b w:val="0"/>
          <w:bCs w:val="0"/>
          <w:lang w:val="en-GB"/>
        </w:rPr>
        <w:br/>
      </w:r>
      <w:r w:rsidRPr="00C90FBC">
        <w:rPr>
          <w:lang w:val="en-GB"/>
        </w:rPr>
        <w:t xml:space="preserve">Programme of work and budget for 2022 </w:t>
      </w:r>
      <w:r w:rsidRPr="00C90FBC">
        <w:rPr>
          <w:lang w:val="en-GB"/>
        </w:rPr>
        <w:br/>
      </w:r>
      <w:r w:rsidRPr="00C90FBC">
        <w:rPr>
          <w:b w:val="0"/>
          <w:bCs w:val="0"/>
          <w:sz w:val="18"/>
          <w:szCs w:val="18"/>
          <w:lang w:val="en-GB"/>
        </w:rPr>
        <w:t>(in United States dollars)</w:t>
      </w:r>
    </w:p>
    <w:tbl>
      <w:tblPr>
        <w:tblW w:w="5000" w:type="pct"/>
        <w:jc w:val="right"/>
        <w:tblLayout w:type="fixed"/>
        <w:tblLook w:val="04A0" w:firstRow="1" w:lastRow="0" w:firstColumn="1" w:lastColumn="0" w:noHBand="0" w:noVBand="1"/>
      </w:tblPr>
      <w:tblGrid>
        <w:gridCol w:w="1440"/>
        <w:gridCol w:w="4680"/>
        <w:gridCol w:w="1620"/>
        <w:gridCol w:w="1756"/>
      </w:tblGrid>
      <w:tr w:rsidR="0023336D" w:rsidRPr="00C90FBC" w14:paraId="2BDDC8D4" w14:textId="77777777" w:rsidTr="008E185F">
        <w:trPr>
          <w:trHeight w:val="57"/>
          <w:tblHeader/>
          <w:jc w:val="right"/>
        </w:trPr>
        <w:tc>
          <w:tcPr>
            <w:tcW w:w="1440" w:type="dxa"/>
            <w:vMerge w:val="restart"/>
            <w:tcBorders>
              <w:top w:val="single" w:sz="4" w:space="0" w:color="auto"/>
              <w:bottom w:val="single" w:sz="12" w:space="0" w:color="auto"/>
            </w:tcBorders>
            <w:shd w:val="clear" w:color="auto" w:fill="auto"/>
            <w:vAlign w:val="bottom"/>
            <w:hideMark/>
          </w:tcPr>
          <w:p w14:paraId="30907C8F" w14:textId="77777777" w:rsidR="0023336D" w:rsidRPr="00C90FBC" w:rsidRDefault="0023336D" w:rsidP="008E185F">
            <w:pPr>
              <w:pStyle w:val="Normal-pool"/>
              <w:spacing w:before="40" w:after="40"/>
              <w:rPr>
                <w:i/>
                <w:iCs/>
                <w:sz w:val="18"/>
                <w:szCs w:val="18"/>
                <w:lang w:val="en-GB"/>
              </w:rPr>
            </w:pPr>
            <w:r w:rsidRPr="00C90FBC">
              <w:rPr>
                <w:i/>
                <w:iCs/>
                <w:sz w:val="18"/>
                <w:szCs w:val="18"/>
                <w:lang w:val="en-GB"/>
              </w:rPr>
              <w:t>Activity Number</w:t>
            </w:r>
          </w:p>
        </w:tc>
        <w:tc>
          <w:tcPr>
            <w:tcW w:w="4680" w:type="dxa"/>
            <w:vMerge w:val="restart"/>
            <w:tcBorders>
              <w:top w:val="single" w:sz="4" w:space="0" w:color="auto"/>
              <w:bottom w:val="single" w:sz="12" w:space="0" w:color="auto"/>
            </w:tcBorders>
            <w:shd w:val="clear" w:color="auto" w:fill="auto"/>
            <w:noWrap/>
            <w:vAlign w:val="bottom"/>
            <w:hideMark/>
          </w:tcPr>
          <w:p w14:paraId="320741BB" w14:textId="77777777" w:rsidR="0023336D" w:rsidRPr="00C90FBC" w:rsidRDefault="0023336D" w:rsidP="008E185F">
            <w:pPr>
              <w:pStyle w:val="Normal-pool"/>
              <w:spacing w:before="40" w:after="40"/>
              <w:rPr>
                <w:i/>
                <w:iCs/>
                <w:sz w:val="18"/>
                <w:szCs w:val="18"/>
                <w:lang w:val="en-GB"/>
              </w:rPr>
            </w:pPr>
            <w:r w:rsidRPr="00C90FBC">
              <w:rPr>
                <w:i/>
                <w:iCs/>
                <w:sz w:val="18"/>
                <w:szCs w:val="18"/>
                <w:lang w:val="en-GB"/>
              </w:rPr>
              <w:t>Activity</w:t>
            </w:r>
          </w:p>
        </w:tc>
        <w:tc>
          <w:tcPr>
            <w:tcW w:w="3376" w:type="dxa"/>
            <w:gridSpan w:val="2"/>
            <w:tcBorders>
              <w:top w:val="single" w:sz="4" w:space="0" w:color="auto"/>
              <w:bottom w:val="single" w:sz="4" w:space="0" w:color="auto"/>
            </w:tcBorders>
            <w:shd w:val="clear" w:color="auto" w:fill="auto"/>
            <w:vAlign w:val="bottom"/>
            <w:hideMark/>
          </w:tcPr>
          <w:p w14:paraId="5B717D39" w14:textId="77777777" w:rsidR="0023336D" w:rsidRPr="00C90FBC" w:rsidRDefault="0023336D" w:rsidP="008E185F">
            <w:pPr>
              <w:pStyle w:val="Normal-pool"/>
              <w:spacing w:before="40" w:after="40"/>
              <w:jc w:val="center"/>
              <w:rPr>
                <w:i/>
                <w:iCs/>
                <w:sz w:val="18"/>
                <w:szCs w:val="18"/>
                <w:lang w:val="en-GB"/>
              </w:rPr>
            </w:pPr>
            <w:r w:rsidRPr="00C90FBC">
              <w:rPr>
                <w:i/>
                <w:iCs/>
                <w:sz w:val="18"/>
                <w:szCs w:val="18"/>
                <w:lang w:val="en-GB"/>
              </w:rPr>
              <w:t>2022</w:t>
            </w:r>
          </w:p>
        </w:tc>
      </w:tr>
      <w:tr w:rsidR="0023336D" w:rsidRPr="00C90FBC" w14:paraId="29334C29" w14:textId="77777777" w:rsidTr="008E185F">
        <w:trPr>
          <w:trHeight w:val="57"/>
          <w:tblHeader/>
          <w:jc w:val="right"/>
        </w:trPr>
        <w:tc>
          <w:tcPr>
            <w:tcW w:w="1440" w:type="dxa"/>
            <w:vMerge/>
            <w:tcBorders>
              <w:bottom w:val="single" w:sz="12" w:space="0" w:color="auto"/>
            </w:tcBorders>
            <w:shd w:val="clear" w:color="auto" w:fill="auto"/>
            <w:noWrap/>
            <w:vAlign w:val="bottom"/>
            <w:hideMark/>
          </w:tcPr>
          <w:p w14:paraId="766E2DAD" w14:textId="77777777" w:rsidR="0023336D" w:rsidRPr="00C90FBC" w:rsidRDefault="0023336D" w:rsidP="008E185F">
            <w:pPr>
              <w:pStyle w:val="Normal-pool"/>
              <w:spacing w:before="40" w:after="40"/>
              <w:jc w:val="right"/>
              <w:rPr>
                <w:i/>
                <w:iCs/>
                <w:sz w:val="18"/>
                <w:szCs w:val="18"/>
                <w:lang w:val="en-GB"/>
              </w:rPr>
            </w:pPr>
          </w:p>
        </w:tc>
        <w:tc>
          <w:tcPr>
            <w:tcW w:w="4680" w:type="dxa"/>
            <w:vMerge/>
            <w:tcBorders>
              <w:bottom w:val="single" w:sz="12" w:space="0" w:color="auto"/>
            </w:tcBorders>
            <w:shd w:val="clear" w:color="auto" w:fill="auto"/>
            <w:noWrap/>
            <w:vAlign w:val="bottom"/>
            <w:hideMark/>
          </w:tcPr>
          <w:p w14:paraId="7BDB3CAE" w14:textId="77777777" w:rsidR="0023336D" w:rsidRPr="00C90FBC" w:rsidRDefault="0023336D" w:rsidP="008E185F">
            <w:pPr>
              <w:pStyle w:val="Normal-pool"/>
              <w:spacing w:before="40" w:after="40"/>
              <w:jc w:val="right"/>
              <w:rPr>
                <w:i/>
                <w:iCs/>
                <w:sz w:val="18"/>
                <w:szCs w:val="18"/>
                <w:lang w:val="en-GB"/>
              </w:rPr>
            </w:pPr>
          </w:p>
        </w:tc>
        <w:tc>
          <w:tcPr>
            <w:tcW w:w="1620" w:type="dxa"/>
            <w:tcBorders>
              <w:top w:val="single" w:sz="4" w:space="0" w:color="auto"/>
              <w:bottom w:val="single" w:sz="12" w:space="0" w:color="auto"/>
            </w:tcBorders>
            <w:shd w:val="clear" w:color="auto" w:fill="auto"/>
            <w:vAlign w:val="bottom"/>
            <w:hideMark/>
          </w:tcPr>
          <w:p w14:paraId="24B3E2B6" w14:textId="77777777" w:rsidR="0023336D" w:rsidRPr="00C90FBC" w:rsidRDefault="0023336D" w:rsidP="008E185F">
            <w:pPr>
              <w:pStyle w:val="Normal-pool"/>
              <w:spacing w:before="40" w:after="40"/>
              <w:jc w:val="right"/>
              <w:rPr>
                <w:i/>
                <w:iCs/>
                <w:sz w:val="18"/>
                <w:szCs w:val="18"/>
                <w:lang w:val="en-GB"/>
              </w:rPr>
            </w:pPr>
            <w:r w:rsidRPr="00C90FBC">
              <w:rPr>
                <w:i/>
                <w:iCs/>
                <w:sz w:val="18"/>
                <w:szCs w:val="18"/>
                <w:lang w:val="en-GB"/>
              </w:rPr>
              <w:t>General trust fund</w:t>
            </w:r>
          </w:p>
        </w:tc>
        <w:tc>
          <w:tcPr>
            <w:tcW w:w="1756" w:type="dxa"/>
            <w:tcBorders>
              <w:top w:val="single" w:sz="4" w:space="0" w:color="auto"/>
              <w:bottom w:val="single" w:sz="12" w:space="0" w:color="auto"/>
            </w:tcBorders>
            <w:shd w:val="clear" w:color="auto" w:fill="auto"/>
            <w:vAlign w:val="bottom"/>
            <w:hideMark/>
          </w:tcPr>
          <w:p w14:paraId="240D3191" w14:textId="77777777" w:rsidR="0023336D" w:rsidRPr="00C90FBC" w:rsidRDefault="0023336D" w:rsidP="008E185F">
            <w:pPr>
              <w:pStyle w:val="Normal-pool"/>
              <w:spacing w:before="40" w:after="40"/>
              <w:jc w:val="right"/>
              <w:rPr>
                <w:i/>
                <w:iCs/>
                <w:sz w:val="18"/>
                <w:szCs w:val="18"/>
                <w:lang w:val="en-GB"/>
              </w:rPr>
            </w:pPr>
            <w:r w:rsidRPr="00C90FBC">
              <w:rPr>
                <w:i/>
                <w:iCs/>
                <w:sz w:val="18"/>
                <w:szCs w:val="18"/>
                <w:lang w:val="en-GB"/>
              </w:rPr>
              <w:t>Special trust fund</w:t>
            </w:r>
          </w:p>
        </w:tc>
      </w:tr>
      <w:tr w:rsidR="0023336D" w:rsidRPr="00C90FBC" w14:paraId="6F69AFDF" w14:textId="77777777" w:rsidTr="008E185F">
        <w:trPr>
          <w:trHeight w:val="57"/>
          <w:jc w:val="right"/>
        </w:trPr>
        <w:tc>
          <w:tcPr>
            <w:tcW w:w="1440" w:type="dxa"/>
            <w:tcBorders>
              <w:top w:val="single" w:sz="12" w:space="0" w:color="auto"/>
              <w:bottom w:val="single" w:sz="4" w:space="0" w:color="auto"/>
            </w:tcBorders>
            <w:shd w:val="clear" w:color="auto" w:fill="auto"/>
            <w:noWrap/>
            <w:hideMark/>
          </w:tcPr>
          <w:p w14:paraId="2FFD9B7C"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A.</w:t>
            </w:r>
          </w:p>
        </w:tc>
        <w:tc>
          <w:tcPr>
            <w:tcW w:w="4680" w:type="dxa"/>
            <w:tcBorders>
              <w:top w:val="single" w:sz="12" w:space="0" w:color="auto"/>
              <w:bottom w:val="single" w:sz="4" w:space="0" w:color="auto"/>
            </w:tcBorders>
            <w:shd w:val="clear" w:color="auto" w:fill="auto"/>
            <w:noWrap/>
            <w:hideMark/>
          </w:tcPr>
          <w:p w14:paraId="2F42AEAD"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Conferences and meetings</w:t>
            </w:r>
          </w:p>
        </w:tc>
        <w:tc>
          <w:tcPr>
            <w:tcW w:w="1620" w:type="dxa"/>
            <w:tcBorders>
              <w:top w:val="single" w:sz="12" w:space="0" w:color="auto"/>
              <w:bottom w:val="single" w:sz="4" w:space="0" w:color="auto"/>
            </w:tcBorders>
            <w:shd w:val="clear" w:color="auto" w:fill="auto"/>
            <w:noWrap/>
            <w:hideMark/>
          </w:tcPr>
          <w:p w14:paraId="2C33F964" w14:textId="77777777" w:rsidR="0023336D" w:rsidRPr="00C90FBC" w:rsidRDefault="0023336D" w:rsidP="008E185F">
            <w:pPr>
              <w:pStyle w:val="Normal-pool"/>
              <w:spacing w:before="40" w:after="40"/>
              <w:jc w:val="right"/>
              <w:rPr>
                <w:b/>
                <w:bCs/>
                <w:sz w:val="18"/>
                <w:szCs w:val="18"/>
                <w:lang w:val="en-GB"/>
              </w:rPr>
            </w:pPr>
          </w:p>
        </w:tc>
        <w:tc>
          <w:tcPr>
            <w:tcW w:w="1756" w:type="dxa"/>
            <w:tcBorders>
              <w:top w:val="single" w:sz="12" w:space="0" w:color="auto"/>
              <w:bottom w:val="single" w:sz="4" w:space="0" w:color="auto"/>
            </w:tcBorders>
            <w:shd w:val="clear" w:color="auto" w:fill="auto"/>
            <w:noWrap/>
            <w:hideMark/>
          </w:tcPr>
          <w:p w14:paraId="60F3434C" w14:textId="77777777" w:rsidR="0023336D" w:rsidRPr="00C90FBC" w:rsidRDefault="0023336D" w:rsidP="008E185F">
            <w:pPr>
              <w:pStyle w:val="Normal-pool"/>
              <w:spacing w:before="40" w:after="40"/>
              <w:jc w:val="right"/>
              <w:rPr>
                <w:b/>
                <w:bCs/>
                <w:sz w:val="18"/>
                <w:szCs w:val="18"/>
                <w:lang w:val="en-GB"/>
              </w:rPr>
            </w:pPr>
          </w:p>
        </w:tc>
      </w:tr>
      <w:tr w:rsidR="0023336D" w:rsidRPr="00C90FBC" w14:paraId="26823F0C"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48CE21E"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1</w:t>
            </w:r>
          </w:p>
        </w:tc>
        <w:tc>
          <w:tcPr>
            <w:tcW w:w="4680" w:type="dxa"/>
            <w:tcBorders>
              <w:top w:val="single" w:sz="4" w:space="0" w:color="auto"/>
              <w:bottom w:val="single" w:sz="4" w:space="0" w:color="auto"/>
            </w:tcBorders>
            <w:shd w:val="clear" w:color="auto" w:fill="auto"/>
            <w:noWrap/>
            <w:hideMark/>
          </w:tcPr>
          <w:p w14:paraId="6BCB6626"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Fourth meeting of the Conference of the Parties</w:t>
            </w:r>
          </w:p>
        </w:tc>
        <w:tc>
          <w:tcPr>
            <w:tcW w:w="1620" w:type="dxa"/>
            <w:tcBorders>
              <w:top w:val="single" w:sz="4" w:space="0" w:color="auto"/>
              <w:bottom w:val="single" w:sz="4" w:space="0" w:color="auto"/>
            </w:tcBorders>
            <w:shd w:val="clear" w:color="auto" w:fill="auto"/>
            <w:noWrap/>
            <w:hideMark/>
          </w:tcPr>
          <w:p w14:paraId="751AA40E" w14:textId="77777777" w:rsidR="0023336D" w:rsidRPr="00C90FBC" w:rsidRDefault="0023336D" w:rsidP="008E185F">
            <w:pPr>
              <w:pStyle w:val="Normal-pool"/>
              <w:spacing w:before="40" w:after="40"/>
              <w:jc w:val="right"/>
              <w:rPr>
                <w:b/>
                <w:bCs/>
                <w:sz w:val="18"/>
                <w:szCs w:val="18"/>
                <w:lang w:val="en-GB"/>
              </w:rPr>
            </w:pPr>
          </w:p>
        </w:tc>
        <w:tc>
          <w:tcPr>
            <w:tcW w:w="1756" w:type="dxa"/>
            <w:tcBorders>
              <w:top w:val="single" w:sz="4" w:space="0" w:color="auto"/>
              <w:bottom w:val="single" w:sz="4" w:space="0" w:color="auto"/>
            </w:tcBorders>
            <w:shd w:val="clear" w:color="auto" w:fill="auto"/>
            <w:noWrap/>
            <w:hideMark/>
          </w:tcPr>
          <w:p w14:paraId="1A14AECA" w14:textId="77777777" w:rsidR="0023336D" w:rsidRPr="00C90FBC" w:rsidRDefault="0023336D" w:rsidP="008E185F">
            <w:pPr>
              <w:pStyle w:val="Normal-pool"/>
              <w:spacing w:before="40" w:after="40"/>
              <w:jc w:val="right"/>
              <w:rPr>
                <w:b/>
                <w:bCs/>
                <w:sz w:val="18"/>
                <w:szCs w:val="18"/>
                <w:lang w:val="en-GB"/>
              </w:rPr>
            </w:pPr>
          </w:p>
        </w:tc>
      </w:tr>
      <w:tr w:rsidR="0023336D" w:rsidRPr="00C90FBC" w14:paraId="5864A43B" w14:textId="77777777" w:rsidTr="008E185F">
        <w:trPr>
          <w:trHeight w:val="57"/>
          <w:jc w:val="right"/>
        </w:trPr>
        <w:tc>
          <w:tcPr>
            <w:tcW w:w="1440" w:type="dxa"/>
            <w:tcBorders>
              <w:top w:val="single" w:sz="4" w:space="0" w:color="auto"/>
            </w:tcBorders>
            <w:shd w:val="clear" w:color="auto" w:fill="auto"/>
            <w:noWrap/>
            <w:hideMark/>
          </w:tcPr>
          <w:p w14:paraId="6DB963A8"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single" w:sz="4" w:space="0" w:color="auto"/>
            </w:tcBorders>
            <w:shd w:val="clear" w:color="auto" w:fill="auto"/>
            <w:noWrap/>
            <w:hideMark/>
          </w:tcPr>
          <w:p w14:paraId="7C311BFD" w14:textId="77777777" w:rsidR="0023336D" w:rsidRPr="00C90FBC" w:rsidRDefault="0023336D" w:rsidP="008E185F">
            <w:pPr>
              <w:pStyle w:val="Normal-pool"/>
              <w:spacing w:before="40" w:after="40"/>
              <w:rPr>
                <w:sz w:val="18"/>
                <w:szCs w:val="18"/>
                <w:lang w:val="en-GB"/>
              </w:rPr>
            </w:pPr>
            <w:r w:rsidRPr="00C90FBC">
              <w:rPr>
                <w:sz w:val="18"/>
                <w:szCs w:val="18"/>
                <w:lang w:val="en-GB"/>
              </w:rPr>
              <w:t>1.1 Fourth meeting</w:t>
            </w:r>
          </w:p>
        </w:tc>
        <w:tc>
          <w:tcPr>
            <w:tcW w:w="1620" w:type="dxa"/>
            <w:tcBorders>
              <w:top w:val="single" w:sz="4" w:space="0" w:color="auto"/>
            </w:tcBorders>
            <w:shd w:val="clear" w:color="auto" w:fill="auto"/>
            <w:noWrap/>
            <w:hideMark/>
          </w:tcPr>
          <w:p w14:paraId="030BB1C6"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single" w:sz="4" w:space="0" w:color="auto"/>
            </w:tcBorders>
            <w:shd w:val="clear" w:color="auto" w:fill="auto"/>
            <w:noWrap/>
            <w:hideMark/>
          </w:tcPr>
          <w:p w14:paraId="72AFABF4"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241DFB21" w14:textId="77777777" w:rsidTr="008E185F">
        <w:trPr>
          <w:trHeight w:val="57"/>
          <w:jc w:val="right"/>
        </w:trPr>
        <w:tc>
          <w:tcPr>
            <w:tcW w:w="1440" w:type="dxa"/>
            <w:tcBorders>
              <w:top w:val="nil"/>
            </w:tcBorders>
            <w:shd w:val="clear" w:color="auto" w:fill="auto"/>
            <w:noWrap/>
            <w:hideMark/>
          </w:tcPr>
          <w:p w14:paraId="27FD4E44"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tcBorders>
            <w:shd w:val="clear" w:color="auto" w:fill="auto"/>
            <w:noWrap/>
            <w:hideMark/>
          </w:tcPr>
          <w:p w14:paraId="3BB05095" w14:textId="77777777" w:rsidR="0023336D" w:rsidRPr="00C90FBC" w:rsidRDefault="0023336D" w:rsidP="008E185F">
            <w:pPr>
              <w:pStyle w:val="Normal-pool"/>
              <w:spacing w:before="40" w:after="40"/>
              <w:rPr>
                <w:sz w:val="18"/>
                <w:szCs w:val="18"/>
                <w:lang w:val="en-GB"/>
              </w:rPr>
            </w:pPr>
            <w:r w:rsidRPr="00C90FBC">
              <w:rPr>
                <w:sz w:val="18"/>
                <w:szCs w:val="18"/>
                <w:lang w:val="en-GB"/>
              </w:rPr>
              <w:t>1.2 Regional preparatory meetings</w:t>
            </w:r>
          </w:p>
        </w:tc>
        <w:tc>
          <w:tcPr>
            <w:tcW w:w="1620" w:type="dxa"/>
            <w:tcBorders>
              <w:top w:val="nil"/>
            </w:tcBorders>
            <w:shd w:val="clear" w:color="auto" w:fill="auto"/>
            <w:noWrap/>
            <w:hideMark/>
          </w:tcPr>
          <w:p w14:paraId="761041B6"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tcBorders>
            <w:shd w:val="clear" w:color="auto" w:fill="auto"/>
            <w:noWrap/>
            <w:hideMark/>
          </w:tcPr>
          <w:p w14:paraId="68B5DE4C"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697490E7" w14:textId="77777777" w:rsidTr="008E185F">
        <w:trPr>
          <w:trHeight w:val="57"/>
          <w:jc w:val="right"/>
        </w:trPr>
        <w:tc>
          <w:tcPr>
            <w:tcW w:w="1440" w:type="dxa"/>
            <w:tcBorders>
              <w:top w:val="nil"/>
              <w:bottom w:val="single" w:sz="4" w:space="0" w:color="auto"/>
            </w:tcBorders>
            <w:shd w:val="clear" w:color="auto" w:fill="auto"/>
            <w:noWrap/>
            <w:hideMark/>
          </w:tcPr>
          <w:p w14:paraId="2D37DB95"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bottom w:val="single" w:sz="4" w:space="0" w:color="auto"/>
            </w:tcBorders>
            <w:shd w:val="clear" w:color="auto" w:fill="auto"/>
            <w:hideMark/>
          </w:tcPr>
          <w:p w14:paraId="52EFBE9E" w14:textId="77777777" w:rsidR="0023336D" w:rsidRPr="00C90FBC" w:rsidRDefault="0023336D" w:rsidP="008E185F">
            <w:pPr>
              <w:pStyle w:val="Normal-pool"/>
              <w:spacing w:before="40" w:after="40"/>
              <w:rPr>
                <w:sz w:val="18"/>
                <w:szCs w:val="18"/>
                <w:lang w:val="en-GB"/>
              </w:rPr>
            </w:pPr>
            <w:r w:rsidRPr="00C90FBC">
              <w:rPr>
                <w:sz w:val="18"/>
                <w:szCs w:val="18"/>
                <w:lang w:val="en-GB"/>
              </w:rPr>
              <w:t>1.3 Intersessional time-based expert groups mandated by the Conference of the Parties</w:t>
            </w:r>
          </w:p>
        </w:tc>
        <w:tc>
          <w:tcPr>
            <w:tcW w:w="1620" w:type="dxa"/>
            <w:tcBorders>
              <w:top w:val="nil"/>
              <w:bottom w:val="single" w:sz="4" w:space="0" w:color="auto"/>
            </w:tcBorders>
            <w:shd w:val="clear" w:color="auto" w:fill="auto"/>
            <w:noWrap/>
            <w:hideMark/>
          </w:tcPr>
          <w:p w14:paraId="527084EB"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bottom w:val="single" w:sz="4" w:space="0" w:color="auto"/>
            </w:tcBorders>
            <w:shd w:val="clear" w:color="auto" w:fill="auto"/>
            <w:noWrap/>
            <w:hideMark/>
          </w:tcPr>
          <w:p w14:paraId="41A81D30"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30759C1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7E7DF49"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556DC68A"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Component total</w:t>
            </w:r>
          </w:p>
        </w:tc>
        <w:tc>
          <w:tcPr>
            <w:tcW w:w="1620" w:type="dxa"/>
            <w:tcBorders>
              <w:top w:val="single" w:sz="4" w:space="0" w:color="auto"/>
              <w:bottom w:val="single" w:sz="4" w:space="0" w:color="auto"/>
            </w:tcBorders>
            <w:shd w:val="clear" w:color="auto" w:fill="auto"/>
            <w:noWrap/>
            <w:hideMark/>
          </w:tcPr>
          <w:p w14:paraId="6F667FDC" w14:textId="77777777" w:rsidR="0023336D" w:rsidRPr="00C90FBC" w:rsidRDefault="0023336D" w:rsidP="008E185F">
            <w:pPr>
              <w:pStyle w:val="Normal-pool"/>
              <w:spacing w:before="40" w:after="40"/>
              <w:jc w:val="right"/>
              <w:rPr>
                <w:b/>
                <w:bCs/>
                <w:sz w:val="18"/>
                <w:szCs w:val="18"/>
                <w:lang w:val="en-GB"/>
              </w:rPr>
            </w:pPr>
            <w:r w:rsidRPr="00C90FBC">
              <w:rPr>
                <w:sz w:val="18"/>
                <w:szCs w:val="18"/>
                <w:lang w:val="en-GB"/>
              </w:rPr>
              <w:t>–</w:t>
            </w:r>
          </w:p>
        </w:tc>
        <w:tc>
          <w:tcPr>
            <w:tcW w:w="1756" w:type="dxa"/>
            <w:tcBorders>
              <w:top w:val="single" w:sz="4" w:space="0" w:color="auto"/>
              <w:bottom w:val="single" w:sz="4" w:space="0" w:color="auto"/>
            </w:tcBorders>
            <w:shd w:val="clear" w:color="auto" w:fill="auto"/>
            <w:noWrap/>
            <w:hideMark/>
          </w:tcPr>
          <w:p w14:paraId="4A44120F" w14:textId="77777777" w:rsidR="0023336D" w:rsidRPr="00C90FBC" w:rsidRDefault="0023336D" w:rsidP="008E185F">
            <w:pPr>
              <w:pStyle w:val="Normal-pool"/>
              <w:spacing w:before="40" w:after="40"/>
              <w:jc w:val="right"/>
              <w:rPr>
                <w:b/>
                <w:bCs/>
                <w:sz w:val="18"/>
                <w:szCs w:val="18"/>
                <w:lang w:val="en-GB"/>
              </w:rPr>
            </w:pPr>
            <w:r w:rsidRPr="00C90FBC">
              <w:rPr>
                <w:sz w:val="18"/>
                <w:szCs w:val="18"/>
                <w:lang w:val="en-GB"/>
              </w:rPr>
              <w:t>–</w:t>
            </w:r>
          </w:p>
        </w:tc>
      </w:tr>
      <w:tr w:rsidR="0023336D" w:rsidRPr="00C90FBC" w14:paraId="3E21617F"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AF22BF9"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2</w:t>
            </w:r>
          </w:p>
        </w:tc>
        <w:tc>
          <w:tcPr>
            <w:tcW w:w="4680" w:type="dxa"/>
            <w:tcBorders>
              <w:top w:val="single" w:sz="4" w:space="0" w:color="auto"/>
              <w:bottom w:val="single" w:sz="4" w:space="0" w:color="auto"/>
            </w:tcBorders>
            <w:shd w:val="clear" w:color="auto" w:fill="auto"/>
            <w:noWrap/>
            <w:hideMark/>
          </w:tcPr>
          <w:p w14:paraId="278DAE79"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Bureau of the Conference of the Parties</w:t>
            </w:r>
          </w:p>
        </w:tc>
        <w:tc>
          <w:tcPr>
            <w:tcW w:w="1620" w:type="dxa"/>
            <w:tcBorders>
              <w:top w:val="single" w:sz="4" w:space="0" w:color="auto"/>
              <w:bottom w:val="single" w:sz="4" w:space="0" w:color="auto"/>
            </w:tcBorders>
            <w:shd w:val="clear" w:color="auto" w:fill="auto"/>
            <w:noWrap/>
            <w:hideMark/>
          </w:tcPr>
          <w:p w14:paraId="016B2896" w14:textId="77777777" w:rsidR="0023336D" w:rsidRPr="00C90FBC" w:rsidRDefault="0023336D" w:rsidP="008E185F">
            <w:pPr>
              <w:pStyle w:val="Normal-pool"/>
              <w:spacing w:before="40" w:after="40"/>
              <w:jc w:val="right"/>
              <w:rPr>
                <w:rFonts w:eastAsia="Times New Roman"/>
                <w:color w:val="000000"/>
                <w:sz w:val="18"/>
                <w:szCs w:val="18"/>
                <w:lang w:val="en-GB"/>
              </w:rPr>
            </w:pPr>
          </w:p>
        </w:tc>
        <w:tc>
          <w:tcPr>
            <w:tcW w:w="1756" w:type="dxa"/>
            <w:tcBorders>
              <w:top w:val="single" w:sz="4" w:space="0" w:color="auto"/>
              <w:bottom w:val="single" w:sz="4" w:space="0" w:color="auto"/>
            </w:tcBorders>
            <w:shd w:val="clear" w:color="auto" w:fill="auto"/>
            <w:noWrap/>
            <w:hideMark/>
          </w:tcPr>
          <w:p w14:paraId="0700A0B1" w14:textId="77777777" w:rsidR="0023336D" w:rsidRPr="00C90FBC" w:rsidRDefault="0023336D" w:rsidP="008E185F">
            <w:pPr>
              <w:pStyle w:val="Normal-pool"/>
              <w:spacing w:before="40" w:after="40"/>
              <w:jc w:val="right"/>
              <w:rPr>
                <w:rFonts w:eastAsia="Times New Roman"/>
                <w:color w:val="000000"/>
                <w:sz w:val="18"/>
                <w:szCs w:val="18"/>
                <w:lang w:val="en-GB"/>
              </w:rPr>
            </w:pPr>
          </w:p>
        </w:tc>
      </w:tr>
      <w:tr w:rsidR="0023336D" w:rsidRPr="00C90FBC" w14:paraId="48AB4CB6"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1A61726"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single" w:sz="4" w:space="0" w:color="auto"/>
              <w:bottom w:val="single" w:sz="4" w:space="0" w:color="auto"/>
            </w:tcBorders>
            <w:shd w:val="clear" w:color="auto" w:fill="auto"/>
            <w:noWrap/>
            <w:hideMark/>
          </w:tcPr>
          <w:p w14:paraId="7BD2CC0A" w14:textId="77777777" w:rsidR="0023336D" w:rsidRPr="00C90FBC" w:rsidRDefault="0023336D" w:rsidP="008E185F">
            <w:pPr>
              <w:pStyle w:val="Normal-pool"/>
              <w:spacing w:before="40" w:after="40"/>
              <w:rPr>
                <w:sz w:val="18"/>
                <w:szCs w:val="18"/>
                <w:lang w:val="en-GB"/>
              </w:rPr>
            </w:pPr>
            <w:r w:rsidRPr="00C90FBC">
              <w:rPr>
                <w:sz w:val="18"/>
                <w:szCs w:val="18"/>
                <w:lang w:val="en-GB"/>
              </w:rPr>
              <w:t>2.1 Meeting of the Bureau</w:t>
            </w:r>
          </w:p>
        </w:tc>
        <w:tc>
          <w:tcPr>
            <w:tcW w:w="1620" w:type="dxa"/>
            <w:tcBorders>
              <w:top w:val="single" w:sz="4" w:space="0" w:color="auto"/>
              <w:bottom w:val="single" w:sz="4" w:space="0" w:color="auto"/>
            </w:tcBorders>
            <w:shd w:val="clear" w:color="auto" w:fill="auto"/>
            <w:noWrap/>
            <w:hideMark/>
          </w:tcPr>
          <w:p w14:paraId="60EAA786"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single" w:sz="4" w:space="0" w:color="auto"/>
              <w:bottom w:val="single" w:sz="4" w:space="0" w:color="auto"/>
            </w:tcBorders>
            <w:shd w:val="clear" w:color="auto" w:fill="auto"/>
            <w:noWrap/>
            <w:hideMark/>
          </w:tcPr>
          <w:p w14:paraId="25299E51"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1CE8201F"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EAAC04D"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 </w:t>
            </w:r>
          </w:p>
        </w:tc>
        <w:tc>
          <w:tcPr>
            <w:tcW w:w="4680" w:type="dxa"/>
            <w:tcBorders>
              <w:top w:val="single" w:sz="4" w:space="0" w:color="auto"/>
              <w:bottom w:val="single" w:sz="4" w:space="0" w:color="auto"/>
            </w:tcBorders>
            <w:shd w:val="clear" w:color="auto" w:fill="auto"/>
            <w:noWrap/>
            <w:hideMark/>
          </w:tcPr>
          <w:p w14:paraId="27A0302D"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Component total</w:t>
            </w:r>
          </w:p>
        </w:tc>
        <w:tc>
          <w:tcPr>
            <w:tcW w:w="1620" w:type="dxa"/>
            <w:tcBorders>
              <w:top w:val="single" w:sz="4" w:space="0" w:color="auto"/>
              <w:bottom w:val="single" w:sz="4" w:space="0" w:color="auto"/>
            </w:tcBorders>
            <w:shd w:val="clear" w:color="auto" w:fill="auto"/>
            <w:noWrap/>
            <w:hideMark/>
          </w:tcPr>
          <w:p w14:paraId="4764FEE5" w14:textId="77777777" w:rsidR="0023336D" w:rsidRPr="00C90FBC" w:rsidRDefault="0023336D" w:rsidP="008E185F">
            <w:pPr>
              <w:pStyle w:val="Normal-pool"/>
              <w:spacing w:before="40" w:after="40"/>
              <w:jc w:val="right"/>
              <w:rPr>
                <w:rFonts w:eastAsia="Times New Roman"/>
                <w:b/>
                <w:bCs/>
                <w:color w:val="000000"/>
                <w:sz w:val="18"/>
                <w:szCs w:val="18"/>
                <w:lang w:val="en-GB"/>
              </w:rPr>
            </w:pPr>
            <w:r w:rsidRPr="00C90FBC">
              <w:rPr>
                <w:sz w:val="18"/>
                <w:szCs w:val="18"/>
                <w:lang w:val="en-GB"/>
              </w:rPr>
              <w:t>–</w:t>
            </w:r>
          </w:p>
        </w:tc>
        <w:tc>
          <w:tcPr>
            <w:tcW w:w="1756" w:type="dxa"/>
            <w:tcBorders>
              <w:top w:val="single" w:sz="4" w:space="0" w:color="auto"/>
              <w:bottom w:val="single" w:sz="4" w:space="0" w:color="auto"/>
            </w:tcBorders>
            <w:shd w:val="clear" w:color="auto" w:fill="auto"/>
            <w:noWrap/>
            <w:hideMark/>
          </w:tcPr>
          <w:p w14:paraId="08937B26" w14:textId="77777777" w:rsidR="0023336D" w:rsidRPr="00C90FBC" w:rsidRDefault="0023336D" w:rsidP="008E185F">
            <w:pPr>
              <w:pStyle w:val="Normal-pool"/>
              <w:spacing w:before="40" w:after="40"/>
              <w:jc w:val="right"/>
              <w:rPr>
                <w:rFonts w:eastAsia="Times New Roman"/>
                <w:b/>
                <w:bCs/>
                <w:color w:val="000000"/>
                <w:sz w:val="18"/>
                <w:szCs w:val="18"/>
                <w:lang w:val="en-GB"/>
              </w:rPr>
            </w:pPr>
            <w:r w:rsidRPr="00C90FBC">
              <w:rPr>
                <w:sz w:val="18"/>
                <w:szCs w:val="18"/>
                <w:lang w:val="en-GB"/>
              </w:rPr>
              <w:t>–</w:t>
            </w:r>
          </w:p>
        </w:tc>
      </w:tr>
      <w:tr w:rsidR="0023336D" w:rsidRPr="00C90FBC" w14:paraId="4F2EA69F" w14:textId="77777777" w:rsidTr="008E185F">
        <w:trPr>
          <w:trHeight w:val="57"/>
          <w:jc w:val="right"/>
        </w:trPr>
        <w:tc>
          <w:tcPr>
            <w:tcW w:w="1440" w:type="dxa"/>
            <w:tcBorders>
              <w:top w:val="single" w:sz="4" w:space="0" w:color="auto"/>
            </w:tcBorders>
            <w:shd w:val="clear" w:color="auto" w:fill="auto"/>
            <w:noWrap/>
            <w:hideMark/>
          </w:tcPr>
          <w:p w14:paraId="10250B66"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3</w:t>
            </w:r>
          </w:p>
        </w:tc>
        <w:tc>
          <w:tcPr>
            <w:tcW w:w="4680" w:type="dxa"/>
            <w:tcBorders>
              <w:top w:val="single" w:sz="4" w:space="0" w:color="auto"/>
            </w:tcBorders>
            <w:shd w:val="clear" w:color="auto" w:fill="auto"/>
            <w:noWrap/>
            <w:hideMark/>
          </w:tcPr>
          <w:p w14:paraId="7832FC20"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Implementation and Compliance Committee</w:t>
            </w:r>
          </w:p>
        </w:tc>
        <w:tc>
          <w:tcPr>
            <w:tcW w:w="1620" w:type="dxa"/>
            <w:tcBorders>
              <w:top w:val="single" w:sz="4" w:space="0" w:color="auto"/>
            </w:tcBorders>
            <w:shd w:val="clear" w:color="auto" w:fill="auto"/>
            <w:noWrap/>
            <w:hideMark/>
          </w:tcPr>
          <w:p w14:paraId="56FF610B" w14:textId="77777777" w:rsidR="0023336D" w:rsidRPr="00C90FBC" w:rsidRDefault="0023336D" w:rsidP="008E185F">
            <w:pPr>
              <w:pStyle w:val="Normal-pool"/>
              <w:spacing w:before="40" w:after="40"/>
              <w:jc w:val="right"/>
              <w:rPr>
                <w:rFonts w:eastAsia="Times New Roman"/>
                <w:color w:val="000000"/>
                <w:sz w:val="18"/>
                <w:szCs w:val="18"/>
                <w:lang w:val="en-GB"/>
              </w:rPr>
            </w:pPr>
          </w:p>
        </w:tc>
        <w:tc>
          <w:tcPr>
            <w:tcW w:w="1756" w:type="dxa"/>
            <w:tcBorders>
              <w:top w:val="single" w:sz="4" w:space="0" w:color="auto"/>
            </w:tcBorders>
            <w:shd w:val="clear" w:color="auto" w:fill="auto"/>
            <w:noWrap/>
            <w:hideMark/>
          </w:tcPr>
          <w:p w14:paraId="1E3AC1EF" w14:textId="77777777" w:rsidR="0023336D" w:rsidRPr="00C90FBC" w:rsidRDefault="0023336D" w:rsidP="008E185F">
            <w:pPr>
              <w:pStyle w:val="Normal-pool"/>
              <w:spacing w:before="40" w:after="40"/>
              <w:jc w:val="right"/>
              <w:rPr>
                <w:rFonts w:eastAsia="Times New Roman"/>
                <w:color w:val="000000"/>
                <w:sz w:val="18"/>
                <w:szCs w:val="18"/>
                <w:lang w:val="en-GB"/>
              </w:rPr>
            </w:pPr>
          </w:p>
        </w:tc>
      </w:tr>
      <w:tr w:rsidR="0023336D" w:rsidRPr="00C90FBC" w14:paraId="2DAE63A6" w14:textId="77777777" w:rsidTr="008E185F">
        <w:trPr>
          <w:trHeight w:val="57"/>
          <w:jc w:val="right"/>
        </w:trPr>
        <w:tc>
          <w:tcPr>
            <w:tcW w:w="1440" w:type="dxa"/>
            <w:tcBorders>
              <w:top w:val="nil"/>
              <w:bottom w:val="single" w:sz="4" w:space="0" w:color="auto"/>
            </w:tcBorders>
            <w:shd w:val="clear" w:color="auto" w:fill="auto"/>
            <w:noWrap/>
            <w:hideMark/>
          </w:tcPr>
          <w:p w14:paraId="4BBAEF76"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bottom w:val="single" w:sz="4" w:space="0" w:color="auto"/>
            </w:tcBorders>
            <w:shd w:val="clear" w:color="auto" w:fill="auto"/>
            <w:noWrap/>
            <w:hideMark/>
          </w:tcPr>
          <w:p w14:paraId="5D816991" w14:textId="77777777" w:rsidR="0023336D" w:rsidRPr="00C90FBC" w:rsidRDefault="0023336D" w:rsidP="008E185F">
            <w:pPr>
              <w:pStyle w:val="Normal-pool"/>
              <w:spacing w:before="40" w:after="40"/>
              <w:rPr>
                <w:sz w:val="18"/>
                <w:szCs w:val="18"/>
                <w:lang w:val="en-GB"/>
              </w:rPr>
            </w:pPr>
            <w:r w:rsidRPr="00C90FBC">
              <w:rPr>
                <w:sz w:val="18"/>
                <w:szCs w:val="18"/>
                <w:lang w:val="en-GB"/>
              </w:rPr>
              <w:t>3.1 Meeting of the Committee</w:t>
            </w:r>
          </w:p>
        </w:tc>
        <w:tc>
          <w:tcPr>
            <w:tcW w:w="1620" w:type="dxa"/>
            <w:tcBorders>
              <w:top w:val="nil"/>
              <w:bottom w:val="single" w:sz="4" w:space="0" w:color="auto"/>
            </w:tcBorders>
            <w:shd w:val="clear" w:color="auto" w:fill="auto"/>
            <w:noWrap/>
            <w:hideMark/>
          </w:tcPr>
          <w:p w14:paraId="48BBC880"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bottom w:val="single" w:sz="4" w:space="0" w:color="auto"/>
            </w:tcBorders>
            <w:shd w:val="clear" w:color="auto" w:fill="auto"/>
            <w:noWrap/>
            <w:hideMark/>
          </w:tcPr>
          <w:p w14:paraId="6707B4C2"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49D539DB"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631A3BC"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 </w:t>
            </w:r>
          </w:p>
        </w:tc>
        <w:tc>
          <w:tcPr>
            <w:tcW w:w="4680" w:type="dxa"/>
            <w:tcBorders>
              <w:top w:val="single" w:sz="4" w:space="0" w:color="auto"/>
              <w:bottom w:val="single" w:sz="4" w:space="0" w:color="auto"/>
            </w:tcBorders>
            <w:shd w:val="clear" w:color="auto" w:fill="auto"/>
            <w:noWrap/>
            <w:hideMark/>
          </w:tcPr>
          <w:p w14:paraId="09632144"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Component total</w:t>
            </w:r>
          </w:p>
        </w:tc>
        <w:tc>
          <w:tcPr>
            <w:tcW w:w="1620" w:type="dxa"/>
            <w:tcBorders>
              <w:top w:val="single" w:sz="4" w:space="0" w:color="auto"/>
              <w:bottom w:val="single" w:sz="4" w:space="0" w:color="auto"/>
            </w:tcBorders>
            <w:shd w:val="clear" w:color="auto" w:fill="auto"/>
            <w:noWrap/>
            <w:hideMark/>
          </w:tcPr>
          <w:p w14:paraId="3AFFE97F" w14:textId="77777777" w:rsidR="0023336D" w:rsidRPr="00C90FBC" w:rsidRDefault="0023336D" w:rsidP="008E185F">
            <w:pPr>
              <w:pStyle w:val="Normal-pool"/>
              <w:spacing w:before="40" w:after="40"/>
              <w:jc w:val="right"/>
              <w:rPr>
                <w:rFonts w:eastAsia="Times New Roman"/>
                <w:b/>
                <w:bCs/>
                <w:color w:val="000000"/>
                <w:sz w:val="18"/>
                <w:szCs w:val="18"/>
                <w:lang w:val="en-GB"/>
              </w:rPr>
            </w:pPr>
            <w:r w:rsidRPr="00C90FBC">
              <w:rPr>
                <w:sz w:val="18"/>
                <w:szCs w:val="18"/>
                <w:lang w:val="en-GB"/>
              </w:rPr>
              <w:t>–</w:t>
            </w:r>
          </w:p>
        </w:tc>
        <w:tc>
          <w:tcPr>
            <w:tcW w:w="1756" w:type="dxa"/>
            <w:tcBorders>
              <w:top w:val="single" w:sz="4" w:space="0" w:color="auto"/>
              <w:bottom w:val="single" w:sz="4" w:space="0" w:color="auto"/>
            </w:tcBorders>
            <w:shd w:val="clear" w:color="auto" w:fill="auto"/>
            <w:noWrap/>
            <w:hideMark/>
          </w:tcPr>
          <w:p w14:paraId="06AD8508" w14:textId="77777777" w:rsidR="0023336D" w:rsidRPr="00C90FBC" w:rsidRDefault="0023336D" w:rsidP="008E185F">
            <w:pPr>
              <w:pStyle w:val="Normal-pool"/>
              <w:spacing w:before="40" w:after="40"/>
              <w:jc w:val="right"/>
              <w:rPr>
                <w:rFonts w:eastAsia="Times New Roman"/>
                <w:b/>
                <w:bCs/>
                <w:color w:val="000000"/>
                <w:sz w:val="18"/>
                <w:szCs w:val="18"/>
                <w:lang w:val="en-GB"/>
              </w:rPr>
            </w:pPr>
            <w:r w:rsidRPr="00C90FBC">
              <w:rPr>
                <w:sz w:val="18"/>
                <w:szCs w:val="18"/>
                <w:lang w:val="en-GB"/>
              </w:rPr>
              <w:t>–</w:t>
            </w:r>
          </w:p>
        </w:tc>
      </w:tr>
      <w:tr w:rsidR="0023336D" w:rsidRPr="00C90FBC" w14:paraId="2836D2A5"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4195802"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 </w:t>
            </w:r>
          </w:p>
        </w:tc>
        <w:tc>
          <w:tcPr>
            <w:tcW w:w="4680" w:type="dxa"/>
            <w:tcBorders>
              <w:top w:val="single" w:sz="4" w:space="0" w:color="auto"/>
              <w:bottom w:val="single" w:sz="4" w:space="0" w:color="auto"/>
            </w:tcBorders>
            <w:shd w:val="clear" w:color="auto" w:fill="auto"/>
            <w:noWrap/>
            <w:hideMark/>
          </w:tcPr>
          <w:p w14:paraId="2B520936"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Total (A)</w:t>
            </w:r>
          </w:p>
        </w:tc>
        <w:tc>
          <w:tcPr>
            <w:tcW w:w="1620" w:type="dxa"/>
            <w:tcBorders>
              <w:top w:val="single" w:sz="4" w:space="0" w:color="auto"/>
              <w:bottom w:val="single" w:sz="4" w:space="0" w:color="auto"/>
            </w:tcBorders>
            <w:shd w:val="clear" w:color="auto" w:fill="auto"/>
            <w:noWrap/>
            <w:hideMark/>
          </w:tcPr>
          <w:p w14:paraId="05383736" w14:textId="77777777" w:rsidR="0023336D" w:rsidRPr="00C90FBC" w:rsidRDefault="0023336D" w:rsidP="008E185F">
            <w:pPr>
              <w:pStyle w:val="Normal-pool"/>
              <w:spacing w:before="40" w:after="40"/>
              <w:jc w:val="right"/>
              <w:rPr>
                <w:rFonts w:eastAsia="Times New Roman"/>
                <w:b/>
                <w:bCs/>
                <w:color w:val="000000"/>
                <w:sz w:val="18"/>
                <w:szCs w:val="18"/>
                <w:lang w:val="en-GB"/>
              </w:rPr>
            </w:pPr>
            <w:r w:rsidRPr="00C90FBC">
              <w:rPr>
                <w:sz w:val="18"/>
                <w:szCs w:val="18"/>
                <w:lang w:val="en-GB"/>
              </w:rPr>
              <w:t>–</w:t>
            </w:r>
          </w:p>
        </w:tc>
        <w:tc>
          <w:tcPr>
            <w:tcW w:w="1756" w:type="dxa"/>
            <w:tcBorders>
              <w:top w:val="single" w:sz="4" w:space="0" w:color="auto"/>
              <w:bottom w:val="single" w:sz="4" w:space="0" w:color="auto"/>
            </w:tcBorders>
            <w:shd w:val="clear" w:color="auto" w:fill="auto"/>
            <w:noWrap/>
            <w:hideMark/>
          </w:tcPr>
          <w:p w14:paraId="58AAB6E2" w14:textId="77777777" w:rsidR="0023336D" w:rsidRPr="00C90FBC" w:rsidRDefault="0023336D" w:rsidP="008E185F">
            <w:pPr>
              <w:pStyle w:val="Normal-pool"/>
              <w:spacing w:before="40" w:after="40"/>
              <w:jc w:val="right"/>
              <w:rPr>
                <w:rFonts w:eastAsia="Times New Roman"/>
                <w:b/>
                <w:bCs/>
                <w:color w:val="000000"/>
                <w:sz w:val="18"/>
                <w:szCs w:val="18"/>
                <w:lang w:val="en-GB"/>
              </w:rPr>
            </w:pPr>
            <w:r w:rsidRPr="00C90FBC">
              <w:rPr>
                <w:sz w:val="18"/>
                <w:szCs w:val="18"/>
                <w:lang w:val="en-GB"/>
              </w:rPr>
              <w:t>–</w:t>
            </w:r>
          </w:p>
        </w:tc>
      </w:tr>
      <w:tr w:rsidR="0023336D" w:rsidRPr="00C90FBC" w14:paraId="0677813D"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A3BD5E9"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B.</w:t>
            </w:r>
          </w:p>
        </w:tc>
        <w:tc>
          <w:tcPr>
            <w:tcW w:w="4680" w:type="dxa"/>
            <w:tcBorders>
              <w:top w:val="single" w:sz="4" w:space="0" w:color="auto"/>
              <w:bottom w:val="single" w:sz="4" w:space="0" w:color="auto"/>
            </w:tcBorders>
            <w:shd w:val="clear" w:color="auto" w:fill="auto"/>
            <w:noWrap/>
            <w:hideMark/>
          </w:tcPr>
          <w:p w14:paraId="448A40E8"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Capacity-building and technical assistance</w:t>
            </w:r>
          </w:p>
        </w:tc>
        <w:tc>
          <w:tcPr>
            <w:tcW w:w="1620" w:type="dxa"/>
            <w:tcBorders>
              <w:top w:val="single" w:sz="4" w:space="0" w:color="auto"/>
              <w:bottom w:val="single" w:sz="4" w:space="0" w:color="auto"/>
            </w:tcBorders>
            <w:shd w:val="clear" w:color="auto" w:fill="auto"/>
            <w:noWrap/>
            <w:hideMark/>
          </w:tcPr>
          <w:p w14:paraId="06E8E864" w14:textId="77777777" w:rsidR="0023336D" w:rsidRPr="00C90FBC" w:rsidRDefault="0023336D" w:rsidP="008E185F">
            <w:pPr>
              <w:pStyle w:val="Normal-pool"/>
              <w:spacing w:before="40" w:after="40"/>
              <w:jc w:val="right"/>
              <w:rPr>
                <w:b/>
                <w:bCs/>
                <w:sz w:val="18"/>
                <w:szCs w:val="18"/>
                <w:lang w:val="en-GB"/>
              </w:rPr>
            </w:pPr>
          </w:p>
        </w:tc>
        <w:tc>
          <w:tcPr>
            <w:tcW w:w="1756" w:type="dxa"/>
            <w:tcBorders>
              <w:top w:val="single" w:sz="4" w:space="0" w:color="auto"/>
              <w:bottom w:val="single" w:sz="4" w:space="0" w:color="auto"/>
            </w:tcBorders>
            <w:shd w:val="clear" w:color="auto" w:fill="auto"/>
            <w:noWrap/>
            <w:hideMark/>
          </w:tcPr>
          <w:p w14:paraId="3027EB38" w14:textId="77777777" w:rsidR="0023336D" w:rsidRPr="00C90FBC" w:rsidRDefault="0023336D" w:rsidP="008E185F">
            <w:pPr>
              <w:pStyle w:val="Normal-pool"/>
              <w:spacing w:before="40" w:after="40"/>
              <w:jc w:val="right"/>
              <w:rPr>
                <w:b/>
                <w:bCs/>
                <w:sz w:val="18"/>
                <w:szCs w:val="18"/>
                <w:lang w:val="en-GB"/>
              </w:rPr>
            </w:pPr>
          </w:p>
        </w:tc>
      </w:tr>
      <w:tr w:rsidR="0023336D" w:rsidRPr="00C90FBC" w14:paraId="7979816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1A5B5FC"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4</w:t>
            </w:r>
          </w:p>
        </w:tc>
        <w:tc>
          <w:tcPr>
            <w:tcW w:w="4680" w:type="dxa"/>
            <w:tcBorders>
              <w:top w:val="single" w:sz="4" w:space="0" w:color="auto"/>
              <w:bottom w:val="single" w:sz="4" w:space="0" w:color="auto"/>
            </w:tcBorders>
            <w:shd w:val="clear" w:color="auto" w:fill="auto"/>
            <w:noWrap/>
            <w:hideMark/>
          </w:tcPr>
          <w:p w14:paraId="3D43608F"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Capacity-building and technical assistance programme of the Minamata Convention</w:t>
            </w:r>
          </w:p>
        </w:tc>
        <w:tc>
          <w:tcPr>
            <w:tcW w:w="1620" w:type="dxa"/>
            <w:tcBorders>
              <w:top w:val="single" w:sz="4" w:space="0" w:color="auto"/>
              <w:bottom w:val="single" w:sz="4" w:space="0" w:color="auto"/>
            </w:tcBorders>
            <w:shd w:val="clear" w:color="auto" w:fill="auto"/>
            <w:noWrap/>
            <w:hideMark/>
          </w:tcPr>
          <w:p w14:paraId="5CDC29E3" w14:textId="77777777" w:rsidR="0023336D" w:rsidRPr="00C90FBC" w:rsidRDefault="0023336D" w:rsidP="008E185F">
            <w:pPr>
              <w:pStyle w:val="Normal-pool"/>
              <w:spacing w:before="40" w:after="40"/>
              <w:jc w:val="right"/>
              <w:rPr>
                <w:b/>
                <w:bCs/>
                <w:sz w:val="18"/>
                <w:szCs w:val="18"/>
                <w:lang w:val="en-GB"/>
              </w:rPr>
            </w:pPr>
          </w:p>
        </w:tc>
        <w:tc>
          <w:tcPr>
            <w:tcW w:w="1756" w:type="dxa"/>
            <w:tcBorders>
              <w:top w:val="single" w:sz="4" w:space="0" w:color="auto"/>
              <w:bottom w:val="single" w:sz="4" w:space="0" w:color="auto"/>
            </w:tcBorders>
            <w:shd w:val="clear" w:color="auto" w:fill="auto"/>
            <w:noWrap/>
            <w:hideMark/>
          </w:tcPr>
          <w:p w14:paraId="053FBE70" w14:textId="77777777" w:rsidR="0023336D" w:rsidRPr="00C90FBC" w:rsidRDefault="0023336D" w:rsidP="008E185F">
            <w:pPr>
              <w:pStyle w:val="Normal-pool"/>
              <w:spacing w:before="40" w:after="40"/>
              <w:jc w:val="right"/>
              <w:rPr>
                <w:b/>
                <w:bCs/>
                <w:sz w:val="18"/>
                <w:szCs w:val="18"/>
                <w:lang w:val="en-GB"/>
              </w:rPr>
            </w:pPr>
          </w:p>
        </w:tc>
      </w:tr>
      <w:tr w:rsidR="0023336D" w:rsidRPr="00C90FBC" w14:paraId="5CFDB0D2" w14:textId="77777777" w:rsidTr="008E185F">
        <w:trPr>
          <w:trHeight w:val="57"/>
          <w:jc w:val="right"/>
        </w:trPr>
        <w:tc>
          <w:tcPr>
            <w:tcW w:w="1440" w:type="dxa"/>
            <w:tcBorders>
              <w:top w:val="single" w:sz="4" w:space="0" w:color="auto"/>
            </w:tcBorders>
            <w:shd w:val="clear" w:color="auto" w:fill="auto"/>
            <w:noWrap/>
            <w:hideMark/>
          </w:tcPr>
          <w:p w14:paraId="45669839"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single" w:sz="4" w:space="0" w:color="auto"/>
            </w:tcBorders>
            <w:shd w:val="clear" w:color="auto" w:fill="auto"/>
            <w:noWrap/>
            <w:hideMark/>
          </w:tcPr>
          <w:p w14:paraId="0BEA9EF2" w14:textId="77777777" w:rsidR="0023336D" w:rsidRPr="00C90FBC" w:rsidRDefault="0023336D" w:rsidP="008E185F">
            <w:pPr>
              <w:pStyle w:val="Normal-pool"/>
              <w:spacing w:before="40" w:after="40"/>
              <w:rPr>
                <w:sz w:val="18"/>
                <w:szCs w:val="18"/>
                <w:lang w:val="en-GB"/>
              </w:rPr>
            </w:pPr>
            <w:r w:rsidRPr="00C90FBC">
              <w:rPr>
                <w:sz w:val="18"/>
                <w:szCs w:val="18"/>
                <w:lang w:val="en-GB"/>
              </w:rPr>
              <w:t xml:space="preserve">4.1 Tools, </w:t>
            </w:r>
            <w:proofErr w:type="gramStart"/>
            <w:r w:rsidRPr="00C90FBC">
              <w:rPr>
                <w:sz w:val="18"/>
                <w:szCs w:val="18"/>
                <w:lang w:val="en-GB"/>
              </w:rPr>
              <w:t>methodologies</w:t>
            </w:r>
            <w:proofErr w:type="gramEnd"/>
            <w:r w:rsidRPr="00C90FBC">
              <w:rPr>
                <w:sz w:val="18"/>
                <w:szCs w:val="18"/>
                <w:lang w:val="en-GB"/>
              </w:rPr>
              <w:t xml:space="preserve"> and delivery modalities</w:t>
            </w:r>
          </w:p>
        </w:tc>
        <w:tc>
          <w:tcPr>
            <w:tcW w:w="1620" w:type="dxa"/>
            <w:tcBorders>
              <w:top w:val="single" w:sz="4" w:space="0" w:color="auto"/>
            </w:tcBorders>
            <w:shd w:val="clear" w:color="auto" w:fill="auto"/>
            <w:noWrap/>
            <w:hideMark/>
          </w:tcPr>
          <w:p w14:paraId="42E07465"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single" w:sz="4" w:space="0" w:color="auto"/>
            </w:tcBorders>
            <w:shd w:val="clear" w:color="auto" w:fill="auto"/>
            <w:noWrap/>
            <w:hideMark/>
          </w:tcPr>
          <w:p w14:paraId="37DE0F4C"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175 000</w:t>
            </w:r>
          </w:p>
        </w:tc>
      </w:tr>
      <w:tr w:rsidR="0023336D" w:rsidRPr="00C90FBC" w14:paraId="4CF61200" w14:textId="77777777" w:rsidTr="008E185F">
        <w:trPr>
          <w:trHeight w:val="57"/>
          <w:jc w:val="right"/>
        </w:trPr>
        <w:tc>
          <w:tcPr>
            <w:tcW w:w="1440" w:type="dxa"/>
            <w:tcBorders>
              <w:top w:val="nil"/>
            </w:tcBorders>
            <w:shd w:val="clear" w:color="auto" w:fill="auto"/>
            <w:noWrap/>
            <w:hideMark/>
          </w:tcPr>
          <w:p w14:paraId="0B755CCE"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tcBorders>
            <w:shd w:val="clear" w:color="auto" w:fill="auto"/>
            <w:noWrap/>
            <w:hideMark/>
          </w:tcPr>
          <w:p w14:paraId="30760F9F" w14:textId="77777777" w:rsidR="0023336D" w:rsidRPr="00C90FBC" w:rsidRDefault="0023336D" w:rsidP="008E185F">
            <w:pPr>
              <w:pStyle w:val="Normal-pool"/>
              <w:spacing w:before="40" w:after="40"/>
              <w:rPr>
                <w:sz w:val="18"/>
                <w:szCs w:val="18"/>
                <w:lang w:val="en-GB"/>
              </w:rPr>
            </w:pPr>
            <w:r w:rsidRPr="00C90FBC">
              <w:rPr>
                <w:sz w:val="18"/>
                <w:szCs w:val="18"/>
                <w:lang w:val="en-GB"/>
              </w:rPr>
              <w:t xml:space="preserve">4.2 Specific capacity development activities </w:t>
            </w:r>
          </w:p>
        </w:tc>
        <w:tc>
          <w:tcPr>
            <w:tcW w:w="1620" w:type="dxa"/>
            <w:tcBorders>
              <w:top w:val="nil"/>
            </w:tcBorders>
            <w:shd w:val="clear" w:color="auto" w:fill="auto"/>
            <w:noWrap/>
            <w:hideMark/>
          </w:tcPr>
          <w:p w14:paraId="3C4216DC"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tcBorders>
            <w:shd w:val="clear" w:color="auto" w:fill="auto"/>
            <w:noWrap/>
            <w:hideMark/>
          </w:tcPr>
          <w:p w14:paraId="4E73D66E"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275 000</w:t>
            </w:r>
          </w:p>
        </w:tc>
      </w:tr>
      <w:tr w:rsidR="0023336D" w:rsidRPr="00C90FBC" w14:paraId="0C76900A" w14:textId="77777777" w:rsidTr="008E185F">
        <w:trPr>
          <w:trHeight w:val="57"/>
          <w:jc w:val="right"/>
        </w:trPr>
        <w:tc>
          <w:tcPr>
            <w:tcW w:w="1440" w:type="dxa"/>
            <w:tcBorders>
              <w:top w:val="nil"/>
            </w:tcBorders>
            <w:shd w:val="clear" w:color="auto" w:fill="auto"/>
            <w:noWrap/>
            <w:hideMark/>
          </w:tcPr>
          <w:p w14:paraId="171D7440"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tcBorders>
            <w:shd w:val="clear" w:color="auto" w:fill="auto"/>
            <w:noWrap/>
            <w:hideMark/>
          </w:tcPr>
          <w:p w14:paraId="60018474" w14:textId="77777777" w:rsidR="0023336D" w:rsidRPr="00C90FBC" w:rsidRDefault="0023336D" w:rsidP="008E185F">
            <w:pPr>
              <w:pStyle w:val="Normal-pool"/>
              <w:spacing w:before="40" w:after="40"/>
              <w:rPr>
                <w:sz w:val="18"/>
                <w:szCs w:val="18"/>
                <w:lang w:val="en-GB"/>
              </w:rPr>
            </w:pPr>
            <w:r w:rsidRPr="00C90FBC">
              <w:rPr>
                <w:sz w:val="18"/>
                <w:szCs w:val="18"/>
                <w:lang w:val="en-GB"/>
              </w:rPr>
              <w:t>4.3 Capacity-building activities on request</w:t>
            </w:r>
          </w:p>
        </w:tc>
        <w:tc>
          <w:tcPr>
            <w:tcW w:w="1620" w:type="dxa"/>
            <w:tcBorders>
              <w:top w:val="nil"/>
            </w:tcBorders>
            <w:shd w:val="clear" w:color="auto" w:fill="auto"/>
            <w:noWrap/>
            <w:hideMark/>
          </w:tcPr>
          <w:p w14:paraId="354341BD"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tcBorders>
            <w:shd w:val="clear" w:color="auto" w:fill="auto"/>
            <w:noWrap/>
            <w:hideMark/>
          </w:tcPr>
          <w:p w14:paraId="703DC334"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70 000</w:t>
            </w:r>
          </w:p>
        </w:tc>
      </w:tr>
      <w:tr w:rsidR="0023336D" w:rsidRPr="00C90FBC" w14:paraId="2F865783" w14:textId="77777777" w:rsidTr="008E185F">
        <w:trPr>
          <w:trHeight w:val="57"/>
          <w:jc w:val="right"/>
        </w:trPr>
        <w:tc>
          <w:tcPr>
            <w:tcW w:w="1440" w:type="dxa"/>
            <w:tcBorders>
              <w:top w:val="nil"/>
              <w:bottom w:val="single" w:sz="4" w:space="0" w:color="auto"/>
            </w:tcBorders>
            <w:shd w:val="clear" w:color="auto" w:fill="auto"/>
            <w:noWrap/>
            <w:hideMark/>
          </w:tcPr>
          <w:p w14:paraId="3B8083B5"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bottom w:val="single" w:sz="4" w:space="0" w:color="auto"/>
            </w:tcBorders>
            <w:shd w:val="clear" w:color="auto" w:fill="auto"/>
            <w:noWrap/>
            <w:hideMark/>
          </w:tcPr>
          <w:p w14:paraId="4C4999CF" w14:textId="77777777" w:rsidR="0023336D" w:rsidRPr="00C90FBC" w:rsidRDefault="0023336D" w:rsidP="008E185F">
            <w:pPr>
              <w:pStyle w:val="Normal-pool"/>
              <w:spacing w:before="40" w:after="40"/>
              <w:rPr>
                <w:sz w:val="18"/>
                <w:szCs w:val="18"/>
                <w:lang w:val="en-GB"/>
              </w:rPr>
            </w:pPr>
            <w:r w:rsidRPr="00C90FBC">
              <w:rPr>
                <w:sz w:val="18"/>
                <w:szCs w:val="18"/>
                <w:lang w:val="en-GB"/>
              </w:rPr>
              <w:t>4.4 Cross-cutting activities</w:t>
            </w:r>
          </w:p>
        </w:tc>
        <w:tc>
          <w:tcPr>
            <w:tcW w:w="1620" w:type="dxa"/>
            <w:tcBorders>
              <w:top w:val="nil"/>
              <w:bottom w:val="single" w:sz="4" w:space="0" w:color="auto"/>
            </w:tcBorders>
            <w:shd w:val="clear" w:color="auto" w:fill="auto"/>
            <w:noWrap/>
            <w:hideMark/>
          </w:tcPr>
          <w:p w14:paraId="3E9E78FC"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bottom w:val="single" w:sz="4" w:space="0" w:color="auto"/>
            </w:tcBorders>
            <w:shd w:val="clear" w:color="auto" w:fill="auto"/>
            <w:noWrap/>
            <w:hideMark/>
          </w:tcPr>
          <w:p w14:paraId="60942CC4"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265 000</w:t>
            </w:r>
          </w:p>
        </w:tc>
      </w:tr>
      <w:tr w:rsidR="0023336D" w:rsidRPr="00C90FBC" w14:paraId="5BC95D26"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FD7FD2D"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2C189738"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Component total</w:t>
            </w:r>
          </w:p>
        </w:tc>
        <w:tc>
          <w:tcPr>
            <w:tcW w:w="1620" w:type="dxa"/>
            <w:tcBorders>
              <w:top w:val="single" w:sz="4" w:space="0" w:color="auto"/>
              <w:bottom w:val="single" w:sz="4" w:space="0" w:color="auto"/>
            </w:tcBorders>
            <w:shd w:val="clear" w:color="auto" w:fill="auto"/>
            <w:noWrap/>
            <w:hideMark/>
          </w:tcPr>
          <w:p w14:paraId="466DFA16" w14:textId="77777777" w:rsidR="0023336D" w:rsidRPr="00C90FBC" w:rsidRDefault="0023336D" w:rsidP="008E185F">
            <w:pPr>
              <w:pStyle w:val="Normal-pool"/>
              <w:spacing w:before="40" w:after="40"/>
              <w:jc w:val="right"/>
              <w:rPr>
                <w:b/>
                <w:bCs/>
                <w:sz w:val="18"/>
                <w:szCs w:val="18"/>
                <w:lang w:val="en-GB"/>
              </w:rPr>
            </w:pPr>
            <w:r w:rsidRPr="00C90FBC">
              <w:rPr>
                <w:sz w:val="18"/>
                <w:szCs w:val="18"/>
                <w:lang w:val="en-GB"/>
              </w:rPr>
              <w:t>–</w:t>
            </w:r>
          </w:p>
        </w:tc>
        <w:tc>
          <w:tcPr>
            <w:tcW w:w="1756" w:type="dxa"/>
            <w:tcBorders>
              <w:top w:val="single" w:sz="4" w:space="0" w:color="auto"/>
              <w:bottom w:val="single" w:sz="4" w:space="0" w:color="auto"/>
            </w:tcBorders>
            <w:shd w:val="clear" w:color="auto" w:fill="auto"/>
            <w:noWrap/>
            <w:hideMark/>
          </w:tcPr>
          <w:p w14:paraId="0420076C"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785 000</w:t>
            </w:r>
          </w:p>
        </w:tc>
      </w:tr>
      <w:tr w:rsidR="0023336D" w:rsidRPr="00C90FBC" w14:paraId="0AD46C2D"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7076D5E"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52FBA4EF"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Total (B)</w:t>
            </w:r>
          </w:p>
        </w:tc>
        <w:tc>
          <w:tcPr>
            <w:tcW w:w="1620" w:type="dxa"/>
            <w:tcBorders>
              <w:top w:val="single" w:sz="4" w:space="0" w:color="auto"/>
              <w:bottom w:val="single" w:sz="4" w:space="0" w:color="auto"/>
            </w:tcBorders>
            <w:shd w:val="clear" w:color="auto" w:fill="auto"/>
            <w:noWrap/>
            <w:hideMark/>
          </w:tcPr>
          <w:p w14:paraId="1AF35359" w14:textId="77777777" w:rsidR="0023336D" w:rsidRPr="00C90FBC" w:rsidRDefault="0023336D" w:rsidP="008E185F">
            <w:pPr>
              <w:pStyle w:val="Normal-pool"/>
              <w:spacing w:before="40" w:after="40"/>
              <w:jc w:val="right"/>
              <w:rPr>
                <w:b/>
                <w:bCs/>
                <w:sz w:val="18"/>
                <w:szCs w:val="18"/>
                <w:lang w:val="en-GB"/>
              </w:rPr>
            </w:pPr>
            <w:r w:rsidRPr="00C90FBC">
              <w:rPr>
                <w:sz w:val="18"/>
                <w:szCs w:val="18"/>
                <w:lang w:val="en-GB"/>
              </w:rPr>
              <w:t>–</w:t>
            </w:r>
          </w:p>
        </w:tc>
        <w:tc>
          <w:tcPr>
            <w:tcW w:w="1756" w:type="dxa"/>
            <w:tcBorders>
              <w:top w:val="single" w:sz="4" w:space="0" w:color="auto"/>
              <w:bottom w:val="single" w:sz="4" w:space="0" w:color="auto"/>
            </w:tcBorders>
            <w:shd w:val="clear" w:color="auto" w:fill="auto"/>
            <w:noWrap/>
            <w:hideMark/>
          </w:tcPr>
          <w:p w14:paraId="03D12DBD"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785 000</w:t>
            </w:r>
          </w:p>
        </w:tc>
      </w:tr>
      <w:tr w:rsidR="0023336D" w:rsidRPr="00C90FBC" w14:paraId="1C213621"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246BCE3"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C.</w:t>
            </w:r>
          </w:p>
        </w:tc>
        <w:tc>
          <w:tcPr>
            <w:tcW w:w="4680" w:type="dxa"/>
            <w:tcBorders>
              <w:top w:val="single" w:sz="4" w:space="0" w:color="auto"/>
              <w:bottom w:val="single" w:sz="4" w:space="0" w:color="auto"/>
            </w:tcBorders>
            <w:shd w:val="clear" w:color="auto" w:fill="auto"/>
            <w:noWrap/>
            <w:hideMark/>
          </w:tcPr>
          <w:p w14:paraId="3EC90F55"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Scientific and technical activities</w:t>
            </w:r>
          </w:p>
        </w:tc>
        <w:tc>
          <w:tcPr>
            <w:tcW w:w="1620" w:type="dxa"/>
            <w:tcBorders>
              <w:top w:val="single" w:sz="4" w:space="0" w:color="auto"/>
              <w:bottom w:val="single" w:sz="4" w:space="0" w:color="auto"/>
            </w:tcBorders>
            <w:shd w:val="clear" w:color="auto" w:fill="auto"/>
            <w:noWrap/>
            <w:hideMark/>
          </w:tcPr>
          <w:p w14:paraId="425DF291" w14:textId="77777777" w:rsidR="0023336D" w:rsidRPr="00C90FBC" w:rsidRDefault="0023336D" w:rsidP="008E185F">
            <w:pPr>
              <w:pStyle w:val="Normal-pool"/>
              <w:spacing w:before="40" w:after="40"/>
              <w:jc w:val="right"/>
              <w:rPr>
                <w:b/>
                <w:bCs/>
                <w:sz w:val="18"/>
                <w:szCs w:val="18"/>
                <w:lang w:val="en-GB"/>
              </w:rPr>
            </w:pPr>
          </w:p>
        </w:tc>
        <w:tc>
          <w:tcPr>
            <w:tcW w:w="1756" w:type="dxa"/>
            <w:tcBorders>
              <w:top w:val="single" w:sz="4" w:space="0" w:color="auto"/>
              <w:bottom w:val="single" w:sz="4" w:space="0" w:color="auto"/>
            </w:tcBorders>
            <w:shd w:val="clear" w:color="auto" w:fill="auto"/>
            <w:noWrap/>
            <w:hideMark/>
          </w:tcPr>
          <w:p w14:paraId="292F717B" w14:textId="77777777" w:rsidR="0023336D" w:rsidRPr="00C90FBC" w:rsidRDefault="0023336D" w:rsidP="008E185F">
            <w:pPr>
              <w:pStyle w:val="Normal-pool"/>
              <w:spacing w:before="40" w:after="40"/>
              <w:jc w:val="right"/>
              <w:rPr>
                <w:b/>
                <w:bCs/>
                <w:sz w:val="18"/>
                <w:szCs w:val="18"/>
                <w:lang w:val="en-GB"/>
              </w:rPr>
            </w:pPr>
          </w:p>
        </w:tc>
      </w:tr>
      <w:tr w:rsidR="0023336D" w:rsidRPr="00C90FBC" w14:paraId="0ABDE823" w14:textId="77777777" w:rsidTr="008E185F">
        <w:trPr>
          <w:trHeight w:val="57"/>
          <w:jc w:val="right"/>
        </w:trPr>
        <w:tc>
          <w:tcPr>
            <w:tcW w:w="1440" w:type="dxa"/>
            <w:tcBorders>
              <w:top w:val="single" w:sz="4" w:space="0" w:color="auto"/>
            </w:tcBorders>
            <w:shd w:val="clear" w:color="auto" w:fill="auto"/>
            <w:noWrap/>
            <w:hideMark/>
          </w:tcPr>
          <w:p w14:paraId="41265D8A"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5</w:t>
            </w:r>
          </w:p>
        </w:tc>
        <w:tc>
          <w:tcPr>
            <w:tcW w:w="4680" w:type="dxa"/>
            <w:tcBorders>
              <w:top w:val="single" w:sz="4" w:space="0" w:color="auto"/>
            </w:tcBorders>
            <w:shd w:val="clear" w:color="auto" w:fill="auto"/>
            <w:noWrap/>
            <w:hideMark/>
          </w:tcPr>
          <w:p w14:paraId="77DF50E5"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Scientific support to the States parties to the Minamata Convention</w:t>
            </w:r>
          </w:p>
        </w:tc>
        <w:tc>
          <w:tcPr>
            <w:tcW w:w="1620" w:type="dxa"/>
            <w:tcBorders>
              <w:top w:val="single" w:sz="4" w:space="0" w:color="auto"/>
            </w:tcBorders>
            <w:shd w:val="clear" w:color="auto" w:fill="auto"/>
            <w:noWrap/>
            <w:hideMark/>
          </w:tcPr>
          <w:p w14:paraId="4D2F5242" w14:textId="77777777" w:rsidR="0023336D" w:rsidRPr="00C90FBC" w:rsidRDefault="0023336D" w:rsidP="008E185F">
            <w:pPr>
              <w:pStyle w:val="Normal-pool"/>
              <w:spacing w:before="40" w:after="40"/>
              <w:jc w:val="right"/>
              <w:rPr>
                <w:b/>
                <w:bCs/>
                <w:sz w:val="18"/>
                <w:szCs w:val="18"/>
                <w:lang w:val="en-GB"/>
              </w:rPr>
            </w:pPr>
          </w:p>
        </w:tc>
        <w:tc>
          <w:tcPr>
            <w:tcW w:w="1756" w:type="dxa"/>
            <w:tcBorders>
              <w:top w:val="single" w:sz="4" w:space="0" w:color="auto"/>
            </w:tcBorders>
            <w:shd w:val="clear" w:color="auto" w:fill="auto"/>
            <w:noWrap/>
            <w:hideMark/>
          </w:tcPr>
          <w:p w14:paraId="2B738B90" w14:textId="77777777" w:rsidR="0023336D" w:rsidRPr="00C90FBC" w:rsidRDefault="0023336D" w:rsidP="008E185F">
            <w:pPr>
              <w:pStyle w:val="Normal-pool"/>
              <w:spacing w:before="40" w:after="40"/>
              <w:jc w:val="right"/>
              <w:rPr>
                <w:b/>
                <w:bCs/>
                <w:sz w:val="18"/>
                <w:szCs w:val="18"/>
                <w:lang w:val="en-GB"/>
              </w:rPr>
            </w:pPr>
          </w:p>
        </w:tc>
      </w:tr>
      <w:tr w:rsidR="0023336D" w:rsidRPr="00C90FBC" w14:paraId="6E17A360" w14:textId="77777777" w:rsidTr="008E185F">
        <w:trPr>
          <w:trHeight w:val="57"/>
          <w:jc w:val="right"/>
        </w:trPr>
        <w:tc>
          <w:tcPr>
            <w:tcW w:w="1440" w:type="dxa"/>
            <w:tcBorders>
              <w:top w:val="nil"/>
            </w:tcBorders>
            <w:shd w:val="clear" w:color="auto" w:fill="auto"/>
            <w:noWrap/>
            <w:hideMark/>
          </w:tcPr>
          <w:p w14:paraId="327F2B81"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tcBorders>
            <w:shd w:val="clear" w:color="auto" w:fill="auto"/>
            <w:noWrap/>
            <w:hideMark/>
          </w:tcPr>
          <w:p w14:paraId="53B4D4D2" w14:textId="77777777" w:rsidR="0023336D" w:rsidRPr="00C90FBC" w:rsidRDefault="0023336D" w:rsidP="008E185F">
            <w:pPr>
              <w:pStyle w:val="Normal-pool"/>
              <w:spacing w:before="40" w:after="40"/>
              <w:rPr>
                <w:sz w:val="18"/>
                <w:szCs w:val="18"/>
                <w:lang w:val="en-GB"/>
              </w:rPr>
            </w:pPr>
            <w:r w:rsidRPr="00C90FBC">
              <w:rPr>
                <w:sz w:val="18"/>
                <w:szCs w:val="18"/>
                <w:lang w:val="en-GB"/>
              </w:rPr>
              <w:t>5.1 Improvement in methods for mercury inventories</w:t>
            </w:r>
          </w:p>
        </w:tc>
        <w:tc>
          <w:tcPr>
            <w:tcW w:w="1620" w:type="dxa"/>
            <w:tcBorders>
              <w:top w:val="nil"/>
            </w:tcBorders>
            <w:shd w:val="clear" w:color="auto" w:fill="auto"/>
            <w:noWrap/>
            <w:hideMark/>
          </w:tcPr>
          <w:p w14:paraId="5B5557C6"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tcBorders>
            <w:shd w:val="clear" w:color="auto" w:fill="auto"/>
            <w:noWrap/>
            <w:hideMark/>
          </w:tcPr>
          <w:p w14:paraId="74153ED0"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50 000</w:t>
            </w:r>
          </w:p>
        </w:tc>
      </w:tr>
      <w:tr w:rsidR="0023336D" w:rsidRPr="00C90FBC" w14:paraId="044A70FF" w14:textId="77777777" w:rsidTr="008E185F">
        <w:trPr>
          <w:trHeight w:val="57"/>
          <w:jc w:val="right"/>
        </w:trPr>
        <w:tc>
          <w:tcPr>
            <w:tcW w:w="1440" w:type="dxa"/>
            <w:tcBorders>
              <w:top w:val="nil"/>
            </w:tcBorders>
            <w:shd w:val="clear" w:color="auto" w:fill="auto"/>
            <w:noWrap/>
            <w:hideMark/>
          </w:tcPr>
          <w:p w14:paraId="1BE396C8"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tcBorders>
            <w:shd w:val="clear" w:color="auto" w:fill="auto"/>
            <w:noWrap/>
            <w:hideMark/>
          </w:tcPr>
          <w:p w14:paraId="051C48B5" w14:textId="77777777" w:rsidR="0023336D" w:rsidRPr="00C90FBC" w:rsidRDefault="0023336D" w:rsidP="008E185F">
            <w:pPr>
              <w:pStyle w:val="Normal-pool"/>
              <w:spacing w:before="40" w:after="40"/>
              <w:rPr>
                <w:sz w:val="18"/>
                <w:szCs w:val="18"/>
                <w:lang w:val="en-GB"/>
              </w:rPr>
            </w:pPr>
            <w:r w:rsidRPr="00C90FBC">
              <w:rPr>
                <w:sz w:val="18"/>
                <w:szCs w:val="18"/>
                <w:lang w:val="en-GB"/>
              </w:rPr>
              <w:t>5.2 Information exchange on modelling and monitoring</w:t>
            </w:r>
          </w:p>
        </w:tc>
        <w:tc>
          <w:tcPr>
            <w:tcW w:w="1620" w:type="dxa"/>
            <w:tcBorders>
              <w:top w:val="nil"/>
            </w:tcBorders>
            <w:shd w:val="clear" w:color="auto" w:fill="auto"/>
            <w:noWrap/>
            <w:hideMark/>
          </w:tcPr>
          <w:p w14:paraId="291DF743"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tcBorders>
            <w:shd w:val="clear" w:color="auto" w:fill="auto"/>
            <w:noWrap/>
            <w:hideMark/>
          </w:tcPr>
          <w:p w14:paraId="7DA37EF5"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50 000</w:t>
            </w:r>
          </w:p>
        </w:tc>
      </w:tr>
      <w:tr w:rsidR="0023336D" w:rsidRPr="00C90FBC" w14:paraId="00311132" w14:textId="77777777" w:rsidTr="008E185F">
        <w:trPr>
          <w:trHeight w:val="57"/>
          <w:jc w:val="right"/>
        </w:trPr>
        <w:tc>
          <w:tcPr>
            <w:tcW w:w="1440" w:type="dxa"/>
            <w:tcBorders>
              <w:top w:val="nil"/>
            </w:tcBorders>
            <w:shd w:val="clear" w:color="auto" w:fill="auto"/>
            <w:noWrap/>
            <w:hideMark/>
          </w:tcPr>
          <w:p w14:paraId="36DDA102"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tcBorders>
            <w:shd w:val="clear" w:color="auto" w:fill="auto"/>
            <w:noWrap/>
            <w:hideMark/>
          </w:tcPr>
          <w:p w14:paraId="6F76904E" w14:textId="77777777" w:rsidR="0023336D" w:rsidRPr="00C90FBC" w:rsidRDefault="0023336D" w:rsidP="008E185F">
            <w:pPr>
              <w:pStyle w:val="Normal-pool"/>
              <w:spacing w:before="40" w:after="40"/>
              <w:rPr>
                <w:sz w:val="18"/>
                <w:szCs w:val="18"/>
                <w:lang w:val="en-GB"/>
              </w:rPr>
            </w:pPr>
            <w:r w:rsidRPr="00C90FBC">
              <w:rPr>
                <w:sz w:val="18"/>
                <w:szCs w:val="18"/>
                <w:lang w:val="en-GB"/>
              </w:rPr>
              <w:t>5.3 Assessment of health, environmental and socioeconomic impacts of mercury</w:t>
            </w:r>
          </w:p>
        </w:tc>
        <w:tc>
          <w:tcPr>
            <w:tcW w:w="1620" w:type="dxa"/>
            <w:tcBorders>
              <w:top w:val="nil"/>
            </w:tcBorders>
            <w:shd w:val="clear" w:color="auto" w:fill="auto"/>
            <w:noWrap/>
            <w:hideMark/>
          </w:tcPr>
          <w:p w14:paraId="328B0496"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tcBorders>
            <w:shd w:val="clear" w:color="auto" w:fill="auto"/>
            <w:noWrap/>
            <w:hideMark/>
          </w:tcPr>
          <w:p w14:paraId="1A3BB8E6"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50 000</w:t>
            </w:r>
          </w:p>
        </w:tc>
      </w:tr>
      <w:tr w:rsidR="0023336D" w:rsidRPr="00C90FBC" w14:paraId="48B47F46" w14:textId="77777777" w:rsidTr="008E185F">
        <w:trPr>
          <w:trHeight w:val="57"/>
          <w:jc w:val="right"/>
        </w:trPr>
        <w:tc>
          <w:tcPr>
            <w:tcW w:w="1440" w:type="dxa"/>
            <w:tcBorders>
              <w:top w:val="nil"/>
            </w:tcBorders>
            <w:shd w:val="clear" w:color="auto" w:fill="auto"/>
            <w:noWrap/>
            <w:hideMark/>
          </w:tcPr>
          <w:p w14:paraId="756D6322"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tcBorders>
            <w:shd w:val="clear" w:color="auto" w:fill="auto"/>
            <w:noWrap/>
            <w:hideMark/>
          </w:tcPr>
          <w:p w14:paraId="0081037F" w14:textId="77777777" w:rsidR="0023336D" w:rsidRPr="00C90FBC" w:rsidRDefault="0023336D" w:rsidP="008E185F">
            <w:pPr>
              <w:pStyle w:val="Normal-pool"/>
              <w:spacing w:before="40" w:after="40"/>
              <w:rPr>
                <w:sz w:val="18"/>
                <w:szCs w:val="18"/>
                <w:lang w:val="en-GB"/>
              </w:rPr>
            </w:pPr>
            <w:r w:rsidRPr="00C90FBC">
              <w:rPr>
                <w:sz w:val="18"/>
                <w:szCs w:val="18"/>
                <w:lang w:val="en-GB"/>
              </w:rPr>
              <w:t>5.4 Information exchange in mercury reduction technologies</w:t>
            </w:r>
          </w:p>
        </w:tc>
        <w:tc>
          <w:tcPr>
            <w:tcW w:w="1620" w:type="dxa"/>
            <w:tcBorders>
              <w:top w:val="nil"/>
            </w:tcBorders>
            <w:shd w:val="clear" w:color="auto" w:fill="auto"/>
            <w:noWrap/>
            <w:hideMark/>
          </w:tcPr>
          <w:p w14:paraId="706FCF76"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tcBorders>
            <w:shd w:val="clear" w:color="auto" w:fill="auto"/>
            <w:noWrap/>
            <w:hideMark/>
          </w:tcPr>
          <w:p w14:paraId="0C76E825"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50 000</w:t>
            </w:r>
          </w:p>
        </w:tc>
      </w:tr>
      <w:tr w:rsidR="0023336D" w:rsidRPr="00C90FBC" w14:paraId="458CC81B" w14:textId="77777777" w:rsidTr="008E185F">
        <w:trPr>
          <w:trHeight w:val="57"/>
          <w:jc w:val="right"/>
        </w:trPr>
        <w:tc>
          <w:tcPr>
            <w:tcW w:w="1440" w:type="dxa"/>
            <w:tcBorders>
              <w:top w:val="nil"/>
              <w:bottom w:val="single" w:sz="4" w:space="0" w:color="auto"/>
            </w:tcBorders>
            <w:shd w:val="clear" w:color="auto" w:fill="auto"/>
            <w:noWrap/>
            <w:hideMark/>
          </w:tcPr>
          <w:p w14:paraId="4F83843C"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bottom w:val="single" w:sz="4" w:space="0" w:color="auto"/>
            </w:tcBorders>
            <w:shd w:val="clear" w:color="auto" w:fill="auto"/>
            <w:noWrap/>
            <w:hideMark/>
          </w:tcPr>
          <w:p w14:paraId="0374C98B" w14:textId="77777777" w:rsidR="0023336D" w:rsidRPr="00C90FBC" w:rsidRDefault="0023336D" w:rsidP="008E185F">
            <w:pPr>
              <w:pStyle w:val="Normal-pool"/>
              <w:spacing w:before="40" w:after="40"/>
              <w:rPr>
                <w:sz w:val="18"/>
                <w:szCs w:val="18"/>
                <w:lang w:val="en-GB"/>
              </w:rPr>
            </w:pPr>
            <w:r w:rsidRPr="00C90FBC">
              <w:rPr>
                <w:sz w:val="18"/>
                <w:szCs w:val="18"/>
                <w:lang w:val="en-GB"/>
              </w:rPr>
              <w:t>5.5 Cross-cutting scientific and technical activities</w:t>
            </w:r>
          </w:p>
        </w:tc>
        <w:tc>
          <w:tcPr>
            <w:tcW w:w="1620" w:type="dxa"/>
            <w:tcBorders>
              <w:top w:val="nil"/>
              <w:bottom w:val="single" w:sz="4" w:space="0" w:color="auto"/>
            </w:tcBorders>
            <w:shd w:val="clear" w:color="auto" w:fill="auto"/>
            <w:noWrap/>
            <w:hideMark/>
          </w:tcPr>
          <w:p w14:paraId="32648182"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bottom w:val="single" w:sz="4" w:space="0" w:color="auto"/>
            </w:tcBorders>
            <w:shd w:val="clear" w:color="auto" w:fill="auto"/>
            <w:noWrap/>
            <w:hideMark/>
          </w:tcPr>
          <w:p w14:paraId="54C931EA"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500 000</w:t>
            </w:r>
          </w:p>
        </w:tc>
      </w:tr>
      <w:tr w:rsidR="0023336D" w:rsidRPr="00C90FBC" w14:paraId="04D23B9A"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4E59571"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36A2DD87"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Component total</w:t>
            </w:r>
          </w:p>
        </w:tc>
        <w:tc>
          <w:tcPr>
            <w:tcW w:w="1620" w:type="dxa"/>
            <w:tcBorders>
              <w:top w:val="single" w:sz="4" w:space="0" w:color="auto"/>
              <w:bottom w:val="single" w:sz="4" w:space="0" w:color="auto"/>
            </w:tcBorders>
            <w:shd w:val="clear" w:color="auto" w:fill="auto"/>
            <w:noWrap/>
            <w:hideMark/>
          </w:tcPr>
          <w:p w14:paraId="211956D7" w14:textId="77777777" w:rsidR="0023336D" w:rsidRPr="00C90FBC" w:rsidRDefault="0023336D" w:rsidP="008E185F">
            <w:pPr>
              <w:pStyle w:val="Normal-pool"/>
              <w:spacing w:before="40" w:after="40"/>
              <w:jc w:val="right"/>
              <w:rPr>
                <w:b/>
                <w:bCs/>
                <w:sz w:val="18"/>
                <w:szCs w:val="18"/>
                <w:lang w:val="en-GB"/>
              </w:rPr>
            </w:pPr>
            <w:r w:rsidRPr="00C90FBC">
              <w:rPr>
                <w:sz w:val="18"/>
                <w:szCs w:val="18"/>
                <w:lang w:val="en-GB"/>
              </w:rPr>
              <w:t>–</w:t>
            </w:r>
          </w:p>
        </w:tc>
        <w:tc>
          <w:tcPr>
            <w:tcW w:w="1756" w:type="dxa"/>
            <w:tcBorders>
              <w:top w:val="single" w:sz="4" w:space="0" w:color="auto"/>
              <w:bottom w:val="single" w:sz="4" w:space="0" w:color="auto"/>
            </w:tcBorders>
            <w:shd w:val="clear" w:color="auto" w:fill="auto"/>
            <w:noWrap/>
            <w:hideMark/>
          </w:tcPr>
          <w:p w14:paraId="642544EE"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700 000</w:t>
            </w:r>
          </w:p>
        </w:tc>
      </w:tr>
      <w:tr w:rsidR="0023336D" w:rsidRPr="00C90FBC" w14:paraId="783C202C"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0452DF5"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6</w:t>
            </w:r>
          </w:p>
        </w:tc>
        <w:tc>
          <w:tcPr>
            <w:tcW w:w="4680" w:type="dxa"/>
            <w:tcBorders>
              <w:top w:val="single" w:sz="4" w:space="0" w:color="auto"/>
              <w:bottom w:val="single" w:sz="4" w:space="0" w:color="auto"/>
            </w:tcBorders>
            <w:shd w:val="clear" w:color="auto" w:fill="auto"/>
            <w:noWrap/>
            <w:hideMark/>
          </w:tcPr>
          <w:p w14:paraId="4900CD85"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 xml:space="preserve">Effectiveness evaluation </w:t>
            </w:r>
          </w:p>
        </w:tc>
        <w:tc>
          <w:tcPr>
            <w:tcW w:w="1620" w:type="dxa"/>
            <w:tcBorders>
              <w:top w:val="single" w:sz="4" w:space="0" w:color="auto"/>
              <w:bottom w:val="single" w:sz="4" w:space="0" w:color="auto"/>
            </w:tcBorders>
            <w:shd w:val="clear" w:color="auto" w:fill="auto"/>
            <w:noWrap/>
            <w:hideMark/>
          </w:tcPr>
          <w:p w14:paraId="3ED94607" w14:textId="77777777" w:rsidR="0023336D" w:rsidRPr="00C90FBC" w:rsidRDefault="0023336D" w:rsidP="008E185F">
            <w:pPr>
              <w:pStyle w:val="Normal-pool"/>
              <w:spacing w:before="40" w:after="40"/>
              <w:jc w:val="right"/>
              <w:rPr>
                <w:rFonts w:eastAsia="Times New Roman"/>
                <w:color w:val="000000"/>
                <w:sz w:val="18"/>
                <w:szCs w:val="18"/>
                <w:lang w:val="en-GB"/>
              </w:rPr>
            </w:pPr>
          </w:p>
        </w:tc>
        <w:tc>
          <w:tcPr>
            <w:tcW w:w="1756" w:type="dxa"/>
            <w:tcBorders>
              <w:top w:val="single" w:sz="4" w:space="0" w:color="auto"/>
              <w:bottom w:val="single" w:sz="4" w:space="0" w:color="auto"/>
            </w:tcBorders>
            <w:shd w:val="clear" w:color="auto" w:fill="auto"/>
            <w:noWrap/>
            <w:hideMark/>
          </w:tcPr>
          <w:p w14:paraId="306044CC" w14:textId="77777777" w:rsidR="0023336D" w:rsidRPr="00C90FBC" w:rsidRDefault="0023336D" w:rsidP="008E185F">
            <w:pPr>
              <w:pStyle w:val="Normal-pool"/>
              <w:spacing w:before="40" w:after="40"/>
              <w:jc w:val="right"/>
              <w:rPr>
                <w:rFonts w:eastAsia="Times New Roman"/>
                <w:color w:val="000000"/>
                <w:sz w:val="18"/>
                <w:szCs w:val="18"/>
                <w:lang w:val="en-GB"/>
              </w:rPr>
            </w:pPr>
          </w:p>
        </w:tc>
      </w:tr>
      <w:tr w:rsidR="0023336D" w:rsidRPr="00C90FBC" w14:paraId="1B252182" w14:textId="77777777" w:rsidTr="008E185F">
        <w:trPr>
          <w:trHeight w:val="57"/>
          <w:jc w:val="right"/>
        </w:trPr>
        <w:tc>
          <w:tcPr>
            <w:tcW w:w="1440" w:type="dxa"/>
            <w:tcBorders>
              <w:top w:val="single" w:sz="4" w:space="0" w:color="auto"/>
            </w:tcBorders>
            <w:shd w:val="clear" w:color="auto" w:fill="auto"/>
            <w:noWrap/>
            <w:hideMark/>
          </w:tcPr>
          <w:p w14:paraId="35AB1E90"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single" w:sz="4" w:space="0" w:color="auto"/>
            </w:tcBorders>
            <w:shd w:val="clear" w:color="auto" w:fill="auto"/>
            <w:hideMark/>
          </w:tcPr>
          <w:p w14:paraId="00C0476B" w14:textId="77777777" w:rsidR="0023336D" w:rsidRPr="00C90FBC" w:rsidRDefault="0023336D" w:rsidP="008E185F">
            <w:pPr>
              <w:pStyle w:val="Normal-pool"/>
              <w:spacing w:before="40" w:after="40"/>
              <w:rPr>
                <w:sz w:val="18"/>
                <w:szCs w:val="18"/>
                <w:lang w:val="en-GB"/>
              </w:rPr>
            </w:pPr>
            <w:r w:rsidRPr="00C90FBC">
              <w:rPr>
                <w:sz w:val="18"/>
                <w:szCs w:val="18"/>
                <w:lang w:val="en-GB"/>
              </w:rPr>
              <w:t>6.1 Effectiveness evaluation committee</w:t>
            </w:r>
          </w:p>
        </w:tc>
        <w:tc>
          <w:tcPr>
            <w:tcW w:w="1620" w:type="dxa"/>
            <w:tcBorders>
              <w:top w:val="single" w:sz="4" w:space="0" w:color="auto"/>
            </w:tcBorders>
            <w:shd w:val="clear" w:color="auto" w:fill="auto"/>
            <w:noWrap/>
            <w:hideMark/>
          </w:tcPr>
          <w:p w14:paraId="6B8083D3"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45 000</w:t>
            </w:r>
          </w:p>
        </w:tc>
        <w:tc>
          <w:tcPr>
            <w:tcW w:w="1756" w:type="dxa"/>
            <w:tcBorders>
              <w:top w:val="single" w:sz="4" w:space="0" w:color="auto"/>
            </w:tcBorders>
            <w:shd w:val="clear" w:color="auto" w:fill="auto"/>
            <w:noWrap/>
            <w:hideMark/>
          </w:tcPr>
          <w:p w14:paraId="3C4E1915"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3F0FEBB6" w14:textId="77777777" w:rsidTr="008E185F">
        <w:trPr>
          <w:trHeight w:val="57"/>
          <w:jc w:val="right"/>
        </w:trPr>
        <w:tc>
          <w:tcPr>
            <w:tcW w:w="1440" w:type="dxa"/>
            <w:tcBorders>
              <w:top w:val="nil"/>
            </w:tcBorders>
            <w:shd w:val="clear" w:color="auto" w:fill="auto"/>
            <w:noWrap/>
            <w:hideMark/>
          </w:tcPr>
          <w:p w14:paraId="7A833AC2"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tcBorders>
            <w:shd w:val="clear" w:color="auto" w:fill="auto"/>
            <w:hideMark/>
          </w:tcPr>
          <w:p w14:paraId="17723012" w14:textId="77777777" w:rsidR="0023336D" w:rsidRPr="00C90FBC" w:rsidRDefault="0023336D" w:rsidP="008E185F">
            <w:pPr>
              <w:pStyle w:val="Normal-pool"/>
              <w:spacing w:before="40" w:after="40"/>
              <w:rPr>
                <w:sz w:val="18"/>
                <w:szCs w:val="18"/>
                <w:lang w:val="en-GB"/>
              </w:rPr>
            </w:pPr>
            <w:r w:rsidRPr="00C90FBC">
              <w:rPr>
                <w:sz w:val="18"/>
                <w:szCs w:val="18"/>
                <w:lang w:val="en-GB"/>
              </w:rPr>
              <w:t xml:space="preserve">6.2 Development of trade, </w:t>
            </w:r>
            <w:proofErr w:type="gramStart"/>
            <w:r w:rsidRPr="00C90FBC">
              <w:rPr>
                <w:sz w:val="18"/>
                <w:szCs w:val="18"/>
                <w:lang w:val="en-GB"/>
              </w:rPr>
              <w:t>supply</w:t>
            </w:r>
            <w:proofErr w:type="gramEnd"/>
            <w:r w:rsidRPr="00C90FBC">
              <w:rPr>
                <w:sz w:val="18"/>
                <w:szCs w:val="18"/>
                <w:lang w:val="en-GB"/>
              </w:rPr>
              <w:t xml:space="preserve"> and demand report</w:t>
            </w:r>
          </w:p>
        </w:tc>
        <w:tc>
          <w:tcPr>
            <w:tcW w:w="1620" w:type="dxa"/>
            <w:tcBorders>
              <w:top w:val="nil"/>
            </w:tcBorders>
            <w:shd w:val="clear" w:color="auto" w:fill="auto"/>
            <w:noWrap/>
            <w:hideMark/>
          </w:tcPr>
          <w:p w14:paraId="12AAE54E"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tcBorders>
            <w:shd w:val="clear" w:color="auto" w:fill="auto"/>
            <w:noWrap/>
            <w:hideMark/>
          </w:tcPr>
          <w:p w14:paraId="412B8EBE"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50 000</w:t>
            </w:r>
          </w:p>
        </w:tc>
      </w:tr>
      <w:tr w:rsidR="0023336D" w:rsidRPr="00C90FBC" w14:paraId="107CC40D" w14:textId="77777777" w:rsidTr="008E185F">
        <w:trPr>
          <w:trHeight w:val="57"/>
          <w:jc w:val="right"/>
        </w:trPr>
        <w:tc>
          <w:tcPr>
            <w:tcW w:w="1440" w:type="dxa"/>
            <w:tcBorders>
              <w:top w:val="nil"/>
            </w:tcBorders>
            <w:shd w:val="clear" w:color="auto" w:fill="auto"/>
            <w:noWrap/>
            <w:hideMark/>
          </w:tcPr>
          <w:p w14:paraId="60D2730A"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tcBorders>
            <w:shd w:val="clear" w:color="auto" w:fill="auto"/>
            <w:noWrap/>
            <w:hideMark/>
          </w:tcPr>
          <w:p w14:paraId="0494433E" w14:textId="77777777" w:rsidR="0023336D" w:rsidRPr="00C90FBC" w:rsidRDefault="0023336D" w:rsidP="008E185F">
            <w:pPr>
              <w:pStyle w:val="Normal-pool"/>
              <w:spacing w:before="40" w:after="40"/>
              <w:rPr>
                <w:sz w:val="18"/>
                <w:szCs w:val="18"/>
                <w:lang w:val="en-GB"/>
              </w:rPr>
            </w:pPr>
            <w:r w:rsidRPr="00C90FBC">
              <w:rPr>
                <w:sz w:val="18"/>
                <w:szCs w:val="18"/>
                <w:lang w:val="en-GB"/>
              </w:rPr>
              <w:t xml:space="preserve">6.3 Compilation and assessment of party submissions </w:t>
            </w:r>
          </w:p>
        </w:tc>
        <w:tc>
          <w:tcPr>
            <w:tcW w:w="1620" w:type="dxa"/>
            <w:tcBorders>
              <w:top w:val="nil"/>
            </w:tcBorders>
            <w:shd w:val="clear" w:color="auto" w:fill="auto"/>
            <w:noWrap/>
            <w:hideMark/>
          </w:tcPr>
          <w:p w14:paraId="46E4579F"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tcBorders>
            <w:shd w:val="clear" w:color="auto" w:fill="auto"/>
            <w:noWrap/>
            <w:hideMark/>
          </w:tcPr>
          <w:p w14:paraId="41024E25"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640ACAB6" w14:textId="77777777" w:rsidTr="008E185F">
        <w:trPr>
          <w:trHeight w:val="57"/>
          <w:jc w:val="right"/>
        </w:trPr>
        <w:tc>
          <w:tcPr>
            <w:tcW w:w="1440" w:type="dxa"/>
            <w:tcBorders>
              <w:top w:val="nil"/>
            </w:tcBorders>
            <w:shd w:val="clear" w:color="auto" w:fill="auto"/>
            <w:noWrap/>
            <w:hideMark/>
          </w:tcPr>
          <w:p w14:paraId="1D79DBB3"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tcBorders>
            <w:shd w:val="clear" w:color="auto" w:fill="auto"/>
            <w:noWrap/>
            <w:hideMark/>
          </w:tcPr>
          <w:p w14:paraId="66EE259C" w14:textId="77777777" w:rsidR="0023336D" w:rsidRPr="00C90FBC" w:rsidRDefault="0023336D" w:rsidP="008E185F">
            <w:pPr>
              <w:pStyle w:val="Normal-pool"/>
              <w:spacing w:before="40" w:after="40"/>
              <w:rPr>
                <w:sz w:val="18"/>
                <w:szCs w:val="18"/>
                <w:lang w:val="en-GB"/>
              </w:rPr>
            </w:pPr>
            <w:r w:rsidRPr="00C90FBC">
              <w:rPr>
                <w:sz w:val="18"/>
                <w:szCs w:val="18"/>
                <w:lang w:val="en-GB"/>
              </w:rPr>
              <w:t>6.4 Other preparatory work and reports to support the effectiveness evaluation</w:t>
            </w:r>
          </w:p>
        </w:tc>
        <w:tc>
          <w:tcPr>
            <w:tcW w:w="1620" w:type="dxa"/>
            <w:tcBorders>
              <w:top w:val="nil"/>
            </w:tcBorders>
            <w:shd w:val="clear" w:color="auto" w:fill="auto"/>
            <w:noWrap/>
            <w:hideMark/>
          </w:tcPr>
          <w:p w14:paraId="5925CBBB"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220 000</w:t>
            </w:r>
          </w:p>
        </w:tc>
        <w:tc>
          <w:tcPr>
            <w:tcW w:w="1756" w:type="dxa"/>
            <w:tcBorders>
              <w:top w:val="nil"/>
            </w:tcBorders>
            <w:shd w:val="clear" w:color="auto" w:fill="auto"/>
            <w:noWrap/>
            <w:hideMark/>
          </w:tcPr>
          <w:p w14:paraId="1A059AA7"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1AC92117" w14:textId="77777777" w:rsidTr="008E185F">
        <w:trPr>
          <w:trHeight w:val="57"/>
          <w:jc w:val="right"/>
        </w:trPr>
        <w:tc>
          <w:tcPr>
            <w:tcW w:w="1440" w:type="dxa"/>
            <w:tcBorders>
              <w:top w:val="nil"/>
              <w:bottom w:val="single" w:sz="4" w:space="0" w:color="auto"/>
            </w:tcBorders>
            <w:shd w:val="clear" w:color="auto" w:fill="auto"/>
            <w:noWrap/>
            <w:hideMark/>
          </w:tcPr>
          <w:p w14:paraId="0D0FA45A"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nil"/>
              <w:bottom w:val="single" w:sz="4" w:space="0" w:color="auto"/>
            </w:tcBorders>
            <w:shd w:val="clear" w:color="auto" w:fill="auto"/>
            <w:noWrap/>
            <w:hideMark/>
          </w:tcPr>
          <w:p w14:paraId="2C20CA51"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Component total</w:t>
            </w:r>
          </w:p>
        </w:tc>
        <w:tc>
          <w:tcPr>
            <w:tcW w:w="1620" w:type="dxa"/>
            <w:tcBorders>
              <w:top w:val="nil"/>
              <w:bottom w:val="single" w:sz="4" w:space="0" w:color="auto"/>
            </w:tcBorders>
            <w:shd w:val="clear" w:color="auto" w:fill="auto"/>
            <w:noWrap/>
            <w:hideMark/>
          </w:tcPr>
          <w:p w14:paraId="00FE530E"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265 000</w:t>
            </w:r>
          </w:p>
        </w:tc>
        <w:tc>
          <w:tcPr>
            <w:tcW w:w="1756" w:type="dxa"/>
            <w:tcBorders>
              <w:top w:val="nil"/>
              <w:bottom w:val="single" w:sz="4" w:space="0" w:color="auto"/>
            </w:tcBorders>
            <w:shd w:val="clear" w:color="auto" w:fill="auto"/>
            <w:noWrap/>
            <w:hideMark/>
          </w:tcPr>
          <w:p w14:paraId="37C4FA75"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50 000</w:t>
            </w:r>
          </w:p>
        </w:tc>
      </w:tr>
      <w:tr w:rsidR="0023336D" w:rsidRPr="00C90FBC" w14:paraId="1F5996FA"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1073258"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7</w:t>
            </w:r>
          </w:p>
        </w:tc>
        <w:tc>
          <w:tcPr>
            <w:tcW w:w="4680" w:type="dxa"/>
            <w:tcBorders>
              <w:top w:val="single" w:sz="4" w:space="0" w:color="auto"/>
              <w:bottom w:val="single" w:sz="4" w:space="0" w:color="auto"/>
            </w:tcBorders>
            <w:shd w:val="clear" w:color="auto" w:fill="auto"/>
            <w:noWrap/>
            <w:hideMark/>
          </w:tcPr>
          <w:p w14:paraId="7C231C47"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National reporting under the Minamata Convention</w:t>
            </w:r>
          </w:p>
        </w:tc>
        <w:tc>
          <w:tcPr>
            <w:tcW w:w="1620" w:type="dxa"/>
            <w:tcBorders>
              <w:top w:val="single" w:sz="4" w:space="0" w:color="auto"/>
              <w:bottom w:val="single" w:sz="4" w:space="0" w:color="auto"/>
            </w:tcBorders>
            <w:shd w:val="clear" w:color="auto" w:fill="auto"/>
            <w:noWrap/>
            <w:hideMark/>
          </w:tcPr>
          <w:p w14:paraId="6A00C67A" w14:textId="77777777" w:rsidR="0023336D" w:rsidRPr="00C90FBC" w:rsidRDefault="0023336D" w:rsidP="008E185F">
            <w:pPr>
              <w:pStyle w:val="Normal-pool"/>
              <w:spacing w:before="40" w:after="40"/>
              <w:jc w:val="right"/>
              <w:rPr>
                <w:rFonts w:eastAsia="Times New Roman"/>
                <w:color w:val="000000"/>
                <w:sz w:val="18"/>
                <w:szCs w:val="18"/>
                <w:lang w:val="en-GB"/>
              </w:rPr>
            </w:pPr>
          </w:p>
        </w:tc>
        <w:tc>
          <w:tcPr>
            <w:tcW w:w="1756" w:type="dxa"/>
            <w:tcBorders>
              <w:top w:val="single" w:sz="4" w:space="0" w:color="auto"/>
              <w:bottom w:val="single" w:sz="4" w:space="0" w:color="auto"/>
            </w:tcBorders>
            <w:shd w:val="clear" w:color="auto" w:fill="auto"/>
            <w:noWrap/>
            <w:hideMark/>
          </w:tcPr>
          <w:p w14:paraId="3ACB2BBC" w14:textId="77777777" w:rsidR="0023336D" w:rsidRPr="00C90FBC" w:rsidRDefault="0023336D" w:rsidP="008E185F">
            <w:pPr>
              <w:pStyle w:val="Normal-pool"/>
              <w:spacing w:before="40" w:after="40"/>
              <w:jc w:val="right"/>
              <w:rPr>
                <w:rFonts w:eastAsia="Times New Roman"/>
                <w:color w:val="000000"/>
                <w:sz w:val="18"/>
                <w:szCs w:val="18"/>
                <w:lang w:val="en-GB"/>
              </w:rPr>
            </w:pPr>
          </w:p>
        </w:tc>
      </w:tr>
      <w:tr w:rsidR="0023336D" w:rsidRPr="00C90FBC" w14:paraId="65EA2516" w14:textId="77777777" w:rsidTr="008E185F">
        <w:trPr>
          <w:trHeight w:val="57"/>
          <w:jc w:val="right"/>
        </w:trPr>
        <w:tc>
          <w:tcPr>
            <w:tcW w:w="1440" w:type="dxa"/>
            <w:tcBorders>
              <w:top w:val="single" w:sz="4" w:space="0" w:color="auto"/>
            </w:tcBorders>
            <w:shd w:val="clear" w:color="auto" w:fill="auto"/>
            <w:noWrap/>
            <w:hideMark/>
          </w:tcPr>
          <w:p w14:paraId="4B01B9D4"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single" w:sz="4" w:space="0" w:color="auto"/>
            </w:tcBorders>
            <w:shd w:val="clear" w:color="auto" w:fill="auto"/>
            <w:noWrap/>
            <w:hideMark/>
          </w:tcPr>
          <w:p w14:paraId="1C42DF05" w14:textId="77777777" w:rsidR="0023336D" w:rsidRPr="00C90FBC" w:rsidRDefault="0023336D" w:rsidP="008E185F">
            <w:pPr>
              <w:pStyle w:val="Normal-pool"/>
              <w:spacing w:before="40" w:after="40"/>
              <w:rPr>
                <w:sz w:val="18"/>
                <w:szCs w:val="18"/>
                <w:lang w:val="en-GB"/>
              </w:rPr>
            </w:pPr>
            <w:r w:rsidRPr="00C90FBC">
              <w:rPr>
                <w:sz w:val="18"/>
                <w:szCs w:val="18"/>
                <w:lang w:val="en-GB"/>
              </w:rPr>
              <w:t xml:space="preserve">7.1 Process and analyse national reports </w:t>
            </w:r>
          </w:p>
        </w:tc>
        <w:tc>
          <w:tcPr>
            <w:tcW w:w="1620" w:type="dxa"/>
            <w:tcBorders>
              <w:top w:val="single" w:sz="4" w:space="0" w:color="auto"/>
            </w:tcBorders>
            <w:shd w:val="clear" w:color="auto" w:fill="auto"/>
            <w:noWrap/>
            <w:hideMark/>
          </w:tcPr>
          <w:p w14:paraId="4C7296F6"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10 000</w:t>
            </w:r>
          </w:p>
        </w:tc>
        <w:tc>
          <w:tcPr>
            <w:tcW w:w="1756" w:type="dxa"/>
            <w:tcBorders>
              <w:top w:val="single" w:sz="4" w:space="0" w:color="auto"/>
            </w:tcBorders>
            <w:shd w:val="clear" w:color="auto" w:fill="auto"/>
            <w:noWrap/>
            <w:hideMark/>
          </w:tcPr>
          <w:p w14:paraId="63163488"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7107891A" w14:textId="77777777" w:rsidTr="008E185F">
        <w:trPr>
          <w:trHeight w:val="57"/>
          <w:jc w:val="right"/>
        </w:trPr>
        <w:tc>
          <w:tcPr>
            <w:tcW w:w="1440" w:type="dxa"/>
            <w:tcBorders>
              <w:top w:val="nil"/>
            </w:tcBorders>
            <w:shd w:val="clear" w:color="auto" w:fill="auto"/>
            <w:noWrap/>
            <w:hideMark/>
          </w:tcPr>
          <w:p w14:paraId="629DBB78"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tcBorders>
            <w:shd w:val="clear" w:color="auto" w:fill="auto"/>
            <w:noWrap/>
            <w:hideMark/>
          </w:tcPr>
          <w:p w14:paraId="582DDBCF" w14:textId="77777777" w:rsidR="0023336D" w:rsidRPr="00C90FBC" w:rsidRDefault="0023336D" w:rsidP="008E185F">
            <w:pPr>
              <w:pStyle w:val="Normal-pool"/>
              <w:spacing w:before="40" w:after="40"/>
              <w:rPr>
                <w:sz w:val="18"/>
                <w:szCs w:val="18"/>
                <w:lang w:val="en-GB"/>
              </w:rPr>
            </w:pPr>
            <w:r w:rsidRPr="00C90FBC">
              <w:rPr>
                <w:sz w:val="18"/>
                <w:szCs w:val="18"/>
                <w:lang w:val="en-GB"/>
              </w:rPr>
              <w:t>7.2 Ongoing management of information contained in national reports</w:t>
            </w:r>
          </w:p>
        </w:tc>
        <w:tc>
          <w:tcPr>
            <w:tcW w:w="1620" w:type="dxa"/>
            <w:tcBorders>
              <w:top w:val="nil"/>
            </w:tcBorders>
            <w:shd w:val="clear" w:color="auto" w:fill="auto"/>
            <w:noWrap/>
            <w:hideMark/>
          </w:tcPr>
          <w:p w14:paraId="72567FA5"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20 000</w:t>
            </w:r>
          </w:p>
        </w:tc>
        <w:tc>
          <w:tcPr>
            <w:tcW w:w="1756" w:type="dxa"/>
            <w:tcBorders>
              <w:top w:val="nil"/>
            </w:tcBorders>
            <w:shd w:val="clear" w:color="auto" w:fill="auto"/>
            <w:noWrap/>
            <w:hideMark/>
          </w:tcPr>
          <w:p w14:paraId="7B6BC8E9"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3FB371B5" w14:textId="77777777" w:rsidTr="008E185F">
        <w:trPr>
          <w:trHeight w:val="57"/>
          <w:jc w:val="right"/>
        </w:trPr>
        <w:tc>
          <w:tcPr>
            <w:tcW w:w="1440" w:type="dxa"/>
            <w:tcBorders>
              <w:top w:val="nil"/>
              <w:bottom w:val="single" w:sz="4" w:space="0" w:color="auto"/>
            </w:tcBorders>
            <w:shd w:val="clear" w:color="auto" w:fill="auto"/>
            <w:noWrap/>
            <w:hideMark/>
          </w:tcPr>
          <w:p w14:paraId="4923B164"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bottom w:val="single" w:sz="4" w:space="0" w:color="auto"/>
            </w:tcBorders>
            <w:shd w:val="clear" w:color="auto" w:fill="auto"/>
            <w:noWrap/>
            <w:hideMark/>
          </w:tcPr>
          <w:p w14:paraId="79592869" w14:textId="77777777" w:rsidR="0023336D" w:rsidRPr="00C90FBC" w:rsidRDefault="0023336D" w:rsidP="008E185F">
            <w:pPr>
              <w:pStyle w:val="Normal-pool"/>
              <w:spacing w:before="40" w:after="40"/>
              <w:rPr>
                <w:sz w:val="18"/>
                <w:szCs w:val="18"/>
                <w:lang w:val="en-GB"/>
              </w:rPr>
            </w:pPr>
            <w:r w:rsidRPr="00C90FBC">
              <w:rPr>
                <w:sz w:val="18"/>
                <w:szCs w:val="18"/>
                <w:lang w:val="en-GB"/>
              </w:rPr>
              <w:t>7.3. Enhance parties’ capacity on national reporting</w:t>
            </w:r>
          </w:p>
        </w:tc>
        <w:tc>
          <w:tcPr>
            <w:tcW w:w="1620" w:type="dxa"/>
            <w:tcBorders>
              <w:top w:val="nil"/>
              <w:bottom w:val="single" w:sz="4" w:space="0" w:color="auto"/>
            </w:tcBorders>
            <w:shd w:val="clear" w:color="auto" w:fill="auto"/>
            <w:noWrap/>
            <w:hideMark/>
          </w:tcPr>
          <w:p w14:paraId="6C70313D"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25 000</w:t>
            </w:r>
          </w:p>
        </w:tc>
        <w:tc>
          <w:tcPr>
            <w:tcW w:w="1756" w:type="dxa"/>
            <w:tcBorders>
              <w:top w:val="nil"/>
              <w:bottom w:val="single" w:sz="4" w:space="0" w:color="auto"/>
            </w:tcBorders>
            <w:shd w:val="clear" w:color="auto" w:fill="auto"/>
            <w:noWrap/>
            <w:hideMark/>
          </w:tcPr>
          <w:p w14:paraId="271DDCFC"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5586433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21E1580" w14:textId="77777777" w:rsidR="0023336D" w:rsidRPr="00C90FBC" w:rsidRDefault="0023336D" w:rsidP="008E185F">
            <w:pPr>
              <w:pStyle w:val="Normal-pool"/>
              <w:keepNext/>
              <w:keepLines/>
              <w:spacing w:before="40" w:after="40"/>
              <w:rPr>
                <w:b/>
                <w:bCs/>
                <w:sz w:val="18"/>
                <w:szCs w:val="18"/>
                <w:lang w:val="en-GB"/>
              </w:rPr>
            </w:pPr>
            <w:r w:rsidRPr="00C90FBC">
              <w:rPr>
                <w:b/>
                <w:bCs/>
                <w:sz w:val="18"/>
                <w:szCs w:val="18"/>
                <w:lang w:val="en-GB"/>
              </w:rPr>
              <w:lastRenderedPageBreak/>
              <w:t> </w:t>
            </w:r>
          </w:p>
        </w:tc>
        <w:tc>
          <w:tcPr>
            <w:tcW w:w="4680" w:type="dxa"/>
            <w:tcBorders>
              <w:top w:val="single" w:sz="4" w:space="0" w:color="auto"/>
              <w:bottom w:val="single" w:sz="4" w:space="0" w:color="auto"/>
            </w:tcBorders>
            <w:shd w:val="clear" w:color="auto" w:fill="auto"/>
            <w:noWrap/>
            <w:hideMark/>
          </w:tcPr>
          <w:p w14:paraId="372BCD28" w14:textId="77777777" w:rsidR="0023336D" w:rsidRPr="00C90FBC" w:rsidRDefault="0023336D" w:rsidP="008E185F">
            <w:pPr>
              <w:pStyle w:val="Normal-pool"/>
              <w:keepNext/>
              <w:keepLines/>
              <w:spacing w:before="40" w:after="40"/>
              <w:rPr>
                <w:b/>
                <w:bCs/>
                <w:sz w:val="18"/>
                <w:szCs w:val="18"/>
                <w:lang w:val="en-GB"/>
              </w:rPr>
            </w:pPr>
            <w:r w:rsidRPr="00C90FBC">
              <w:rPr>
                <w:b/>
                <w:bCs/>
                <w:sz w:val="18"/>
                <w:szCs w:val="18"/>
                <w:lang w:val="en-GB"/>
              </w:rPr>
              <w:t>Component total</w:t>
            </w:r>
          </w:p>
        </w:tc>
        <w:tc>
          <w:tcPr>
            <w:tcW w:w="1620" w:type="dxa"/>
            <w:tcBorders>
              <w:top w:val="single" w:sz="4" w:space="0" w:color="auto"/>
              <w:bottom w:val="single" w:sz="4" w:space="0" w:color="auto"/>
            </w:tcBorders>
            <w:shd w:val="clear" w:color="auto" w:fill="auto"/>
            <w:noWrap/>
            <w:hideMark/>
          </w:tcPr>
          <w:p w14:paraId="266A4276" w14:textId="77777777" w:rsidR="0023336D" w:rsidRPr="00C90FBC" w:rsidRDefault="0023336D" w:rsidP="008E185F">
            <w:pPr>
              <w:pStyle w:val="Normal-pool"/>
              <w:keepNext/>
              <w:keepLines/>
              <w:spacing w:before="40" w:after="40"/>
              <w:jc w:val="right"/>
              <w:rPr>
                <w:b/>
                <w:bCs/>
                <w:sz w:val="18"/>
                <w:szCs w:val="18"/>
                <w:lang w:val="en-GB"/>
              </w:rPr>
            </w:pPr>
            <w:r w:rsidRPr="00C90FBC">
              <w:rPr>
                <w:b/>
                <w:bCs/>
                <w:sz w:val="18"/>
                <w:szCs w:val="18"/>
                <w:lang w:val="en-GB"/>
              </w:rPr>
              <w:t>55 000</w:t>
            </w:r>
          </w:p>
        </w:tc>
        <w:tc>
          <w:tcPr>
            <w:tcW w:w="1756" w:type="dxa"/>
            <w:tcBorders>
              <w:top w:val="single" w:sz="4" w:space="0" w:color="auto"/>
              <w:bottom w:val="single" w:sz="4" w:space="0" w:color="auto"/>
            </w:tcBorders>
            <w:shd w:val="clear" w:color="auto" w:fill="auto"/>
            <w:noWrap/>
            <w:hideMark/>
          </w:tcPr>
          <w:p w14:paraId="558474EB" w14:textId="77777777" w:rsidR="0023336D" w:rsidRPr="00C90FBC" w:rsidRDefault="0023336D" w:rsidP="008E185F">
            <w:pPr>
              <w:pStyle w:val="Normal-pool"/>
              <w:keepNext/>
              <w:keepLines/>
              <w:spacing w:before="40" w:after="40"/>
              <w:jc w:val="right"/>
              <w:rPr>
                <w:b/>
                <w:bCs/>
                <w:sz w:val="18"/>
                <w:szCs w:val="18"/>
                <w:lang w:val="en-GB"/>
              </w:rPr>
            </w:pPr>
            <w:r w:rsidRPr="00C90FBC">
              <w:rPr>
                <w:b/>
                <w:bCs/>
                <w:sz w:val="18"/>
                <w:szCs w:val="18"/>
                <w:lang w:val="en-GB"/>
              </w:rPr>
              <w:t>–</w:t>
            </w:r>
          </w:p>
        </w:tc>
      </w:tr>
      <w:tr w:rsidR="0023336D" w:rsidRPr="00C90FBC" w14:paraId="5D15BF80"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ACDB21C"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60368BD3"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Total (C)</w:t>
            </w:r>
          </w:p>
        </w:tc>
        <w:tc>
          <w:tcPr>
            <w:tcW w:w="1620" w:type="dxa"/>
            <w:tcBorders>
              <w:top w:val="single" w:sz="4" w:space="0" w:color="auto"/>
              <w:bottom w:val="single" w:sz="4" w:space="0" w:color="auto"/>
            </w:tcBorders>
            <w:shd w:val="clear" w:color="auto" w:fill="auto"/>
            <w:noWrap/>
            <w:hideMark/>
          </w:tcPr>
          <w:p w14:paraId="279F0B93"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320 000</w:t>
            </w:r>
          </w:p>
        </w:tc>
        <w:tc>
          <w:tcPr>
            <w:tcW w:w="1756" w:type="dxa"/>
            <w:tcBorders>
              <w:top w:val="single" w:sz="4" w:space="0" w:color="auto"/>
              <w:bottom w:val="single" w:sz="4" w:space="0" w:color="auto"/>
            </w:tcBorders>
            <w:shd w:val="clear" w:color="auto" w:fill="auto"/>
            <w:noWrap/>
            <w:hideMark/>
          </w:tcPr>
          <w:p w14:paraId="1B8BCBCA"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750 000</w:t>
            </w:r>
          </w:p>
        </w:tc>
      </w:tr>
      <w:tr w:rsidR="0023336D" w:rsidRPr="00C90FBC" w14:paraId="29C36423"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6607768" w14:textId="77777777" w:rsidR="0023336D" w:rsidRPr="00C90FBC" w:rsidRDefault="0023336D" w:rsidP="008E185F">
            <w:pPr>
              <w:pStyle w:val="Normal-pool"/>
              <w:keepNext/>
              <w:keepLines/>
              <w:spacing w:before="40" w:after="40"/>
              <w:rPr>
                <w:b/>
                <w:bCs/>
                <w:sz w:val="18"/>
                <w:szCs w:val="18"/>
                <w:lang w:val="en-GB"/>
              </w:rPr>
            </w:pPr>
            <w:r w:rsidRPr="00C90FBC">
              <w:rPr>
                <w:b/>
                <w:bCs/>
                <w:sz w:val="18"/>
                <w:szCs w:val="18"/>
                <w:lang w:val="en-GB"/>
              </w:rPr>
              <w:t>D.</w:t>
            </w:r>
          </w:p>
        </w:tc>
        <w:tc>
          <w:tcPr>
            <w:tcW w:w="4680" w:type="dxa"/>
            <w:tcBorders>
              <w:top w:val="single" w:sz="4" w:space="0" w:color="auto"/>
              <w:bottom w:val="single" w:sz="4" w:space="0" w:color="auto"/>
            </w:tcBorders>
            <w:shd w:val="clear" w:color="auto" w:fill="auto"/>
            <w:noWrap/>
            <w:hideMark/>
          </w:tcPr>
          <w:p w14:paraId="5DD18574" w14:textId="77777777" w:rsidR="0023336D" w:rsidRPr="00C90FBC" w:rsidRDefault="0023336D" w:rsidP="008E185F">
            <w:pPr>
              <w:pStyle w:val="Normal-pool"/>
              <w:keepNext/>
              <w:keepLines/>
              <w:spacing w:before="40" w:after="40"/>
              <w:rPr>
                <w:b/>
                <w:bCs/>
                <w:sz w:val="18"/>
                <w:szCs w:val="18"/>
                <w:lang w:val="en-GB"/>
              </w:rPr>
            </w:pPr>
            <w:r w:rsidRPr="00C90FBC">
              <w:rPr>
                <w:b/>
                <w:bCs/>
                <w:sz w:val="18"/>
                <w:szCs w:val="18"/>
                <w:lang w:val="en-GB"/>
              </w:rPr>
              <w:t xml:space="preserve">Knowledge and information management, and outreach </w:t>
            </w:r>
          </w:p>
        </w:tc>
        <w:tc>
          <w:tcPr>
            <w:tcW w:w="1620" w:type="dxa"/>
            <w:tcBorders>
              <w:top w:val="single" w:sz="4" w:space="0" w:color="auto"/>
              <w:bottom w:val="single" w:sz="4" w:space="0" w:color="auto"/>
            </w:tcBorders>
            <w:shd w:val="clear" w:color="auto" w:fill="auto"/>
            <w:noWrap/>
            <w:hideMark/>
          </w:tcPr>
          <w:p w14:paraId="49F9A794" w14:textId="77777777" w:rsidR="0023336D" w:rsidRPr="00C90FBC" w:rsidRDefault="0023336D" w:rsidP="008E185F">
            <w:pPr>
              <w:pStyle w:val="Normal-pool"/>
              <w:keepNext/>
              <w:keepLines/>
              <w:spacing w:before="40" w:after="40"/>
              <w:jc w:val="right"/>
              <w:rPr>
                <w:b/>
                <w:bCs/>
                <w:sz w:val="18"/>
                <w:szCs w:val="18"/>
                <w:lang w:val="en-GB"/>
              </w:rPr>
            </w:pPr>
          </w:p>
        </w:tc>
        <w:tc>
          <w:tcPr>
            <w:tcW w:w="1756" w:type="dxa"/>
            <w:tcBorders>
              <w:top w:val="single" w:sz="4" w:space="0" w:color="auto"/>
              <w:bottom w:val="single" w:sz="4" w:space="0" w:color="auto"/>
            </w:tcBorders>
            <w:shd w:val="clear" w:color="auto" w:fill="auto"/>
            <w:noWrap/>
            <w:hideMark/>
          </w:tcPr>
          <w:p w14:paraId="099EBCF3" w14:textId="77777777" w:rsidR="0023336D" w:rsidRPr="00C90FBC" w:rsidRDefault="0023336D" w:rsidP="008E185F">
            <w:pPr>
              <w:pStyle w:val="Normal-pool"/>
              <w:spacing w:before="40" w:after="40"/>
              <w:jc w:val="right"/>
              <w:rPr>
                <w:b/>
                <w:bCs/>
                <w:sz w:val="18"/>
                <w:szCs w:val="18"/>
                <w:lang w:val="en-GB"/>
              </w:rPr>
            </w:pPr>
          </w:p>
        </w:tc>
      </w:tr>
      <w:tr w:rsidR="0023336D" w:rsidRPr="00C90FBC" w14:paraId="3526FEB3"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7E54C7C" w14:textId="77777777" w:rsidR="0023336D" w:rsidRPr="00C90FBC" w:rsidRDefault="0023336D" w:rsidP="008E185F">
            <w:pPr>
              <w:pStyle w:val="Normal-pool"/>
              <w:keepNext/>
              <w:keepLines/>
              <w:spacing w:before="40" w:after="40"/>
              <w:rPr>
                <w:b/>
                <w:bCs/>
                <w:sz w:val="18"/>
                <w:szCs w:val="18"/>
                <w:lang w:val="en-GB"/>
              </w:rPr>
            </w:pPr>
            <w:r w:rsidRPr="00C90FBC">
              <w:rPr>
                <w:b/>
                <w:bCs/>
                <w:sz w:val="18"/>
                <w:szCs w:val="18"/>
                <w:lang w:val="en-GB"/>
              </w:rPr>
              <w:t>8</w:t>
            </w:r>
          </w:p>
        </w:tc>
        <w:tc>
          <w:tcPr>
            <w:tcW w:w="4680" w:type="dxa"/>
            <w:tcBorders>
              <w:top w:val="single" w:sz="4" w:space="0" w:color="auto"/>
              <w:bottom w:val="single" w:sz="4" w:space="0" w:color="auto"/>
            </w:tcBorders>
            <w:shd w:val="clear" w:color="auto" w:fill="auto"/>
            <w:noWrap/>
            <w:hideMark/>
          </w:tcPr>
          <w:p w14:paraId="42B40C9C" w14:textId="77777777" w:rsidR="0023336D" w:rsidRPr="00C90FBC" w:rsidRDefault="0023336D" w:rsidP="008E185F">
            <w:pPr>
              <w:pStyle w:val="Normal-pool"/>
              <w:keepNext/>
              <w:keepLines/>
              <w:spacing w:before="40" w:after="40"/>
              <w:rPr>
                <w:b/>
                <w:bCs/>
                <w:sz w:val="18"/>
                <w:szCs w:val="18"/>
                <w:lang w:val="en-GB"/>
              </w:rPr>
            </w:pPr>
            <w:r w:rsidRPr="00C90FBC">
              <w:rPr>
                <w:b/>
                <w:bCs/>
                <w:sz w:val="18"/>
                <w:szCs w:val="18"/>
                <w:lang w:val="en-GB"/>
              </w:rPr>
              <w:t>Publications</w:t>
            </w:r>
          </w:p>
        </w:tc>
        <w:tc>
          <w:tcPr>
            <w:tcW w:w="1620" w:type="dxa"/>
            <w:tcBorders>
              <w:top w:val="single" w:sz="4" w:space="0" w:color="auto"/>
              <w:bottom w:val="single" w:sz="4" w:space="0" w:color="auto"/>
            </w:tcBorders>
            <w:shd w:val="clear" w:color="auto" w:fill="auto"/>
            <w:noWrap/>
            <w:hideMark/>
          </w:tcPr>
          <w:p w14:paraId="1054952A" w14:textId="77777777" w:rsidR="0023336D" w:rsidRPr="00C90FBC" w:rsidRDefault="0023336D" w:rsidP="008E185F">
            <w:pPr>
              <w:pStyle w:val="Normal-pool"/>
              <w:keepNext/>
              <w:keepLines/>
              <w:spacing w:before="40" w:after="40"/>
              <w:jc w:val="right"/>
              <w:rPr>
                <w:b/>
                <w:bCs/>
                <w:sz w:val="18"/>
                <w:szCs w:val="18"/>
                <w:lang w:val="en-GB"/>
              </w:rPr>
            </w:pPr>
          </w:p>
        </w:tc>
        <w:tc>
          <w:tcPr>
            <w:tcW w:w="1756" w:type="dxa"/>
            <w:tcBorders>
              <w:top w:val="single" w:sz="4" w:space="0" w:color="auto"/>
              <w:bottom w:val="single" w:sz="4" w:space="0" w:color="auto"/>
            </w:tcBorders>
            <w:shd w:val="clear" w:color="auto" w:fill="auto"/>
            <w:noWrap/>
            <w:hideMark/>
          </w:tcPr>
          <w:p w14:paraId="17EB3398" w14:textId="77777777" w:rsidR="0023336D" w:rsidRPr="00C90FBC" w:rsidRDefault="0023336D" w:rsidP="008E185F">
            <w:pPr>
              <w:pStyle w:val="Normal-pool"/>
              <w:spacing w:before="40" w:after="40"/>
              <w:jc w:val="right"/>
              <w:rPr>
                <w:b/>
                <w:bCs/>
                <w:sz w:val="18"/>
                <w:szCs w:val="18"/>
                <w:lang w:val="en-GB"/>
              </w:rPr>
            </w:pPr>
          </w:p>
        </w:tc>
      </w:tr>
      <w:tr w:rsidR="0023336D" w:rsidRPr="00C90FBC" w14:paraId="40B8CA8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405E083"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single" w:sz="4" w:space="0" w:color="auto"/>
              <w:bottom w:val="single" w:sz="4" w:space="0" w:color="auto"/>
            </w:tcBorders>
            <w:shd w:val="clear" w:color="auto" w:fill="auto"/>
            <w:noWrap/>
            <w:hideMark/>
          </w:tcPr>
          <w:p w14:paraId="6082C001" w14:textId="77777777" w:rsidR="0023336D" w:rsidRPr="00C90FBC" w:rsidRDefault="0023336D" w:rsidP="008E185F">
            <w:pPr>
              <w:pStyle w:val="Normal-pool"/>
              <w:spacing w:before="40" w:after="40"/>
              <w:rPr>
                <w:sz w:val="18"/>
                <w:szCs w:val="18"/>
                <w:lang w:val="en-GB"/>
              </w:rPr>
            </w:pPr>
            <w:r w:rsidRPr="00C90FBC">
              <w:rPr>
                <w:sz w:val="18"/>
                <w:szCs w:val="18"/>
                <w:lang w:val="en-GB"/>
              </w:rPr>
              <w:t>8.1 Publications</w:t>
            </w:r>
          </w:p>
        </w:tc>
        <w:tc>
          <w:tcPr>
            <w:tcW w:w="1620" w:type="dxa"/>
            <w:tcBorders>
              <w:top w:val="single" w:sz="4" w:space="0" w:color="auto"/>
              <w:bottom w:val="single" w:sz="4" w:space="0" w:color="auto"/>
            </w:tcBorders>
            <w:shd w:val="clear" w:color="auto" w:fill="auto"/>
            <w:noWrap/>
            <w:hideMark/>
          </w:tcPr>
          <w:p w14:paraId="130CCBF8"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25 000</w:t>
            </w:r>
          </w:p>
        </w:tc>
        <w:tc>
          <w:tcPr>
            <w:tcW w:w="1756" w:type="dxa"/>
            <w:tcBorders>
              <w:top w:val="single" w:sz="4" w:space="0" w:color="auto"/>
              <w:bottom w:val="single" w:sz="4" w:space="0" w:color="auto"/>
            </w:tcBorders>
            <w:shd w:val="clear" w:color="auto" w:fill="auto"/>
            <w:noWrap/>
            <w:hideMark/>
          </w:tcPr>
          <w:p w14:paraId="6CF9A842"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5D2AB956"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C3ECC9A"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603BF9D3"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Component total</w:t>
            </w:r>
          </w:p>
        </w:tc>
        <w:tc>
          <w:tcPr>
            <w:tcW w:w="1620" w:type="dxa"/>
            <w:tcBorders>
              <w:top w:val="single" w:sz="4" w:space="0" w:color="auto"/>
              <w:bottom w:val="single" w:sz="4" w:space="0" w:color="auto"/>
            </w:tcBorders>
            <w:shd w:val="clear" w:color="auto" w:fill="auto"/>
            <w:noWrap/>
            <w:hideMark/>
          </w:tcPr>
          <w:p w14:paraId="77EBF13C"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25 000</w:t>
            </w:r>
          </w:p>
        </w:tc>
        <w:tc>
          <w:tcPr>
            <w:tcW w:w="1756" w:type="dxa"/>
            <w:tcBorders>
              <w:top w:val="single" w:sz="4" w:space="0" w:color="auto"/>
              <w:bottom w:val="single" w:sz="4" w:space="0" w:color="auto"/>
            </w:tcBorders>
            <w:shd w:val="clear" w:color="auto" w:fill="auto"/>
            <w:noWrap/>
            <w:hideMark/>
          </w:tcPr>
          <w:p w14:paraId="319285FB"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w:t>
            </w:r>
          </w:p>
        </w:tc>
      </w:tr>
      <w:tr w:rsidR="0023336D" w:rsidRPr="00C90FBC" w14:paraId="14A450E6"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B14F933"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9</w:t>
            </w:r>
          </w:p>
        </w:tc>
        <w:tc>
          <w:tcPr>
            <w:tcW w:w="4680" w:type="dxa"/>
            <w:tcBorders>
              <w:top w:val="single" w:sz="4" w:space="0" w:color="auto"/>
              <w:bottom w:val="single" w:sz="4" w:space="0" w:color="auto"/>
            </w:tcBorders>
            <w:shd w:val="clear" w:color="auto" w:fill="auto"/>
            <w:noWrap/>
            <w:hideMark/>
          </w:tcPr>
          <w:p w14:paraId="7EA8F503"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xml:space="preserve">Communication, </w:t>
            </w:r>
            <w:proofErr w:type="gramStart"/>
            <w:r w:rsidRPr="00C90FBC">
              <w:rPr>
                <w:b/>
                <w:bCs/>
                <w:sz w:val="18"/>
                <w:szCs w:val="18"/>
                <w:lang w:val="en-GB"/>
              </w:rPr>
              <w:t>outreach</w:t>
            </w:r>
            <w:proofErr w:type="gramEnd"/>
            <w:r w:rsidRPr="00C90FBC">
              <w:rPr>
                <w:b/>
                <w:bCs/>
                <w:sz w:val="18"/>
                <w:szCs w:val="18"/>
                <w:lang w:val="en-GB"/>
              </w:rPr>
              <w:t xml:space="preserve"> and public awareness</w:t>
            </w:r>
          </w:p>
        </w:tc>
        <w:tc>
          <w:tcPr>
            <w:tcW w:w="1620" w:type="dxa"/>
            <w:tcBorders>
              <w:top w:val="single" w:sz="4" w:space="0" w:color="auto"/>
              <w:bottom w:val="single" w:sz="4" w:space="0" w:color="auto"/>
            </w:tcBorders>
            <w:shd w:val="clear" w:color="auto" w:fill="auto"/>
            <w:noWrap/>
            <w:hideMark/>
          </w:tcPr>
          <w:p w14:paraId="32CC6BFA" w14:textId="77777777" w:rsidR="0023336D" w:rsidRPr="00C90FBC" w:rsidRDefault="0023336D" w:rsidP="008E185F">
            <w:pPr>
              <w:pStyle w:val="Normal-pool"/>
              <w:spacing w:before="40" w:after="40"/>
              <w:jc w:val="right"/>
              <w:rPr>
                <w:b/>
                <w:bCs/>
                <w:sz w:val="18"/>
                <w:szCs w:val="18"/>
                <w:lang w:val="en-GB"/>
              </w:rPr>
            </w:pPr>
          </w:p>
        </w:tc>
        <w:tc>
          <w:tcPr>
            <w:tcW w:w="1756" w:type="dxa"/>
            <w:tcBorders>
              <w:top w:val="single" w:sz="4" w:space="0" w:color="auto"/>
              <w:bottom w:val="single" w:sz="4" w:space="0" w:color="auto"/>
            </w:tcBorders>
            <w:shd w:val="clear" w:color="auto" w:fill="auto"/>
            <w:noWrap/>
            <w:hideMark/>
          </w:tcPr>
          <w:p w14:paraId="67572145" w14:textId="77777777" w:rsidR="0023336D" w:rsidRPr="00C90FBC" w:rsidRDefault="0023336D" w:rsidP="008E185F">
            <w:pPr>
              <w:pStyle w:val="Normal-pool"/>
              <w:spacing w:before="40" w:after="40"/>
              <w:jc w:val="right"/>
              <w:rPr>
                <w:b/>
                <w:bCs/>
                <w:sz w:val="18"/>
                <w:szCs w:val="18"/>
                <w:lang w:val="en-GB"/>
              </w:rPr>
            </w:pPr>
          </w:p>
        </w:tc>
      </w:tr>
      <w:tr w:rsidR="0023336D" w:rsidRPr="00C90FBC" w14:paraId="394CE218"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EC0528E"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single" w:sz="4" w:space="0" w:color="auto"/>
              <w:bottom w:val="single" w:sz="4" w:space="0" w:color="auto"/>
            </w:tcBorders>
            <w:shd w:val="clear" w:color="auto" w:fill="auto"/>
            <w:noWrap/>
            <w:hideMark/>
          </w:tcPr>
          <w:p w14:paraId="332C0AF9" w14:textId="77777777" w:rsidR="0023336D" w:rsidRPr="00C90FBC" w:rsidRDefault="0023336D" w:rsidP="008E185F">
            <w:pPr>
              <w:pStyle w:val="Normal-pool"/>
              <w:spacing w:before="40" w:after="40"/>
              <w:rPr>
                <w:sz w:val="18"/>
                <w:szCs w:val="18"/>
                <w:lang w:val="en-GB"/>
              </w:rPr>
            </w:pPr>
            <w:r w:rsidRPr="00C90FBC">
              <w:rPr>
                <w:sz w:val="18"/>
                <w:szCs w:val="18"/>
                <w:lang w:val="en-GB"/>
              </w:rPr>
              <w:t xml:space="preserve">9.1 Communication, </w:t>
            </w:r>
            <w:proofErr w:type="gramStart"/>
            <w:r w:rsidRPr="00C90FBC">
              <w:rPr>
                <w:sz w:val="18"/>
                <w:szCs w:val="18"/>
                <w:lang w:val="en-GB"/>
              </w:rPr>
              <w:t>outreach</w:t>
            </w:r>
            <w:proofErr w:type="gramEnd"/>
            <w:r w:rsidRPr="00C90FBC">
              <w:rPr>
                <w:sz w:val="18"/>
                <w:szCs w:val="18"/>
                <w:lang w:val="en-GB"/>
              </w:rPr>
              <w:t xml:space="preserve"> and public awareness</w:t>
            </w:r>
          </w:p>
        </w:tc>
        <w:tc>
          <w:tcPr>
            <w:tcW w:w="1620" w:type="dxa"/>
            <w:tcBorders>
              <w:top w:val="single" w:sz="4" w:space="0" w:color="auto"/>
              <w:bottom w:val="single" w:sz="4" w:space="0" w:color="auto"/>
            </w:tcBorders>
            <w:shd w:val="clear" w:color="auto" w:fill="auto"/>
            <w:noWrap/>
            <w:hideMark/>
          </w:tcPr>
          <w:p w14:paraId="3BADAFD3"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34 000</w:t>
            </w:r>
          </w:p>
        </w:tc>
        <w:tc>
          <w:tcPr>
            <w:tcW w:w="1756" w:type="dxa"/>
            <w:tcBorders>
              <w:top w:val="single" w:sz="4" w:space="0" w:color="auto"/>
              <w:bottom w:val="single" w:sz="4" w:space="0" w:color="auto"/>
            </w:tcBorders>
            <w:shd w:val="clear" w:color="auto" w:fill="auto"/>
            <w:noWrap/>
            <w:hideMark/>
          </w:tcPr>
          <w:p w14:paraId="113F026E"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47F8B4F0"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58A8C08"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3F2AFC87"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Component total</w:t>
            </w:r>
          </w:p>
        </w:tc>
        <w:tc>
          <w:tcPr>
            <w:tcW w:w="1620" w:type="dxa"/>
            <w:tcBorders>
              <w:top w:val="single" w:sz="4" w:space="0" w:color="auto"/>
              <w:bottom w:val="single" w:sz="4" w:space="0" w:color="auto"/>
            </w:tcBorders>
            <w:shd w:val="clear" w:color="auto" w:fill="auto"/>
            <w:noWrap/>
            <w:hideMark/>
          </w:tcPr>
          <w:p w14:paraId="6F2696EA"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34 000</w:t>
            </w:r>
          </w:p>
        </w:tc>
        <w:tc>
          <w:tcPr>
            <w:tcW w:w="1756" w:type="dxa"/>
            <w:tcBorders>
              <w:top w:val="single" w:sz="4" w:space="0" w:color="auto"/>
              <w:bottom w:val="single" w:sz="4" w:space="0" w:color="auto"/>
            </w:tcBorders>
            <w:shd w:val="clear" w:color="auto" w:fill="auto"/>
            <w:noWrap/>
            <w:hideMark/>
          </w:tcPr>
          <w:p w14:paraId="367880FA" w14:textId="77777777" w:rsidR="0023336D" w:rsidRPr="00C90FBC" w:rsidRDefault="0023336D" w:rsidP="008E185F">
            <w:pPr>
              <w:pStyle w:val="Normal-pool"/>
              <w:spacing w:before="40" w:after="40"/>
              <w:jc w:val="right"/>
              <w:rPr>
                <w:b/>
                <w:bCs/>
                <w:sz w:val="18"/>
                <w:szCs w:val="18"/>
                <w:lang w:val="en-GB"/>
              </w:rPr>
            </w:pPr>
            <w:r w:rsidRPr="00C90FBC">
              <w:rPr>
                <w:sz w:val="18"/>
                <w:szCs w:val="18"/>
                <w:lang w:val="en-GB"/>
              </w:rPr>
              <w:t>–</w:t>
            </w:r>
          </w:p>
        </w:tc>
      </w:tr>
      <w:tr w:rsidR="0023336D" w:rsidRPr="00C90FBC" w14:paraId="50028A14"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B4224EB"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10</w:t>
            </w:r>
          </w:p>
        </w:tc>
        <w:tc>
          <w:tcPr>
            <w:tcW w:w="4680" w:type="dxa"/>
            <w:tcBorders>
              <w:top w:val="single" w:sz="4" w:space="0" w:color="auto"/>
              <w:bottom w:val="single" w:sz="4" w:space="0" w:color="auto"/>
            </w:tcBorders>
            <w:shd w:val="clear" w:color="auto" w:fill="auto"/>
            <w:noWrap/>
            <w:hideMark/>
          </w:tcPr>
          <w:p w14:paraId="238F1B06"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Digital strategy</w:t>
            </w:r>
          </w:p>
        </w:tc>
        <w:tc>
          <w:tcPr>
            <w:tcW w:w="1620" w:type="dxa"/>
            <w:tcBorders>
              <w:top w:val="single" w:sz="4" w:space="0" w:color="auto"/>
              <w:bottom w:val="single" w:sz="4" w:space="0" w:color="auto"/>
            </w:tcBorders>
            <w:shd w:val="clear" w:color="auto" w:fill="auto"/>
            <w:noWrap/>
            <w:hideMark/>
          </w:tcPr>
          <w:p w14:paraId="440C6BE1" w14:textId="77777777" w:rsidR="0023336D" w:rsidRPr="00C90FBC" w:rsidRDefault="0023336D" w:rsidP="008E185F">
            <w:pPr>
              <w:pStyle w:val="Normal-pool"/>
              <w:spacing w:before="40" w:after="40"/>
              <w:jc w:val="right"/>
              <w:rPr>
                <w:rFonts w:eastAsia="Times New Roman"/>
                <w:color w:val="000000"/>
                <w:sz w:val="18"/>
                <w:szCs w:val="18"/>
                <w:lang w:val="en-GB"/>
              </w:rPr>
            </w:pPr>
          </w:p>
        </w:tc>
        <w:tc>
          <w:tcPr>
            <w:tcW w:w="1756" w:type="dxa"/>
            <w:tcBorders>
              <w:top w:val="single" w:sz="4" w:space="0" w:color="auto"/>
              <w:bottom w:val="single" w:sz="4" w:space="0" w:color="auto"/>
            </w:tcBorders>
            <w:shd w:val="clear" w:color="auto" w:fill="auto"/>
            <w:noWrap/>
            <w:hideMark/>
          </w:tcPr>
          <w:p w14:paraId="2B936125" w14:textId="77777777" w:rsidR="0023336D" w:rsidRPr="00C90FBC" w:rsidRDefault="0023336D" w:rsidP="008E185F">
            <w:pPr>
              <w:pStyle w:val="Normal-pool"/>
              <w:spacing w:before="40" w:after="40"/>
              <w:jc w:val="right"/>
              <w:rPr>
                <w:rFonts w:eastAsia="Times New Roman"/>
                <w:color w:val="000000"/>
                <w:sz w:val="18"/>
                <w:szCs w:val="18"/>
                <w:lang w:val="en-GB"/>
              </w:rPr>
            </w:pPr>
          </w:p>
        </w:tc>
      </w:tr>
      <w:tr w:rsidR="0023336D" w:rsidRPr="00C90FBC" w14:paraId="1AE586D4"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C77FF9B"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single" w:sz="4" w:space="0" w:color="auto"/>
              <w:bottom w:val="single" w:sz="4" w:space="0" w:color="auto"/>
            </w:tcBorders>
            <w:shd w:val="clear" w:color="auto" w:fill="auto"/>
            <w:noWrap/>
            <w:hideMark/>
          </w:tcPr>
          <w:p w14:paraId="729584B8" w14:textId="77777777" w:rsidR="0023336D" w:rsidRPr="00C90FBC" w:rsidRDefault="0023336D" w:rsidP="008E185F">
            <w:pPr>
              <w:pStyle w:val="Normal-pool"/>
              <w:spacing w:before="40" w:after="40"/>
              <w:rPr>
                <w:sz w:val="18"/>
                <w:szCs w:val="18"/>
                <w:lang w:val="en-GB"/>
              </w:rPr>
            </w:pPr>
            <w:r w:rsidRPr="00C90FBC">
              <w:rPr>
                <w:sz w:val="18"/>
                <w:szCs w:val="18"/>
                <w:lang w:val="en-GB"/>
              </w:rPr>
              <w:t>10.1 Digital strategy</w:t>
            </w:r>
          </w:p>
        </w:tc>
        <w:tc>
          <w:tcPr>
            <w:tcW w:w="1620" w:type="dxa"/>
            <w:tcBorders>
              <w:top w:val="single" w:sz="4" w:space="0" w:color="auto"/>
              <w:bottom w:val="single" w:sz="4" w:space="0" w:color="auto"/>
            </w:tcBorders>
            <w:shd w:val="clear" w:color="auto" w:fill="auto"/>
            <w:noWrap/>
            <w:hideMark/>
          </w:tcPr>
          <w:p w14:paraId="6D117583"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45 000</w:t>
            </w:r>
          </w:p>
        </w:tc>
        <w:tc>
          <w:tcPr>
            <w:tcW w:w="1756" w:type="dxa"/>
            <w:tcBorders>
              <w:top w:val="single" w:sz="4" w:space="0" w:color="auto"/>
              <w:bottom w:val="single" w:sz="4" w:space="0" w:color="auto"/>
            </w:tcBorders>
            <w:shd w:val="clear" w:color="auto" w:fill="auto"/>
            <w:noWrap/>
            <w:hideMark/>
          </w:tcPr>
          <w:p w14:paraId="51D6075E"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95 000</w:t>
            </w:r>
          </w:p>
        </w:tc>
      </w:tr>
      <w:tr w:rsidR="0023336D" w:rsidRPr="00C90FBC" w14:paraId="3C7A5256"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2723925"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2307413F"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Component total</w:t>
            </w:r>
          </w:p>
        </w:tc>
        <w:tc>
          <w:tcPr>
            <w:tcW w:w="1620" w:type="dxa"/>
            <w:tcBorders>
              <w:top w:val="single" w:sz="4" w:space="0" w:color="auto"/>
              <w:bottom w:val="single" w:sz="4" w:space="0" w:color="auto"/>
            </w:tcBorders>
            <w:shd w:val="clear" w:color="auto" w:fill="auto"/>
            <w:noWrap/>
            <w:hideMark/>
          </w:tcPr>
          <w:p w14:paraId="685ECAA7"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45 000</w:t>
            </w:r>
          </w:p>
        </w:tc>
        <w:tc>
          <w:tcPr>
            <w:tcW w:w="1756" w:type="dxa"/>
            <w:tcBorders>
              <w:top w:val="single" w:sz="4" w:space="0" w:color="auto"/>
              <w:bottom w:val="single" w:sz="4" w:space="0" w:color="auto"/>
            </w:tcBorders>
            <w:shd w:val="clear" w:color="auto" w:fill="auto"/>
            <w:noWrap/>
            <w:hideMark/>
          </w:tcPr>
          <w:p w14:paraId="17914E6C"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95 000</w:t>
            </w:r>
          </w:p>
        </w:tc>
      </w:tr>
      <w:tr w:rsidR="0023336D" w:rsidRPr="00C90FBC" w14:paraId="16797F81"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BB5838F"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3D84E861"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Total (D)</w:t>
            </w:r>
          </w:p>
        </w:tc>
        <w:tc>
          <w:tcPr>
            <w:tcW w:w="1620" w:type="dxa"/>
            <w:tcBorders>
              <w:top w:val="single" w:sz="4" w:space="0" w:color="auto"/>
              <w:bottom w:val="single" w:sz="4" w:space="0" w:color="auto"/>
            </w:tcBorders>
            <w:shd w:val="clear" w:color="auto" w:fill="auto"/>
            <w:noWrap/>
            <w:hideMark/>
          </w:tcPr>
          <w:p w14:paraId="2ED3AC81"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104 000</w:t>
            </w:r>
          </w:p>
        </w:tc>
        <w:tc>
          <w:tcPr>
            <w:tcW w:w="1756" w:type="dxa"/>
            <w:tcBorders>
              <w:top w:val="single" w:sz="4" w:space="0" w:color="auto"/>
              <w:bottom w:val="single" w:sz="4" w:space="0" w:color="auto"/>
            </w:tcBorders>
            <w:shd w:val="clear" w:color="auto" w:fill="auto"/>
            <w:noWrap/>
            <w:hideMark/>
          </w:tcPr>
          <w:p w14:paraId="098D8D7C"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95 000</w:t>
            </w:r>
          </w:p>
        </w:tc>
      </w:tr>
      <w:tr w:rsidR="0023336D" w:rsidRPr="00C90FBC" w14:paraId="53423796"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E1D26D8"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E.</w:t>
            </w:r>
          </w:p>
        </w:tc>
        <w:tc>
          <w:tcPr>
            <w:tcW w:w="4680" w:type="dxa"/>
            <w:tcBorders>
              <w:top w:val="single" w:sz="4" w:space="0" w:color="auto"/>
              <w:bottom w:val="single" w:sz="4" w:space="0" w:color="auto"/>
            </w:tcBorders>
            <w:shd w:val="clear" w:color="auto" w:fill="auto"/>
            <w:noWrap/>
            <w:hideMark/>
          </w:tcPr>
          <w:p w14:paraId="4F680209"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Overall management</w:t>
            </w:r>
          </w:p>
        </w:tc>
        <w:tc>
          <w:tcPr>
            <w:tcW w:w="1620" w:type="dxa"/>
            <w:tcBorders>
              <w:top w:val="single" w:sz="4" w:space="0" w:color="auto"/>
              <w:bottom w:val="single" w:sz="4" w:space="0" w:color="auto"/>
            </w:tcBorders>
            <w:shd w:val="clear" w:color="auto" w:fill="auto"/>
            <w:noWrap/>
            <w:hideMark/>
          </w:tcPr>
          <w:p w14:paraId="6422FDBE" w14:textId="77777777" w:rsidR="0023336D" w:rsidRPr="00C90FBC" w:rsidRDefault="0023336D" w:rsidP="008E185F">
            <w:pPr>
              <w:pStyle w:val="Normal-pool"/>
              <w:spacing w:before="40" w:after="40"/>
              <w:jc w:val="right"/>
              <w:rPr>
                <w:b/>
                <w:bCs/>
                <w:sz w:val="18"/>
                <w:szCs w:val="18"/>
                <w:lang w:val="en-GB"/>
              </w:rPr>
            </w:pPr>
          </w:p>
        </w:tc>
        <w:tc>
          <w:tcPr>
            <w:tcW w:w="1756" w:type="dxa"/>
            <w:tcBorders>
              <w:top w:val="single" w:sz="4" w:space="0" w:color="auto"/>
              <w:bottom w:val="single" w:sz="4" w:space="0" w:color="auto"/>
            </w:tcBorders>
            <w:shd w:val="clear" w:color="auto" w:fill="auto"/>
            <w:noWrap/>
            <w:hideMark/>
          </w:tcPr>
          <w:p w14:paraId="2D6D4023" w14:textId="77777777" w:rsidR="0023336D" w:rsidRPr="00C90FBC" w:rsidRDefault="0023336D" w:rsidP="008E185F">
            <w:pPr>
              <w:pStyle w:val="Normal-pool"/>
              <w:spacing w:before="40" w:after="40"/>
              <w:jc w:val="right"/>
              <w:rPr>
                <w:b/>
                <w:bCs/>
                <w:sz w:val="18"/>
                <w:szCs w:val="18"/>
                <w:lang w:val="en-GB"/>
              </w:rPr>
            </w:pPr>
          </w:p>
        </w:tc>
      </w:tr>
      <w:tr w:rsidR="0023336D" w:rsidRPr="00C90FBC" w14:paraId="799139A1" w14:textId="77777777" w:rsidTr="008E185F">
        <w:trPr>
          <w:trHeight w:val="57"/>
          <w:jc w:val="right"/>
        </w:trPr>
        <w:tc>
          <w:tcPr>
            <w:tcW w:w="1440" w:type="dxa"/>
            <w:tcBorders>
              <w:top w:val="single" w:sz="4" w:space="0" w:color="auto"/>
            </w:tcBorders>
            <w:shd w:val="clear" w:color="auto" w:fill="auto"/>
            <w:noWrap/>
            <w:hideMark/>
          </w:tcPr>
          <w:p w14:paraId="2E5B4A2A"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11</w:t>
            </w:r>
          </w:p>
        </w:tc>
        <w:tc>
          <w:tcPr>
            <w:tcW w:w="4680" w:type="dxa"/>
            <w:tcBorders>
              <w:top w:val="single" w:sz="4" w:space="0" w:color="auto"/>
            </w:tcBorders>
            <w:shd w:val="clear" w:color="auto" w:fill="auto"/>
            <w:noWrap/>
            <w:hideMark/>
          </w:tcPr>
          <w:p w14:paraId="7F38EA78"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Executive direction and management</w:t>
            </w:r>
          </w:p>
        </w:tc>
        <w:tc>
          <w:tcPr>
            <w:tcW w:w="1620" w:type="dxa"/>
            <w:tcBorders>
              <w:top w:val="single" w:sz="4" w:space="0" w:color="auto"/>
            </w:tcBorders>
            <w:shd w:val="clear" w:color="auto" w:fill="auto"/>
            <w:noWrap/>
            <w:hideMark/>
          </w:tcPr>
          <w:p w14:paraId="45880D28" w14:textId="77777777" w:rsidR="0023336D" w:rsidRPr="00C90FBC" w:rsidRDefault="0023336D" w:rsidP="008E185F">
            <w:pPr>
              <w:pStyle w:val="Normal-pool"/>
              <w:spacing w:before="40" w:after="40"/>
              <w:jc w:val="right"/>
              <w:rPr>
                <w:rFonts w:eastAsia="Times New Roman"/>
                <w:color w:val="000000"/>
                <w:sz w:val="18"/>
                <w:szCs w:val="18"/>
                <w:lang w:val="en-GB"/>
              </w:rPr>
            </w:pPr>
          </w:p>
        </w:tc>
        <w:tc>
          <w:tcPr>
            <w:tcW w:w="1756" w:type="dxa"/>
            <w:tcBorders>
              <w:top w:val="single" w:sz="4" w:space="0" w:color="auto"/>
            </w:tcBorders>
            <w:shd w:val="clear" w:color="auto" w:fill="auto"/>
            <w:noWrap/>
            <w:hideMark/>
          </w:tcPr>
          <w:p w14:paraId="0F6D9246" w14:textId="77777777" w:rsidR="0023336D" w:rsidRPr="00C90FBC" w:rsidRDefault="0023336D" w:rsidP="008E185F">
            <w:pPr>
              <w:pStyle w:val="Normal-pool"/>
              <w:spacing w:before="40" w:after="40"/>
              <w:jc w:val="right"/>
              <w:rPr>
                <w:rFonts w:eastAsia="Times New Roman"/>
                <w:color w:val="000000"/>
                <w:sz w:val="18"/>
                <w:szCs w:val="18"/>
                <w:lang w:val="en-GB"/>
              </w:rPr>
            </w:pPr>
          </w:p>
        </w:tc>
      </w:tr>
      <w:tr w:rsidR="0023336D" w:rsidRPr="00C90FBC" w14:paraId="3643BC94" w14:textId="77777777" w:rsidTr="008E185F">
        <w:trPr>
          <w:trHeight w:val="57"/>
          <w:jc w:val="right"/>
        </w:trPr>
        <w:tc>
          <w:tcPr>
            <w:tcW w:w="1440" w:type="dxa"/>
            <w:tcBorders>
              <w:top w:val="nil"/>
            </w:tcBorders>
            <w:shd w:val="clear" w:color="auto" w:fill="auto"/>
            <w:noWrap/>
            <w:hideMark/>
          </w:tcPr>
          <w:p w14:paraId="535CCA27"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tcBorders>
            <w:shd w:val="clear" w:color="auto" w:fill="auto"/>
            <w:noWrap/>
            <w:hideMark/>
          </w:tcPr>
          <w:p w14:paraId="29C40CF7" w14:textId="77777777" w:rsidR="0023336D" w:rsidRPr="00C90FBC" w:rsidRDefault="0023336D" w:rsidP="008E185F">
            <w:pPr>
              <w:pStyle w:val="Normal-pool"/>
              <w:spacing w:before="40" w:after="40"/>
              <w:rPr>
                <w:sz w:val="18"/>
                <w:szCs w:val="18"/>
                <w:lang w:val="en-GB"/>
              </w:rPr>
            </w:pPr>
            <w:r w:rsidRPr="00C90FBC">
              <w:rPr>
                <w:sz w:val="18"/>
                <w:szCs w:val="18"/>
                <w:lang w:val="en-GB"/>
              </w:rPr>
              <w:t>11.1 Overall management</w:t>
            </w:r>
          </w:p>
        </w:tc>
        <w:tc>
          <w:tcPr>
            <w:tcW w:w="1620" w:type="dxa"/>
            <w:tcBorders>
              <w:top w:val="nil"/>
            </w:tcBorders>
            <w:shd w:val="clear" w:color="auto" w:fill="auto"/>
            <w:noWrap/>
            <w:hideMark/>
          </w:tcPr>
          <w:p w14:paraId="61322E8E"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2 165 500</w:t>
            </w:r>
          </w:p>
        </w:tc>
        <w:tc>
          <w:tcPr>
            <w:tcW w:w="1756" w:type="dxa"/>
            <w:tcBorders>
              <w:top w:val="nil"/>
            </w:tcBorders>
            <w:shd w:val="clear" w:color="auto" w:fill="auto"/>
            <w:noWrap/>
            <w:hideMark/>
          </w:tcPr>
          <w:p w14:paraId="5D30DAB8"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63D2A8AF" w14:textId="77777777" w:rsidTr="008E185F">
        <w:trPr>
          <w:trHeight w:val="57"/>
          <w:jc w:val="right"/>
        </w:trPr>
        <w:tc>
          <w:tcPr>
            <w:tcW w:w="1440" w:type="dxa"/>
            <w:tcBorders>
              <w:top w:val="nil"/>
              <w:bottom w:val="single" w:sz="4" w:space="0" w:color="auto"/>
            </w:tcBorders>
            <w:shd w:val="clear" w:color="auto" w:fill="auto"/>
            <w:noWrap/>
            <w:hideMark/>
          </w:tcPr>
          <w:p w14:paraId="5FA65DA5"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bottom w:val="single" w:sz="4" w:space="0" w:color="auto"/>
            </w:tcBorders>
            <w:shd w:val="clear" w:color="auto" w:fill="auto"/>
            <w:noWrap/>
            <w:hideMark/>
          </w:tcPr>
          <w:p w14:paraId="0C6361A7" w14:textId="77777777" w:rsidR="0023336D" w:rsidRPr="00C90FBC" w:rsidRDefault="0023336D" w:rsidP="008E185F">
            <w:pPr>
              <w:pStyle w:val="Normal-pool"/>
              <w:spacing w:before="40" w:after="40"/>
              <w:rPr>
                <w:sz w:val="18"/>
                <w:szCs w:val="18"/>
                <w:lang w:val="en-GB"/>
              </w:rPr>
            </w:pPr>
            <w:r w:rsidRPr="00C90FBC">
              <w:rPr>
                <w:sz w:val="18"/>
                <w:szCs w:val="18"/>
                <w:lang w:val="en-GB"/>
              </w:rPr>
              <w:t>11.2 Staff travel</w:t>
            </w:r>
          </w:p>
        </w:tc>
        <w:tc>
          <w:tcPr>
            <w:tcW w:w="1620" w:type="dxa"/>
            <w:tcBorders>
              <w:top w:val="nil"/>
              <w:bottom w:val="single" w:sz="4" w:space="0" w:color="auto"/>
            </w:tcBorders>
            <w:shd w:val="clear" w:color="auto" w:fill="auto"/>
            <w:noWrap/>
            <w:hideMark/>
          </w:tcPr>
          <w:p w14:paraId="5BA60DEC"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61 500</w:t>
            </w:r>
          </w:p>
        </w:tc>
        <w:tc>
          <w:tcPr>
            <w:tcW w:w="1756" w:type="dxa"/>
            <w:tcBorders>
              <w:top w:val="nil"/>
              <w:bottom w:val="single" w:sz="4" w:space="0" w:color="auto"/>
            </w:tcBorders>
            <w:shd w:val="clear" w:color="auto" w:fill="auto"/>
            <w:noWrap/>
            <w:hideMark/>
          </w:tcPr>
          <w:p w14:paraId="0C70F0CD"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37EF3724"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39E34F7"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0762B715"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Component total</w:t>
            </w:r>
          </w:p>
        </w:tc>
        <w:tc>
          <w:tcPr>
            <w:tcW w:w="1620" w:type="dxa"/>
            <w:tcBorders>
              <w:top w:val="single" w:sz="4" w:space="0" w:color="auto"/>
              <w:bottom w:val="single" w:sz="4" w:space="0" w:color="auto"/>
            </w:tcBorders>
            <w:shd w:val="clear" w:color="auto" w:fill="auto"/>
            <w:noWrap/>
            <w:hideMark/>
          </w:tcPr>
          <w:p w14:paraId="711661D0"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2 227 000</w:t>
            </w:r>
          </w:p>
        </w:tc>
        <w:tc>
          <w:tcPr>
            <w:tcW w:w="1756" w:type="dxa"/>
            <w:tcBorders>
              <w:top w:val="single" w:sz="4" w:space="0" w:color="auto"/>
              <w:bottom w:val="single" w:sz="4" w:space="0" w:color="auto"/>
            </w:tcBorders>
            <w:shd w:val="clear" w:color="auto" w:fill="auto"/>
            <w:noWrap/>
            <w:hideMark/>
          </w:tcPr>
          <w:p w14:paraId="02B369D1" w14:textId="77777777" w:rsidR="0023336D" w:rsidRPr="00C90FBC" w:rsidRDefault="0023336D" w:rsidP="008E185F">
            <w:pPr>
              <w:pStyle w:val="Normal-pool"/>
              <w:spacing w:before="40" w:after="40"/>
              <w:jc w:val="right"/>
              <w:rPr>
                <w:b/>
                <w:bCs/>
                <w:sz w:val="18"/>
                <w:szCs w:val="18"/>
                <w:lang w:val="en-GB"/>
              </w:rPr>
            </w:pPr>
            <w:r w:rsidRPr="00C90FBC">
              <w:rPr>
                <w:sz w:val="18"/>
                <w:szCs w:val="18"/>
                <w:lang w:val="en-GB"/>
              </w:rPr>
              <w:t>–</w:t>
            </w:r>
          </w:p>
        </w:tc>
      </w:tr>
      <w:tr w:rsidR="0023336D" w:rsidRPr="00C90FBC" w14:paraId="26E54A7D"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F232D1B"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12</w:t>
            </w:r>
          </w:p>
        </w:tc>
        <w:tc>
          <w:tcPr>
            <w:tcW w:w="4680" w:type="dxa"/>
            <w:tcBorders>
              <w:top w:val="single" w:sz="4" w:space="0" w:color="auto"/>
              <w:bottom w:val="single" w:sz="4" w:space="0" w:color="auto"/>
            </w:tcBorders>
            <w:shd w:val="clear" w:color="auto" w:fill="auto"/>
            <w:noWrap/>
            <w:hideMark/>
          </w:tcPr>
          <w:p w14:paraId="33864B29"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International cooperation and coordination</w:t>
            </w:r>
          </w:p>
        </w:tc>
        <w:tc>
          <w:tcPr>
            <w:tcW w:w="1620" w:type="dxa"/>
            <w:tcBorders>
              <w:top w:val="single" w:sz="4" w:space="0" w:color="auto"/>
              <w:bottom w:val="single" w:sz="4" w:space="0" w:color="auto"/>
            </w:tcBorders>
            <w:shd w:val="clear" w:color="auto" w:fill="auto"/>
            <w:noWrap/>
            <w:hideMark/>
          </w:tcPr>
          <w:p w14:paraId="41FE4287" w14:textId="77777777" w:rsidR="0023336D" w:rsidRPr="00C90FBC" w:rsidRDefault="0023336D" w:rsidP="008E185F">
            <w:pPr>
              <w:pStyle w:val="Normal-pool"/>
              <w:spacing w:before="40" w:after="40"/>
              <w:jc w:val="right"/>
              <w:rPr>
                <w:b/>
                <w:bCs/>
                <w:sz w:val="18"/>
                <w:szCs w:val="18"/>
                <w:lang w:val="en-GB"/>
              </w:rPr>
            </w:pPr>
          </w:p>
        </w:tc>
        <w:tc>
          <w:tcPr>
            <w:tcW w:w="1756" w:type="dxa"/>
            <w:tcBorders>
              <w:top w:val="single" w:sz="4" w:space="0" w:color="auto"/>
              <w:bottom w:val="single" w:sz="4" w:space="0" w:color="auto"/>
            </w:tcBorders>
            <w:shd w:val="clear" w:color="auto" w:fill="auto"/>
            <w:noWrap/>
            <w:hideMark/>
          </w:tcPr>
          <w:p w14:paraId="524B1EB1" w14:textId="77777777" w:rsidR="0023336D" w:rsidRPr="00C90FBC" w:rsidRDefault="0023336D" w:rsidP="008E185F">
            <w:pPr>
              <w:pStyle w:val="Normal-pool"/>
              <w:spacing w:before="40" w:after="40"/>
              <w:jc w:val="right"/>
              <w:rPr>
                <w:b/>
                <w:bCs/>
                <w:sz w:val="18"/>
                <w:szCs w:val="18"/>
                <w:lang w:val="en-GB"/>
              </w:rPr>
            </w:pPr>
          </w:p>
        </w:tc>
      </w:tr>
      <w:tr w:rsidR="0023336D" w:rsidRPr="00C90FBC" w14:paraId="76C37CFA" w14:textId="77777777" w:rsidTr="008E185F">
        <w:trPr>
          <w:trHeight w:val="57"/>
          <w:jc w:val="right"/>
        </w:trPr>
        <w:tc>
          <w:tcPr>
            <w:tcW w:w="1440" w:type="dxa"/>
            <w:tcBorders>
              <w:top w:val="single" w:sz="4" w:space="0" w:color="auto"/>
            </w:tcBorders>
            <w:shd w:val="clear" w:color="auto" w:fill="auto"/>
            <w:noWrap/>
            <w:hideMark/>
          </w:tcPr>
          <w:p w14:paraId="45675D40"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single" w:sz="4" w:space="0" w:color="auto"/>
            </w:tcBorders>
            <w:shd w:val="clear" w:color="auto" w:fill="auto"/>
            <w:noWrap/>
            <w:hideMark/>
          </w:tcPr>
          <w:p w14:paraId="297130CD" w14:textId="77777777" w:rsidR="0023336D" w:rsidRPr="00C90FBC" w:rsidRDefault="0023336D" w:rsidP="008E185F">
            <w:pPr>
              <w:pStyle w:val="Normal-pool"/>
              <w:spacing w:before="40" w:after="40"/>
              <w:rPr>
                <w:sz w:val="18"/>
                <w:szCs w:val="18"/>
                <w:lang w:val="en-GB"/>
              </w:rPr>
            </w:pPr>
            <w:r w:rsidRPr="00C90FBC">
              <w:rPr>
                <w:sz w:val="18"/>
                <w:szCs w:val="18"/>
                <w:lang w:val="en-GB"/>
              </w:rPr>
              <w:t>12.1. Cooperation on the broader sustainable development and environment agenda</w:t>
            </w:r>
          </w:p>
        </w:tc>
        <w:tc>
          <w:tcPr>
            <w:tcW w:w="1620" w:type="dxa"/>
            <w:tcBorders>
              <w:top w:val="single" w:sz="4" w:space="0" w:color="auto"/>
            </w:tcBorders>
            <w:shd w:val="clear" w:color="auto" w:fill="auto"/>
            <w:noWrap/>
            <w:hideMark/>
          </w:tcPr>
          <w:p w14:paraId="7669E610"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single" w:sz="4" w:space="0" w:color="auto"/>
            </w:tcBorders>
            <w:shd w:val="clear" w:color="auto" w:fill="auto"/>
            <w:noWrap/>
            <w:hideMark/>
          </w:tcPr>
          <w:p w14:paraId="57ABD97D"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7DA9A8DD" w14:textId="77777777" w:rsidTr="008E185F">
        <w:trPr>
          <w:trHeight w:val="57"/>
          <w:jc w:val="right"/>
        </w:trPr>
        <w:tc>
          <w:tcPr>
            <w:tcW w:w="1440" w:type="dxa"/>
            <w:tcBorders>
              <w:top w:val="nil"/>
            </w:tcBorders>
            <w:shd w:val="clear" w:color="auto" w:fill="auto"/>
            <w:noWrap/>
            <w:hideMark/>
          </w:tcPr>
          <w:p w14:paraId="449E8A97"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tcBorders>
            <w:shd w:val="clear" w:color="auto" w:fill="auto"/>
            <w:noWrap/>
            <w:hideMark/>
          </w:tcPr>
          <w:p w14:paraId="1137A1CB" w14:textId="77777777" w:rsidR="0023336D" w:rsidRPr="00C90FBC" w:rsidRDefault="0023336D" w:rsidP="008E185F">
            <w:pPr>
              <w:pStyle w:val="Normal-pool"/>
              <w:spacing w:before="40" w:after="40"/>
              <w:rPr>
                <w:sz w:val="18"/>
                <w:szCs w:val="18"/>
                <w:lang w:val="en-GB"/>
              </w:rPr>
            </w:pPr>
            <w:r w:rsidRPr="00C90FBC">
              <w:rPr>
                <w:sz w:val="18"/>
                <w:szCs w:val="18"/>
                <w:lang w:val="en-GB"/>
              </w:rPr>
              <w:t>12.2. Cooperation within the chemicals and waste cluster</w:t>
            </w:r>
          </w:p>
        </w:tc>
        <w:tc>
          <w:tcPr>
            <w:tcW w:w="1620" w:type="dxa"/>
            <w:tcBorders>
              <w:top w:val="nil"/>
            </w:tcBorders>
            <w:shd w:val="clear" w:color="auto" w:fill="auto"/>
            <w:noWrap/>
            <w:hideMark/>
          </w:tcPr>
          <w:p w14:paraId="1E46A18B"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tcBorders>
            <w:shd w:val="clear" w:color="auto" w:fill="auto"/>
            <w:noWrap/>
            <w:hideMark/>
          </w:tcPr>
          <w:p w14:paraId="16B01F33"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205C44DE" w14:textId="77777777" w:rsidTr="008E185F">
        <w:trPr>
          <w:trHeight w:val="57"/>
          <w:jc w:val="right"/>
        </w:trPr>
        <w:tc>
          <w:tcPr>
            <w:tcW w:w="1440" w:type="dxa"/>
            <w:tcBorders>
              <w:top w:val="nil"/>
              <w:bottom w:val="single" w:sz="4" w:space="0" w:color="auto"/>
            </w:tcBorders>
            <w:shd w:val="clear" w:color="auto" w:fill="auto"/>
            <w:noWrap/>
            <w:hideMark/>
          </w:tcPr>
          <w:p w14:paraId="70C00F1B"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bottom w:val="single" w:sz="4" w:space="0" w:color="auto"/>
            </w:tcBorders>
            <w:shd w:val="clear" w:color="auto" w:fill="auto"/>
            <w:noWrap/>
            <w:hideMark/>
          </w:tcPr>
          <w:p w14:paraId="13108382" w14:textId="77777777" w:rsidR="0023336D" w:rsidRPr="00C90FBC" w:rsidRDefault="0023336D" w:rsidP="008E185F">
            <w:pPr>
              <w:pStyle w:val="Normal-pool"/>
              <w:spacing w:before="40" w:after="40"/>
              <w:rPr>
                <w:sz w:val="18"/>
                <w:szCs w:val="18"/>
                <w:lang w:val="en-GB"/>
              </w:rPr>
            </w:pPr>
            <w:r w:rsidRPr="00C90FBC">
              <w:rPr>
                <w:sz w:val="18"/>
                <w:szCs w:val="18"/>
                <w:lang w:val="en-GB"/>
              </w:rPr>
              <w:t>12.3. Other cooperation and coordination</w:t>
            </w:r>
          </w:p>
        </w:tc>
        <w:tc>
          <w:tcPr>
            <w:tcW w:w="1620" w:type="dxa"/>
            <w:tcBorders>
              <w:top w:val="nil"/>
              <w:bottom w:val="single" w:sz="4" w:space="0" w:color="auto"/>
            </w:tcBorders>
            <w:shd w:val="clear" w:color="auto" w:fill="auto"/>
            <w:noWrap/>
            <w:hideMark/>
          </w:tcPr>
          <w:p w14:paraId="7B91E013"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bottom w:val="single" w:sz="4" w:space="0" w:color="auto"/>
            </w:tcBorders>
            <w:shd w:val="clear" w:color="auto" w:fill="auto"/>
            <w:noWrap/>
            <w:hideMark/>
          </w:tcPr>
          <w:p w14:paraId="264E2E8B"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6D423BFD"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ECABF3C"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13171852"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Component total</w:t>
            </w:r>
          </w:p>
        </w:tc>
        <w:tc>
          <w:tcPr>
            <w:tcW w:w="1620" w:type="dxa"/>
            <w:tcBorders>
              <w:top w:val="single" w:sz="4" w:space="0" w:color="auto"/>
              <w:bottom w:val="single" w:sz="4" w:space="0" w:color="auto"/>
            </w:tcBorders>
            <w:shd w:val="clear" w:color="auto" w:fill="auto"/>
            <w:noWrap/>
            <w:hideMark/>
          </w:tcPr>
          <w:p w14:paraId="780CCC1D" w14:textId="77777777" w:rsidR="0023336D" w:rsidRPr="00C90FBC" w:rsidRDefault="0023336D" w:rsidP="008E185F">
            <w:pPr>
              <w:pStyle w:val="Normal-pool"/>
              <w:spacing w:before="40" w:after="40"/>
              <w:jc w:val="right"/>
              <w:rPr>
                <w:b/>
                <w:bCs/>
                <w:sz w:val="18"/>
                <w:szCs w:val="18"/>
                <w:lang w:val="en-GB"/>
              </w:rPr>
            </w:pPr>
            <w:r w:rsidRPr="00C90FBC">
              <w:rPr>
                <w:sz w:val="18"/>
                <w:szCs w:val="18"/>
                <w:lang w:val="en-GB"/>
              </w:rPr>
              <w:t>–</w:t>
            </w:r>
          </w:p>
        </w:tc>
        <w:tc>
          <w:tcPr>
            <w:tcW w:w="1756" w:type="dxa"/>
            <w:tcBorders>
              <w:top w:val="single" w:sz="4" w:space="0" w:color="auto"/>
              <w:bottom w:val="single" w:sz="4" w:space="0" w:color="auto"/>
            </w:tcBorders>
            <w:shd w:val="clear" w:color="auto" w:fill="auto"/>
            <w:noWrap/>
            <w:hideMark/>
          </w:tcPr>
          <w:p w14:paraId="1DFF7BEF" w14:textId="77777777" w:rsidR="0023336D" w:rsidRPr="00C90FBC" w:rsidRDefault="0023336D" w:rsidP="008E185F">
            <w:pPr>
              <w:pStyle w:val="Normal-pool"/>
              <w:spacing w:before="40" w:after="40"/>
              <w:jc w:val="right"/>
              <w:rPr>
                <w:b/>
                <w:bCs/>
                <w:sz w:val="18"/>
                <w:szCs w:val="18"/>
                <w:lang w:val="en-GB"/>
              </w:rPr>
            </w:pPr>
            <w:r w:rsidRPr="00C90FBC">
              <w:rPr>
                <w:sz w:val="18"/>
                <w:szCs w:val="18"/>
                <w:lang w:val="en-GB"/>
              </w:rPr>
              <w:t>–</w:t>
            </w:r>
          </w:p>
        </w:tc>
      </w:tr>
      <w:tr w:rsidR="0023336D" w:rsidRPr="00C90FBC" w14:paraId="6196F0D7" w14:textId="77777777" w:rsidTr="008E185F">
        <w:trPr>
          <w:trHeight w:val="57"/>
          <w:jc w:val="right"/>
        </w:trPr>
        <w:tc>
          <w:tcPr>
            <w:tcW w:w="1440" w:type="dxa"/>
            <w:tcBorders>
              <w:top w:val="single" w:sz="4" w:space="0" w:color="auto"/>
            </w:tcBorders>
            <w:shd w:val="clear" w:color="auto" w:fill="auto"/>
            <w:noWrap/>
            <w:hideMark/>
          </w:tcPr>
          <w:p w14:paraId="210453A5"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13</w:t>
            </w:r>
          </w:p>
        </w:tc>
        <w:tc>
          <w:tcPr>
            <w:tcW w:w="4680" w:type="dxa"/>
            <w:tcBorders>
              <w:top w:val="single" w:sz="4" w:space="0" w:color="auto"/>
            </w:tcBorders>
            <w:shd w:val="clear" w:color="auto" w:fill="auto"/>
            <w:noWrap/>
            <w:hideMark/>
          </w:tcPr>
          <w:p w14:paraId="3E09A8CC"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xml:space="preserve">Financial resources and mechanism </w:t>
            </w:r>
          </w:p>
        </w:tc>
        <w:tc>
          <w:tcPr>
            <w:tcW w:w="1620" w:type="dxa"/>
            <w:tcBorders>
              <w:top w:val="single" w:sz="4" w:space="0" w:color="auto"/>
            </w:tcBorders>
            <w:shd w:val="clear" w:color="auto" w:fill="auto"/>
            <w:noWrap/>
            <w:hideMark/>
          </w:tcPr>
          <w:p w14:paraId="139D7B5F" w14:textId="77777777" w:rsidR="0023336D" w:rsidRPr="00C90FBC" w:rsidRDefault="0023336D" w:rsidP="008E185F">
            <w:pPr>
              <w:pStyle w:val="Normal-pool"/>
              <w:spacing w:before="40" w:after="40"/>
              <w:jc w:val="right"/>
              <w:rPr>
                <w:b/>
                <w:bCs/>
                <w:sz w:val="18"/>
                <w:szCs w:val="18"/>
                <w:lang w:val="en-GB"/>
              </w:rPr>
            </w:pPr>
          </w:p>
        </w:tc>
        <w:tc>
          <w:tcPr>
            <w:tcW w:w="1756" w:type="dxa"/>
            <w:tcBorders>
              <w:top w:val="single" w:sz="4" w:space="0" w:color="auto"/>
            </w:tcBorders>
            <w:shd w:val="clear" w:color="auto" w:fill="auto"/>
            <w:noWrap/>
            <w:hideMark/>
          </w:tcPr>
          <w:p w14:paraId="1B929626" w14:textId="77777777" w:rsidR="0023336D" w:rsidRPr="00C90FBC" w:rsidRDefault="0023336D" w:rsidP="008E185F">
            <w:pPr>
              <w:pStyle w:val="Normal-pool"/>
              <w:spacing w:before="40" w:after="40"/>
              <w:jc w:val="right"/>
              <w:rPr>
                <w:b/>
                <w:bCs/>
                <w:sz w:val="18"/>
                <w:szCs w:val="18"/>
                <w:lang w:val="en-GB"/>
              </w:rPr>
            </w:pPr>
          </w:p>
        </w:tc>
      </w:tr>
      <w:tr w:rsidR="0023336D" w:rsidRPr="00C90FBC" w14:paraId="54BF6082" w14:textId="77777777" w:rsidTr="008E185F">
        <w:trPr>
          <w:trHeight w:val="57"/>
          <w:jc w:val="right"/>
        </w:trPr>
        <w:tc>
          <w:tcPr>
            <w:tcW w:w="1440" w:type="dxa"/>
            <w:tcBorders>
              <w:top w:val="nil"/>
            </w:tcBorders>
            <w:shd w:val="clear" w:color="auto" w:fill="auto"/>
            <w:noWrap/>
            <w:hideMark/>
          </w:tcPr>
          <w:p w14:paraId="76A25B6B"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tcBorders>
            <w:shd w:val="clear" w:color="auto" w:fill="auto"/>
            <w:noWrap/>
            <w:hideMark/>
          </w:tcPr>
          <w:p w14:paraId="4D9A069D" w14:textId="77777777" w:rsidR="0023336D" w:rsidRPr="00C90FBC" w:rsidRDefault="0023336D" w:rsidP="008E185F">
            <w:pPr>
              <w:pStyle w:val="Normal-pool"/>
              <w:spacing w:before="40" w:after="40"/>
              <w:rPr>
                <w:sz w:val="18"/>
                <w:szCs w:val="18"/>
                <w:lang w:val="en-GB"/>
              </w:rPr>
            </w:pPr>
            <w:r w:rsidRPr="00C90FBC">
              <w:rPr>
                <w:sz w:val="18"/>
                <w:szCs w:val="18"/>
                <w:lang w:val="en-GB"/>
              </w:rPr>
              <w:t>13.1. Financial resources</w:t>
            </w:r>
          </w:p>
        </w:tc>
        <w:tc>
          <w:tcPr>
            <w:tcW w:w="1620" w:type="dxa"/>
            <w:tcBorders>
              <w:top w:val="nil"/>
            </w:tcBorders>
            <w:shd w:val="clear" w:color="auto" w:fill="auto"/>
            <w:noWrap/>
            <w:hideMark/>
          </w:tcPr>
          <w:p w14:paraId="28FCA0DC"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20 000</w:t>
            </w:r>
          </w:p>
        </w:tc>
        <w:tc>
          <w:tcPr>
            <w:tcW w:w="1756" w:type="dxa"/>
            <w:tcBorders>
              <w:top w:val="nil"/>
            </w:tcBorders>
            <w:shd w:val="clear" w:color="auto" w:fill="auto"/>
            <w:noWrap/>
            <w:hideMark/>
          </w:tcPr>
          <w:p w14:paraId="7EB3DA01"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5C11FAB1" w14:textId="77777777" w:rsidTr="008E185F">
        <w:trPr>
          <w:trHeight w:val="57"/>
          <w:jc w:val="right"/>
        </w:trPr>
        <w:tc>
          <w:tcPr>
            <w:tcW w:w="1440" w:type="dxa"/>
            <w:tcBorders>
              <w:top w:val="nil"/>
            </w:tcBorders>
            <w:shd w:val="clear" w:color="auto" w:fill="auto"/>
            <w:noWrap/>
            <w:hideMark/>
          </w:tcPr>
          <w:p w14:paraId="4CE636B7"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tcBorders>
            <w:shd w:val="clear" w:color="auto" w:fill="auto"/>
            <w:noWrap/>
            <w:hideMark/>
          </w:tcPr>
          <w:p w14:paraId="36CDDC01" w14:textId="77777777" w:rsidR="0023336D" w:rsidRPr="00C90FBC" w:rsidRDefault="0023336D" w:rsidP="008E185F">
            <w:pPr>
              <w:pStyle w:val="Normal-pool"/>
              <w:spacing w:before="40" w:after="40"/>
              <w:rPr>
                <w:sz w:val="18"/>
                <w:szCs w:val="18"/>
                <w:lang w:val="en-GB"/>
              </w:rPr>
            </w:pPr>
            <w:r w:rsidRPr="00C90FBC">
              <w:rPr>
                <w:sz w:val="18"/>
                <w:szCs w:val="18"/>
                <w:lang w:val="en-GB"/>
              </w:rPr>
              <w:t>13.2 Financial mechanism - Global Environment Facility</w:t>
            </w:r>
          </w:p>
        </w:tc>
        <w:tc>
          <w:tcPr>
            <w:tcW w:w="1620" w:type="dxa"/>
            <w:tcBorders>
              <w:top w:val="nil"/>
            </w:tcBorders>
            <w:shd w:val="clear" w:color="auto" w:fill="auto"/>
            <w:noWrap/>
            <w:hideMark/>
          </w:tcPr>
          <w:p w14:paraId="127DDDD2"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27 000</w:t>
            </w:r>
          </w:p>
        </w:tc>
        <w:tc>
          <w:tcPr>
            <w:tcW w:w="1756" w:type="dxa"/>
            <w:tcBorders>
              <w:top w:val="nil"/>
            </w:tcBorders>
            <w:shd w:val="clear" w:color="auto" w:fill="auto"/>
            <w:noWrap/>
            <w:hideMark/>
          </w:tcPr>
          <w:p w14:paraId="01B37166"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50EDF6A1" w14:textId="77777777" w:rsidTr="008E185F">
        <w:trPr>
          <w:trHeight w:val="57"/>
          <w:jc w:val="right"/>
        </w:trPr>
        <w:tc>
          <w:tcPr>
            <w:tcW w:w="1440" w:type="dxa"/>
            <w:tcBorders>
              <w:top w:val="nil"/>
              <w:bottom w:val="single" w:sz="4" w:space="0" w:color="auto"/>
            </w:tcBorders>
            <w:shd w:val="clear" w:color="auto" w:fill="auto"/>
            <w:noWrap/>
            <w:hideMark/>
          </w:tcPr>
          <w:p w14:paraId="38CB51B0"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bottom w:val="single" w:sz="4" w:space="0" w:color="auto"/>
            </w:tcBorders>
            <w:shd w:val="clear" w:color="auto" w:fill="auto"/>
            <w:noWrap/>
            <w:hideMark/>
          </w:tcPr>
          <w:p w14:paraId="6B09A14E" w14:textId="77777777" w:rsidR="0023336D" w:rsidRPr="00C90FBC" w:rsidRDefault="0023336D" w:rsidP="008E185F">
            <w:pPr>
              <w:pStyle w:val="Normal-pool"/>
              <w:spacing w:before="40" w:after="40"/>
              <w:rPr>
                <w:sz w:val="18"/>
                <w:szCs w:val="18"/>
                <w:lang w:val="en-GB"/>
              </w:rPr>
            </w:pPr>
            <w:r w:rsidRPr="00C90FBC">
              <w:rPr>
                <w:sz w:val="18"/>
                <w:szCs w:val="18"/>
                <w:lang w:val="en-GB"/>
              </w:rPr>
              <w:t>13.3 Financial mechanism - Specific International Programme</w:t>
            </w:r>
          </w:p>
        </w:tc>
        <w:tc>
          <w:tcPr>
            <w:tcW w:w="1620" w:type="dxa"/>
            <w:tcBorders>
              <w:top w:val="nil"/>
              <w:bottom w:val="single" w:sz="4" w:space="0" w:color="auto"/>
            </w:tcBorders>
            <w:shd w:val="clear" w:color="auto" w:fill="auto"/>
            <w:noWrap/>
            <w:hideMark/>
          </w:tcPr>
          <w:p w14:paraId="6B7E1B67"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bottom w:val="single" w:sz="4" w:space="0" w:color="auto"/>
            </w:tcBorders>
            <w:shd w:val="clear" w:color="auto" w:fill="auto"/>
            <w:noWrap/>
            <w:hideMark/>
          </w:tcPr>
          <w:p w14:paraId="5FEE382D"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49010B65"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41B67FD"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3A712529"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Component total</w:t>
            </w:r>
          </w:p>
        </w:tc>
        <w:tc>
          <w:tcPr>
            <w:tcW w:w="1620" w:type="dxa"/>
            <w:tcBorders>
              <w:top w:val="single" w:sz="4" w:space="0" w:color="auto"/>
              <w:bottom w:val="single" w:sz="4" w:space="0" w:color="auto"/>
            </w:tcBorders>
            <w:shd w:val="clear" w:color="auto" w:fill="auto"/>
            <w:noWrap/>
            <w:hideMark/>
          </w:tcPr>
          <w:p w14:paraId="21AB5DFA"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47 000</w:t>
            </w:r>
          </w:p>
        </w:tc>
        <w:tc>
          <w:tcPr>
            <w:tcW w:w="1756" w:type="dxa"/>
            <w:tcBorders>
              <w:top w:val="single" w:sz="4" w:space="0" w:color="auto"/>
              <w:bottom w:val="single" w:sz="4" w:space="0" w:color="auto"/>
            </w:tcBorders>
            <w:shd w:val="clear" w:color="auto" w:fill="auto"/>
            <w:noWrap/>
            <w:hideMark/>
          </w:tcPr>
          <w:p w14:paraId="46410F9E" w14:textId="77777777" w:rsidR="0023336D" w:rsidRPr="00C90FBC" w:rsidRDefault="0023336D" w:rsidP="008E185F">
            <w:pPr>
              <w:pStyle w:val="Normal-pool"/>
              <w:spacing w:before="40" w:after="40"/>
              <w:jc w:val="right"/>
              <w:rPr>
                <w:b/>
                <w:bCs/>
                <w:sz w:val="18"/>
                <w:szCs w:val="18"/>
                <w:lang w:val="en-GB"/>
              </w:rPr>
            </w:pPr>
            <w:r w:rsidRPr="00C90FBC">
              <w:rPr>
                <w:sz w:val="18"/>
                <w:szCs w:val="18"/>
                <w:lang w:val="en-GB"/>
              </w:rPr>
              <w:t>–</w:t>
            </w:r>
          </w:p>
        </w:tc>
      </w:tr>
      <w:tr w:rsidR="0023336D" w:rsidRPr="00C90FBC" w14:paraId="00F8450E" w14:textId="77777777" w:rsidTr="008E185F">
        <w:trPr>
          <w:trHeight w:val="57"/>
          <w:jc w:val="right"/>
        </w:trPr>
        <w:tc>
          <w:tcPr>
            <w:tcW w:w="1440" w:type="dxa"/>
            <w:tcBorders>
              <w:top w:val="single" w:sz="4" w:space="0" w:color="auto"/>
            </w:tcBorders>
            <w:shd w:val="clear" w:color="auto" w:fill="auto"/>
            <w:noWrap/>
            <w:hideMark/>
          </w:tcPr>
          <w:p w14:paraId="481F0A37"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tcBorders>
            <w:shd w:val="clear" w:color="auto" w:fill="auto"/>
            <w:noWrap/>
            <w:hideMark/>
          </w:tcPr>
          <w:p w14:paraId="69D7C8BA"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Total (E)</w:t>
            </w:r>
          </w:p>
        </w:tc>
        <w:tc>
          <w:tcPr>
            <w:tcW w:w="1620" w:type="dxa"/>
            <w:tcBorders>
              <w:top w:val="single" w:sz="4" w:space="0" w:color="auto"/>
            </w:tcBorders>
            <w:shd w:val="clear" w:color="auto" w:fill="auto"/>
            <w:noWrap/>
            <w:hideMark/>
          </w:tcPr>
          <w:p w14:paraId="163C853A"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2 274 000</w:t>
            </w:r>
          </w:p>
        </w:tc>
        <w:tc>
          <w:tcPr>
            <w:tcW w:w="1756" w:type="dxa"/>
            <w:tcBorders>
              <w:top w:val="single" w:sz="4" w:space="0" w:color="auto"/>
            </w:tcBorders>
            <w:shd w:val="clear" w:color="auto" w:fill="auto"/>
            <w:noWrap/>
            <w:hideMark/>
          </w:tcPr>
          <w:p w14:paraId="2ACFCD00" w14:textId="77777777" w:rsidR="0023336D" w:rsidRPr="00C90FBC" w:rsidRDefault="0023336D" w:rsidP="008E185F">
            <w:pPr>
              <w:pStyle w:val="Normal-pool"/>
              <w:spacing w:before="40" w:after="40"/>
              <w:jc w:val="right"/>
              <w:rPr>
                <w:b/>
                <w:bCs/>
                <w:sz w:val="18"/>
                <w:szCs w:val="18"/>
                <w:lang w:val="en-GB"/>
              </w:rPr>
            </w:pPr>
            <w:r w:rsidRPr="00C90FBC">
              <w:rPr>
                <w:sz w:val="18"/>
                <w:szCs w:val="18"/>
                <w:lang w:val="en-GB"/>
              </w:rPr>
              <w:t>–</w:t>
            </w:r>
          </w:p>
        </w:tc>
      </w:tr>
      <w:tr w:rsidR="0023336D" w:rsidRPr="00C90FBC" w14:paraId="63CDBC88" w14:textId="77777777" w:rsidTr="008E185F">
        <w:trPr>
          <w:trHeight w:val="57"/>
          <w:jc w:val="right"/>
        </w:trPr>
        <w:tc>
          <w:tcPr>
            <w:tcW w:w="1440" w:type="dxa"/>
            <w:tcBorders>
              <w:bottom w:val="single" w:sz="4" w:space="0" w:color="auto"/>
            </w:tcBorders>
            <w:shd w:val="clear" w:color="auto" w:fill="auto"/>
            <w:noWrap/>
            <w:hideMark/>
          </w:tcPr>
          <w:p w14:paraId="4F7DEB93"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F.</w:t>
            </w:r>
          </w:p>
        </w:tc>
        <w:tc>
          <w:tcPr>
            <w:tcW w:w="4680" w:type="dxa"/>
            <w:tcBorders>
              <w:bottom w:val="single" w:sz="4" w:space="0" w:color="auto"/>
            </w:tcBorders>
            <w:shd w:val="clear" w:color="auto" w:fill="auto"/>
            <w:noWrap/>
            <w:hideMark/>
          </w:tcPr>
          <w:p w14:paraId="2CC336CE"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Legal and policy activities</w:t>
            </w:r>
          </w:p>
        </w:tc>
        <w:tc>
          <w:tcPr>
            <w:tcW w:w="1620" w:type="dxa"/>
            <w:tcBorders>
              <w:bottom w:val="single" w:sz="4" w:space="0" w:color="auto"/>
            </w:tcBorders>
            <w:shd w:val="clear" w:color="auto" w:fill="auto"/>
            <w:noWrap/>
            <w:hideMark/>
          </w:tcPr>
          <w:p w14:paraId="581A37F4" w14:textId="77777777" w:rsidR="0023336D" w:rsidRPr="00C90FBC" w:rsidRDefault="0023336D" w:rsidP="008E185F">
            <w:pPr>
              <w:pStyle w:val="Normal-pool"/>
              <w:spacing w:before="40" w:after="40"/>
              <w:jc w:val="right"/>
              <w:rPr>
                <w:rFonts w:eastAsia="Times New Roman"/>
                <w:b/>
                <w:bCs/>
                <w:color w:val="000000"/>
                <w:sz w:val="18"/>
                <w:szCs w:val="18"/>
                <w:lang w:val="en-GB"/>
              </w:rPr>
            </w:pPr>
          </w:p>
        </w:tc>
        <w:tc>
          <w:tcPr>
            <w:tcW w:w="1756" w:type="dxa"/>
            <w:tcBorders>
              <w:bottom w:val="single" w:sz="4" w:space="0" w:color="auto"/>
            </w:tcBorders>
            <w:shd w:val="clear" w:color="auto" w:fill="auto"/>
            <w:noWrap/>
            <w:hideMark/>
          </w:tcPr>
          <w:p w14:paraId="00E1718C" w14:textId="77777777" w:rsidR="0023336D" w:rsidRPr="00C90FBC" w:rsidRDefault="0023336D" w:rsidP="008E185F">
            <w:pPr>
              <w:pStyle w:val="Normal-pool"/>
              <w:spacing w:before="40" w:after="40"/>
              <w:jc w:val="right"/>
              <w:rPr>
                <w:rFonts w:eastAsia="Times New Roman"/>
                <w:b/>
                <w:bCs/>
                <w:color w:val="000000"/>
                <w:sz w:val="18"/>
                <w:szCs w:val="18"/>
                <w:lang w:val="en-GB"/>
              </w:rPr>
            </w:pPr>
          </w:p>
        </w:tc>
      </w:tr>
      <w:tr w:rsidR="0023336D" w:rsidRPr="00C90FBC" w14:paraId="01DC8906" w14:textId="77777777" w:rsidTr="008E185F">
        <w:trPr>
          <w:trHeight w:val="57"/>
          <w:jc w:val="right"/>
        </w:trPr>
        <w:tc>
          <w:tcPr>
            <w:tcW w:w="1440" w:type="dxa"/>
            <w:tcBorders>
              <w:top w:val="single" w:sz="4" w:space="0" w:color="auto"/>
            </w:tcBorders>
            <w:shd w:val="clear" w:color="auto" w:fill="auto"/>
            <w:noWrap/>
            <w:hideMark/>
          </w:tcPr>
          <w:p w14:paraId="66C6A1D8"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14</w:t>
            </w:r>
          </w:p>
        </w:tc>
        <w:tc>
          <w:tcPr>
            <w:tcW w:w="4680" w:type="dxa"/>
            <w:tcBorders>
              <w:top w:val="single" w:sz="4" w:space="0" w:color="auto"/>
            </w:tcBorders>
            <w:shd w:val="clear" w:color="auto" w:fill="auto"/>
            <w:noWrap/>
            <w:hideMark/>
          </w:tcPr>
          <w:p w14:paraId="6D3BCB1C"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 xml:space="preserve">Legal and policy activities </w:t>
            </w:r>
          </w:p>
        </w:tc>
        <w:tc>
          <w:tcPr>
            <w:tcW w:w="1620" w:type="dxa"/>
            <w:tcBorders>
              <w:top w:val="single" w:sz="4" w:space="0" w:color="auto"/>
            </w:tcBorders>
            <w:shd w:val="clear" w:color="auto" w:fill="auto"/>
            <w:noWrap/>
            <w:hideMark/>
          </w:tcPr>
          <w:p w14:paraId="29EBE3BD" w14:textId="77777777" w:rsidR="0023336D" w:rsidRPr="00C90FBC" w:rsidRDefault="0023336D" w:rsidP="008E185F">
            <w:pPr>
              <w:pStyle w:val="Normal-pool"/>
              <w:spacing w:before="40" w:after="40"/>
              <w:jc w:val="right"/>
              <w:rPr>
                <w:rFonts w:eastAsia="Times New Roman"/>
                <w:color w:val="000000"/>
                <w:sz w:val="18"/>
                <w:szCs w:val="18"/>
                <w:lang w:val="en-GB"/>
              </w:rPr>
            </w:pPr>
          </w:p>
        </w:tc>
        <w:tc>
          <w:tcPr>
            <w:tcW w:w="1756" w:type="dxa"/>
            <w:tcBorders>
              <w:top w:val="single" w:sz="4" w:space="0" w:color="auto"/>
            </w:tcBorders>
            <w:shd w:val="clear" w:color="auto" w:fill="auto"/>
            <w:noWrap/>
            <w:hideMark/>
          </w:tcPr>
          <w:p w14:paraId="598C9928" w14:textId="77777777" w:rsidR="0023336D" w:rsidRPr="00C90FBC" w:rsidRDefault="0023336D" w:rsidP="008E185F">
            <w:pPr>
              <w:pStyle w:val="Normal-pool"/>
              <w:spacing w:before="40" w:after="40"/>
              <w:jc w:val="right"/>
              <w:rPr>
                <w:rFonts w:eastAsia="Times New Roman"/>
                <w:color w:val="000000"/>
                <w:sz w:val="18"/>
                <w:szCs w:val="18"/>
                <w:lang w:val="en-GB"/>
              </w:rPr>
            </w:pPr>
          </w:p>
        </w:tc>
      </w:tr>
      <w:tr w:rsidR="0023336D" w:rsidRPr="00C90FBC" w14:paraId="7864457D" w14:textId="77777777" w:rsidTr="008E185F">
        <w:trPr>
          <w:trHeight w:val="57"/>
          <w:jc w:val="right"/>
        </w:trPr>
        <w:tc>
          <w:tcPr>
            <w:tcW w:w="1440" w:type="dxa"/>
            <w:tcBorders>
              <w:top w:val="nil"/>
            </w:tcBorders>
            <w:shd w:val="clear" w:color="auto" w:fill="auto"/>
            <w:noWrap/>
            <w:hideMark/>
          </w:tcPr>
          <w:p w14:paraId="04815777"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tcBorders>
            <w:shd w:val="clear" w:color="auto" w:fill="auto"/>
            <w:noWrap/>
            <w:hideMark/>
          </w:tcPr>
          <w:p w14:paraId="7105311E" w14:textId="77777777" w:rsidR="0023336D" w:rsidRPr="00C90FBC" w:rsidRDefault="0023336D" w:rsidP="008E185F">
            <w:pPr>
              <w:pStyle w:val="Normal-pool"/>
              <w:spacing w:before="40" w:after="40"/>
              <w:rPr>
                <w:sz w:val="18"/>
                <w:szCs w:val="18"/>
                <w:lang w:val="en-GB"/>
              </w:rPr>
            </w:pPr>
            <w:r w:rsidRPr="00C90FBC">
              <w:rPr>
                <w:sz w:val="18"/>
                <w:szCs w:val="18"/>
                <w:lang w:val="en-GB"/>
              </w:rPr>
              <w:t>14.1 Work programme of the Implementation and Compliance Committee</w:t>
            </w:r>
          </w:p>
        </w:tc>
        <w:tc>
          <w:tcPr>
            <w:tcW w:w="1620" w:type="dxa"/>
            <w:tcBorders>
              <w:top w:val="nil"/>
            </w:tcBorders>
            <w:shd w:val="clear" w:color="auto" w:fill="auto"/>
            <w:noWrap/>
            <w:hideMark/>
          </w:tcPr>
          <w:p w14:paraId="6F3A4844"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tcBorders>
            <w:shd w:val="clear" w:color="auto" w:fill="auto"/>
            <w:noWrap/>
            <w:hideMark/>
          </w:tcPr>
          <w:p w14:paraId="29F35DDA"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111B0401" w14:textId="77777777" w:rsidTr="008E185F">
        <w:trPr>
          <w:trHeight w:val="57"/>
          <w:jc w:val="right"/>
        </w:trPr>
        <w:tc>
          <w:tcPr>
            <w:tcW w:w="1440" w:type="dxa"/>
            <w:tcBorders>
              <w:top w:val="nil"/>
            </w:tcBorders>
            <w:shd w:val="clear" w:color="auto" w:fill="auto"/>
            <w:noWrap/>
            <w:hideMark/>
          </w:tcPr>
          <w:p w14:paraId="39CACFAF"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tcBorders>
            <w:shd w:val="clear" w:color="auto" w:fill="auto"/>
            <w:noWrap/>
            <w:hideMark/>
          </w:tcPr>
          <w:p w14:paraId="348E4F68" w14:textId="77777777" w:rsidR="0023336D" w:rsidRPr="00C90FBC" w:rsidRDefault="0023336D" w:rsidP="008E185F">
            <w:pPr>
              <w:pStyle w:val="Normal-pool"/>
              <w:spacing w:before="40" w:after="40"/>
              <w:rPr>
                <w:sz w:val="18"/>
                <w:szCs w:val="18"/>
                <w:lang w:val="en-GB"/>
              </w:rPr>
            </w:pPr>
            <w:r w:rsidRPr="00C90FBC">
              <w:rPr>
                <w:sz w:val="18"/>
                <w:szCs w:val="18"/>
                <w:lang w:val="en-GB"/>
              </w:rPr>
              <w:t>14.2 Legal activities</w:t>
            </w:r>
          </w:p>
        </w:tc>
        <w:tc>
          <w:tcPr>
            <w:tcW w:w="1620" w:type="dxa"/>
            <w:tcBorders>
              <w:top w:val="nil"/>
            </w:tcBorders>
            <w:shd w:val="clear" w:color="auto" w:fill="auto"/>
            <w:noWrap/>
            <w:hideMark/>
          </w:tcPr>
          <w:p w14:paraId="528912A9"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tcBorders>
            <w:shd w:val="clear" w:color="auto" w:fill="auto"/>
            <w:noWrap/>
            <w:hideMark/>
          </w:tcPr>
          <w:p w14:paraId="6F9DBAFA"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435434D4" w14:textId="77777777" w:rsidTr="008E185F">
        <w:trPr>
          <w:trHeight w:val="57"/>
          <w:jc w:val="right"/>
        </w:trPr>
        <w:tc>
          <w:tcPr>
            <w:tcW w:w="1440" w:type="dxa"/>
            <w:tcBorders>
              <w:top w:val="nil"/>
            </w:tcBorders>
            <w:shd w:val="clear" w:color="auto" w:fill="auto"/>
            <w:noWrap/>
            <w:hideMark/>
          </w:tcPr>
          <w:p w14:paraId="54756584"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tcBorders>
            <w:shd w:val="clear" w:color="auto" w:fill="auto"/>
            <w:noWrap/>
            <w:hideMark/>
          </w:tcPr>
          <w:p w14:paraId="36C459E9" w14:textId="77777777" w:rsidR="0023336D" w:rsidRPr="00C90FBC" w:rsidRDefault="0023336D" w:rsidP="008E185F">
            <w:pPr>
              <w:pStyle w:val="Normal-pool"/>
              <w:spacing w:before="40" w:after="40"/>
              <w:rPr>
                <w:sz w:val="18"/>
                <w:szCs w:val="18"/>
                <w:lang w:val="en-GB"/>
              </w:rPr>
            </w:pPr>
            <w:r w:rsidRPr="00C90FBC">
              <w:rPr>
                <w:sz w:val="18"/>
                <w:szCs w:val="18"/>
                <w:lang w:val="en-GB"/>
              </w:rPr>
              <w:t>14.3 National legislation, trade, and enforcement</w:t>
            </w:r>
          </w:p>
        </w:tc>
        <w:tc>
          <w:tcPr>
            <w:tcW w:w="1620" w:type="dxa"/>
            <w:tcBorders>
              <w:top w:val="nil"/>
            </w:tcBorders>
            <w:shd w:val="clear" w:color="auto" w:fill="auto"/>
            <w:noWrap/>
            <w:hideMark/>
          </w:tcPr>
          <w:p w14:paraId="25BA1B22"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tcBorders>
            <w:shd w:val="clear" w:color="auto" w:fill="auto"/>
            <w:noWrap/>
            <w:hideMark/>
          </w:tcPr>
          <w:p w14:paraId="6FAFB8DF"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740E1C1F" w14:textId="77777777" w:rsidTr="008E185F">
        <w:trPr>
          <w:trHeight w:val="57"/>
          <w:jc w:val="right"/>
        </w:trPr>
        <w:tc>
          <w:tcPr>
            <w:tcW w:w="1440" w:type="dxa"/>
            <w:tcBorders>
              <w:top w:val="nil"/>
              <w:bottom w:val="single" w:sz="4" w:space="0" w:color="auto"/>
            </w:tcBorders>
            <w:shd w:val="clear" w:color="auto" w:fill="auto"/>
            <w:noWrap/>
            <w:hideMark/>
          </w:tcPr>
          <w:p w14:paraId="107B7F90"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nil"/>
              <w:bottom w:val="single" w:sz="4" w:space="0" w:color="auto"/>
            </w:tcBorders>
            <w:shd w:val="clear" w:color="auto" w:fill="auto"/>
            <w:noWrap/>
            <w:hideMark/>
          </w:tcPr>
          <w:p w14:paraId="6CD962EB" w14:textId="77777777" w:rsidR="0023336D" w:rsidRPr="00C90FBC" w:rsidRDefault="0023336D" w:rsidP="008E185F">
            <w:pPr>
              <w:pStyle w:val="Normal-pool"/>
              <w:spacing w:before="40" w:after="40"/>
              <w:rPr>
                <w:sz w:val="18"/>
                <w:szCs w:val="18"/>
                <w:lang w:val="en-GB"/>
              </w:rPr>
            </w:pPr>
            <w:r w:rsidRPr="00C90FBC">
              <w:rPr>
                <w:sz w:val="18"/>
                <w:szCs w:val="18"/>
                <w:lang w:val="en-GB"/>
              </w:rPr>
              <w:t xml:space="preserve">14.4 Gender </w:t>
            </w:r>
          </w:p>
        </w:tc>
        <w:tc>
          <w:tcPr>
            <w:tcW w:w="1620" w:type="dxa"/>
            <w:tcBorders>
              <w:top w:val="nil"/>
              <w:bottom w:val="single" w:sz="4" w:space="0" w:color="auto"/>
            </w:tcBorders>
            <w:shd w:val="clear" w:color="auto" w:fill="auto"/>
            <w:noWrap/>
            <w:hideMark/>
          </w:tcPr>
          <w:p w14:paraId="6AB4C6A2"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c>
          <w:tcPr>
            <w:tcW w:w="1756" w:type="dxa"/>
            <w:tcBorders>
              <w:top w:val="nil"/>
              <w:bottom w:val="single" w:sz="4" w:space="0" w:color="auto"/>
            </w:tcBorders>
            <w:shd w:val="clear" w:color="auto" w:fill="auto"/>
            <w:noWrap/>
            <w:hideMark/>
          </w:tcPr>
          <w:p w14:paraId="34351908"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70 000</w:t>
            </w:r>
          </w:p>
        </w:tc>
      </w:tr>
      <w:tr w:rsidR="0023336D" w:rsidRPr="00C90FBC" w14:paraId="6B67ECDD"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C59D7C2"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7DB7091C"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Component total</w:t>
            </w:r>
          </w:p>
        </w:tc>
        <w:tc>
          <w:tcPr>
            <w:tcW w:w="1620" w:type="dxa"/>
            <w:tcBorders>
              <w:top w:val="single" w:sz="4" w:space="0" w:color="auto"/>
              <w:bottom w:val="single" w:sz="4" w:space="0" w:color="auto"/>
            </w:tcBorders>
            <w:shd w:val="clear" w:color="auto" w:fill="auto"/>
            <w:noWrap/>
            <w:hideMark/>
          </w:tcPr>
          <w:p w14:paraId="71E57CFE" w14:textId="77777777" w:rsidR="0023336D" w:rsidRPr="00C90FBC" w:rsidRDefault="0023336D" w:rsidP="008E185F">
            <w:pPr>
              <w:pStyle w:val="Normal-pool"/>
              <w:spacing w:before="40" w:after="40"/>
              <w:jc w:val="right"/>
              <w:rPr>
                <w:b/>
                <w:bCs/>
                <w:sz w:val="18"/>
                <w:szCs w:val="18"/>
                <w:lang w:val="en-GB"/>
              </w:rPr>
            </w:pPr>
            <w:r w:rsidRPr="00C90FBC">
              <w:rPr>
                <w:sz w:val="18"/>
                <w:szCs w:val="18"/>
                <w:lang w:val="en-GB"/>
              </w:rPr>
              <w:t>–</w:t>
            </w:r>
          </w:p>
        </w:tc>
        <w:tc>
          <w:tcPr>
            <w:tcW w:w="1756" w:type="dxa"/>
            <w:tcBorders>
              <w:top w:val="single" w:sz="4" w:space="0" w:color="auto"/>
              <w:bottom w:val="single" w:sz="4" w:space="0" w:color="auto"/>
            </w:tcBorders>
            <w:shd w:val="clear" w:color="auto" w:fill="auto"/>
            <w:noWrap/>
            <w:hideMark/>
          </w:tcPr>
          <w:p w14:paraId="0BF90600"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70 000</w:t>
            </w:r>
          </w:p>
        </w:tc>
      </w:tr>
      <w:tr w:rsidR="0023336D" w:rsidRPr="00C90FBC" w14:paraId="545F64E0"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CF6C357"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71B08731"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Total (F)</w:t>
            </w:r>
          </w:p>
        </w:tc>
        <w:tc>
          <w:tcPr>
            <w:tcW w:w="1620" w:type="dxa"/>
            <w:tcBorders>
              <w:top w:val="single" w:sz="4" w:space="0" w:color="auto"/>
              <w:bottom w:val="single" w:sz="4" w:space="0" w:color="auto"/>
            </w:tcBorders>
            <w:shd w:val="clear" w:color="auto" w:fill="auto"/>
            <w:noWrap/>
            <w:hideMark/>
          </w:tcPr>
          <w:p w14:paraId="1C3F518C" w14:textId="77777777" w:rsidR="0023336D" w:rsidRPr="00C90FBC" w:rsidRDefault="0023336D" w:rsidP="008E185F">
            <w:pPr>
              <w:pStyle w:val="Normal-pool"/>
              <w:spacing w:before="40" w:after="40"/>
              <w:jc w:val="right"/>
              <w:rPr>
                <w:b/>
                <w:bCs/>
                <w:sz w:val="18"/>
                <w:szCs w:val="18"/>
                <w:lang w:val="en-GB"/>
              </w:rPr>
            </w:pPr>
            <w:r w:rsidRPr="00C90FBC">
              <w:rPr>
                <w:sz w:val="18"/>
                <w:szCs w:val="18"/>
                <w:lang w:val="en-GB"/>
              </w:rPr>
              <w:t>–</w:t>
            </w:r>
          </w:p>
        </w:tc>
        <w:tc>
          <w:tcPr>
            <w:tcW w:w="1756" w:type="dxa"/>
            <w:tcBorders>
              <w:top w:val="single" w:sz="4" w:space="0" w:color="auto"/>
              <w:bottom w:val="single" w:sz="4" w:space="0" w:color="auto"/>
            </w:tcBorders>
            <w:shd w:val="clear" w:color="auto" w:fill="auto"/>
            <w:noWrap/>
            <w:hideMark/>
          </w:tcPr>
          <w:p w14:paraId="44282D51"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70 000</w:t>
            </w:r>
          </w:p>
        </w:tc>
      </w:tr>
      <w:tr w:rsidR="0023336D" w:rsidRPr="00C90FBC" w14:paraId="0915B8B8"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AADC727"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G.</w:t>
            </w:r>
          </w:p>
        </w:tc>
        <w:tc>
          <w:tcPr>
            <w:tcW w:w="4680" w:type="dxa"/>
            <w:tcBorders>
              <w:top w:val="single" w:sz="4" w:space="0" w:color="auto"/>
              <w:bottom w:val="single" w:sz="4" w:space="0" w:color="auto"/>
            </w:tcBorders>
            <w:shd w:val="clear" w:color="auto" w:fill="auto"/>
            <w:noWrap/>
            <w:hideMark/>
          </w:tcPr>
          <w:p w14:paraId="27BE24F2"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Office maintenance and services</w:t>
            </w:r>
          </w:p>
        </w:tc>
        <w:tc>
          <w:tcPr>
            <w:tcW w:w="1620" w:type="dxa"/>
            <w:tcBorders>
              <w:top w:val="single" w:sz="4" w:space="0" w:color="auto"/>
              <w:bottom w:val="single" w:sz="4" w:space="0" w:color="auto"/>
            </w:tcBorders>
            <w:shd w:val="clear" w:color="auto" w:fill="auto"/>
            <w:noWrap/>
            <w:hideMark/>
          </w:tcPr>
          <w:p w14:paraId="449C2278" w14:textId="77777777" w:rsidR="0023336D" w:rsidRPr="00C90FBC" w:rsidRDefault="0023336D" w:rsidP="008E185F">
            <w:pPr>
              <w:pStyle w:val="Normal-pool"/>
              <w:spacing w:before="40" w:after="40"/>
              <w:jc w:val="right"/>
              <w:rPr>
                <w:b/>
                <w:bCs/>
                <w:sz w:val="18"/>
                <w:szCs w:val="18"/>
                <w:lang w:val="en-GB"/>
              </w:rPr>
            </w:pPr>
          </w:p>
        </w:tc>
        <w:tc>
          <w:tcPr>
            <w:tcW w:w="1756" w:type="dxa"/>
            <w:tcBorders>
              <w:top w:val="single" w:sz="4" w:space="0" w:color="auto"/>
              <w:bottom w:val="single" w:sz="4" w:space="0" w:color="auto"/>
            </w:tcBorders>
            <w:shd w:val="clear" w:color="auto" w:fill="auto"/>
            <w:noWrap/>
            <w:hideMark/>
          </w:tcPr>
          <w:p w14:paraId="34E3252B" w14:textId="77777777" w:rsidR="0023336D" w:rsidRPr="00C90FBC" w:rsidRDefault="0023336D" w:rsidP="008E185F">
            <w:pPr>
              <w:pStyle w:val="Normal-pool"/>
              <w:spacing w:before="40" w:after="40"/>
              <w:jc w:val="right"/>
              <w:rPr>
                <w:b/>
                <w:bCs/>
                <w:sz w:val="18"/>
                <w:szCs w:val="18"/>
                <w:lang w:val="en-GB"/>
              </w:rPr>
            </w:pPr>
          </w:p>
        </w:tc>
      </w:tr>
      <w:tr w:rsidR="0023336D" w:rsidRPr="00C90FBC" w14:paraId="271D04ED"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15C1302"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15</w:t>
            </w:r>
          </w:p>
        </w:tc>
        <w:tc>
          <w:tcPr>
            <w:tcW w:w="4680" w:type="dxa"/>
            <w:tcBorders>
              <w:top w:val="single" w:sz="4" w:space="0" w:color="auto"/>
              <w:bottom w:val="single" w:sz="4" w:space="0" w:color="auto"/>
            </w:tcBorders>
            <w:shd w:val="clear" w:color="auto" w:fill="auto"/>
            <w:noWrap/>
            <w:hideMark/>
          </w:tcPr>
          <w:p w14:paraId="6451F4FD"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Office maintenance and services</w:t>
            </w:r>
          </w:p>
        </w:tc>
        <w:tc>
          <w:tcPr>
            <w:tcW w:w="1620" w:type="dxa"/>
            <w:tcBorders>
              <w:top w:val="single" w:sz="4" w:space="0" w:color="auto"/>
              <w:bottom w:val="single" w:sz="4" w:space="0" w:color="auto"/>
            </w:tcBorders>
            <w:shd w:val="clear" w:color="auto" w:fill="auto"/>
            <w:noWrap/>
            <w:hideMark/>
          </w:tcPr>
          <w:p w14:paraId="37306FC4" w14:textId="77777777" w:rsidR="0023336D" w:rsidRPr="00C90FBC" w:rsidRDefault="0023336D" w:rsidP="008E185F">
            <w:pPr>
              <w:pStyle w:val="Normal-pool"/>
              <w:spacing w:before="40" w:after="40"/>
              <w:jc w:val="right"/>
              <w:rPr>
                <w:b/>
                <w:bCs/>
                <w:sz w:val="18"/>
                <w:szCs w:val="18"/>
                <w:lang w:val="en-GB"/>
              </w:rPr>
            </w:pPr>
          </w:p>
        </w:tc>
        <w:tc>
          <w:tcPr>
            <w:tcW w:w="1756" w:type="dxa"/>
            <w:tcBorders>
              <w:top w:val="single" w:sz="4" w:space="0" w:color="auto"/>
              <w:bottom w:val="single" w:sz="4" w:space="0" w:color="auto"/>
            </w:tcBorders>
            <w:shd w:val="clear" w:color="auto" w:fill="auto"/>
            <w:noWrap/>
            <w:hideMark/>
          </w:tcPr>
          <w:p w14:paraId="583C9495" w14:textId="77777777" w:rsidR="0023336D" w:rsidRPr="00C90FBC" w:rsidRDefault="0023336D" w:rsidP="008E185F">
            <w:pPr>
              <w:pStyle w:val="Normal-pool"/>
              <w:spacing w:before="40" w:after="40"/>
              <w:jc w:val="right"/>
              <w:rPr>
                <w:b/>
                <w:bCs/>
                <w:sz w:val="18"/>
                <w:szCs w:val="18"/>
                <w:lang w:val="en-GB"/>
              </w:rPr>
            </w:pPr>
          </w:p>
        </w:tc>
      </w:tr>
      <w:tr w:rsidR="0023336D" w:rsidRPr="00C90FBC" w14:paraId="507A36ED"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F52C80C"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single" w:sz="4" w:space="0" w:color="auto"/>
              <w:bottom w:val="single" w:sz="4" w:space="0" w:color="auto"/>
            </w:tcBorders>
            <w:shd w:val="clear" w:color="auto" w:fill="auto"/>
            <w:noWrap/>
            <w:hideMark/>
          </w:tcPr>
          <w:p w14:paraId="45D146EE" w14:textId="77777777" w:rsidR="0023336D" w:rsidRPr="00C90FBC" w:rsidRDefault="0023336D" w:rsidP="008E185F">
            <w:pPr>
              <w:pStyle w:val="Normal-pool"/>
              <w:spacing w:before="40" w:after="40"/>
              <w:rPr>
                <w:sz w:val="18"/>
                <w:szCs w:val="18"/>
                <w:lang w:val="en-GB"/>
              </w:rPr>
            </w:pPr>
            <w:r w:rsidRPr="00C90FBC">
              <w:rPr>
                <w:sz w:val="18"/>
                <w:szCs w:val="18"/>
                <w:lang w:val="en-GB"/>
              </w:rPr>
              <w:t>15.1 Office maintenance and services</w:t>
            </w:r>
          </w:p>
        </w:tc>
        <w:tc>
          <w:tcPr>
            <w:tcW w:w="1620" w:type="dxa"/>
            <w:tcBorders>
              <w:top w:val="single" w:sz="4" w:space="0" w:color="auto"/>
              <w:bottom w:val="single" w:sz="4" w:space="0" w:color="auto"/>
            </w:tcBorders>
            <w:shd w:val="clear" w:color="auto" w:fill="auto"/>
            <w:noWrap/>
            <w:hideMark/>
          </w:tcPr>
          <w:p w14:paraId="089AF8BF"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155 000</w:t>
            </w:r>
          </w:p>
        </w:tc>
        <w:tc>
          <w:tcPr>
            <w:tcW w:w="1756" w:type="dxa"/>
            <w:tcBorders>
              <w:top w:val="single" w:sz="4" w:space="0" w:color="auto"/>
              <w:bottom w:val="single" w:sz="4" w:space="0" w:color="auto"/>
            </w:tcBorders>
            <w:shd w:val="clear" w:color="auto" w:fill="auto"/>
            <w:noWrap/>
            <w:hideMark/>
          </w:tcPr>
          <w:p w14:paraId="3C457A86"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00765201"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B9A108A"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6079744B"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Component total</w:t>
            </w:r>
          </w:p>
        </w:tc>
        <w:tc>
          <w:tcPr>
            <w:tcW w:w="1620" w:type="dxa"/>
            <w:tcBorders>
              <w:top w:val="single" w:sz="4" w:space="0" w:color="auto"/>
              <w:bottom w:val="single" w:sz="4" w:space="0" w:color="auto"/>
            </w:tcBorders>
            <w:shd w:val="clear" w:color="auto" w:fill="auto"/>
            <w:noWrap/>
            <w:hideMark/>
          </w:tcPr>
          <w:p w14:paraId="2E6F4C52"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155 000</w:t>
            </w:r>
          </w:p>
        </w:tc>
        <w:tc>
          <w:tcPr>
            <w:tcW w:w="1756" w:type="dxa"/>
            <w:tcBorders>
              <w:top w:val="single" w:sz="4" w:space="0" w:color="auto"/>
              <w:bottom w:val="single" w:sz="4" w:space="0" w:color="auto"/>
            </w:tcBorders>
            <w:shd w:val="clear" w:color="auto" w:fill="auto"/>
            <w:noWrap/>
            <w:hideMark/>
          </w:tcPr>
          <w:p w14:paraId="7ECFAEEA" w14:textId="77777777" w:rsidR="0023336D" w:rsidRPr="00C90FBC" w:rsidRDefault="0023336D" w:rsidP="008E185F">
            <w:pPr>
              <w:pStyle w:val="Normal-pool"/>
              <w:spacing w:before="40" w:after="40"/>
              <w:jc w:val="right"/>
              <w:rPr>
                <w:b/>
                <w:bCs/>
                <w:sz w:val="18"/>
                <w:szCs w:val="18"/>
                <w:lang w:val="en-GB"/>
              </w:rPr>
            </w:pPr>
            <w:r w:rsidRPr="00C90FBC">
              <w:rPr>
                <w:sz w:val="18"/>
                <w:szCs w:val="18"/>
                <w:lang w:val="en-GB"/>
              </w:rPr>
              <w:t>–</w:t>
            </w:r>
          </w:p>
        </w:tc>
      </w:tr>
      <w:tr w:rsidR="0023336D" w:rsidRPr="00C90FBC" w14:paraId="6C174D2A"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634A1BD"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16</w:t>
            </w:r>
          </w:p>
        </w:tc>
        <w:tc>
          <w:tcPr>
            <w:tcW w:w="4680" w:type="dxa"/>
            <w:tcBorders>
              <w:top w:val="single" w:sz="4" w:space="0" w:color="auto"/>
              <w:bottom w:val="single" w:sz="4" w:space="0" w:color="auto"/>
            </w:tcBorders>
            <w:shd w:val="clear" w:color="auto" w:fill="auto"/>
            <w:noWrap/>
            <w:hideMark/>
          </w:tcPr>
          <w:p w14:paraId="3C2DC466"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Information technology services</w:t>
            </w:r>
          </w:p>
        </w:tc>
        <w:tc>
          <w:tcPr>
            <w:tcW w:w="1620" w:type="dxa"/>
            <w:tcBorders>
              <w:top w:val="single" w:sz="4" w:space="0" w:color="auto"/>
              <w:bottom w:val="single" w:sz="4" w:space="0" w:color="auto"/>
            </w:tcBorders>
            <w:shd w:val="clear" w:color="auto" w:fill="auto"/>
            <w:noWrap/>
            <w:hideMark/>
          </w:tcPr>
          <w:p w14:paraId="42D46235" w14:textId="77777777" w:rsidR="0023336D" w:rsidRPr="00C90FBC" w:rsidRDefault="0023336D" w:rsidP="008E185F">
            <w:pPr>
              <w:pStyle w:val="Normal-pool"/>
              <w:spacing w:before="40" w:after="40"/>
              <w:jc w:val="right"/>
              <w:rPr>
                <w:b/>
                <w:bCs/>
                <w:sz w:val="18"/>
                <w:szCs w:val="18"/>
                <w:lang w:val="en-GB"/>
              </w:rPr>
            </w:pPr>
          </w:p>
        </w:tc>
        <w:tc>
          <w:tcPr>
            <w:tcW w:w="1756" w:type="dxa"/>
            <w:tcBorders>
              <w:top w:val="single" w:sz="4" w:space="0" w:color="auto"/>
              <w:bottom w:val="single" w:sz="4" w:space="0" w:color="auto"/>
            </w:tcBorders>
            <w:shd w:val="clear" w:color="auto" w:fill="auto"/>
            <w:noWrap/>
            <w:hideMark/>
          </w:tcPr>
          <w:p w14:paraId="68C86D55" w14:textId="77777777" w:rsidR="0023336D" w:rsidRPr="00C90FBC" w:rsidRDefault="0023336D" w:rsidP="008E185F">
            <w:pPr>
              <w:pStyle w:val="Normal-pool"/>
              <w:spacing w:before="40" w:after="40"/>
              <w:jc w:val="right"/>
              <w:rPr>
                <w:b/>
                <w:bCs/>
                <w:sz w:val="18"/>
                <w:szCs w:val="18"/>
                <w:lang w:val="en-GB"/>
              </w:rPr>
            </w:pPr>
          </w:p>
        </w:tc>
      </w:tr>
      <w:tr w:rsidR="0023336D" w:rsidRPr="00C90FBC" w14:paraId="453748C8"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4F824B1"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top w:val="single" w:sz="4" w:space="0" w:color="auto"/>
              <w:bottom w:val="single" w:sz="4" w:space="0" w:color="auto"/>
            </w:tcBorders>
            <w:shd w:val="clear" w:color="auto" w:fill="auto"/>
            <w:noWrap/>
            <w:hideMark/>
          </w:tcPr>
          <w:p w14:paraId="4EA46B73" w14:textId="77777777" w:rsidR="0023336D" w:rsidRPr="00C90FBC" w:rsidRDefault="0023336D" w:rsidP="008E185F">
            <w:pPr>
              <w:pStyle w:val="Normal-pool"/>
              <w:spacing w:before="40" w:after="40"/>
              <w:rPr>
                <w:sz w:val="18"/>
                <w:szCs w:val="18"/>
                <w:lang w:val="en-GB"/>
              </w:rPr>
            </w:pPr>
            <w:r w:rsidRPr="00C90FBC">
              <w:rPr>
                <w:sz w:val="18"/>
                <w:szCs w:val="18"/>
                <w:lang w:val="en-GB"/>
              </w:rPr>
              <w:t>16.1 Information technology services</w:t>
            </w:r>
          </w:p>
        </w:tc>
        <w:tc>
          <w:tcPr>
            <w:tcW w:w="1620" w:type="dxa"/>
            <w:tcBorders>
              <w:top w:val="single" w:sz="4" w:space="0" w:color="auto"/>
              <w:bottom w:val="single" w:sz="4" w:space="0" w:color="auto"/>
            </w:tcBorders>
            <w:shd w:val="clear" w:color="auto" w:fill="auto"/>
            <w:noWrap/>
            <w:hideMark/>
          </w:tcPr>
          <w:p w14:paraId="14BAE9C1"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55 500</w:t>
            </w:r>
          </w:p>
        </w:tc>
        <w:tc>
          <w:tcPr>
            <w:tcW w:w="1756" w:type="dxa"/>
            <w:tcBorders>
              <w:top w:val="single" w:sz="4" w:space="0" w:color="auto"/>
              <w:bottom w:val="single" w:sz="4" w:space="0" w:color="auto"/>
            </w:tcBorders>
            <w:shd w:val="clear" w:color="auto" w:fill="auto"/>
            <w:noWrap/>
            <w:hideMark/>
          </w:tcPr>
          <w:p w14:paraId="61A655D2"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w:t>
            </w:r>
          </w:p>
        </w:tc>
      </w:tr>
      <w:tr w:rsidR="0023336D" w:rsidRPr="00C90FBC" w14:paraId="346EE24D"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4F00548"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37079930"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Component total</w:t>
            </w:r>
          </w:p>
        </w:tc>
        <w:tc>
          <w:tcPr>
            <w:tcW w:w="1620" w:type="dxa"/>
            <w:tcBorders>
              <w:top w:val="single" w:sz="4" w:space="0" w:color="auto"/>
              <w:bottom w:val="single" w:sz="4" w:space="0" w:color="auto"/>
            </w:tcBorders>
            <w:shd w:val="clear" w:color="auto" w:fill="auto"/>
            <w:noWrap/>
            <w:hideMark/>
          </w:tcPr>
          <w:p w14:paraId="398C8DFF"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55 500</w:t>
            </w:r>
          </w:p>
        </w:tc>
        <w:tc>
          <w:tcPr>
            <w:tcW w:w="1756" w:type="dxa"/>
            <w:tcBorders>
              <w:top w:val="single" w:sz="4" w:space="0" w:color="auto"/>
              <w:bottom w:val="single" w:sz="4" w:space="0" w:color="auto"/>
            </w:tcBorders>
            <w:shd w:val="clear" w:color="auto" w:fill="auto"/>
            <w:noWrap/>
            <w:hideMark/>
          </w:tcPr>
          <w:p w14:paraId="60303505" w14:textId="77777777" w:rsidR="0023336D" w:rsidRPr="00C90FBC" w:rsidRDefault="0023336D" w:rsidP="008E185F">
            <w:pPr>
              <w:pStyle w:val="Normal-pool"/>
              <w:spacing w:before="40" w:after="40"/>
              <w:jc w:val="right"/>
              <w:rPr>
                <w:b/>
                <w:bCs/>
                <w:sz w:val="18"/>
                <w:szCs w:val="18"/>
                <w:lang w:val="en-GB"/>
              </w:rPr>
            </w:pPr>
            <w:r w:rsidRPr="00C90FBC">
              <w:rPr>
                <w:sz w:val="18"/>
                <w:szCs w:val="18"/>
                <w:lang w:val="en-GB"/>
              </w:rPr>
              <w:t>–</w:t>
            </w:r>
          </w:p>
        </w:tc>
      </w:tr>
      <w:tr w:rsidR="0023336D" w:rsidRPr="00C90FBC" w14:paraId="6F7E6AFE" w14:textId="77777777" w:rsidTr="008E185F">
        <w:trPr>
          <w:trHeight w:val="57"/>
          <w:jc w:val="right"/>
        </w:trPr>
        <w:tc>
          <w:tcPr>
            <w:tcW w:w="1440" w:type="dxa"/>
            <w:tcBorders>
              <w:top w:val="single" w:sz="4" w:space="0" w:color="auto"/>
            </w:tcBorders>
            <w:shd w:val="clear" w:color="auto" w:fill="auto"/>
            <w:noWrap/>
            <w:hideMark/>
          </w:tcPr>
          <w:p w14:paraId="1CEC6384"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33B273A1"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Total (G)</w:t>
            </w:r>
          </w:p>
        </w:tc>
        <w:tc>
          <w:tcPr>
            <w:tcW w:w="1620" w:type="dxa"/>
            <w:tcBorders>
              <w:top w:val="single" w:sz="4" w:space="0" w:color="auto"/>
              <w:bottom w:val="single" w:sz="4" w:space="0" w:color="auto"/>
            </w:tcBorders>
            <w:shd w:val="clear" w:color="auto" w:fill="auto"/>
            <w:noWrap/>
            <w:hideMark/>
          </w:tcPr>
          <w:p w14:paraId="600AB590"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210 500</w:t>
            </w:r>
          </w:p>
        </w:tc>
        <w:tc>
          <w:tcPr>
            <w:tcW w:w="1756" w:type="dxa"/>
            <w:tcBorders>
              <w:top w:val="single" w:sz="4" w:space="0" w:color="auto"/>
              <w:bottom w:val="single" w:sz="4" w:space="0" w:color="auto"/>
            </w:tcBorders>
            <w:shd w:val="clear" w:color="auto" w:fill="auto"/>
            <w:noWrap/>
            <w:hideMark/>
          </w:tcPr>
          <w:p w14:paraId="15E4397F" w14:textId="77777777" w:rsidR="0023336D" w:rsidRPr="00C90FBC" w:rsidRDefault="0023336D" w:rsidP="008E185F">
            <w:pPr>
              <w:pStyle w:val="Normal-pool"/>
              <w:spacing w:before="40" w:after="40"/>
              <w:jc w:val="right"/>
              <w:rPr>
                <w:b/>
                <w:bCs/>
                <w:sz w:val="18"/>
                <w:szCs w:val="18"/>
                <w:lang w:val="en-GB"/>
              </w:rPr>
            </w:pPr>
            <w:r w:rsidRPr="00C90FBC">
              <w:rPr>
                <w:sz w:val="18"/>
                <w:szCs w:val="18"/>
                <w:lang w:val="en-GB"/>
              </w:rPr>
              <w:t>–</w:t>
            </w:r>
          </w:p>
        </w:tc>
      </w:tr>
      <w:tr w:rsidR="0023336D" w:rsidRPr="00C90FBC" w14:paraId="252A4413" w14:textId="77777777" w:rsidTr="008E185F">
        <w:trPr>
          <w:trHeight w:val="57"/>
          <w:jc w:val="right"/>
        </w:trPr>
        <w:tc>
          <w:tcPr>
            <w:tcW w:w="1440" w:type="dxa"/>
            <w:tcBorders>
              <w:bottom w:val="single" w:sz="4" w:space="0" w:color="auto"/>
            </w:tcBorders>
            <w:shd w:val="clear" w:color="auto" w:fill="auto"/>
            <w:noWrap/>
            <w:hideMark/>
          </w:tcPr>
          <w:p w14:paraId="5FDB7268"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lastRenderedPageBreak/>
              <w:t> </w:t>
            </w:r>
          </w:p>
        </w:tc>
        <w:tc>
          <w:tcPr>
            <w:tcW w:w="4680" w:type="dxa"/>
            <w:tcBorders>
              <w:top w:val="single" w:sz="4" w:space="0" w:color="auto"/>
              <w:bottom w:val="single" w:sz="4" w:space="0" w:color="auto"/>
            </w:tcBorders>
            <w:shd w:val="clear" w:color="auto" w:fill="auto"/>
            <w:noWrap/>
            <w:hideMark/>
          </w:tcPr>
          <w:p w14:paraId="00C0DB6C"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Resources required for all activities</w:t>
            </w:r>
          </w:p>
        </w:tc>
        <w:tc>
          <w:tcPr>
            <w:tcW w:w="1620" w:type="dxa"/>
            <w:tcBorders>
              <w:top w:val="single" w:sz="4" w:space="0" w:color="auto"/>
              <w:bottom w:val="single" w:sz="4" w:space="0" w:color="auto"/>
            </w:tcBorders>
            <w:shd w:val="clear" w:color="auto" w:fill="auto"/>
            <w:noWrap/>
            <w:hideMark/>
          </w:tcPr>
          <w:p w14:paraId="01AE7755" w14:textId="77777777" w:rsidR="0023336D" w:rsidRPr="00C90FBC" w:rsidRDefault="0023336D" w:rsidP="008E185F">
            <w:pPr>
              <w:pStyle w:val="Normal-pool"/>
              <w:spacing w:before="40" w:after="40"/>
              <w:jc w:val="right"/>
              <w:rPr>
                <w:rFonts w:eastAsia="Times New Roman"/>
                <w:color w:val="000000"/>
                <w:sz w:val="18"/>
                <w:szCs w:val="18"/>
                <w:lang w:val="en-GB"/>
              </w:rPr>
            </w:pPr>
          </w:p>
        </w:tc>
        <w:tc>
          <w:tcPr>
            <w:tcW w:w="1756" w:type="dxa"/>
            <w:tcBorders>
              <w:top w:val="single" w:sz="4" w:space="0" w:color="auto"/>
              <w:bottom w:val="single" w:sz="4" w:space="0" w:color="auto"/>
            </w:tcBorders>
            <w:shd w:val="clear" w:color="auto" w:fill="auto"/>
            <w:noWrap/>
            <w:hideMark/>
          </w:tcPr>
          <w:p w14:paraId="1D24BB18" w14:textId="77777777" w:rsidR="0023336D" w:rsidRPr="00C90FBC" w:rsidRDefault="0023336D" w:rsidP="008E185F">
            <w:pPr>
              <w:pStyle w:val="Normal-pool"/>
              <w:spacing w:before="40" w:after="40"/>
              <w:jc w:val="right"/>
              <w:rPr>
                <w:rFonts w:eastAsia="Times New Roman"/>
                <w:color w:val="000000"/>
                <w:sz w:val="18"/>
                <w:szCs w:val="18"/>
                <w:lang w:val="en-GB"/>
              </w:rPr>
            </w:pPr>
          </w:p>
        </w:tc>
      </w:tr>
      <w:tr w:rsidR="0023336D" w:rsidRPr="00C90FBC" w14:paraId="7E80615E" w14:textId="77777777" w:rsidTr="008E185F">
        <w:trPr>
          <w:trHeight w:val="57"/>
          <w:jc w:val="right"/>
        </w:trPr>
        <w:tc>
          <w:tcPr>
            <w:tcW w:w="1440" w:type="dxa"/>
            <w:tcBorders>
              <w:top w:val="single" w:sz="4" w:space="0" w:color="auto"/>
            </w:tcBorders>
            <w:shd w:val="clear" w:color="auto" w:fill="auto"/>
            <w:noWrap/>
            <w:hideMark/>
          </w:tcPr>
          <w:p w14:paraId="61824882"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tcBorders>
            <w:shd w:val="clear" w:color="auto" w:fill="auto"/>
            <w:noWrap/>
            <w:hideMark/>
          </w:tcPr>
          <w:p w14:paraId="5E247CE0"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Total direct costs (excluding programme support costs) (A to G)</w:t>
            </w:r>
          </w:p>
        </w:tc>
        <w:tc>
          <w:tcPr>
            <w:tcW w:w="1620" w:type="dxa"/>
            <w:tcBorders>
              <w:top w:val="single" w:sz="4" w:space="0" w:color="auto"/>
            </w:tcBorders>
            <w:shd w:val="clear" w:color="auto" w:fill="auto"/>
            <w:noWrap/>
            <w:hideMark/>
          </w:tcPr>
          <w:p w14:paraId="38D79736"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2 908 500</w:t>
            </w:r>
          </w:p>
        </w:tc>
        <w:tc>
          <w:tcPr>
            <w:tcW w:w="1756" w:type="dxa"/>
            <w:tcBorders>
              <w:top w:val="single" w:sz="4" w:space="0" w:color="auto"/>
            </w:tcBorders>
            <w:shd w:val="clear" w:color="auto" w:fill="auto"/>
            <w:noWrap/>
            <w:hideMark/>
          </w:tcPr>
          <w:p w14:paraId="41D0B36E"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1 700 000</w:t>
            </w:r>
          </w:p>
        </w:tc>
      </w:tr>
      <w:tr w:rsidR="0023336D" w:rsidRPr="00C90FBC" w14:paraId="225E6C1B" w14:textId="77777777" w:rsidTr="008E185F">
        <w:trPr>
          <w:trHeight w:val="57"/>
          <w:jc w:val="right"/>
        </w:trPr>
        <w:tc>
          <w:tcPr>
            <w:tcW w:w="1440" w:type="dxa"/>
            <w:tcBorders>
              <w:bottom w:val="single" w:sz="4" w:space="0" w:color="auto"/>
            </w:tcBorders>
            <w:shd w:val="clear" w:color="auto" w:fill="auto"/>
            <w:noWrap/>
            <w:hideMark/>
          </w:tcPr>
          <w:p w14:paraId="1E244E42"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bottom w:val="single" w:sz="4" w:space="0" w:color="auto"/>
            </w:tcBorders>
            <w:shd w:val="clear" w:color="auto" w:fill="auto"/>
            <w:noWrap/>
            <w:hideMark/>
          </w:tcPr>
          <w:p w14:paraId="71DAFE3C" w14:textId="77777777" w:rsidR="0023336D" w:rsidRPr="00C90FBC" w:rsidRDefault="0023336D" w:rsidP="008E185F">
            <w:pPr>
              <w:pStyle w:val="Normal-pool"/>
              <w:spacing w:before="40" w:after="40"/>
              <w:rPr>
                <w:sz w:val="18"/>
                <w:szCs w:val="18"/>
                <w:lang w:val="en-GB"/>
              </w:rPr>
            </w:pPr>
            <w:r w:rsidRPr="00C90FBC">
              <w:rPr>
                <w:sz w:val="18"/>
                <w:szCs w:val="18"/>
                <w:lang w:val="en-GB"/>
              </w:rPr>
              <w:t>Programme support costs (13 per cent)</w:t>
            </w:r>
          </w:p>
        </w:tc>
        <w:tc>
          <w:tcPr>
            <w:tcW w:w="1620" w:type="dxa"/>
            <w:tcBorders>
              <w:bottom w:val="single" w:sz="4" w:space="0" w:color="auto"/>
            </w:tcBorders>
            <w:shd w:val="clear" w:color="auto" w:fill="auto"/>
            <w:noWrap/>
            <w:hideMark/>
          </w:tcPr>
          <w:p w14:paraId="79582FD7"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378 105</w:t>
            </w:r>
          </w:p>
        </w:tc>
        <w:tc>
          <w:tcPr>
            <w:tcW w:w="1756" w:type="dxa"/>
            <w:tcBorders>
              <w:bottom w:val="single" w:sz="4" w:space="0" w:color="auto"/>
            </w:tcBorders>
            <w:shd w:val="clear" w:color="auto" w:fill="auto"/>
            <w:noWrap/>
            <w:hideMark/>
          </w:tcPr>
          <w:p w14:paraId="4730489C"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221 000</w:t>
            </w:r>
          </w:p>
        </w:tc>
      </w:tr>
      <w:tr w:rsidR="0023336D" w:rsidRPr="00C90FBC" w14:paraId="6A40D04E"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B65FCB6"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329C8EBC"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Grand total (including programme support costs)</w:t>
            </w:r>
          </w:p>
        </w:tc>
        <w:tc>
          <w:tcPr>
            <w:tcW w:w="1620" w:type="dxa"/>
            <w:tcBorders>
              <w:top w:val="single" w:sz="4" w:space="0" w:color="auto"/>
              <w:bottom w:val="single" w:sz="4" w:space="0" w:color="auto"/>
            </w:tcBorders>
            <w:shd w:val="clear" w:color="auto" w:fill="auto"/>
            <w:noWrap/>
            <w:hideMark/>
          </w:tcPr>
          <w:p w14:paraId="3B1C9A1D"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3 286 605</w:t>
            </w:r>
          </w:p>
        </w:tc>
        <w:tc>
          <w:tcPr>
            <w:tcW w:w="1756" w:type="dxa"/>
            <w:tcBorders>
              <w:top w:val="single" w:sz="4" w:space="0" w:color="auto"/>
              <w:bottom w:val="single" w:sz="4" w:space="0" w:color="auto"/>
            </w:tcBorders>
            <w:shd w:val="clear" w:color="auto" w:fill="auto"/>
            <w:noWrap/>
            <w:hideMark/>
          </w:tcPr>
          <w:p w14:paraId="53511FE1"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1 921 000</w:t>
            </w:r>
          </w:p>
        </w:tc>
      </w:tr>
      <w:tr w:rsidR="0023336D" w:rsidRPr="00C90FBC" w14:paraId="49508C81" w14:textId="77777777" w:rsidTr="008E185F">
        <w:trPr>
          <w:trHeight w:val="57"/>
          <w:jc w:val="right"/>
        </w:trPr>
        <w:tc>
          <w:tcPr>
            <w:tcW w:w="1440" w:type="dxa"/>
            <w:tcBorders>
              <w:bottom w:val="single" w:sz="4" w:space="0" w:color="auto"/>
            </w:tcBorders>
            <w:shd w:val="clear" w:color="auto" w:fill="auto"/>
            <w:noWrap/>
            <w:hideMark/>
          </w:tcPr>
          <w:p w14:paraId="53842ACF" w14:textId="77777777" w:rsidR="0023336D" w:rsidRPr="00C90FBC" w:rsidRDefault="0023336D" w:rsidP="008E185F">
            <w:pPr>
              <w:pStyle w:val="Normal-pool"/>
              <w:spacing w:before="40" w:after="40"/>
              <w:rPr>
                <w:sz w:val="18"/>
                <w:szCs w:val="18"/>
                <w:lang w:val="en-GB"/>
              </w:rPr>
            </w:pPr>
            <w:r w:rsidRPr="00C90FBC">
              <w:rPr>
                <w:sz w:val="18"/>
                <w:szCs w:val="18"/>
                <w:lang w:val="en-GB"/>
              </w:rPr>
              <w:t> </w:t>
            </w:r>
          </w:p>
        </w:tc>
        <w:tc>
          <w:tcPr>
            <w:tcW w:w="4680" w:type="dxa"/>
            <w:tcBorders>
              <w:bottom w:val="single" w:sz="4" w:space="0" w:color="auto"/>
            </w:tcBorders>
            <w:shd w:val="clear" w:color="auto" w:fill="auto"/>
            <w:noWrap/>
            <w:hideMark/>
          </w:tcPr>
          <w:p w14:paraId="106B2550" w14:textId="77777777" w:rsidR="0023336D" w:rsidRPr="00C90FBC" w:rsidRDefault="0023336D" w:rsidP="008E185F">
            <w:pPr>
              <w:pStyle w:val="Normal-pool"/>
              <w:spacing w:before="40" w:after="40"/>
              <w:rPr>
                <w:sz w:val="18"/>
                <w:szCs w:val="18"/>
                <w:lang w:val="en-GB"/>
              </w:rPr>
            </w:pPr>
            <w:r w:rsidRPr="00C90FBC">
              <w:rPr>
                <w:sz w:val="18"/>
                <w:szCs w:val="18"/>
                <w:lang w:val="en-GB"/>
              </w:rPr>
              <w:t>Extraordinary additional costs for the fourth meeting of the Conference of the Parties (including programme support costs)</w:t>
            </w:r>
          </w:p>
        </w:tc>
        <w:tc>
          <w:tcPr>
            <w:tcW w:w="1620" w:type="dxa"/>
            <w:tcBorders>
              <w:bottom w:val="single" w:sz="4" w:space="0" w:color="auto"/>
            </w:tcBorders>
            <w:shd w:val="clear" w:color="auto" w:fill="auto"/>
            <w:noWrap/>
            <w:hideMark/>
          </w:tcPr>
          <w:p w14:paraId="798326EE"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111 079</w:t>
            </w:r>
          </w:p>
        </w:tc>
        <w:tc>
          <w:tcPr>
            <w:tcW w:w="1756" w:type="dxa"/>
            <w:tcBorders>
              <w:bottom w:val="single" w:sz="4" w:space="0" w:color="auto"/>
            </w:tcBorders>
            <w:shd w:val="clear" w:color="auto" w:fill="auto"/>
            <w:noWrap/>
            <w:hideMark/>
          </w:tcPr>
          <w:p w14:paraId="3779737E" w14:textId="77777777" w:rsidR="0023336D" w:rsidRPr="00851733" w:rsidRDefault="0023336D" w:rsidP="008E185F">
            <w:pPr>
              <w:pStyle w:val="Normal-pool"/>
              <w:spacing w:before="40" w:after="40"/>
              <w:jc w:val="right"/>
              <w:rPr>
                <w:b/>
                <w:sz w:val="18"/>
                <w:szCs w:val="18"/>
                <w:lang w:val="en-GB"/>
              </w:rPr>
            </w:pPr>
          </w:p>
        </w:tc>
      </w:tr>
      <w:tr w:rsidR="0023336D" w:rsidRPr="00C90FBC" w14:paraId="5540AC00" w14:textId="77777777" w:rsidTr="008E185F">
        <w:trPr>
          <w:trHeight w:val="57"/>
          <w:jc w:val="right"/>
        </w:trPr>
        <w:tc>
          <w:tcPr>
            <w:tcW w:w="1440" w:type="dxa"/>
            <w:tcBorders>
              <w:top w:val="single" w:sz="4" w:space="0" w:color="auto"/>
            </w:tcBorders>
            <w:shd w:val="clear" w:color="auto" w:fill="auto"/>
            <w:noWrap/>
            <w:hideMark/>
          </w:tcPr>
          <w:p w14:paraId="322B01A3"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tcBorders>
            <w:shd w:val="clear" w:color="auto" w:fill="auto"/>
            <w:noWrap/>
            <w:hideMark/>
          </w:tcPr>
          <w:p w14:paraId="36EA9CB6"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Grand total including extraordinary costs for the fourth meeting of the Conference of the Parties</w:t>
            </w:r>
          </w:p>
        </w:tc>
        <w:tc>
          <w:tcPr>
            <w:tcW w:w="1620" w:type="dxa"/>
            <w:tcBorders>
              <w:top w:val="single" w:sz="4" w:space="0" w:color="auto"/>
            </w:tcBorders>
            <w:shd w:val="clear" w:color="auto" w:fill="auto"/>
            <w:noWrap/>
            <w:hideMark/>
          </w:tcPr>
          <w:p w14:paraId="618ACB6E"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3 397 684</w:t>
            </w:r>
          </w:p>
        </w:tc>
        <w:tc>
          <w:tcPr>
            <w:tcW w:w="1756" w:type="dxa"/>
            <w:tcBorders>
              <w:top w:val="single" w:sz="4" w:space="0" w:color="auto"/>
            </w:tcBorders>
            <w:shd w:val="clear" w:color="auto" w:fill="auto"/>
            <w:noWrap/>
            <w:hideMark/>
          </w:tcPr>
          <w:p w14:paraId="24AB2895" w14:textId="77777777" w:rsidR="0023336D" w:rsidRPr="00C90FBC" w:rsidRDefault="0023336D" w:rsidP="008E185F">
            <w:pPr>
              <w:pStyle w:val="Normal-pool"/>
              <w:spacing w:before="40" w:after="40"/>
              <w:jc w:val="right"/>
              <w:rPr>
                <w:b/>
                <w:bCs/>
                <w:sz w:val="18"/>
                <w:szCs w:val="18"/>
                <w:lang w:val="en-GB"/>
              </w:rPr>
            </w:pPr>
          </w:p>
        </w:tc>
      </w:tr>
      <w:tr w:rsidR="0023336D" w:rsidRPr="00C90FBC" w14:paraId="5955C931"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D136DF8"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 </w:t>
            </w:r>
          </w:p>
        </w:tc>
        <w:tc>
          <w:tcPr>
            <w:tcW w:w="4680" w:type="dxa"/>
            <w:tcBorders>
              <w:top w:val="single" w:sz="4" w:space="0" w:color="auto"/>
              <w:bottom w:val="single" w:sz="4" w:space="0" w:color="auto"/>
            </w:tcBorders>
            <w:shd w:val="clear" w:color="auto" w:fill="auto"/>
            <w:noWrap/>
            <w:hideMark/>
          </w:tcPr>
          <w:p w14:paraId="5D6E8122"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 xml:space="preserve">Withdrawal from working capital reserve ($132,500 plus </w:t>
            </w:r>
            <w:r w:rsidRPr="00C90FBC">
              <w:rPr>
                <w:b/>
                <w:bCs/>
                <w:sz w:val="18"/>
                <w:szCs w:val="18"/>
                <w:lang w:val="en-GB"/>
              </w:rPr>
              <w:t>programme support costs</w:t>
            </w:r>
            <w:r w:rsidRPr="00C90FBC">
              <w:rPr>
                <w:rFonts w:eastAsia="Times New Roman"/>
                <w:b/>
                <w:bCs/>
                <w:color w:val="000000"/>
                <w:sz w:val="18"/>
                <w:szCs w:val="18"/>
                <w:lang w:val="en-GB"/>
              </w:rPr>
              <w:t>)</w:t>
            </w:r>
          </w:p>
        </w:tc>
        <w:tc>
          <w:tcPr>
            <w:tcW w:w="1620" w:type="dxa"/>
            <w:tcBorders>
              <w:top w:val="single" w:sz="4" w:space="0" w:color="auto"/>
              <w:bottom w:val="single" w:sz="4" w:space="0" w:color="auto"/>
            </w:tcBorders>
            <w:shd w:val="clear" w:color="auto" w:fill="auto"/>
            <w:noWrap/>
            <w:hideMark/>
          </w:tcPr>
          <w:p w14:paraId="735CDE7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(149 725)</w:t>
            </w:r>
          </w:p>
        </w:tc>
        <w:tc>
          <w:tcPr>
            <w:tcW w:w="1756" w:type="dxa"/>
            <w:tcBorders>
              <w:top w:val="single" w:sz="4" w:space="0" w:color="auto"/>
              <w:bottom w:val="single" w:sz="4" w:space="0" w:color="auto"/>
            </w:tcBorders>
            <w:shd w:val="clear" w:color="auto" w:fill="auto"/>
            <w:noWrap/>
            <w:hideMark/>
          </w:tcPr>
          <w:p w14:paraId="4CCFC217" w14:textId="77777777" w:rsidR="0023336D" w:rsidRPr="00C90FBC" w:rsidRDefault="0023336D" w:rsidP="008E185F">
            <w:pPr>
              <w:pStyle w:val="Normal-pool"/>
              <w:spacing w:before="40" w:after="40"/>
              <w:jc w:val="right"/>
              <w:rPr>
                <w:rFonts w:eastAsia="Times New Roman"/>
                <w:color w:val="000000"/>
                <w:sz w:val="18"/>
                <w:szCs w:val="18"/>
                <w:lang w:val="en-GB"/>
              </w:rPr>
            </w:pPr>
          </w:p>
        </w:tc>
      </w:tr>
      <w:tr w:rsidR="0023336D" w:rsidRPr="00C90FBC" w14:paraId="47479D8D" w14:textId="77777777" w:rsidTr="008E185F">
        <w:trPr>
          <w:trHeight w:val="57"/>
          <w:jc w:val="right"/>
        </w:trPr>
        <w:tc>
          <w:tcPr>
            <w:tcW w:w="1440" w:type="dxa"/>
            <w:tcBorders>
              <w:top w:val="single" w:sz="4" w:space="0" w:color="auto"/>
            </w:tcBorders>
            <w:shd w:val="clear" w:color="auto" w:fill="auto"/>
            <w:noWrap/>
            <w:hideMark/>
          </w:tcPr>
          <w:p w14:paraId="4B1438AA"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 </w:t>
            </w:r>
          </w:p>
        </w:tc>
        <w:tc>
          <w:tcPr>
            <w:tcW w:w="4680" w:type="dxa"/>
            <w:tcBorders>
              <w:top w:val="single" w:sz="4" w:space="0" w:color="auto"/>
            </w:tcBorders>
            <w:shd w:val="clear" w:color="auto" w:fill="auto"/>
            <w:noWrap/>
            <w:hideMark/>
          </w:tcPr>
          <w:p w14:paraId="61CE9FC2"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 xml:space="preserve">Savings from 2020–2021 for trade report ($60,000 plus </w:t>
            </w:r>
            <w:r w:rsidRPr="00C90FBC">
              <w:rPr>
                <w:b/>
                <w:bCs/>
                <w:sz w:val="18"/>
                <w:szCs w:val="18"/>
                <w:lang w:val="en-GB"/>
              </w:rPr>
              <w:t>programme support costs</w:t>
            </w:r>
            <w:r w:rsidRPr="00C90FBC">
              <w:rPr>
                <w:rFonts w:eastAsia="Times New Roman"/>
                <w:b/>
                <w:bCs/>
                <w:color w:val="000000"/>
                <w:sz w:val="18"/>
                <w:szCs w:val="18"/>
                <w:lang w:val="en-GB"/>
              </w:rPr>
              <w:t>)</w:t>
            </w:r>
          </w:p>
        </w:tc>
        <w:tc>
          <w:tcPr>
            <w:tcW w:w="1620" w:type="dxa"/>
            <w:tcBorders>
              <w:top w:val="single" w:sz="4" w:space="0" w:color="auto"/>
            </w:tcBorders>
            <w:shd w:val="clear" w:color="auto" w:fill="auto"/>
            <w:noWrap/>
            <w:hideMark/>
          </w:tcPr>
          <w:p w14:paraId="4ED3B2B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(67 800)</w:t>
            </w:r>
          </w:p>
        </w:tc>
        <w:tc>
          <w:tcPr>
            <w:tcW w:w="1756" w:type="dxa"/>
            <w:tcBorders>
              <w:top w:val="single" w:sz="4" w:space="0" w:color="auto"/>
            </w:tcBorders>
            <w:shd w:val="clear" w:color="auto" w:fill="auto"/>
            <w:noWrap/>
            <w:hideMark/>
          </w:tcPr>
          <w:p w14:paraId="2A7AE248" w14:textId="77777777" w:rsidR="0023336D" w:rsidRPr="00C90FBC" w:rsidRDefault="0023336D" w:rsidP="008E185F">
            <w:pPr>
              <w:pStyle w:val="Normal-pool"/>
              <w:spacing w:before="40" w:after="40"/>
              <w:jc w:val="right"/>
              <w:rPr>
                <w:rFonts w:eastAsia="Times New Roman"/>
                <w:color w:val="000000"/>
                <w:sz w:val="18"/>
                <w:szCs w:val="18"/>
                <w:lang w:val="en-GB"/>
              </w:rPr>
            </w:pPr>
          </w:p>
        </w:tc>
      </w:tr>
      <w:tr w:rsidR="0023336D" w:rsidRPr="00C90FBC" w14:paraId="77ABD375" w14:textId="77777777" w:rsidTr="008E185F">
        <w:trPr>
          <w:trHeight w:val="57"/>
          <w:jc w:val="right"/>
        </w:trPr>
        <w:tc>
          <w:tcPr>
            <w:tcW w:w="1440" w:type="dxa"/>
            <w:tcBorders>
              <w:top w:val="single" w:sz="4" w:space="0" w:color="auto"/>
              <w:bottom w:val="single" w:sz="12" w:space="0" w:color="auto"/>
            </w:tcBorders>
            <w:shd w:val="clear" w:color="auto" w:fill="auto"/>
            <w:noWrap/>
            <w:hideMark/>
          </w:tcPr>
          <w:p w14:paraId="2174094F"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w:t>
            </w:r>
          </w:p>
        </w:tc>
        <w:tc>
          <w:tcPr>
            <w:tcW w:w="4680" w:type="dxa"/>
            <w:tcBorders>
              <w:top w:val="single" w:sz="4" w:space="0" w:color="auto"/>
              <w:bottom w:val="single" w:sz="12" w:space="0" w:color="auto"/>
            </w:tcBorders>
            <w:shd w:val="clear" w:color="auto" w:fill="auto"/>
            <w:hideMark/>
          </w:tcPr>
          <w:p w14:paraId="7B95E26E"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 xml:space="preserve">Grand total to be covered by contributions from parties </w:t>
            </w:r>
            <w:r w:rsidRPr="00C90FBC">
              <w:rPr>
                <w:b/>
                <w:bCs/>
                <w:sz w:val="18"/>
                <w:szCs w:val="18"/>
                <w:lang w:val="en-GB"/>
              </w:rPr>
              <w:br/>
              <w:t>and 60 per cent of host country contribution</w:t>
            </w:r>
          </w:p>
        </w:tc>
        <w:tc>
          <w:tcPr>
            <w:tcW w:w="1620" w:type="dxa"/>
            <w:tcBorders>
              <w:top w:val="single" w:sz="4" w:space="0" w:color="auto"/>
              <w:bottom w:val="single" w:sz="12" w:space="0" w:color="auto"/>
            </w:tcBorders>
            <w:shd w:val="clear" w:color="auto" w:fill="auto"/>
            <w:noWrap/>
            <w:hideMark/>
          </w:tcPr>
          <w:p w14:paraId="401C81C8"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3 180 159</w:t>
            </w:r>
          </w:p>
        </w:tc>
        <w:tc>
          <w:tcPr>
            <w:tcW w:w="1756" w:type="dxa"/>
            <w:tcBorders>
              <w:top w:val="single" w:sz="4" w:space="0" w:color="auto"/>
              <w:bottom w:val="single" w:sz="12" w:space="0" w:color="auto"/>
            </w:tcBorders>
            <w:shd w:val="clear" w:color="auto" w:fill="auto"/>
            <w:noWrap/>
            <w:hideMark/>
          </w:tcPr>
          <w:p w14:paraId="20ABBE2F" w14:textId="77777777" w:rsidR="0023336D" w:rsidRPr="00C90FBC" w:rsidRDefault="0023336D" w:rsidP="008E185F">
            <w:pPr>
              <w:pStyle w:val="Normal-pool"/>
              <w:spacing w:before="40" w:after="40"/>
              <w:jc w:val="right"/>
              <w:rPr>
                <w:b/>
                <w:bCs/>
                <w:sz w:val="18"/>
                <w:szCs w:val="18"/>
                <w:lang w:val="en-GB"/>
              </w:rPr>
            </w:pPr>
          </w:p>
        </w:tc>
      </w:tr>
    </w:tbl>
    <w:p w14:paraId="15DC2D29" w14:textId="77777777" w:rsidR="0023336D" w:rsidRPr="00C90FBC" w:rsidRDefault="0023336D" w:rsidP="0023336D">
      <w:pPr>
        <w:pStyle w:val="NormalNonumber"/>
        <w:spacing w:before="60" w:after="0"/>
        <w:rPr>
          <w:i/>
          <w:iCs/>
          <w:sz w:val="18"/>
          <w:szCs w:val="18"/>
          <w:lang w:val="en-GB"/>
        </w:rPr>
      </w:pPr>
      <w:r w:rsidRPr="00C90FBC">
        <w:rPr>
          <w:i/>
          <w:iCs/>
          <w:sz w:val="18"/>
          <w:szCs w:val="18"/>
          <w:lang w:val="en-GB"/>
        </w:rPr>
        <w:t xml:space="preserve">Notes: </w:t>
      </w:r>
    </w:p>
    <w:p w14:paraId="3ABD48E6" w14:textId="77777777" w:rsidR="0023336D" w:rsidRPr="00C90FBC" w:rsidRDefault="0023336D" w:rsidP="0023336D">
      <w:pPr>
        <w:pStyle w:val="NormalNonumber"/>
        <w:spacing w:before="60" w:after="0"/>
        <w:rPr>
          <w:sz w:val="18"/>
          <w:szCs w:val="18"/>
          <w:lang w:val="en-GB"/>
        </w:rPr>
      </w:pPr>
      <w:r w:rsidRPr="00C90FBC">
        <w:rPr>
          <w:sz w:val="18"/>
          <w:szCs w:val="18"/>
          <w:lang w:val="en-GB"/>
        </w:rPr>
        <w:tab/>
        <w:t>Activities in the interim budget for 2022 will be reviewed at the resumed fourth meeting of the Conference of the Parties</w:t>
      </w:r>
      <w:r w:rsidRPr="00C90FBC" w:rsidDel="00311458">
        <w:rPr>
          <w:sz w:val="18"/>
          <w:szCs w:val="18"/>
          <w:lang w:val="en-GB"/>
        </w:rPr>
        <w:t xml:space="preserve"> </w:t>
      </w:r>
      <w:r w:rsidRPr="00C90FBC">
        <w:rPr>
          <w:sz w:val="18"/>
          <w:szCs w:val="18"/>
          <w:lang w:val="en-GB"/>
        </w:rPr>
        <w:t>to ensure that they are in line with the decisions taken at the resumed fourth meeting.</w:t>
      </w:r>
    </w:p>
    <w:p w14:paraId="0AA27294" w14:textId="77777777" w:rsidR="0023336D" w:rsidRPr="00C90FBC" w:rsidRDefault="0023336D" w:rsidP="0023336D">
      <w:pPr>
        <w:pStyle w:val="NormalNonumber"/>
        <w:spacing w:before="60" w:after="0"/>
        <w:rPr>
          <w:sz w:val="18"/>
          <w:szCs w:val="18"/>
          <w:lang w:val="en-GB"/>
        </w:rPr>
      </w:pPr>
      <w:r w:rsidRPr="00C90FBC">
        <w:rPr>
          <w:sz w:val="18"/>
          <w:szCs w:val="18"/>
          <w:lang w:val="en-GB"/>
        </w:rPr>
        <w:tab/>
        <w:t>The present decision should not be seen as creating a precedent, but as a pragmatic solution to progressing with the work of the secretariat in the current, very specific situation.</w:t>
      </w:r>
    </w:p>
    <w:p w14:paraId="15125523" w14:textId="77777777" w:rsidR="0023336D" w:rsidRPr="00C90FBC" w:rsidRDefault="0023336D" w:rsidP="0023336D">
      <w:pPr>
        <w:pStyle w:val="Titletable"/>
        <w:spacing w:before="240"/>
        <w:rPr>
          <w:b w:val="0"/>
          <w:bCs w:val="0"/>
          <w:sz w:val="18"/>
          <w:szCs w:val="18"/>
          <w:lang w:val="en-GB"/>
        </w:rPr>
      </w:pPr>
      <w:r w:rsidRPr="00C90FBC">
        <w:rPr>
          <w:b w:val="0"/>
          <w:bCs w:val="0"/>
          <w:lang w:val="en-GB"/>
        </w:rPr>
        <w:t xml:space="preserve">Table 2 </w:t>
      </w:r>
      <w:r w:rsidRPr="00C90FBC">
        <w:rPr>
          <w:b w:val="0"/>
          <w:bCs w:val="0"/>
          <w:lang w:val="en-GB"/>
        </w:rPr>
        <w:br/>
      </w:r>
      <w:r w:rsidRPr="00C90FBC">
        <w:rPr>
          <w:lang w:val="en-GB"/>
        </w:rPr>
        <w:t xml:space="preserve">Overview of the indicative scale of assessment and contributions to the general trust fund for 2022 </w:t>
      </w:r>
      <w:r w:rsidRPr="00C90FBC">
        <w:rPr>
          <w:lang w:val="en-GB"/>
        </w:rPr>
        <w:br/>
      </w:r>
      <w:r w:rsidRPr="00C90FBC">
        <w:rPr>
          <w:b w:val="0"/>
          <w:bCs w:val="0"/>
          <w:sz w:val="18"/>
          <w:szCs w:val="18"/>
          <w:lang w:val="en-GB"/>
        </w:rPr>
        <w:t>(in United States dollars)</w:t>
      </w:r>
    </w:p>
    <w:tbl>
      <w:tblPr>
        <w:tblW w:w="5000" w:type="pct"/>
        <w:jc w:val="right"/>
        <w:tblLook w:val="04A0" w:firstRow="1" w:lastRow="0" w:firstColumn="1" w:lastColumn="0" w:noHBand="0" w:noVBand="1"/>
      </w:tblPr>
      <w:tblGrid>
        <w:gridCol w:w="3600"/>
        <w:gridCol w:w="1980"/>
        <w:gridCol w:w="1800"/>
        <w:gridCol w:w="2116"/>
      </w:tblGrid>
      <w:tr w:rsidR="0023336D" w:rsidRPr="00C90FBC" w14:paraId="73B20EF1" w14:textId="77777777" w:rsidTr="008E185F">
        <w:trPr>
          <w:trHeight w:val="57"/>
          <w:tblHeader/>
          <w:jc w:val="right"/>
        </w:trPr>
        <w:tc>
          <w:tcPr>
            <w:tcW w:w="3600" w:type="dxa"/>
            <w:tcBorders>
              <w:top w:val="single" w:sz="4" w:space="0" w:color="auto"/>
              <w:left w:val="nil"/>
              <w:bottom w:val="single" w:sz="12" w:space="0" w:color="auto"/>
              <w:right w:val="nil"/>
            </w:tcBorders>
            <w:noWrap/>
            <w:vAlign w:val="bottom"/>
            <w:hideMark/>
          </w:tcPr>
          <w:p w14:paraId="7B58CA1F" w14:textId="77777777" w:rsidR="0023336D" w:rsidRPr="00C90FBC" w:rsidRDefault="0023336D" w:rsidP="008E185F">
            <w:pPr>
              <w:pStyle w:val="Normal-pool"/>
              <w:spacing w:before="40" w:after="40"/>
              <w:rPr>
                <w:i/>
                <w:iCs/>
                <w:sz w:val="18"/>
                <w:szCs w:val="18"/>
                <w:lang w:val="en-GB"/>
              </w:rPr>
            </w:pPr>
            <w:r w:rsidRPr="00C90FBC">
              <w:rPr>
                <w:i/>
                <w:iCs/>
                <w:sz w:val="18"/>
                <w:szCs w:val="18"/>
                <w:lang w:val="en-GB"/>
              </w:rPr>
              <w:t>Party</w:t>
            </w:r>
          </w:p>
        </w:tc>
        <w:tc>
          <w:tcPr>
            <w:tcW w:w="1980" w:type="dxa"/>
            <w:tcBorders>
              <w:top w:val="single" w:sz="4" w:space="0" w:color="auto"/>
              <w:left w:val="nil"/>
              <w:bottom w:val="single" w:sz="12" w:space="0" w:color="auto"/>
              <w:right w:val="nil"/>
            </w:tcBorders>
            <w:vAlign w:val="bottom"/>
            <w:hideMark/>
          </w:tcPr>
          <w:p w14:paraId="184F0020" w14:textId="77777777" w:rsidR="0023336D" w:rsidRPr="00C90FBC" w:rsidRDefault="0023336D" w:rsidP="008E185F">
            <w:pPr>
              <w:pStyle w:val="Normal-pool"/>
              <w:spacing w:before="40" w:after="40"/>
              <w:jc w:val="right"/>
              <w:rPr>
                <w:i/>
                <w:iCs/>
                <w:sz w:val="18"/>
                <w:szCs w:val="18"/>
                <w:lang w:val="en-GB"/>
              </w:rPr>
            </w:pPr>
            <w:r w:rsidRPr="00C90FBC">
              <w:rPr>
                <w:i/>
                <w:iCs/>
                <w:sz w:val="18"/>
                <w:szCs w:val="18"/>
                <w:lang w:val="en-GB"/>
              </w:rPr>
              <w:t xml:space="preserve">United Nations </w:t>
            </w:r>
            <w:r w:rsidRPr="00C90FBC">
              <w:rPr>
                <w:i/>
                <w:iCs/>
                <w:sz w:val="18"/>
                <w:szCs w:val="18"/>
                <w:lang w:val="en-GB"/>
              </w:rPr>
              <w:br/>
              <w:t>scale of assessment for 2019–2021 (%)</w:t>
            </w:r>
          </w:p>
        </w:tc>
        <w:tc>
          <w:tcPr>
            <w:tcW w:w="1800" w:type="dxa"/>
            <w:tcBorders>
              <w:top w:val="single" w:sz="4" w:space="0" w:color="auto"/>
              <w:left w:val="nil"/>
              <w:bottom w:val="single" w:sz="12" w:space="0" w:color="auto"/>
              <w:right w:val="nil"/>
            </w:tcBorders>
            <w:vAlign w:val="bottom"/>
            <w:hideMark/>
          </w:tcPr>
          <w:p w14:paraId="29C47EA7" w14:textId="77777777" w:rsidR="0023336D" w:rsidRPr="00C90FBC" w:rsidRDefault="0023336D" w:rsidP="008E185F">
            <w:pPr>
              <w:pStyle w:val="Normal-pool"/>
              <w:spacing w:before="40" w:after="40"/>
              <w:jc w:val="right"/>
              <w:rPr>
                <w:i/>
                <w:iCs/>
                <w:sz w:val="18"/>
                <w:szCs w:val="18"/>
                <w:lang w:val="en-GB"/>
              </w:rPr>
            </w:pPr>
            <w:r w:rsidRPr="00C90FBC">
              <w:rPr>
                <w:i/>
                <w:iCs/>
                <w:sz w:val="18"/>
                <w:szCs w:val="18"/>
                <w:lang w:val="en-GB"/>
              </w:rPr>
              <w:t>Minamata scale with 22% ceiling and 0.010% base (%)</w:t>
            </w:r>
          </w:p>
        </w:tc>
        <w:tc>
          <w:tcPr>
            <w:tcW w:w="2116" w:type="dxa"/>
            <w:tcBorders>
              <w:top w:val="single" w:sz="4" w:space="0" w:color="auto"/>
              <w:left w:val="nil"/>
              <w:bottom w:val="single" w:sz="12" w:space="0" w:color="auto"/>
              <w:right w:val="nil"/>
            </w:tcBorders>
            <w:vAlign w:val="bottom"/>
            <w:hideMark/>
          </w:tcPr>
          <w:p w14:paraId="723B9AE4" w14:textId="77777777" w:rsidR="0023336D" w:rsidRPr="00C90FBC" w:rsidRDefault="0023336D" w:rsidP="008E185F">
            <w:pPr>
              <w:pStyle w:val="Normal-pool"/>
              <w:spacing w:before="40" w:after="40"/>
              <w:jc w:val="right"/>
              <w:rPr>
                <w:i/>
                <w:iCs/>
                <w:sz w:val="18"/>
                <w:szCs w:val="18"/>
                <w:lang w:val="en-GB"/>
              </w:rPr>
            </w:pPr>
            <w:r w:rsidRPr="00C90FBC">
              <w:rPr>
                <w:i/>
                <w:iCs/>
                <w:sz w:val="18"/>
                <w:szCs w:val="18"/>
                <w:lang w:val="en-GB"/>
              </w:rPr>
              <w:t xml:space="preserve">Total contributions to the general trust fund (2022) </w:t>
            </w:r>
            <w:r w:rsidRPr="00C90FBC">
              <w:rPr>
                <w:i/>
                <w:iCs/>
                <w:sz w:val="18"/>
                <w:szCs w:val="18"/>
                <w:lang w:val="en-GB"/>
              </w:rPr>
              <w:br/>
              <w:t>(United States dollars)</w:t>
            </w:r>
          </w:p>
        </w:tc>
      </w:tr>
      <w:tr w:rsidR="0023336D" w:rsidRPr="00C90FBC" w14:paraId="68D6C612" w14:textId="77777777" w:rsidTr="008E185F">
        <w:trPr>
          <w:trHeight w:val="57"/>
          <w:jc w:val="right"/>
        </w:trPr>
        <w:tc>
          <w:tcPr>
            <w:tcW w:w="3600" w:type="dxa"/>
            <w:tcBorders>
              <w:top w:val="single" w:sz="12" w:space="0" w:color="auto"/>
              <w:left w:val="nil"/>
              <w:bottom w:val="single" w:sz="4" w:space="0" w:color="auto"/>
              <w:right w:val="nil"/>
            </w:tcBorders>
            <w:noWrap/>
            <w:hideMark/>
          </w:tcPr>
          <w:p w14:paraId="10F425F8"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African States (37)</w:t>
            </w:r>
          </w:p>
        </w:tc>
        <w:tc>
          <w:tcPr>
            <w:tcW w:w="1980" w:type="dxa"/>
            <w:tcBorders>
              <w:top w:val="single" w:sz="12" w:space="0" w:color="auto"/>
              <w:left w:val="nil"/>
              <w:bottom w:val="single" w:sz="4" w:space="0" w:color="auto"/>
              <w:right w:val="nil"/>
            </w:tcBorders>
            <w:noWrap/>
            <w:hideMark/>
          </w:tcPr>
          <w:p w14:paraId="01615CA9" w14:textId="77777777" w:rsidR="0023336D" w:rsidRPr="00C90FBC" w:rsidRDefault="0023336D" w:rsidP="008E185F">
            <w:pPr>
              <w:pStyle w:val="Normal-pool"/>
              <w:spacing w:before="40" w:after="40"/>
              <w:jc w:val="right"/>
              <w:rPr>
                <w:rFonts w:eastAsia="Times New Roman"/>
                <w:b/>
                <w:bCs/>
                <w:color w:val="000000"/>
                <w:sz w:val="18"/>
                <w:szCs w:val="18"/>
                <w:lang w:val="en-GB"/>
              </w:rPr>
            </w:pPr>
            <w:r w:rsidRPr="00C90FBC">
              <w:rPr>
                <w:rFonts w:eastAsia="Times New Roman"/>
                <w:b/>
                <w:bCs/>
                <w:color w:val="000000"/>
                <w:sz w:val="18"/>
                <w:szCs w:val="18"/>
                <w:lang w:val="en-GB"/>
              </w:rPr>
              <w:t> </w:t>
            </w:r>
          </w:p>
        </w:tc>
        <w:tc>
          <w:tcPr>
            <w:tcW w:w="1800" w:type="dxa"/>
            <w:tcBorders>
              <w:top w:val="single" w:sz="12" w:space="0" w:color="auto"/>
              <w:left w:val="nil"/>
              <w:bottom w:val="single" w:sz="4" w:space="0" w:color="auto"/>
              <w:right w:val="nil"/>
            </w:tcBorders>
            <w:noWrap/>
            <w:hideMark/>
          </w:tcPr>
          <w:p w14:paraId="0F2C7067" w14:textId="77777777" w:rsidR="0023336D" w:rsidRPr="00C90FBC" w:rsidRDefault="0023336D" w:rsidP="008E185F">
            <w:pPr>
              <w:pStyle w:val="Normal-pool"/>
              <w:spacing w:before="40" w:after="40"/>
              <w:jc w:val="right"/>
              <w:rPr>
                <w:rFonts w:eastAsia="Times New Roman"/>
                <w:b/>
                <w:bCs/>
                <w:color w:val="000000"/>
                <w:sz w:val="18"/>
                <w:szCs w:val="18"/>
                <w:lang w:val="en-GB"/>
              </w:rPr>
            </w:pPr>
            <w:r w:rsidRPr="00C90FBC">
              <w:rPr>
                <w:rFonts w:eastAsia="Times New Roman"/>
                <w:b/>
                <w:bCs/>
                <w:color w:val="000000"/>
                <w:sz w:val="18"/>
                <w:szCs w:val="18"/>
                <w:lang w:val="en-GB"/>
              </w:rPr>
              <w:t> </w:t>
            </w:r>
          </w:p>
        </w:tc>
        <w:tc>
          <w:tcPr>
            <w:tcW w:w="2116" w:type="dxa"/>
            <w:tcBorders>
              <w:top w:val="single" w:sz="12" w:space="0" w:color="auto"/>
              <w:left w:val="nil"/>
              <w:bottom w:val="single" w:sz="4" w:space="0" w:color="auto"/>
              <w:right w:val="nil"/>
            </w:tcBorders>
            <w:noWrap/>
            <w:hideMark/>
          </w:tcPr>
          <w:p w14:paraId="36E0CAF4" w14:textId="77777777" w:rsidR="0023336D" w:rsidRPr="00C90FBC" w:rsidRDefault="0023336D" w:rsidP="008E185F">
            <w:pPr>
              <w:pStyle w:val="Normal-pool"/>
              <w:spacing w:before="40" w:after="40"/>
              <w:jc w:val="right"/>
              <w:rPr>
                <w:rFonts w:eastAsia="Times New Roman"/>
                <w:b/>
                <w:bCs/>
                <w:color w:val="000000"/>
                <w:sz w:val="18"/>
                <w:szCs w:val="18"/>
                <w:lang w:val="en-GB"/>
              </w:rPr>
            </w:pPr>
            <w:r w:rsidRPr="00C90FBC">
              <w:rPr>
                <w:rFonts w:eastAsia="Times New Roman"/>
                <w:b/>
                <w:bCs/>
                <w:color w:val="000000"/>
                <w:sz w:val="18"/>
                <w:szCs w:val="18"/>
                <w:lang w:val="en-GB"/>
              </w:rPr>
              <w:t> </w:t>
            </w:r>
          </w:p>
        </w:tc>
      </w:tr>
      <w:tr w:rsidR="0023336D" w:rsidRPr="00C90FBC" w14:paraId="2F83D2C4" w14:textId="77777777" w:rsidTr="008E185F">
        <w:trPr>
          <w:trHeight w:val="57"/>
          <w:jc w:val="right"/>
        </w:trPr>
        <w:tc>
          <w:tcPr>
            <w:tcW w:w="3600" w:type="dxa"/>
            <w:tcBorders>
              <w:top w:val="single" w:sz="4" w:space="0" w:color="auto"/>
              <w:left w:val="nil"/>
              <w:bottom w:val="nil"/>
              <w:right w:val="nil"/>
            </w:tcBorders>
            <w:noWrap/>
            <w:hideMark/>
          </w:tcPr>
          <w:p w14:paraId="12799761"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Benin</w:t>
            </w:r>
          </w:p>
        </w:tc>
        <w:tc>
          <w:tcPr>
            <w:tcW w:w="1980" w:type="dxa"/>
            <w:tcBorders>
              <w:top w:val="single" w:sz="4" w:space="0" w:color="auto"/>
              <w:left w:val="nil"/>
              <w:bottom w:val="nil"/>
              <w:right w:val="nil"/>
            </w:tcBorders>
            <w:noWrap/>
            <w:hideMark/>
          </w:tcPr>
          <w:p w14:paraId="5DB11ADC"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0.003</w:t>
            </w:r>
          </w:p>
        </w:tc>
        <w:tc>
          <w:tcPr>
            <w:tcW w:w="1800" w:type="dxa"/>
            <w:tcBorders>
              <w:top w:val="single" w:sz="4" w:space="0" w:color="auto"/>
              <w:left w:val="nil"/>
              <w:bottom w:val="nil"/>
              <w:right w:val="nil"/>
            </w:tcBorders>
            <w:noWrap/>
            <w:hideMark/>
          </w:tcPr>
          <w:p w14:paraId="6E6053B8"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tcBorders>
              <w:top w:val="single" w:sz="4" w:space="0" w:color="auto"/>
              <w:left w:val="nil"/>
              <w:bottom w:val="nil"/>
              <w:right w:val="nil"/>
            </w:tcBorders>
            <w:noWrap/>
            <w:hideMark/>
          </w:tcPr>
          <w:p w14:paraId="0078A5F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555BC2E4" w14:textId="77777777" w:rsidTr="008E185F">
        <w:trPr>
          <w:trHeight w:val="57"/>
          <w:jc w:val="right"/>
        </w:trPr>
        <w:tc>
          <w:tcPr>
            <w:tcW w:w="3600" w:type="dxa"/>
            <w:shd w:val="clear" w:color="auto" w:fill="FFFFFF"/>
            <w:noWrap/>
            <w:hideMark/>
          </w:tcPr>
          <w:p w14:paraId="6F398178"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Botswana</w:t>
            </w:r>
          </w:p>
        </w:tc>
        <w:tc>
          <w:tcPr>
            <w:tcW w:w="1980" w:type="dxa"/>
            <w:shd w:val="clear" w:color="auto" w:fill="FFFFFF"/>
            <w:noWrap/>
            <w:hideMark/>
          </w:tcPr>
          <w:p w14:paraId="0C28BCE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0.014</w:t>
            </w:r>
          </w:p>
        </w:tc>
        <w:tc>
          <w:tcPr>
            <w:tcW w:w="1800" w:type="dxa"/>
            <w:noWrap/>
            <w:hideMark/>
          </w:tcPr>
          <w:p w14:paraId="11E31C12"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0.0157</w:t>
            </w:r>
          </w:p>
        </w:tc>
        <w:tc>
          <w:tcPr>
            <w:tcW w:w="2116" w:type="dxa"/>
            <w:noWrap/>
            <w:hideMark/>
          </w:tcPr>
          <w:p w14:paraId="50B89C9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404</w:t>
            </w:r>
          </w:p>
        </w:tc>
      </w:tr>
      <w:tr w:rsidR="0023336D" w:rsidRPr="00C90FBC" w14:paraId="5AFE606A" w14:textId="77777777" w:rsidTr="008E185F">
        <w:trPr>
          <w:trHeight w:val="57"/>
          <w:jc w:val="right"/>
        </w:trPr>
        <w:tc>
          <w:tcPr>
            <w:tcW w:w="3600" w:type="dxa"/>
            <w:shd w:val="clear" w:color="auto" w:fill="FFFFFF"/>
            <w:noWrap/>
            <w:hideMark/>
          </w:tcPr>
          <w:p w14:paraId="3C507899"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Burkina Faso</w:t>
            </w:r>
          </w:p>
        </w:tc>
        <w:tc>
          <w:tcPr>
            <w:tcW w:w="1980" w:type="dxa"/>
            <w:shd w:val="clear" w:color="auto" w:fill="FFFFFF"/>
            <w:noWrap/>
            <w:hideMark/>
          </w:tcPr>
          <w:p w14:paraId="762F624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0.003</w:t>
            </w:r>
          </w:p>
        </w:tc>
        <w:tc>
          <w:tcPr>
            <w:tcW w:w="1800" w:type="dxa"/>
            <w:noWrap/>
            <w:hideMark/>
          </w:tcPr>
          <w:p w14:paraId="12D9BEFF"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4680EC8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18AF03AB" w14:textId="77777777" w:rsidTr="008E185F">
        <w:trPr>
          <w:trHeight w:val="57"/>
          <w:jc w:val="right"/>
        </w:trPr>
        <w:tc>
          <w:tcPr>
            <w:tcW w:w="3600" w:type="dxa"/>
            <w:shd w:val="clear" w:color="auto" w:fill="FFFFFF"/>
            <w:noWrap/>
            <w:hideMark/>
          </w:tcPr>
          <w:p w14:paraId="6BC5A1E4"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Burundi</w:t>
            </w:r>
          </w:p>
        </w:tc>
        <w:tc>
          <w:tcPr>
            <w:tcW w:w="1980" w:type="dxa"/>
            <w:shd w:val="clear" w:color="auto" w:fill="FFFFFF"/>
            <w:noWrap/>
            <w:hideMark/>
          </w:tcPr>
          <w:p w14:paraId="17E08A7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0.001</w:t>
            </w:r>
          </w:p>
        </w:tc>
        <w:tc>
          <w:tcPr>
            <w:tcW w:w="1800" w:type="dxa"/>
            <w:noWrap/>
            <w:hideMark/>
          </w:tcPr>
          <w:p w14:paraId="1C2B9FAA"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5099005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4B925F0E" w14:textId="77777777" w:rsidTr="008E185F">
        <w:trPr>
          <w:trHeight w:val="57"/>
          <w:jc w:val="right"/>
        </w:trPr>
        <w:tc>
          <w:tcPr>
            <w:tcW w:w="3600" w:type="dxa"/>
            <w:shd w:val="clear" w:color="auto" w:fill="FFFFFF"/>
            <w:noWrap/>
            <w:hideMark/>
          </w:tcPr>
          <w:p w14:paraId="0D2C667B"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Cameroon</w:t>
            </w:r>
          </w:p>
        </w:tc>
        <w:tc>
          <w:tcPr>
            <w:tcW w:w="1980" w:type="dxa"/>
            <w:shd w:val="clear" w:color="auto" w:fill="FFFFFF"/>
            <w:noWrap/>
            <w:hideMark/>
          </w:tcPr>
          <w:p w14:paraId="7B64285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0.013</w:t>
            </w:r>
          </w:p>
        </w:tc>
        <w:tc>
          <w:tcPr>
            <w:tcW w:w="1800" w:type="dxa"/>
            <w:noWrap/>
            <w:hideMark/>
          </w:tcPr>
          <w:p w14:paraId="4C6D7404"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0.0146</w:t>
            </w:r>
          </w:p>
        </w:tc>
        <w:tc>
          <w:tcPr>
            <w:tcW w:w="2116" w:type="dxa"/>
            <w:noWrap/>
            <w:hideMark/>
          </w:tcPr>
          <w:p w14:paraId="1E089D97"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375</w:t>
            </w:r>
          </w:p>
        </w:tc>
      </w:tr>
      <w:tr w:rsidR="0023336D" w:rsidRPr="00C90FBC" w14:paraId="565FAB6A" w14:textId="77777777" w:rsidTr="008E185F">
        <w:trPr>
          <w:trHeight w:val="57"/>
          <w:jc w:val="right"/>
        </w:trPr>
        <w:tc>
          <w:tcPr>
            <w:tcW w:w="3600" w:type="dxa"/>
            <w:shd w:val="clear" w:color="auto" w:fill="FFFFFF"/>
            <w:noWrap/>
            <w:hideMark/>
          </w:tcPr>
          <w:p w14:paraId="49557493"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Central African Republic</w:t>
            </w:r>
          </w:p>
        </w:tc>
        <w:tc>
          <w:tcPr>
            <w:tcW w:w="1980" w:type="dxa"/>
            <w:shd w:val="clear" w:color="auto" w:fill="FFFFFF"/>
            <w:noWrap/>
            <w:hideMark/>
          </w:tcPr>
          <w:p w14:paraId="6E66191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0.001</w:t>
            </w:r>
          </w:p>
        </w:tc>
        <w:tc>
          <w:tcPr>
            <w:tcW w:w="1800" w:type="dxa"/>
            <w:noWrap/>
            <w:hideMark/>
          </w:tcPr>
          <w:p w14:paraId="5DDDAAEC"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1BF30DA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786D00FE" w14:textId="77777777" w:rsidTr="008E185F">
        <w:trPr>
          <w:trHeight w:val="57"/>
          <w:jc w:val="right"/>
        </w:trPr>
        <w:tc>
          <w:tcPr>
            <w:tcW w:w="3600" w:type="dxa"/>
            <w:shd w:val="clear" w:color="auto" w:fill="FFFFFF"/>
            <w:noWrap/>
            <w:hideMark/>
          </w:tcPr>
          <w:p w14:paraId="2F3FE2FE"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Chad</w:t>
            </w:r>
          </w:p>
        </w:tc>
        <w:tc>
          <w:tcPr>
            <w:tcW w:w="1980" w:type="dxa"/>
            <w:shd w:val="clear" w:color="auto" w:fill="FFFFFF"/>
            <w:noWrap/>
            <w:hideMark/>
          </w:tcPr>
          <w:p w14:paraId="40F3E9D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0.004</w:t>
            </w:r>
          </w:p>
        </w:tc>
        <w:tc>
          <w:tcPr>
            <w:tcW w:w="1800" w:type="dxa"/>
            <w:noWrap/>
            <w:hideMark/>
          </w:tcPr>
          <w:p w14:paraId="685DAB99"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6C8D0105"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3E9CE732" w14:textId="77777777" w:rsidTr="008E185F">
        <w:trPr>
          <w:trHeight w:val="57"/>
          <w:jc w:val="right"/>
        </w:trPr>
        <w:tc>
          <w:tcPr>
            <w:tcW w:w="3600" w:type="dxa"/>
            <w:shd w:val="clear" w:color="auto" w:fill="FFFFFF"/>
            <w:noWrap/>
            <w:hideMark/>
          </w:tcPr>
          <w:p w14:paraId="08CC0AEF"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Comoros</w:t>
            </w:r>
          </w:p>
        </w:tc>
        <w:tc>
          <w:tcPr>
            <w:tcW w:w="1980" w:type="dxa"/>
            <w:shd w:val="clear" w:color="auto" w:fill="FFFFFF"/>
            <w:noWrap/>
            <w:hideMark/>
          </w:tcPr>
          <w:p w14:paraId="16CC33A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0.001</w:t>
            </w:r>
          </w:p>
        </w:tc>
        <w:tc>
          <w:tcPr>
            <w:tcW w:w="1800" w:type="dxa"/>
            <w:noWrap/>
            <w:hideMark/>
          </w:tcPr>
          <w:p w14:paraId="32E5D2A0"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35CE18DF"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191C9ADE" w14:textId="77777777" w:rsidTr="008E185F">
        <w:trPr>
          <w:trHeight w:val="57"/>
          <w:jc w:val="right"/>
        </w:trPr>
        <w:tc>
          <w:tcPr>
            <w:tcW w:w="3600" w:type="dxa"/>
            <w:shd w:val="clear" w:color="auto" w:fill="FFFFFF"/>
            <w:noWrap/>
            <w:hideMark/>
          </w:tcPr>
          <w:p w14:paraId="245E4E3F" w14:textId="77777777" w:rsidR="0023336D" w:rsidRPr="00C90FBC" w:rsidRDefault="0023336D" w:rsidP="008E185F">
            <w:pPr>
              <w:pStyle w:val="Normal-pool"/>
              <w:spacing w:before="40" w:after="40"/>
              <w:rPr>
                <w:rFonts w:eastAsia="Times New Roman"/>
                <w:sz w:val="18"/>
                <w:szCs w:val="18"/>
                <w:lang w:val="en-GB"/>
              </w:rPr>
            </w:pPr>
            <w:r w:rsidRPr="00C90FBC">
              <w:rPr>
                <w:rFonts w:eastAsia="Times New Roman"/>
                <w:sz w:val="18"/>
                <w:szCs w:val="18"/>
                <w:lang w:val="en-GB"/>
              </w:rPr>
              <w:t>Congo</w:t>
            </w:r>
          </w:p>
        </w:tc>
        <w:tc>
          <w:tcPr>
            <w:tcW w:w="1980" w:type="dxa"/>
            <w:shd w:val="clear" w:color="auto" w:fill="FFFFFF"/>
            <w:noWrap/>
            <w:hideMark/>
          </w:tcPr>
          <w:p w14:paraId="50EC7BA3"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0.006</w:t>
            </w:r>
          </w:p>
        </w:tc>
        <w:tc>
          <w:tcPr>
            <w:tcW w:w="1800" w:type="dxa"/>
            <w:noWrap/>
            <w:hideMark/>
          </w:tcPr>
          <w:p w14:paraId="1B4FF143"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64E7510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33C8DD5E" w14:textId="77777777" w:rsidTr="008E185F">
        <w:trPr>
          <w:trHeight w:val="57"/>
          <w:jc w:val="right"/>
        </w:trPr>
        <w:tc>
          <w:tcPr>
            <w:tcW w:w="3600" w:type="dxa"/>
            <w:shd w:val="clear" w:color="auto" w:fill="FFFFFF"/>
            <w:noWrap/>
            <w:hideMark/>
          </w:tcPr>
          <w:p w14:paraId="796DECE5" w14:textId="77777777" w:rsidR="0023336D" w:rsidRPr="00C90FBC" w:rsidRDefault="0023336D" w:rsidP="008E185F">
            <w:pPr>
              <w:pStyle w:val="Normal-pool"/>
              <w:spacing w:before="40" w:after="40"/>
              <w:rPr>
                <w:rFonts w:eastAsia="Times New Roman"/>
                <w:sz w:val="18"/>
                <w:szCs w:val="18"/>
                <w:lang w:val="en-GB"/>
              </w:rPr>
            </w:pPr>
            <w:r w:rsidRPr="00C90FBC">
              <w:rPr>
                <w:rFonts w:eastAsia="Times New Roman"/>
                <w:sz w:val="18"/>
                <w:szCs w:val="18"/>
                <w:lang w:val="en-GB"/>
              </w:rPr>
              <w:t>Côte d’Ivoire</w:t>
            </w:r>
          </w:p>
        </w:tc>
        <w:tc>
          <w:tcPr>
            <w:tcW w:w="1980" w:type="dxa"/>
            <w:shd w:val="clear" w:color="auto" w:fill="FFFFFF"/>
            <w:noWrap/>
            <w:hideMark/>
          </w:tcPr>
          <w:p w14:paraId="0925FA8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0.013</w:t>
            </w:r>
          </w:p>
        </w:tc>
        <w:tc>
          <w:tcPr>
            <w:tcW w:w="1800" w:type="dxa"/>
            <w:noWrap/>
            <w:hideMark/>
          </w:tcPr>
          <w:p w14:paraId="11084E08"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0.0146</w:t>
            </w:r>
          </w:p>
        </w:tc>
        <w:tc>
          <w:tcPr>
            <w:tcW w:w="2116" w:type="dxa"/>
            <w:noWrap/>
            <w:hideMark/>
          </w:tcPr>
          <w:p w14:paraId="06A6459A"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375</w:t>
            </w:r>
          </w:p>
        </w:tc>
      </w:tr>
      <w:tr w:rsidR="0023336D" w:rsidRPr="00C90FBC" w14:paraId="7D00E0D0" w14:textId="77777777" w:rsidTr="008E185F">
        <w:trPr>
          <w:trHeight w:val="57"/>
          <w:jc w:val="right"/>
        </w:trPr>
        <w:tc>
          <w:tcPr>
            <w:tcW w:w="3600" w:type="dxa"/>
            <w:shd w:val="clear" w:color="auto" w:fill="FFFFFF"/>
            <w:noWrap/>
            <w:hideMark/>
          </w:tcPr>
          <w:p w14:paraId="3BE1305F"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Djibouti</w:t>
            </w:r>
          </w:p>
        </w:tc>
        <w:tc>
          <w:tcPr>
            <w:tcW w:w="1980" w:type="dxa"/>
            <w:shd w:val="clear" w:color="auto" w:fill="FFFFFF"/>
            <w:noWrap/>
            <w:hideMark/>
          </w:tcPr>
          <w:p w14:paraId="4909827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0.001</w:t>
            </w:r>
          </w:p>
        </w:tc>
        <w:tc>
          <w:tcPr>
            <w:tcW w:w="1800" w:type="dxa"/>
            <w:noWrap/>
            <w:hideMark/>
          </w:tcPr>
          <w:p w14:paraId="0CDE8318"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4F57F93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1221957C" w14:textId="77777777" w:rsidTr="008E185F">
        <w:trPr>
          <w:trHeight w:val="57"/>
          <w:jc w:val="right"/>
        </w:trPr>
        <w:tc>
          <w:tcPr>
            <w:tcW w:w="3600" w:type="dxa"/>
            <w:shd w:val="clear" w:color="auto" w:fill="FFFFFF"/>
            <w:noWrap/>
            <w:hideMark/>
          </w:tcPr>
          <w:p w14:paraId="25BD74FD"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Equatorial Guinea</w:t>
            </w:r>
          </w:p>
        </w:tc>
        <w:tc>
          <w:tcPr>
            <w:tcW w:w="1980" w:type="dxa"/>
            <w:shd w:val="clear" w:color="auto" w:fill="FFFFFF"/>
            <w:noWrap/>
            <w:hideMark/>
          </w:tcPr>
          <w:p w14:paraId="703DD743"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0.016</w:t>
            </w:r>
          </w:p>
        </w:tc>
        <w:tc>
          <w:tcPr>
            <w:tcW w:w="1800" w:type="dxa"/>
            <w:noWrap/>
            <w:hideMark/>
          </w:tcPr>
          <w:p w14:paraId="0F781EE0"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0.0180</w:t>
            </w:r>
          </w:p>
        </w:tc>
        <w:tc>
          <w:tcPr>
            <w:tcW w:w="2116" w:type="dxa"/>
            <w:noWrap/>
            <w:hideMark/>
          </w:tcPr>
          <w:p w14:paraId="0E4542D5"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462</w:t>
            </w:r>
          </w:p>
        </w:tc>
      </w:tr>
      <w:tr w:rsidR="0023336D" w:rsidRPr="00C90FBC" w14:paraId="189788F7" w14:textId="77777777" w:rsidTr="008E185F">
        <w:trPr>
          <w:trHeight w:val="57"/>
          <w:jc w:val="right"/>
        </w:trPr>
        <w:tc>
          <w:tcPr>
            <w:tcW w:w="3600" w:type="dxa"/>
            <w:shd w:val="clear" w:color="auto" w:fill="FFFFFF"/>
            <w:noWrap/>
            <w:hideMark/>
          </w:tcPr>
          <w:p w14:paraId="2D70810D"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Eswatini</w:t>
            </w:r>
          </w:p>
        </w:tc>
        <w:tc>
          <w:tcPr>
            <w:tcW w:w="1980" w:type="dxa"/>
            <w:shd w:val="clear" w:color="auto" w:fill="FFFFFF"/>
            <w:noWrap/>
            <w:hideMark/>
          </w:tcPr>
          <w:p w14:paraId="5013A2BE"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0.002</w:t>
            </w:r>
          </w:p>
        </w:tc>
        <w:tc>
          <w:tcPr>
            <w:tcW w:w="1800" w:type="dxa"/>
            <w:noWrap/>
            <w:hideMark/>
          </w:tcPr>
          <w:p w14:paraId="1C5736C1"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58DC5AE3"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1B843863" w14:textId="77777777" w:rsidTr="008E185F">
        <w:trPr>
          <w:trHeight w:val="57"/>
          <w:jc w:val="right"/>
        </w:trPr>
        <w:tc>
          <w:tcPr>
            <w:tcW w:w="3600" w:type="dxa"/>
            <w:shd w:val="clear" w:color="auto" w:fill="FFFFFF"/>
            <w:noWrap/>
            <w:hideMark/>
          </w:tcPr>
          <w:p w14:paraId="086E1EAF"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Gabon</w:t>
            </w:r>
          </w:p>
        </w:tc>
        <w:tc>
          <w:tcPr>
            <w:tcW w:w="1980" w:type="dxa"/>
            <w:shd w:val="clear" w:color="auto" w:fill="FFFFFF"/>
            <w:noWrap/>
            <w:hideMark/>
          </w:tcPr>
          <w:p w14:paraId="039BE6D6"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0.015</w:t>
            </w:r>
          </w:p>
        </w:tc>
        <w:tc>
          <w:tcPr>
            <w:tcW w:w="1800" w:type="dxa"/>
            <w:noWrap/>
            <w:hideMark/>
          </w:tcPr>
          <w:p w14:paraId="0EF34941"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0.0169</w:t>
            </w:r>
          </w:p>
        </w:tc>
        <w:tc>
          <w:tcPr>
            <w:tcW w:w="2116" w:type="dxa"/>
            <w:noWrap/>
            <w:hideMark/>
          </w:tcPr>
          <w:p w14:paraId="264E0E3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433</w:t>
            </w:r>
          </w:p>
        </w:tc>
      </w:tr>
      <w:tr w:rsidR="0023336D" w:rsidRPr="00C90FBC" w14:paraId="3F6F723A" w14:textId="77777777" w:rsidTr="008E185F">
        <w:trPr>
          <w:trHeight w:val="57"/>
          <w:jc w:val="right"/>
        </w:trPr>
        <w:tc>
          <w:tcPr>
            <w:tcW w:w="3600" w:type="dxa"/>
            <w:shd w:val="clear" w:color="auto" w:fill="FFFFFF"/>
            <w:noWrap/>
            <w:hideMark/>
          </w:tcPr>
          <w:p w14:paraId="3A73F0BA"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Gambia</w:t>
            </w:r>
          </w:p>
        </w:tc>
        <w:tc>
          <w:tcPr>
            <w:tcW w:w="1980" w:type="dxa"/>
            <w:shd w:val="clear" w:color="auto" w:fill="FFFFFF"/>
            <w:noWrap/>
            <w:hideMark/>
          </w:tcPr>
          <w:p w14:paraId="0CE6E35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0.001</w:t>
            </w:r>
          </w:p>
        </w:tc>
        <w:tc>
          <w:tcPr>
            <w:tcW w:w="1800" w:type="dxa"/>
            <w:noWrap/>
            <w:hideMark/>
          </w:tcPr>
          <w:p w14:paraId="10AC5D4C"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3F83D42C"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075071D7" w14:textId="77777777" w:rsidTr="008E185F">
        <w:trPr>
          <w:trHeight w:val="57"/>
          <w:jc w:val="right"/>
        </w:trPr>
        <w:tc>
          <w:tcPr>
            <w:tcW w:w="3600" w:type="dxa"/>
            <w:shd w:val="clear" w:color="auto" w:fill="FFFFFF"/>
            <w:noWrap/>
            <w:hideMark/>
          </w:tcPr>
          <w:p w14:paraId="317DF788"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Ghana</w:t>
            </w:r>
          </w:p>
        </w:tc>
        <w:tc>
          <w:tcPr>
            <w:tcW w:w="1980" w:type="dxa"/>
            <w:shd w:val="clear" w:color="auto" w:fill="FFFFFF"/>
            <w:noWrap/>
            <w:hideMark/>
          </w:tcPr>
          <w:p w14:paraId="488DFBCA"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0.015</w:t>
            </w:r>
          </w:p>
        </w:tc>
        <w:tc>
          <w:tcPr>
            <w:tcW w:w="1800" w:type="dxa"/>
            <w:noWrap/>
            <w:hideMark/>
          </w:tcPr>
          <w:p w14:paraId="0A0156FE"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0.0169</w:t>
            </w:r>
          </w:p>
        </w:tc>
        <w:tc>
          <w:tcPr>
            <w:tcW w:w="2116" w:type="dxa"/>
            <w:noWrap/>
            <w:hideMark/>
          </w:tcPr>
          <w:p w14:paraId="7073033F"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433</w:t>
            </w:r>
          </w:p>
        </w:tc>
      </w:tr>
      <w:tr w:rsidR="0023336D" w:rsidRPr="00C90FBC" w14:paraId="2C1AE5D3" w14:textId="77777777" w:rsidTr="008E185F">
        <w:trPr>
          <w:trHeight w:val="57"/>
          <w:jc w:val="right"/>
        </w:trPr>
        <w:tc>
          <w:tcPr>
            <w:tcW w:w="3600" w:type="dxa"/>
            <w:shd w:val="clear" w:color="auto" w:fill="FFFFFF"/>
            <w:noWrap/>
            <w:hideMark/>
          </w:tcPr>
          <w:p w14:paraId="342BF297"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Guinea</w:t>
            </w:r>
          </w:p>
        </w:tc>
        <w:tc>
          <w:tcPr>
            <w:tcW w:w="1980" w:type="dxa"/>
            <w:shd w:val="clear" w:color="auto" w:fill="FFFFFF"/>
            <w:noWrap/>
            <w:hideMark/>
          </w:tcPr>
          <w:p w14:paraId="15064826"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0.003</w:t>
            </w:r>
          </w:p>
        </w:tc>
        <w:tc>
          <w:tcPr>
            <w:tcW w:w="1800" w:type="dxa"/>
            <w:noWrap/>
            <w:hideMark/>
          </w:tcPr>
          <w:p w14:paraId="2D0AA39C"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0C336E4B"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59A64765" w14:textId="77777777" w:rsidTr="008E185F">
        <w:trPr>
          <w:trHeight w:val="57"/>
          <w:jc w:val="right"/>
        </w:trPr>
        <w:tc>
          <w:tcPr>
            <w:tcW w:w="3600" w:type="dxa"/>
            <w:shd w:val="clear" w:color="auto" w:fill="FFFFFF"/>
            <w:noWrap/>
            <w:hideMark/>
          </w:tcPr>
          <w:p w14:paraId="1EEF9A6F"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Guinea-Bissau</w:t>
            </w:r>
          </w:p>
        </w:tc>
        <w:tc>
          <w:tcPr>
            <w:tcW w:w="1980" w:type="dxa"/>
            <w:shd w:val="clear" w:color="auto" w:fill="FFFFFF"/>
            <w:noWrap/>
            <w:hideMark/>
          </w:tcPr>
          <w:p w14:paraId="6904527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0.001</w:t>
            </w:r>
          </w:p>
        </w:tc>
        <w:tc>
          <w:tcPr>
            <w:tcW w:w="1800" w:type="dxa"/>
            <w:noWrap/>
            <w:hideMark/>
          </w:tcPr>
          <w:p w14:paraId="65DB82C7"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3135024E"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631D5BA4" w14:textId="77777777" w:rsidTr="008E185F">
        <w:trPr>
          <w:trHeight w:val="57"/>
          <w:jc w:val="right"/>
        </w:trPr>
        <w:tc>
          <w:tcPr>
            <w:tcW w:w="3600" w:type="dxa"/>
            <w:shd w:val="clear" w:color="auto" w:fill="FFFFFF"/>
            <w:noWrap/>
            <w:hideMark/>
          </w:tcPr>
          <w:p w14:paraId="5B0DDE75"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Lesotho</w:t>
            </w:r>
          </w:p>
        </w:tc>
        <w:tc>
          <w:tcPr>
            <w:tcW w:w="1980" w:type="dxa"/>
            <w:shd w:val="clear" w:color="auto" w:fill="FFFFFF"/>
            <w:noWrap/>
            <w:hideMark/>
          </w:tcPr>
          <w:p w14:paraId="3E1C1681"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0.001</w:t>
            </w:r>
          </w:p>
        </w:tc>
        <w:tc>
          <w:tcPr>
            <w:tcW w:w="1800" w:type="dxa"/>
            <w:noWrap/>
            <w:hideMark/>
          </w:tcPr>
          <w:p w14:paraId="56983132"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27A43F4E"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1E2A5573" w14:textId="77777777" w:rsidTr="008E185F">
        <w:trPr>
          <w:trHeight w:val="57"/>
          <w:jc w:val="right"/>
        </w:trPr>
        <w:tc>
          <w:tcPr>
            <w:tcW w:w="3600" w:type="dxa"/>
            <w:shd w:val="clear" w:color="auto" w:fill="FFFFFF"/>
            <w:noWrap/>
            <w:hideMark/>
          </w:tcPr>
          <w:p w14:paraId="78518747"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Madagascar</w:t>
            </w:r>
          </w:p>
        </w:tc>
        <w:tc>
          <w:tcPr>
            <w:tcW w:w="1980" w:type="dxa"/>
            <w:shd w:val="clear" w:color="auto" w:fill="FFFFFF"/>
            <w:noWrap/>
            <w:hideMark/>
          </w:tcPr>
          <w:p w14:paraId="6ABFB3CA"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0.004</w:t>
            </w:r>
          </w:p>
        </w:tc>
        <w:tc>
          <w:tcPr>
            <w:tcW w:w="1800" w:type="dxa"/>
            <w:noWrap/>
            <w:hideMark/>
          </w:tcPr>
          <w:p w14:paraId="5761361B"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47658EF6"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662F1AC8" w14:textId="77777777" w:rsidTr="008E185F">
        <w:trPr>
          <w:trHeight w:val="57"/>
          <w:jc w:val="right"/>
        </w:trPr>
        <w:tc>
          <w:tcPr>
            <w:tcW w:w="3600" w:type="dxa"/>
            <w:shd w:val="clear" w:color="auto" w:fill="FFFFFF"/>
            <w:noWrap/>
            <w:hideMark/>
          </w:tcPr>
          <w:p w14:paraId="591CEDB3"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Mali</w:t>
            </w:r>
          </w:p>
        </w:tc>
        <w:tc>
          <w:tcPr>
            <w:tcW w:w="1980" w:type="dxa"/>
            <w:shd w:val="clear" w:color="auto" w:fill="FFFFFF"/>
            <w:noWrap/>
            <w:hideMark/>
          </w:tcPr>
          <w:p w14:paraId="45D7CC76"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0.004</w:t>
            </w:r>
          </w:p>
        </w:tc>
        <w:tc>
          <w:tcPr>
            <w:tcW w:w="1800" w:type="dxa"/>
            <w:noWrap/>
            <w:hideMark/>
          </w:tcPr>
          <w:p w14:paraId="02CB9BF2"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582A348E"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68B0C988" w14:textId="77777777" w:rsidTr="008E185F">
        <w:trPr>
          <w:trHeight w:val="57"/>
          <w:jc w:val="right"/>
        </w:trPr>
        <w:tc>
          <w:tcPr>
            <w:tcW w:w="3600" w:type="dxa"/>
            <w:shd w:val="clear" w:color="auto" w:fill="FFFFFF"/>
            <w:noWrap/>
            <w:hideMark/>
          </w:tcPr>
          <w:p w14:paraId="38234A6A"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lastRenderedPageBreak/>
              <w:t>Mauritania</w:t>
            </w:r>
          </w:p>
        </w:tc>
        <w:tc>
          <w:tcPr>
            <w:tcW w:w="1980" w:type="dxa"/>
            <w:shd w:val="clear" w:color="auto" w:fill="FFFFFF"/>
            <w:noWrap/>
            <w:hideMark/>
          </w:tcPr>
          <w:p w14:paraId="3CEAA39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0.002</w:t>
            </w:r>
          </w:p>
        </w:tc>
        <w:tc>
          <w:tcPr>
            <w:tcW w:w="1800" w:type="dxa"/>
            <w:noWrap/>
            <w:hideMark/>
          </w:tcPr>
          <w:p w14:paraId="1092C4F4"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699A8A1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308B483F" w14:textId="77777777" w:rsidTr="008E185F">
        <w:trPr>
          <w:trHeight w:val="57"/>
          <w:jc w:val="right"/>
        </w:trPr>
        <w:tc>
          <w:tcPr>
            <w:tcW w:w="3600" w:type="dxa"/>
            <w:shd w:val="clear" w:color="auto" w:fill="FFFFFF"/>
            <w:noWrap/>
            <w:hideMark/>
          </w:tcPr>
          <w:p w14:paraId="61304830"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Mauritius</w:t>
            </w:r>
          </w:p>
        </w:tc>
        <w:tc>
          <w:tcPr>
            <w:tcW w:w="1980" w:type="dxa"/>
            <w:shd w:val="clear" w:color="auto" w:fill="FFFFFF"/>
            <w:noWrap/>
            <w:hideMark/>
          </w:tcPr>
          <w:p w14:paraId="144E34DA"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0.011</w:t>
            </w:r>
          </w:p>
        </w:tc>
        <w:tc>
          <w:tcPr>
            <w:tcW w:w="1800" w:type="dxa"/>
            <w:noWrap/>
            <w:hideMark/>
          </w:tcPr>
          <w:p w14:paraId="174E59C0"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0.0124</w:t>
            </w:r>
          </w:p>
        </w:tc>
        <w:tc>
          <w:tcPr>
            <w:tcW w:w="2116" w:type="dxa"/>
            <w:noWrap/>
            <w:hideMark/>
          </w:tcPr>
          <w:p w14:paraId="33D5EA53"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318</w:t>
            </w:r>
          </w:p>
        </w:tc>
      </w:tr>
      <w:tr w:rsidR="0023336D" w:rsidRPr="00C90FBC" w14:paraId="1ACAC5D6" w14:textId="77777777" w:rsidTr="008E185F">
        <w:trPr>
          <w:trHeight w:val="57"/>
          <w:jc w:val="right"/>
        </w:trPr>
        <w:tc>
          <w:tcPr>
            <w:tcW w:w="3600" w:type="dxa"/>
            <w:shd w:val="clear" w:color="auto" w:fill="FFFFFF"/>
            <w:noWrap/>
            <w:hideMark/>
          </w:tcPr>
          <w:p w14:paraId="6A5F6769"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Namibia</w:t>
            </w:r>
          </w:p>
        </w:tc>
        <w:tc>
          <w:tcPr>
            <w:tcW w:w="1980" w:type="dxa"/>
            <w:shd w:val="clear" w:color="auto" w:fill="FFFFFF"/>
            <w:noWrap/>
            <w:hideMark/>
          </w:tcPr>
          <w:p w14:paraId="690F0EC5"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0.009</w:t>
            </w:r>
          </w:p>
        </w:tc>
        <w:tc>
          <w:tcPr>
            <w:tcW w:w="1800" w:type="dxa"/>
            <w:noWrap/>
            <w:hideMark/>
          </w:tcPr>
          <w:p w14:paraId="01B67D6D"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50F67A9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68D8DDE1" w14:textId="77777777" w:rsidTr="008E185F">
        <w:trPr>
          <w:trHeight w:val="57"/>
          <w:jc w:val="right"/>
        </w:trPr>
        <w:tc>
          <w:tcPr>
            <w:tcW w:w="3600" w:type="dxa"/>
            <w:shd w:val="clear" w:color="auto" w:fill="FFFFFF"/>
            <w:noWrap/>
            <w:hideMark/>
          </w:tcPr>
          <w:p w14:paraId="70146354"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Niger</w:t>
            </w:r>
          </w:p>
        </w:tc>
        <w:tc>
          <w:tcPr>
            <w:tcW w:w="1980" w:type="dxa"/>
            <w:shd w:val="clear" w:color="auto" w:fill="FFFFFF"/>
            <w:noWrap/>
            <w:hideMark/>
          </w:tcPr>
          <w:p w14:paraId="59337D62"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0.002</w:t>
            </w:r>
          </w:p>
        </w:tc>
        <w:tc>
          <w:tcPr>
            <w:tcW w:w="1800" w:type="dxa"/>
            <w:noWrap/>
            <w:hideMark/>
          </w:tcPr>
          <w:p w14:paraId="275DF9C9"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5B445E0C"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1FF62237" w14:textId="77777777" w:rsidTr="008E185F">
        <w:trPr>
          <w:trHeight w:val="57"/>
          <w:jc w:val="right"/>
        </w:trPr>
        <w:tc>
          <w:tcPr>
            <w:tcW w:w="3600" w:type="dxa"/>
            <w:shd w:val="clear" w:color="auto" w:fill="FFFFFF"/>
            <w:noWrap/>
            <w:hideMark/>
          </w:tcPr>
          <w:p w14:paraId="62C4F3AD"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Nigeria</w:t>
            </w:r>
          </w:p>
        </w:tc>
        <w:tc>
          <w:tcPr>
            <w:tcW w:w="1980" w:type="dxa"/>
            <w:shd w:val="clear" w:color="auto" w:fill="FFFFFF"/>
            <w:noWrap/>
            <w:hideMark/>
          </w:tcPr>
          <w:p w14:paraId="38C5261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0.25</w:t>
            </w:r>
          </w:p>
        </w:tc>
        <w:tc>
          <w:tcPr>
            <w:tcW w:w="1800" w:type="dxa"/>
            <w:noWrap/>
            <w:hideMark/>
          </w:tcPr>
          <w:p w14:paraId="7E540072"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0.2811</w:t>
            </w:r>
          </w:p>
        </w:tc>
        <w:tc>
          <w:tcPr>
            <w:tcW w:w="2116" w:type="dxa"/>
            <w:noWrap/>
            <w:hideMark/>
          </w:tcPr>
          <w:p w14:paraId="77A2146A"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7 217</w:t>
            </w:r>
          </w:p>
        </w:tc>
      </w:tr>
      <w:tr w:rsidR="0023336D" w:rsidRPr="00C90FBC" w14:paraId="4D089C7B" w14:textId="77777777" w:rsidTr="008E185F">
        <w:trPr>
          <w:trHeight w:val="57"/>
          <w:jc w:val="right"/>
        </w:trPr>
        <w:tc>
          <w:tcPr>
            <w:tcW w:w="3600" w:type="dxa"/>
            <w:shd w:val="clear" w:color="auto" w:fill="FFFFFF"/>
            <w:noWrap/>
            <w:hideMark/>
          </w:tcPr>
          <w:p w14:paraId="408B6DA0"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Rwanda</w:t>
            </w:r>
          </w:p>
        </w:tc>
        <w:tc>
          <w:tcPr>
            <w:tcW w:w="1980" w:type="dxa"/>
            <w:shd w:val="clear" w:color="auto" w:fill="FFFFFF"/>
            <w:noWrap/>
            <w:hideMark/>
          </w:tcPr>
          <w:p w14:paraId="3FF95E3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0.003</w:t>
            </w:r>
          </w:p>
        </w:tc>
        <w:tc>
          <w:tcPr>
            <w:tcW w:w="1800" w:type="dxa"/>
            <w:noWrap/>
            <w:hideMark/>
          </w:tcPr>
          <w:p w14:paraId="5C9FCAE1"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7936F95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2FDBB4F6" w14:textId="77777777" w:rsidTr="008E185F">
        <w:trPr>
          <w:trHeight w:val="57"/>
          <w:jc w:val="right"/>
        </w:trPr>
        <w:tc>
          <w:tcPr>
            <w:tcW w:w="3600" w:type="dxa"/>
            <w:shd w:val="clear" w:color="auto" w:fill="FFFFFF"/>
            <w:noWrap/>
            <w:hideMark/>
          </w:tcPr>
          <w:p w14:paraId="5E67E9BB"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Sao Tome and Principe</w:t>
            </w:r>
          </w:p>
        </w:tc>
        <w:tc>
          <w:tcPr>
            <w:tcW w:w="1980" w:type="dxa"/>
            <w:shd w:val="clear" w:color="auto" w:fill="FFFFFF"/>
            <w:noWrap/>
            <w:hideMark/>
          </w:tcPr>
          <w:p w14:paraId="537E9CF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0.001</w:t>
            </w:r>
          </w:p>
        </w:tc>
        <w:tc>
          <w:tcPr>
            <w:tcW w:w="1800" w:type="dxa"/>
            <w:noWrap/>
            <w:hideMark/>
          </w:tcPr>
          <w:p w14:paraId="3B58E7D4"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5CC2950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10AF45A6" w14:textId="77777777" w:rsidTr="008E185F">
        <w:trPr>
          <w:trHeight w:val="57"/>
          <w:jc w:val="right"/>
        </w:trPr>
        <w:tc>
          <w:tcPr>
            <w:tcW w:w="3600" w:type="dxa"/>
            <w:shd w:val="clear" w:color="auto" w:fill="FFFFFF"/>
            <w:noWrap/>
            <w:hideMark/>
          </w:tcPr>
          <w:p w14:paraId="1ABA1A89"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Senegal</w:t>
            </w:r>
          </w:p>
        </w:tc>
        <w:tc>
          <w:tcPr>
            <w:tcW w:w="1980" w:type="dxa"/>
            <w:shd w:val="clear" w:color="auto" w:fill="FFFFFF"/>
            <w:noWrap/>
            <w:hideMark/>
          </w:tcPr>
          <w:p w14:paraId="7098B316"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0.007</w:t>
            </w:r>
          </w:p>
        </w:tc>
        <w:tc>
          <w:tcPr>
            <w:tcW w:w="1800" w:type="dxa"/>
            <w:noWrap/>
            <w:hideMark/>
          </w:tcPr>
          <w:p w14:paraId="2D1B5179"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0C1159D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5871E56D" w14:textId="77777777" w:rsidTr="008E185F">
        <w:trPr>
          <w:trHeight w:val="57"/>
          <w:jc w:val="right"/>
        </w:trPr>
        <w:tc>
          <w:tcPr>
            <w:tcW w:w="3600" w:type="dxa"/>
            <w:shd w:val="clear" w:color="auto" w:fill="FFFFFF"/>
            <w:noWrap/>
            <w:hideMark/>
          </w:tcPr>
          <w:p w14:paraId="2F0FB6EA"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Seychelles</w:t>
            </w:r>
          </w:p>
        </w:tc>
        <w:tc>
          <w:tcPr>
            <w:tcW w:w="1980" w:type="dxa"/>
            <w:shd w:val="clear" w:color="auto" w:fill="FFFFFF"/>
            <w:noWrap/>
            <w:hideMark/>
          </w:tcPr>
          <w:p w14:paraId="08E8FF0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0.002</w:t>
            </w:r>
          </w:p>
        </w:tc>
        <w:tc>
          <w:tcPr>
            <w:tcW w:w="1800" w:type="dxa"/>
            <w:noWrap/>
            <w:hideMark/>
          </w:tcPr>
          <w:p w14:paraId="6D8CAF71"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49338493"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1BC45B46" w14:textId="77777777" w:rsidTr="008E185F">
        <w:trPr>
          <w:trHeight w:val="57"/>
          <w:jc w:val="right"/>
        </w:trPr>
        <w:tc>
          <w:tcPr>
            <w:tcW w:w="3600" w:type="dxa"/>
            <w:shd w:val="clear" w:color="auto" w:fill="FFFFFF"/>
            <w:noWrap/>
            <w:hideMark/>
          </w:tcPr>
          <w:p w14:paraId="247B6143"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Sierra Leone</w:t>
            </w:r>
          </w:p>
        </w:tc>
        <w:tc>
          <w:tcPr>
            <w:tcW w:w="1980" w:type="dxa"/>
            <w:shd w:val="clear" w:color="auto" w:fill="FFFFFF"/>
            <w:noWrap/>
            <w:hideMark/>
          </w:tcPr>
          <w:p w14:paraId="2C4F18F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0.001</w:t>
            </w:r>
          </w:p>
        </w:tc>
        <w:tc>
          <w:tcPr>
            <w:tcW w:w="1800" w:type="dxa"/>
            <w:noWrap/>
            <w:hideMark/>
          </w:tcPr>
          <w:p w14:paraId="717C819B"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5085100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7B46F77F" w14:textId="77777777" w:rsidTr="008E185F">
        <w:trPr>
          <w:trHeight w:val="57"/>
          <w:jc w:val="right"/>
        </w:trPr>
        <w:tc>
          <w:tcPr>
            <w:tcW w:w="3600" w:type="dxa"/>
            <w:shd w:val="clear" w:color="auto" w:fill="FFFFFF"/>
            <w:noWrap/>
            <w:hideMark/>
          </w:tcPr>
          <w:p w14:paraId="56EE3C88"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South Africa</w:t>
            </w:r>
          </w:p>
        </w:tc>
        <w:tc>
          <w:tcPr>
            <w:tcW w:w="1980" w:type="dxa"/>
            <w:shd w:val="clear" w:color="auto" w:fill="FFFFFF"/>
            <w:noWrap/>
            <w:hideMark/>
          </w:tcPr>
          <w:p w14:paraId="0C951EC7"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0.272</w:t>
            </w:r>
          </w:p>
        </w:tc>
        <w:tc>
          <w:tcPr>
            <w:tcW w:w="1800" w:type="dxa"/>
            <w:noWrap/>
            <w:hideMark/>
          </w:tcPr>
          <w:p w14:paraId="4FCA64F3"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0.3058</w:t>
            </w:r>
          </w:p>
        </w:tc>
        <w:tc>
          <w:tcPr>
            <w:tcW w:w="2116" w:type="dxa"/>
            <w:noWrap/>
            <w:hideMark/>
          </w:tcPr>
          <w:p w14:paraId="228FA202"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7 852</w:t>
            </w:r>
          </w:p>
        </w:tc>
      </w:tr>
      <w:tr w:rsidR="0023336D" w:rsidRPr="00C90FBC" w14:paraId="0F4D11A9" w14:textId="77777777" w:rsidTr="008E185F">
        <w:trPr>
          <w:trHeight w:val="57"/>
          <w:jc w:val="right"/>
        </w:trPr>
        <w:tc>
          <w:tcPr>
            <w:tcW w:w="3600" w:type="dxa"/>
            <w:shd w:val="clear" w:color="auto" w:fill="FFFFFF"/>
            <w:noWrap/>
            <w:hideMark/>
          </w:tcPr>
          <w:p w14:paraId="6C91BBFE"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Togo</w:t>
            </w:r>
          </w:p>
        </w:tc>
        <w:tc>
          <w:tcPr>
            <w:tcW w:w="1980" w:type="dxa"/>
            <w:shd w:val="clear" w:color="auto" w:fill="FFFFFF"/>
            <w:noWrap/>
            <w:hideMark/>
          </w:tcPr>
          <w:p w14:paraId="2DE5FF07"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0.002</w:t>
            </w:r>
          </w:p>
        </w:tc>
        <w:tc>
          <w:tcPr>
            <w:tcW w:w="1800" w:type="dxa"/>
            <w:noWrap/>
            <w:hideMark/>
          </w:tcPr>
          <w:p w14:paraId="6B757DD7"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15699A31"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2B8BAA4A" w14:textId="77777777" w:rsidTr="008E185F">
        <w:trPr>
          <w:trHeight w:val="57"/>
          <w:jc w:val="right"/>
        </w:trPr>
        <w:tc>
          <w:tcPr>
            <w:tcW w:w="3600" w:type="dxa"/>
            <w:shd w:val="clear" w:color="auto" w:fill="FFFFFF"/>
            <w:noWrap/>
            <w:hideMark/>
          </w:tcPr>
          <w:p w14:paraId="1AAB3B4A"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Uganda</w:t>
            </w:r>
          </w:p>
        </w:tc>
        <w:tc>
          <w:tcPr>
            <w:tcW w:w="1980" w:type="dxa"/>
            <w:shd w:val="clear" w:color="auto" w:fill="FFFFFF"/>
            <w:noWrap/>
            <w:hideMark/>
          </w:tcPr>
          <w:p w14:paraId="360E56E2"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0.008</w:t>
            </w:r>
          </w:p>
        </w:tc>
        <w:tc>
          <w:tcPr>
            <w:tcW w:w="1800" w:type="dxa"/>
            <w:noWrap/>
            <w:hideMark/>
          </w:tcPr>
          <w:p w14:paraId="5F27DD23"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175B7B0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015823A2" w14:textId="77777777" w:rsidTr="008E185F">
        <w:trPr>
          <w:trHeight w:val="57"/>
          <w:jc w:val="right"/>
        </w:trPr>
        <w:tc>
          <w:tcPr>
            <w:tcW w:w="3600" w:type="dxa"/>
            <w:shd w:val="clear" w:color="auto" w:fill="FFFFFF"/>
            <w:noWrap/>
            <w:hideMark/>
          </w:tcPr>
          <w:p w14:paraId="28109E31" w14:textId="77777777" w:rsidR="0023336D" w:rsidRPr="00C90FBC" w:rsidRDefault="0023336D" w:rsidP="008E185F">
            <w:pPr>
              <w:pStyle w:val="Normal-pool"/>
              <w:spacing w:before="40" w:after="40"/>
              <w:rPr>
                <w:rFonts w:eastAsia="Times New Roman"/>
                <w:sz w:val="18"/>
                <w:szCs w:val="18"/>
                <w:lang w:val="en-GB"/>
              </w:rPr>
            </w:pPr>
            <w:r w:rsidRPr="00C90FBC">
              <w:rPr>
                <w:rFonts w:eastAsia="Times New Roman"/>
                <w:sz w:val="18"/>
                <w:szCs w:val="18"/>
                <w:lang w:val="en-GB"/>
              </w:rPr>
              <w:t>United Republic of Tanzania</w:t>
            </w:r>
          </w:p>
        </w:tc>
        <w:tc>
          <w:tcPr>
            <w:tcW w:w="1980" w:type="dxa"/>
            <w:shd w:val="clear" w:color="auto" w:fill="FFFFFF"/>
            <w:noWrap/>
            <w:hideMark/>
          </w:tcPr>
          <w:p w14:paraId="20919851"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0.01</w:t>
            </w:r>
          </w:p>
        </w:tc>
        <w:tc>
          <w:tcPr>
            <w:tcW w:w="1800" w:type="dxa"/>
            <w:noWrap/>
            <w:hideMark/>
          </w:tcPr>
          <w:p w14:paraId="0C8D1F17"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0.0112</w:t>
            </w:r>
          </w:p>
        </w:tc>
        <w:tc>
          <w:tcPr>
            <w:tcW w:w="2116" w:type="dxa"/>
            <w:noWrap/>
            <w:hideMark/>
          </w:tcPr>
          <w:p w14:paraId="1CEE69A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289</w:t>
            </w:r>
          </w:p>
        </w:tc>
      </w:tr>
      <w:tr w:rsidR="0023336D" w:rsidRPr="00C90FBC" w14:paraId="500E1513" w14:textId="77777777" w:rsidTr="008E185F">
        <w:trPr>
          <w:trHeight w:val="57"/>
          <w:jc w:val="right"/>
        </w:trPr>
        <w:tc>
          <w:tcPr>
            <w:tcW w:w="3600" w:type="dxa"/>
            <w:shd w:val="clear" w:color="auto" w:fill="FFFFFF"/>
            <w:noWrap/>
            <w:hideMark/>
          </w:tcPr>
          <w:p w14:paraId="2D5BA9E9"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Zambia</w:t>
            </w:r>
          </w:p>
        </w:tc>
        <w:tc>
          <w:tcPr>
            <w:tcW w:w="1980" w:type="dxa"/>
            <w:shd w:val="clear" w:color="auto" w:fill="FFFFFF"/>
            <w:noWrap/>
            <w:hideMark/>
          </w:tcPr>
          <w:p w14:paraId="309221FE"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0.009</w:t>
            </w:r>
          </w:p>
        </w:tc>
        <w:tc>
          <w:tcPr>
            <w:tcW w:w="1800" w:type="dxa"/>
            <w:noWrap/>
            <w:hideMark/>
          </w:tcPr>
          <w:p w14:paraId="712EE426"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2EF38A51"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67494BAE" w14:textId="77777777" w:rsidTr="008E185F">
        <w:trPr>
          <w:trHeight w:val="57"/>
          <w:jc w:val="right"/>
        </w:trPr>
        <w:tc>
          <w:tcPr>
            <w:tcW w:w="3600" w:type="dxa"/>
            <w:tcBorders>
              <w:top w:val="nil"/>
              <w:left w:val="nil"/>
              <w:bottom w:val="single" w:sz="4" w:space="0" w:color="auto"/>
              <w:right w:val="nil"/>
            </w:tcBorders>
            <w:noWrap/>
            <w:hideMark/>
          </w:tcPr>
          <w:p w14:paraId="474B56F7"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Zimbabwe</w:t>
            </w:r>
          </w:p>
        </w:tc>
        <w:tc>
          <w:tcPr>
            <w:tcW w:w="1980" w:type="dxa"/>
            <w:tcBorders>
              <w:top w:val="nil"/>
              <w:left w:val="nil"/>
              <w:bottom w:val="single" w:sz="4" w:space="0" w:color="auto"/>
              <w:right w:val="nil"/>
            </w:tcBorders>
            <w:noWrap/>
            <w:hideMark/>
          </w:tcPr>
          <w:p w14:paraId="30540C23"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0.005</w:t>
            </w:r>
          </w:p>
        </w:tc>
        <w:tc>
          <w:tcPr>
            <w:tcW w:w="1800" w:type="dxa"/>
            <w:tcBorders>
              <w:top w:val="nil"/>
              <w:left w:val="nil"/>
              <w:bottom w:val="single" w:sz="4" w:space="0" w:color="auto"/>
              <w:right w:val="nil"/>
            </w:tcBorders>
            <w:noWrap/>
            <w:hideMark/>
          </w:tcPr>
          <w:p w14:paraId="23625C5B"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tcBorders>
              <w:top w:val="nil"/>
              <w:left w:val="nil"/>
              <w:bottom w:val="single" w:sz="4" w:space="0" w:color="auto"/>
              <w:right w:val="nil"/>
            </w:tcBorders>
            <w:noWrap/>
            <w:hideMark/>
          </w:tcPr>
          <w:p w14:paraId="0F7DC70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76A6D930" w14:textId="77777777" w:rsidTr="008E185F">
        <w:trPr>
          <w:trHeight w:val="57"/>
          <w:jc w:val="right"/>
        </w:trPr>
        <w:tc>
          <w:tcPr>
            <w:tcW w:w="3600" w:type="dxa"/>
            <w:tcBorders>
              <w:top w:val="single" w:sz="4" w:space="0" w:color="auto"/>
              <w:left w:val="nil"/>
              <w:bottom w:val="single" w:sz="4" w:space="0" w:color="auto"/>
              <w:right w:val="nil"/>
            </w:tcBorders>
            <w:noWrap/>
            <w:hideMark/>
          </w:tcPr>
          <w:p w14:paraId="01E940E2"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Asia-Pacific States (35)</w:t>
            </w:r>
          </w:p>
        </w:tc>
        <w:tc>
          <w:tcPr>
            <w:tcW w:w="1980" w:type="dxa"/>
            <w:tcBorders>
              <w:top w:val="single" w:sz="4" w:space="0" w:color="auto"/>
              <w:left w:val="nil"/>
              <w:bottom w:val="single" w:sz="4" w:space="0" w:color="auto"/>
              <w:right w:val="nil"/>
            </w:tcBorders>
            <w:noWrap/>
            <w:hideMark/>
          </w:tcPr>
          <w:p w14:paraId="6C6ADC71" w14:textId="77777777" w:rsidR="0023336D" w:rsidRPr="00C90FBC" w:rsidRDefault="0023336D" w:rsidP="008E185F">
            <w:pPr>
              <w:pStyle w:val="Normal-pool"/>
              <w:spacing w:before="40" w:after="40"/>
              <w:jc w:val="right"/>
              <w:rPr>
                <w:rFonts w:eastAsia="Times New Roman"/>
                <w:b/>
                <w:bCs/>
                <w:color w:val="000000"/>
                <w:sz w:val="18"/>
                <w:szCs w:val="18"/>
                <w:lang w:val="en-GB"/>
              </w:rPr>
            </w:pPr>
            <w:r w:rsidRPr="00C90FBC">
              <w:rPr>
                <w:rFonts w:eastAsia="Times New Roman"/>
                <w:b/>
                <w:bCs/>
                <w:color w:val="000000"/>
                <w:sz w:val="18"/>
                <w:szCs w:val="18"/>
                <w:lang w:val="en-GB"/>
              </w:rPr>
              <w:t> </w:t>
            </w:r>
          </w:p>
        </w:tc>
        <w:tc>
          <w:tcPr>
            <w:tcW w:w="1800" w:type="dxa"/>
            <w:tcBorders>
              <w:top w:val="single" w:sz="4" w:space="0" w:color="auto"/>
              <w:left w:val="nil"/>
              <w:bottom w:val="single" w:sz="4" w:space="0" w:color="auto"/>
              <w:right w:val="nil"/>
            </w:tcBorders>
            <w:noWrap/>
            <w:hideMark/>
          </w:tcPr>
          <w:p w14:paraId="5A97B9B0" w14:textId="77777777" w:rsidR="0023336D" w:rsidRPr="00C90FBC" w:rsidRDefault="0023336D" w:rsidP="008E185F">
            <w:pPr>
              <w:pStyle w:val="Normal-pool"/>
              <w:spacing w:before="40" w:after="40"/>
              <w:jc w:val="right"/>
              <w:rPr>
                <w:rFonts w:eastAsia="Times New Roman"/>
                <w:b/>
                <w:bCs/>
                <w:color w:val="000000"/>
                <w:sz w:val="18"/>
                <w:szCs w:val="18"/>
                <w:lang w:val="en-GB"/>
              </w:rPr>
            </w:pPr>
            <w:r w:rsidRPr="00C90FBC">
              <w:rPr>
                <w:rFonts w:eastAsia="Times New Roman"/>
                <w:b/>
                <w:bCs/>
                <w:color w:val="000000"/>
                <w:sz w:val="18"/>
                <w:szCs w:val="18"/>
                <w:lang w:val="en-GB"/>
              </w:rPr>
              <w:t> </w:t>
            </w:r>
          </w:p>
        </w:tc>
        <w:tc>
          <w:tcPr>
            <w:tcW w:w="2116" w:type="dxa"/>
            <w:tcBorders>
              <w:top w:val="single" w:sz="4" w:space="0" w:color="auto"/>
              <w:left w:val="nil"/>
              <w:bottom w:val="single" w:sz="4" w:space="0" w:color="auto"/>
              <w:right w:val="nil"/>
            </w:tcBorders>
            <w:noWrap/>
            <w:hideMark/>
          </w:tcPr>
          <w:p w14:paraId="09BB6F3B" w14:textId="77777777" w:rsidR="0023336D" w:rsidRPr="00C90FBC" w:rsidRDefault="0023336D" w:rsidP="008E185F">
            <w:pPr>
              <w:pStyle w:val="Normal-pool"/>
              <w:spacing w:before="40" w:after="40"/>
              <w:jc w:val="right"/>
              <w:rPr>
                <w:rFonts w:eastAsia="Times New Roman"/>
                <w:b/>
                <w:bCs/>
                <w:color w:val="000000"/>
                <w:sz w:val="18"/>
                <w:szCs w:val="18"/>
                <w:lang w:val="en-GB"/>
              </w:rPr>
            </w:pPr>
            <w:r w:rsidRPr="00C90FBC">
              <w:rPr>
                <w:rFonts w:eastAsia="Times New Roman"/>
                <w:b/>
                <w:bCs/>
                <w:color w:val="000000"/>
                <w:sz w:val="18"/>
                <w:szCs w:val="18"/>
                <w:lang w:val="en-GB"/>
              </w:rPr>
              <w:t> </w:t>
            </w:r>
          </w:p>
        </w:tc>
      </w:tr>
      <w:tr w:rsidR="0023336D" w:rsidRPr="00C90FBC" w14:paraId="5E94C4B3" w14:textId="77777777" w:rsidTr="008E185F">
        <w:trPr>
          <w:trHeight w:val="57"/>
          <w:jc w:val="right"/>
        </w:trPr>
        <w:tc>
          <w:tcPr>
            <w:tcW w:w="3600" w:type="dxa"/>
            <w:tcBorders>
              <w:top w:val="single" w:sz="4" w:space="0" w:color="auto"/>
              <w:left w:val="nil"/>
              <w:bottom w:val="nil"/>
              <w:right w:val="nil"/>
            </w:tcBorders>
            <w:shd w:val="clear" w:color="auto" w:fill="FFFFFF"/>
            <w:noWrap/>
            <w:hideMark/>
          </w:tcPr>
          <w:p w14:paraId="79E6ED76"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Afghanistan</w:t>
            </w:r>
          </w:p>
        </w:tc>
        <w:tc>
          <w:tcPr>
            <w:tcW w:w="1980" w:type="dxa"/>
            <w:tcBorders>
              <w:top w:val="single" w:sz="4" w:space="0" w:color="auto"/>
              <w:left w:val="nil"/>
              <w:bottom w:val="nil"/>
              <w:right w:val="nil"/>
            </w:tcBorders>
            <w:shd w:val="clear" w:color="auto" w:fill="FFFFFF"/>
            <w:noWrap/>
            <w:hideMark/>
          </w:tcPr>
          <w:p w14:paraId="2B30BEC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0.007</w:t>
            </w:r>
          </w:p>
        </w:tc>
        <w:tc>
          <w:tcPr>
            <w:tcW w:w="1800" w:type="dxa"/>
            <w:tcBorders>
              <w:top w:val="single" w:sz="4" w:space="0" w:color="auto"/>
              <w:left w:val="nil"/>
              <w:bottom w:val="nil"/>
              <w:right w:val="nil"/>
            </w:tcBorders>
            <w:noWrap/>
            <w:hideMark/>
          </w:tcPr>
          <w:p w14:paraId="0813BC53"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tcBorders>
              <w:top w:val="single" w:sz="4" w:space="0" w:color="auto"/>
              <w:left w:val="nil"/>
              <w:bottom w:val="nil"/>
              <w:right w:val="nil"/>
            </w:tcBorders>
            <w:noWrap/>
            <w:hideMark/>
          </w:tcPr>
          <w:p w14:paraId="782C826F"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017AFD1C" w14:textId="77777777" w:rsidTr="008E185F">
        <w:trPr>
          <w:trHeight w:val="57"/>
          <w:jc w:val="right"/>
        </w:trPr>
        <w:tc>
          <w:tcPr>
            <w:tcW w:w="3600" w:type="dxa"/>
            <w:noWrap/>
            <w:hideMark/>
          </w:tcPr>
          <w:p w14:paraId="0C4AE1EB"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Bahrain</w:t>
            </w:r>
          </w:p>
        </w:tc>
        <w:tc>
          <w:tcPr>
            <w:tcW w:w="1980" w:type="dxa"/>
            <w:noWrap/>
            <w:hideMark/>
          </w:tcPr>
          <w:p w14:paraId="2FC9B483"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0.05</w:t>
            </w:r>
          </w:p>
        </w:tc>
        <w:tc>
          <w:tcPr>
            <w:tcW w:w="1800" w:type="dxa"/>
            <w:noWrap/>
            <w:hideMark/>
          </w:tcPr>
          <w:p w14:paraId="681ECBA5"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0.0562</w:t>
            </w:r>
          </w:p>
        </w:tc>
        <w:tc>
          <w:tcPr>
            <w:tcW w:w="2116" w:type="dxa"/>
            <w:noWrap/>
            <w:hideMark/>
          </w:tcPr>
          <w:p w14:paraId="007772C7"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1 443</w:t>
            </w:r>
          </w:p>
        </w:tc>
      </w:tr>
      <w:tr w:rsidR="0023336D" w:rsidRPr="00C90FBC" w14:paraId="0B356F5F" w14:textId="77777777" w:rsidTr="008E185F">
        <w:trPr>
          <w:trHeight w:val="57"/>
          <w:jc w:val="right"/>
        </w:trPr>
        <w:tc>
          <w:tcPr>
            <w:tcW w:w="3600" w:type="dxa"/>
            <w:shd w:val="clear" w:color="auto" w:fill="FFFFFF"/>
            <w:noWrap/>
            <w:hideMark/>
          </w:tcPr>
          <w:p w14:paraId="664CD338"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Cambodia</w:t>
            </w:r>
          </w:p>
        </w:tc>
        <w:tc>
          <w:tcPr>
            <w:tcW w:w="1980" w:type="dxa"/>
            <w:shd w:val="clear" w:color="auto" w:fill="FFFFFF"/>
            <w:noWrap/>
            <w:hideMark/>
          </w:tcPr>
          <w:p w14:paraId="2C4FEB97"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0.006</w:t>
            </w:r>
          </w:p>
        </w:tc>
        <w:tc>
          <w:tcPr>
            <w:tcW w:w="1800" w:type="dxa"/>
            <w:noWrap/>
            <w:hideMark/>
          </w:tcPr>
          <w:p w14:paraId="110DBBBA"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56E78711"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18C2DCC6" w14:textId="77777777" w:rsidTr="008E185F">
        <w:trPr>
          <w:trHeight w:val="57"/>
          <w:jc w:val="right"/>
        </w:trPr>
        <w:tc>
          <w:tcPr>
            <w:tcW w:w="3600" w:type="dxa"/>
            <w:shd w:val="clear" w:color="auto" w:fill="FFFFFF"/>
            <w:noWrap/>
            <w:hideMark/>
          </w:tcPr>
          <w:p w14:paraId="1BFE3AF9"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China</w:t>
            </w:r>
          </w:p>
        </w:tc>
        <w:tc>
          <w:tcPr>
            <w:tcW w:w="1980" w:type="dxa"/>
            <w:shd w:val="clear" w:color="auto" w:fill="FFFFFF"/>
            <w:noWrap/>
            <w:hideMark/>
          </w:tcPr>
          <w:p w14:paraId="0329236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12.005</w:t>
            </w:r>
          </w:p>
        </w:tc>
        <w:tc>
          <w:tcPr>
            <w:tcW w:w="1800" w:type="dxa"/>
            <w:noWrap/>
            <w:hideMark/>
          </w:tcPr>
          <w:p w14:paraId="5C40AC37"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13.4983</w:t>
            </w:r>
          </w:p>
        </w:tc>
        <w:tc>
          <w:tcPr>
            <w:tcW w:w="2116" w:type="dxa"/>
            <w:noWrap/>
            <w:hideMark/>
          </w:tcPr>
          <w:p w14:paraId="381BACD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346 547</w:t>
            </w:r>
          </w:p>
        </w:tc>
      </w:tr>
      <w:tr w:rsidR="0023336D" w:rsidRPr="00C90FBC" w14:paraId="1A6E079F" w14:textId="77777777" w:rsidTr="008E185F">
        <w:trPr>
          <w:trHeight w:val="57"/>
          <w:jc w:val="right"/>
        </w:trPr>
        <w:tc>
          <w:tcPr>
            <w:tcW w:w="3600" w:type="dxa"/>
            <w:shd w:val="clear" w:color="auto" w:fill="FFFFFF"/>
            <w:noWrap/>
            <w:hideMark/>
          </w:tcPr>
          <w:p w14:paraId="069C468A"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Cyprus</w:t>
            </w:r>
          </w:p>
        </w:tc>
        <w:tc>
          <w:tcPr>
            <w:tcW w:w="1980" w:type="dxa"/>
            <w:shd w:val="clear" w:color="auto" w:fill="FFFFFF"/>
            <w:noWrap/>
            <w:hideMark/>
          </w:tcPr>
          <w:p w14:paraId="344ACEDC"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0.036</w:t>
            </w:r>
          </w:p>
        </w:tc>
        <w:tc>
          <w:tcPr>
            <w:tcW w:w="1800" w:type="dxa"/>
            <w:noWrap/>
            <w:hideMark/>
          </w:tcPr>
          <w:p w14:paraId="34EEA6A3"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0.0405</w:t>
            </w:r>
          </w:p>
        </w:tc>
        <w:tc>
          <w:tcPr>
            <w:tcW w:w="2116" w:type="dxa"/>
            <w:noWrap/>
            <w:hideMark/>
          </w:tcPr>
          <w:p w14:paraId="427B977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1 039</w:t>
            </w:r>
          </w:p>
        </w:tc>
      </w:tr>
      <w:tr w:rsidR="0023336D" w:rsidRPr="00C90FBC" w14:paraId="0DDDFBB5" w14:textId="77777777" w:rsidTr="008E185F">
        <w:trPr>
          <w:trHeight w:val="57"/>
          <w:jc w:val="right"/>
        </w:trPr>
        <w:tc>
          <w:tcPr>
            <w:tcW w:w="3600" w:type="dxa"/>
            <w:shd w:val="clear" w:color="auto" w:fill="FFFFFF"/>
            <w:noWrap/>
            <w:hideMark/>
          </w:tcPr>
          <w:p w14:paraId="0A27275F"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India</w:t>
            </w:r>
          </w:p>
        </w:tc>
        <w:tc>
          <w:tcPr>
            <w:tcW w:w="1980" w:type="dxa"/>
            <w:shd w:val="clear" w:color="auto" w:fill="FFFFFF"/>
            <w:noWrap/>
            <w:hideMark/>
          </w:tcPr>
          <w:p w14:paraId="1B1E1B5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0.834</w:t>
            </w:r>
          </w:p>
        </w:tc>
        <w:tc>
          <w:tcPr>
            <w:tcW w:w="1800" w:type="dxa"/>
            <w:noWrap/>
            <w:hideMark/>
          </w:tcPr>
          <w:p w14:paraId="6D0C8CEF"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0.9377</w:t>
            </w:r>
          </w:p>
        </w:tc>
        <w:tc>
          <w:tcPr>
            <w:tcW w:w="2116" w:type="dxa"/>
            <w:noWrap/>
            <w:hideMark/>
          </w:tcPr>
          <w:p w14:paraId="158797F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24 075</w:t>
            </w:r>
          </w:p>
        </w:tc>
      </w:tr>
      <w:tr w:rsidR="0023336D" w:rsidRPr="00C90FBC" w14:paraId="72513856" w14:textId="77777777" w:rsidTr="008E185F">
        <w:trPr>
          <w:trHeight w:val="57"/>
          <w:jc w:val="right"/>
        </w:trPr>
        <w:tc>
          <w:tcPr>
            <w:tcW w:w="3600" w:type="dxa"/>
            <w:shd w:val="clear" w:color="auto" w:fill="FFFFFF"/>
            <w:noWrap/>
            <w:hideMark/>
          </w:tcPr>
          <w:p w14:paraId="180E16D6"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Indonesia</w:t>
            </w:r>
          </w:p>
        </w:tc>
        <w:tc>
          <w:tcPr>
            <w:tcW w:w="1980" w:type="dxa"/>
            <w:shd w:val="clear" w:color="auto" w:fill="FFFFFF"/>
            <w:noWrap/>
            <w:hideMark/>
          </w:tcPr>
          <w:p w14:paraId="6F8EDF8A"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0.543</w:t>
            </w:r>
          </w:p>
        </w:tc>
        <w:tc>
          <w:tcPr>
            <w:tcW w:w="1800" w:type="dxa"/>
            <w:noWrap/>
            <w:hideMark/>
          </w:tcPr>
          <w:p w14:paraId="57229C21"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0.6105</w:t>
            </w:r>
          </w:p>
        </w:tc>
        <w:tc>
          <w:tcPr>
            <w:tcW w:w="2116" w:type="dxa"/>
            <w:noWrap/>
            <w:hideMark/>
          </w:tcPr>
          <w:p w14:paraId="65CC8683"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15 675</w:t>
            </w:r>
          </w:p>
        </w:tc>
      </w:tr>
      <w:tr w:rsidR="0023336D" w:rsidRPr="00C90FBC" w14:paraId="2E7A6A6D" w14:textId="77777777" w:rsidTr="008E185F">
        <w:trPr>
          <w:trHeight w:val="57"/>
          <w:jc w:val="right"/>
        </w:trPr>
        <w:tc>
          <w:tcPr>
            <w:tcW w:w="3600" w:type="dxa"/>
            <w:shd w:val="clear" w:color="auto" w:fill="FFFFFF"/>
            <w:noWrap/>
            <w:hideMark/>
          </w:tcPr>
          <w:p w14:paraId="30EB38E6" w14:textId="77777777" w:rsidR="0023336D" w:rsidRPr="00C90FBC" w:rsidRDefault="0023336D" w:rsidP="008E185F">
            <w:pPr>
              <w:pStyle w:val="Normal-pool"/>
              <w:spacing w:before="40" w:after="40"/>
              <w:rPr>
                <w:rFonts w:eastAsia="Times New Roman"/>
                <w:sz w:val="18"/>
                <w:szCs w:val="18"/>
                <w:lang w:val="en-GB"/>
              </w:rPr>
            </w:pPr>
            <w:r w:rsidRPr="00C90FBC">
              <w:rPr>
                <w:rFonts w:eastAsia="Times New Roman"/>
                <w:sz w:val="18"/>
                <w:szCs w:val="18"/>
                <w:lang w:val="en-GB"/>
              </w:rPr>
              <w:t>Iran (Islamic Republic of)</w:t>
            </w:r>
          </w:p>
        </w:tc>
        <w:tc>
          <w:tcPr>
            <w:tcW w:w="1980" w:type="dxa"/>
            <w:shd w:val="clear" w:color="auto" w:fill="FFFFFF"/>
            <w:noWrap/>
            <w:hideMark/>
          </w:tcPr>
          <w:p w14:paraId="4AF29A8F"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0.398</w:t>
            </w:r>
          </w:p>
        </w:tc>
        <w:tc>
          <w:tcPr>
            <w:tcW w:w="1800" w:type="dxa"/>
            <w:noWrap/>
            <w:hideMark/>
          </w:tcPr>
          <w:p w14:paraId="582032F8"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0.4475</w:t>
            </w:r>
          </w:p>
        </w:tc>
        <w:tc>
          <w:tcPr>
            <w:tcW w:w="2116" w:type="dxa"/>
            <w:noWrap/>
            <w:hideMark/>
          </w:tcPr>
          <w:p w14:paraId="665037D2"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11 489</w:t>
            </w:r>
          </w:p>
        </w:tc>
      </w:tr>
      <w:tr w:rsidR="0023336D" w:rsidRPr="00C90FBC" w14:paraId="16D7C920" w14:textId="77777777" w:rsidTr="008E185F">
        <w:trPr>
          <w:trHeight w:val="57"/>
          <w:jc w:val="right"/>
        </w:trPr>
        <w:tc>
          <w:tcPr>
            <w:tcW w:w="3600" w:type="dxa"/>
            <w:noWrap/>
            <w:hideMark/>
          </w:tcPr>
          <w:p w14:paraId="2951AA18"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Iraq</w:t>
            </w:r>
          </w:p>
        </w:tc>
        <w:tc>
          <w:tcPr>
            <w:tcW w:w="1980" w:type="dxa"/>
            <w:noWrap/>
            <w:hideMark/>
          </w:tcPr>
          <w:p w14:paraId="3CF7340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0.129</w:t>
            </w:r>
          </w:p>
        </w:tc>
        <w:tc>
          <w:tcPr>
            <w:tcW w:w="1800" w:type="dxa"/>
            <w:noWrap/>
            <w:hideMark/>
          </w:tcPr>
          <w:p w14:paraId="72940486"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0.1450</w:t>
            </w:r>
          </w:p>
        </w:tc>
        <w:tc>
          <w:tcPr>
            <w:tcW w:w="2116" w:type="dxa"/>
            <w:noWrap/>
            <w:hideMark/>
          </w:tcPr>
          <w:p w14:paraId="337E7EEB"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3 724</w:t>
            </w:r>
          </w:p>
        </w:tc>
      </w:tr>
      <w:tr w:rsidR="0023336D" w:rsidRPr="00C90FBC" w14:paraId="451B217A" w14:textId="77777777" w:rsidTr="008E185F">
        <w:trPr>
          <w:trHeight w:val="57"/>
          <w:jc w:val="right"/>
        </w:trPr>
        <w:tc>
          <w:tcPr>
            <w:tcW w:w="3600" w:type="dxa"/>
            <w:shd w:val="clear" w:color="auto" w:fill="FFFFFF"/>
            <w:noWrap/>
            <w:hideMark/>
          </w:tcPr>
          <w:p w14:paraId="6F4B9C9A"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Japan</w:t>
            </w:r>
          </w:p>
        </w:tc>
        <w:tc>
          <w:tcPr>
            <w:tcW w:w="1980" w:type="dxa"/>
            <w:shd w:val="clear" w:color="auto" w:fill="FFFFFF"/>
            <w:noWrap/>
            <w:hideMark/>
          </w:tcPr>
          <w:p w14:paraId="42C3A0D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8.564</w:t>
            </w:r>
          </w:p>
        </w:tc>
        <w:tc>
          <w:tcPr>
            <w:tcW w:w="1800" w:type="dxa"/>
            <w:noWrap/>
            <w:hideMark/>
          </w:tcPr>
          <w:p w14:paraId="65FDB99C"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9.6293</w:t>
            </w:r>
          </w:p>
        </w:tc>
        <w:tc>
          <w:tcPr>
            <w:tcW w:w="2116" w:type="dxa"/>
            <w:noWrap/>
            <w:hideMark/>
          </w:tcPr>
          <w:p w14:paraId="51C6724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247 216</w:t>
            </w:r>
          </w:p>
        </w:tc>
      </w:tr>
      <w:tr w:rsidR="0023336D" w:rsidRPr="00C90FBC" w14:paraId="7FDD21C0" w14:textId="77777777" w:rsidTr="008E185F">
        <w:trPr>
          <w:trHeight w:val="57"/>
          <w:jc w:val="right"/>
        </w:trPr>
        <w:tc>
          <w:tcPr>
            <w:tcW w:w="3600" w:type="dxa"/>
            <w:shd w:val="clear" w:color="auto" w:fill="FFFFFF"/>
            <w:noWrap/>
            <w:hideMark/>
          </w:tcPr>
          <w:p w14:paraId="3CE01FAF"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Jordan</w:t>
            </w:r>
          </w:p>
        </w:tc>
        <w:tc>
          <w:tcPr>
            <w:tcW w:w="1980" w:type="dxa"/>
            <w:shd w:val="clear" w:color="auto" w:fill="FFFFFF"/>
            <w:noWrap/>
            <w:hideMark/>
          </w:tcPr>
          <w:p w14:paraId="7D2C58A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0.021</w:t>
            </w:r>
          </w:p>
        </w:tc>
        <w:tc>
          <w:tcPr>
            <w:tcW w:w="1800" w:type="dxa"/>
            <w:noWrap/>
            <w:hideMark/>
          </w:tcPr>
          <w:p w14:paraId="29522E4D"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0.0236</w:t>
            </w:r>
          </w:p>
        </w:tc>
        <w:tc>
          <w:tcPr>
            <w:tcW w:w="2116" w:type="dxa"/>
            <w:noWrap/>
            <w:hideMark/>
          </w:tcPr>
          <w:p w14:paraId="50C710D2"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606</w:t>
            </w:r>
          </w:p>
        </w:tc>
      </w:tr>
      <w:tr w:rsidR="0023336D" w:rsidRPr="00C90FBC" w14:paraId="4EDFCB3A" w14:textId="77777777" w:rsidTr="008E185F">
        <w:trPr>
          <w:trHeight w:val="57"/>
          <w:jc w:val="right"/>
        </w:trPr>
        <w:tc>
          <w:tcPr>
            <w:tcW w:w="3600" w:type="dxa"/>
            <w:shd w:val="clear" w:color="auto" w:fill="FFFFFF"/>
            <w:noWrap/>
            <w:hideMark/>
          </w:tcPr>
          <w:p w14:paraId="6164BE4E"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Kiribati</w:t>
            </w:r>
          </w:p>
        </w:tc>
        <w:tc>
          <w:tcPr>
            <w:tcW w:w="1980" w:type="dxa"/>
            <w:shd w:val="clear" w:color="auto" w:fill="FFFFFF"/>
            <w:noWrap/>
            <w:hideMark/>
          </w:tcPr>
          <w:p w14:paraId="70E5A467"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0.001</w:t>
            </w:r>
          </w:p>
        </w:tc>
        <w:tc>
          <w:tcPr>
            <w:tcW w:w="1800" w:type="dxa"/>
            <w:noWrap/>
            <w:hideMark/>
          </w:tcPr>
          <w:p w14:paraId="34E0FD1A"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365AA7B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64AFC623" w14:textId="77777777" w:rsidTr="008E185F">
        <w:trPr>
          <w:trHeight w:val="57"/>
          <w:jc w:val="right"/>
        </w:trPr>
        <w:tc>
          <w:tcPr>
            <w:tcW w:w="3600" w:type="dxa"/>
            <w:noWrap/>
            <w:hideMark/>
          </w:tcPr>
          <w:p w14:paraId="7A844410" w14:textId="77777777" w:rsidR="0023336D" w:rsidRPr="00C90FBC" w:rsidRDefault="0023336D" w:rsidP="008E185F">
            <w:pPr>
              <w:pStyle w:val="Normal-pool"/>
              <w:spacing w:before="40" w:after="40"/>
              <w:rPr>
                <w:rFonts w:eastAsia="Times New Roman"/>
                <w:sz w:val="18"/>
                <w:szCs w:val="18"/>
                <w:lang w:val="en-GB"/>
              </w:rPr>
            </w:pPr>
            <w:r w:rsidRPr="00C90FBC">
              <w:rPr>
                <w:rFonts w:eastAsia="Times New Roman"/>
                <w:sz w:val="18"/>
                <w:szCs w:val="18"/>
                <w:lang w:val="en-GB"/>
              </w:rPr>
              <w:t>Republic of Korea</w:t>
            </w:r>
          </w:p>
        </w:tc>
        <w:tc>
          <w:tcPr>
            <w:tcW w:w="1980" w:type="dxa"/>
            <w:shd w:val="clear" w:color="auto" w:fill="FFFFFF"/>
            <w:noWrap/>
            <w:hideMark/>
          </w:tcPr>
          <w:p w14:paraId="3F340B67"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2.267</w:t>
            </w:r>
          </w:p>
        </w:tc>
        <w:tc>
          <w:tcPr>
            <w:tcW w:w="1800" w:type="dxa"/>
            <w:noWrap/>
            <w:hideMark/>
          </w:tcPr>
          <w:p w14:paraId="4AA65658"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2.5490</w:t>
            </w:r>
          </w:p>
        </w:tc>
        <w:tc>
          <w:tcPr>
            <w:tcW w:w="2116" w:type="dxa"/>
            <w:noWrap/>
            <w:hideMark/>
          </w:tcPr>
          <w:p w14:paraId="6A4B4555"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65 441</w:t>
            </w:r>
          </w:p>
        </w:tc>
      </w:tr>
      <w:tr w:rsidR="0023336D" w:rsidRPr="00C90FBC" w14:paraId="1C63765E" w14:textId="77777777" w:rsidTr="008E185F">
        <w:trPr>
          <w:trHeight w:val="57"/>
          <w:jc w:val="right"/>
        </w:trPr>
        <w:tc>
          <w:tcPr>
            <w:tcW w:w="3600" w:type="dxa"/>
            <w:shd w:val="clear" w:color="auto" w:fill="FFFFFF"/>
            <w:noWrap/>
            <w:hideMark/>
          </w:tcPr>
          <w:p w14:paraId="46511B02"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Kuwait</w:t>
            </w:r>
          </w:p>
        </w:tc>
        <w:tc>
          <w:tcPr>
            <w:tcW w:w="1980" w:type="dxa"/>
            <w:shd w:val="clear" w:color="auto" w:fill="FFFFFF"/>
            <w:noWrap/>
            <w:hideMark/>
          </w:tcPr>
          <w:p w14:paraId="308603F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0.252</w:t>
            </w:r>
          </w:p>
        </w:tc>
        <w:tc>
          <w:tcPr>
            <w:tcW w:w="1800" w:type="dxa"/>
            <w:noWrap/>
            <w:hideMark/>
          </w:tcPr>
          <w:p w14:paraId="20527485"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0.2833</w:t>
            </w:r>
          </w:p>
        </w:tc>
        <w:tc>
          <w:tcPr>
            <w:tcW w:w="2116" w:type="dxa"/>
            <w:noWrap/>
            <w:hideMark/>
          </w:tcPr>
          <w:p w14:paraId="164CD3BB"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7 274</w:t>
            </w:r>
          </w:p>
        </w:tc>
      </w:tr>
      <w:tr w:rsidR="0023336D" w:rsidRPr="00C90FBC" w14:paraId="2D91E5CD" w14:textId="77777777" w:rsidTr="008E185F">
        <w:trPr>
          <w:trHeight w:val="57"/>
          <w:jc w:val="right"/>
        </w:trPr>
        <w:tc>
          <w:tcPr>
            <w:tcW w:w="3600" w:type="dxa"/>
            <w:shd w:val="clear" w:color="auto" w:fill="FFFFFF"/>
            <w:noWrap/>
            <w:hideMark/>
          </w:tcPr>
          <w:p w14:paraId="2EC0A7ED" w14:textId="77777777" w:rsidR="0023336D" w:rsidRPr="00C90FBC" w:rsidRDefault="0023336D" w:rsidP="008E185F">
            <w:pPr>
              <w:pStyle w:val="Normal-pool"/>
              <w:spacing w:before="40" w:after="40"/>
              <w:rPr>
                <w:rFonts w:eastAsia="Times New Roman"/>
                <w:sz w:val="18"/>
                <w:szCs w:val="18"/>
                <w:lang w:val="en-GB"/>
              </w:rPr>
            </w:pPr>
            <w:r w:rsidRPr="00C90FBC">
              <w:rPr>
                <w:rFonts w:eastAsia="Times New Roman"/>
                <w:sz w:val="18"/>
                <w:szCs w:val="18"/>
                <w:lang w:val="en-GB"/>
              </w:rPr>
              <w:t>Lao People’s Democratic Republic</w:t>
            </w:r>
          </w:p>
        </w:tc>
        <w:tc>
          <w:tcPr>
            <w:tcW w:w="1980" w:type="dxa"/>
            <w:shd w:val="clear" w:color="auto" w:fill="FFFFFF"/>
            <w:noWrap/>
            <w:hideMark/>
          </w:tcPr>
          <w:p w14:paraId="2FF6F64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0.005</w:t>
            </w:r>
          </w:p>
        </w:tc>
        <w:tc>
          <w:tcPr>
            <w:tcW w:w="1800" w:type="dxa"/>
            <w:noWrap/>
            <w:hideMark/>
          </w:tcPr>
          <w:p w14:paraId="3052F110"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78F6C28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07A73713" w14:textId="77777777" w:rsidTr="008E185F">
        <w:trPr>
          <w:trHeight w:val="57"/>
          <w:jc w:val="right"/>
        </w:trPr>
        <w:tc>
          <w:tcPr>
            <w:tcW w:w="3600" w:type="dxa"/>
            <w:shd w:val="clear" w:color="auto" w:fill="FFFFFF"/>
            <w:noWrap/>
            <w:hideMark/>
          </w:tcPr>
          <w:p w14:paraId="5129AFD4"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Lebanon</w:t>
            </w:r>
          </w:p>
        </w:tc>
        <w:tc>
          <w:tcPr>
            <w:tcW w:w="1980" w:type="dxa"/>
            <w:shd w:val="clear" w:color="auto" w:fill="FFFFFF"/>
            <w:noWrap/>
            <w:hideMark/>
          </w:tcPr>
          <w:p w14:paraId="474B475C"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0.047</w:t>
            </w:r>
          </w:p>
        </w:tc>
        <w:tc>
          <w:tcPr>
            <w:tcW w:w="1800" w:type="dxa"/>
            <w:noWrap/>
            <w:hideMark/>
          </w:tcPr>
          <w:p w14:paraId="2DFD6B1E"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0.0528</w:t>
            </w:r>
          </w:p>
        </w:tc>
        <w:tc>
          <w:tcPr>
            <w:tcW w:w="2116" w:type="dxa"/>
            <w:noWrap/>
            <w:hideMark/>
          </w:tcPr>
          <w:p w14:paraId="6E031771"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1 357</w:t>
            </w:r>
          </w:p>
        </w:tc>
      </w:tr>
      <w:tr w:rsidR="0023336D" w:rsidRPr="00C90FBC" w14:paraId="674F5E80" w14:textId="77777777" w:rsidTr="008E185F">
        <w:trPr>
          <w:trHeight w:val="57"/>
          <w:jc w:val="right"/>
        </w:trPr>
        <w:tc>
          <w:tcPr>
            <w:tcW w:w="3600" w:type="dxa"/>
            <w:shd w:val="clear" w:color="auto" w:fill="FFFFFF"/>
            <w:noWrap/>
            <w:hideMark/>
          </w:tcPr>
          <w:p w14:paraId="34F89278"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Marshall Islands</w:t>
            </w:r>
          </w:p>
        </w:tc>
        <w:tc>
          <w:tcPr>
            <w:tcW w:w="1980" w:type="dxa"/>
            <w:shd w:val="clear" w:color="auto" w:fill="FFFFFF"/>
            <w:noWrap/>
            <w:hideMark/>
          </w:tcPr>
          <w:p w14:paraId="3F17D2C5"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0.001</w:t>
            </w:r>
          </w:p>
        </w:tc>
        <w:tc>
          <w:tcPr>
            <w:tcW w:w="1800" w:type="dxa"/>
            <w:noWrap/>
            <w:hideMark/>
          </w:tcPr>
          <w:p w14:paraId="0FFDACDB"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11DD0682"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381DA74B" w14:textId="77777777" w:rsidTr="008E185F">
        <w:trPr>
          <w:trHeight w:val="57"/>
          <w:jc w:val="right"/>
        </w:trPr>
        <w:tc>
          <w:tcPr>
            <w:tcW w:w="3600" w:type="dxa"/>
            <w:shd w:val="clear" w:color="auto" w:fill="FFFFFF"/>
            <w:noWrap/>
            <w:hideMark/>
          </w:tcPr>
          <w:p w14:paraId="6AE933F5"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Mongolia</w:t>
            </w:r>
          </w:p>
        </w:tc>
        <w:tc>
          <w:tcPr>
            <w:tcW w:w="1980" w:type="dxa"/>
            <w:shd w:val="clear" w:color="auto" w:fill="FFFFFF"/>
            <w:noWrap/>
            <w:hideMark/>
          </w:tcPr>
          <w:p w14:paraId="0F7B2795"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0.005</w:t>
            </w:r>
          </w:p>
        </w:tc>
        <w:tc>
          <w:tcPr>
            <w:tcW w:w="1800" w:type="dxa"/>
            <w:noWrap/>
            <w:hideMark/>
          </w:tcPr>
          <w:p w14:paraId="02AA3010"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56027A6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32D17805" w14:textId="77777777" w:rsidTr="008E185F">
        <w:trPr>
          <w:trHeight w:val="57"/>
          <w:jc w:val="right"/>
        </w:trPr>
        <w:tc>
          <w:tcPr>
            <w:tcW w:w="3600" w:type="dxa"/>
            <w:shd w:val="clear" w:color="auto" w:fill="FFFFFF"/>
            <w:noWrap/>
            <w:hideMark/>
          </w:tcPr>
          <w:p w14:paraId="64A7C0BC"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Oman</w:t>
            </w:r>
          </w:p>
        </w:tc>
        <w:tc>
          <w:tcPr>
            <w:tcW w:w="1980" w:type="dxa"/>
            <w:shd w:val="clear" w:color="auto" w:fill="FFFFFF"/>
            <w:noWrap/>
            <w:hideMark/>
          </w:tcPr>
          <w:p w14:paraId="1299D9FF"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0.115</w:t>
            </w:r>
          </w:p>
        </w:tc>
        <w:tc>
          <w:tcPr>
            <w:tcW w:w="1800" w:type="dxa"/>
            <w:noWrap/>
            <w:hideMark/>
          </w:tcPr>
          <w:p w14:paraId="334CBC1E"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0.1293</w:t>
            </w:r>
          </w:p>
        </w:tc>
        <w:tc>
          <w:tcPr>
            <w:tcW w:w="2116" w:type="dxa"/>
            <w:noWrap/>
            <w:hideMark/>
          </w:tcPr>
          <w:p w14:paraId="21D99262"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3 320</w:t>
            </w:r>
          </w:p>
        </w:tc>
      </w:tr>
      <w:tr w:rsidR="0023336D" w:rsidRPr="00C90FBC" w14:paraId="3742C8DD" w14:textId="77777777" w:rsidTr="008E185F">
        <w:trPr>
          <w:trHeight w:val="57"/>
          <w:jc w:val="right"/>
        </w:trPr>
        <w:tc>
          <w:tcPr>
            <w:tcW w:w="3600" w:type="dxa"/>
            <w:shd w:val="clear" w:color="auto" w:fill="FFFFFF"/>
            <w:noWrap/>
            <w:hideMark/>
          </w:tcPr>
          <w:p w14:paraId="28F6170F"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Pakistan</w:t>
            </w:r>
          </w:p>
        </w:tc>
        <w:tc>
          <w:tcPr>
            <w:tcW w:w="1980" w:type="dxa"/>
            <w:shd w:val="clear" w:color="auto" w:fill="FFFFFF"/>
            <w:noWrap/>
            <w:hideMark/>
          </w:tcPr>
          <w:p w14:paraId="03DF599E"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0.115</w:t>
            </w:r>
          </w:p>
        </w:tc>
        <w:tc>
          <w:tcPr>
            <w:tcW w:w="1800" w:type="dxa"/>
            <w:noWrap/>
            <w:hideMark/>
          </w:tcPr>
          <w:p w14:paraId="2A7DBA99"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0.1293</w:t>
            </w:r>
          </w:p>
        </w:tc>
        <w:tc>
          <w:tcPr>
            <w:tcW w:w="2116" w:type="dxa"/>
            <w:noWrap/>
            <w:hideMark/>
          </w:tcPr>
          <w:p w14:paraId="346C3BE6"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3 320</w:t>
            </w:r>
          </w:p>
        </w:tc>
      </w:tr>
      <w:tr w:rsidR="0023336D" w:rsidRPr="00C90FBC" w14:paraId="6A3BC6EF" w14:textId="77777777" w:rsidTr="008E185F">
        <w:trPr>
          <w:trHeight w:val="57"/>
          <w:jc w:val="right"/>
        </w:trPr>
        <w:tc>
          <w:tcPr>
            <w:tcW w:w="3600" w:type="dxa"/>
            <w:shd w:val="clear" w:color="auto" w:fill="FFFFFF"/>
            <w:noWrap/>
            <w:hideMark/>
          </w:tcPr>
          <w:p w14:paraId="182085C1"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Palau</w:t>
            </w:r>
          </w:p>
        </w:tc>
        <w:tc>
          <w:tcPr>
            <w:tcW w:w="1980" w:type="dxa"/>
            <w:shd w:val="clear" w:color="auto" w:fill="FFFFFF"/>
            <w:noWrap/>
            <w:hideMark/>
          </w:tcPr>
          <w:p w14:paraId="32B7EAD2"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0.001</w:t>
            </w:r>
          </w:p>
        </w:tc>
        <w:tc>
          <w:tcPr>
            <w:tcW w:w="1800" w:type="dxa"/>
            <w:noWrap/>
            <w:hideMark/>
          </w:tcPr>
          <w:p w14:paraId="54B84C7C"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3D5B14DA"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20465CF5" w14:textId="77777777" w:rsidTr="008E185F">
        <w:trPr>
          <w:trHeight w:val="57"/>
          <w:jc w:val="right"/>
        </w:trPr>
        <w:tc>
          <w:tcPr>
            <w:tcW w:w="3600" w:type="dxa"/>
            <w:shd w:val="clear" w:color="auto" w:fill="FFFFFF"/>
            <w:noWrap/>
            <w:hideMark/>
          </w:tcPr>
          <w:p w14:paraId="124BB391" w14:textId="77777777" w:rsidR="0023336D" w:rsidRPr="00C90FBC" w:rsidRDefault="0023336D" w:rsidP="008E185F">
            <w:pPr>
              <w:pStyle w:val="Normal-pool"/>
              <w:spacing w:before="40" w:after="40"/>
              <w:rPr>
                <w:rFonts w:eastAsia="Times New Roman"/>
                <w:sz w:val="18"/>
                <w:szCs w:val="18"/>
                <w:lang w:val="en-GB"/>
              </w:rPr>
            </w:pPr>
            <w:r w:rsidRPr="00C90FBC">
              <w:rPr>
                <w:rFonts w:eastAsia="Times New Roman"/>
                <w:sz w:val="18"/>
                <w:szCs w:val="18"/>
                <w:lang w:val="en-GB"/>
              </w:rPr>
              <w:t>Philippines</w:t>
            </w:r>
          </w:p>
        </w:tc>
        <w:tc>
          <w:tcPr>
            <w:tcW w:w="1980" w:type="dxa"/>
            <w:shd w:val="clear" w:color="auto" w:fill="FFFFFF"/>
            <w:noWrap/>
            <w:hideMark/>
          </w:tcPr>
          <w:p w14:paraId="7D34750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0.205</w:t>
            </w:r>
          </w:p>
        </w:tc>
        <w:tc>
          <w:tcPr>
            <w:tcW w:w="1800" w:type="dxa"/>
            <w:noWrap/>
            <w:hideMark/>
          </w:tcPr>
          <w:p w14:paraId="60796B19"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0.2305</w:t>
            </w:r>
          </w:p>
        </w:tc>
        <w:tc>
          <w:tcPr>
            <w:tcW w:w="2116" w:type="dxa"/>
            <w:noWrap/>
            <w:hideMark/>
          </w:tcPr>
          <w:p w14:paraId="2D0E7FB7"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5 918</w:t>
            </w:r>
          </w:p>
        </w:tc>
      </w:tr>
      <w:tr w:rsidR="0023336D" w:rsidRPr="00C90FBC" w14:paraId="31B68E5C" w14:textId="77777777" w:rsidTr="008E185F">
        <w:trPr>
          <w:trHeight w:val="57"/>
          <w:jc w:val="right"/>
        </w:trPr>
        <w:tc>
          <w:tcPr>
            <w:tcW w:w="3600" w:type="dxa"/>
            <w:shd w:val="clear" w:color="auto" w:fill="FFFFFF"/>
            <w:noWrap/>
            <w:hideMark/>
          </w:tcPr>
          <w:p w14:paraId="4668F5CD"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Qatar</w:t>
            </w:r>
          </w:p>
        </w:tc>
        <w:tc>
          <w:tcPr>
            <w:tcW w:w="1980" w:type="dxa"/>
            <w:shd w:val="clear" w:color="auto" w:fill="FFFFFF"/>
            <w:noWrap/>
            <w:hideMark/>
          </w:tcPr>
          <w:p w14:paraId="43AA884C"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0.282</w:t>
            </w:r>
          </w:p>
        </w:tc>
        <w:tc>
          <w:tcPr>
            <w:tcW w:w="1800" w:type="dxa"/>
            <w:noWrap/>
            <w:hideMark/>
          </w:tcPr>
          <w:p w14:paraId="003BA8C0"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0.3171</w:t>
            </w:r>
          </w:p>
        </w:tc>
        <w:tc>
          <w:tcPr>
            <w:tcW w:w="2116" w:type="dxa"/>
            <w:noWrap/>
            <w:hideMark/>
          </w:tcPr>
          <w:p w14:paraId="0BC578C3"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8 140</w:t>
            </w:r>
          </w:p>
        </w:tc>
      </w:tr>
      <w:tr w:rsidR="0023336D" w:rsidRPr="00C90FBC" w14:paraId="0328B677" w14:textId="77777777" w:rsidTr="008E185F">
        <w:trPr>
          <w:trHeight w:val="57"/>
          <w:jc w:val="right"/>
        </w:trPr>
        <w:tc>
          <w:tcPr>
            <w:tcW w:w="3600" w:type="dxa"/>
            <w:shd w:val="clear" w:color="auto" w:fill="FFFFFF"/>
            <w:noWrap/>
            <w:hideMark/>
          </w:tcPr>
          <w:p w14:paraId="43802625"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Samoa</w:t>
            </w:r>
          </w:p>
        </w:tc>
        <w:tc>
          <w:tcPr>
            <w:tcW w:w="1980" w:type="dxa"/>
            <w:shd w:val="clear" w:color="auto" w:fill="FFFFFF"/>
            <w:noWrap/>
            <w:hideMark/>
          </w:tcPr>
          <w:p w14:paraId="2644360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0.001</w:t>
            </w:r>
          </w:p>
        </w:tc>
        <w:tc>
          <w:tcPr>
            <w:tcW w:w="1800" w:type="dxa"/>
            <w:noWrap/>
            <w:hideMark/>
          </w:tcPr>
          <w:p w14:paraId="21D90E13"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1EFDA17B"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6863AE4C" w14:textId="77777777" w:rsidTr="008E185F">
        <w:trPr>
          <w:trHeight w:val="57"/>
          <w:jc w:val="right"/>
        </w:trPr>
        <w:tc>
          <w:tcPr>
            <w:tcW w:w="3600" w:type="dxa"/>
            <w:shd w:val="clear" w:color="auto" w:fill="FFFFFF"/>
            <w:noWrap/>
            <w:hideMark/>
          </w:tcPr>
          <w:p w14:paraId="4BECB158"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Saudi Arabia</w:t>
            </w:r>
          </w:p>
        </w:tc>
        <w:tc>
          <w:tcPr>
            <w:tcW w:w="1980" w:type="dxa"/>
            <w:shd w:val="clear" w:color="auto" w:fill="FFFFFF"/>
            <w:noWrap/>
            <w:hideMark/>
          </w:tcPr>
          <w:p w14:paraId="525C6D1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1.172</w:t>
            </w:r>
          </w:p>
        </w:tc>
        <w:tc>
          <w:tcPr>
            <w:tcW w:w="1800" w:type="dxa"/>
            <w:noWrap/>
            <w:hideMark/>
          </w:tcPr>
          <w:p w14:paraId="3ED0E577"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1.3178</w:t>
            </w:r>
          </w:p>
        </w:tc>
        <w:tc>
          <w:tcPr>
            <w:tcW w:w="2116" w:type="dxa"/>
            <w:noWrap/>
            <w:hideMark/>
          </w:tcPr>
          <w:p w14:paraId="6EFFDA3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33 832</w:t>
            </w:r>
          </w:p>
        </w:tc>
      </w:tr>
      <w:tr w:rsidR="0023336D" w:rsidRPr="00C90FBC" w14:paraId="29E8DDD4" w14:textId="77777777" w:rsidTr="008E185F">
        <w:trPr>
          <w:trHeight w:val="57"/>
          <w:jc w:val="right"/>
        </w:trPr>
        <w:tc>
          <w:tcPr>
            <w:tcW w:w="3600" w:type="dxa"/>
            <w:shd w:val="clear" w:color="auto" w:fill="FFFFFF"/>
            <w:noWrap/>
            <w:hideMark/>
          </w:tcPr>
          <w:p w14:paraId="53228189"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Singapore</w:t>
            </w:r>
          </w:p>
        </w:tc>
        <w:tc>
          <w:tcPr>
            <w:tcW w:w="1980" w:type="dxa"/>
            <w:shd w:val="clear" w:color="auto" w:fill="FFFFFF"/>
            <w:noWrap/>
            <w:hideMark/>
          </w:tcPr>
          <w:p w14:paraId="6DD03C22"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0.485</w:t>
            </w:r>
          </w:p>
        </w:tc>
        <w:tc>
          <w:tcPr>
            <w:tcW w:w="1800" w:type="dxa"/>
            <w:noWrap/>
            <w:hideMark/>
          </w:tcPr>
          <w:p w14:paraId="689FDC9C"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0.5453</w:t>
            </w:r>
          </w:p>
        </w:tc>
        <w:tc>
          <w:tcPr>
            <w:tcW w:w="2116" w:type="dxa"/>
            <w:noWrap/>
            <w:hideMark/>
          </w:tcPr>
          <w:p w14:paraId="57DF3B0A"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14 000</w:t>
            </w:r>
          </w:p>
        </w:tc>
      </w:tr>
      <w:tr w:rsidR="0023336D" w:rsidRPr="00C90FBC" w14:paraId="322CE55C" w14:textId="77777777" w:rsidTr="008E185F">
        <w:trPr>
          <w:trHeight w:val="57"/>
          <w:jc w:val="right"/>
        </w:trPr>
        <w:tc>
          <w:tcPr>
            <w:tcW w:w="3600" w:type="dxa"/>
            <w:shd w:val="clear" w:color="auto" w:fill="FFFFFF"/>
            <w:noWrap/>
            <w:hideMark/>
          </w:tcPr>
          <w:p w14:paraId="6592D6C5"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Sri Lanka</w:t>
            </w:r>
          </w:p>
        </w:tc>
        <w:tc>
          <w:tcPr>
            <w:tcW w:w="1980" w:type="dxa"/>
            <w:shd w:val="clear" w:color="auto" w:fill="FFFFFF"/>
            <w:noWrap/>
            <w:hideMark/>
          </w:tcPr>
          <w:p w14:paraId="4D462BB7"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0.044</w:t>
            </w:r>
          </w:p>
        </w:tc>
        <w:tc>
          <w:tcPr>
            <w:tcW w:w="1800" w:type="dxa"/>
            <w:noWrap/>
            <w:hideMark/>
          </w:tcPr>
          <w:p w14:paraId="1807F7C1"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0.0495</w:t>
            </w:r>
          </w:p>
        </w:tc>
        <w:tc>
          <w:tcPr>
            <w:tcW w:w="2116" w:type="dxa"/>
            <w:noWrap/>
            <w:hideMark/>
          </w:tcPr>
          <w:p w14:paraId="04B86CA7"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1 270</w:t>
            </w:r>
          </w:p>
        </w:tc>
      </w:tr>
      <w:tr w:rsidR="0023336D" w:rsidRPr="00C90FBC" w14:paraId="1CB0E01C" w14:textId="77777777" w:rsidTr="008E185F">
        <w:trPr>
          <w:trHeight w:val="57"/>
          <w:jc w:val="right"/>
        </w:trPr>
        <w:tc>
          <w:tcPr>
            <w:tcW w:w="3600" w:type="dxa"/>
            <w:shd w:val="clear" w:color="auto" w:fill="FFFFFF"/>
            <w:noWrap/>
          </w:tcPr>
          <w:p w14:paraId="7F67D814"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sz w:val="18"/>
                <w:szCs w:val="18"/>
                <w:lang w:val="en-GB"/>
              </w:rPr>
              <w:t>State of Palestine</w:t>
            </w:r>
          </w:p>
        </w:tc>
        <w:tc>
          <w:tcPr>
            <w:tcW w:w="1980" w:type="dxa"/>
            <w:shd w:val="clear" w:color="auto" w:fill="FFFFFF"/>
            <w:noWrap/>
          </w:tcPr>
          <w:p w14:paraId="4DD9796A"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0.008</w:t>
            </w:r>
          </w:p>
        </w:tc>
        <w:tc>
          <w:tcPr>
            <w:tcW w:w="1800" w:type="dxa"/>
            <w:noWrap/>
          </w:tcPr>
          <w:p w14:paraId="2B13C4FB"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tcPr>
          <w:p w14:paraId="3078931F"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35D32AA3" w14:textId="77777777" w:rsidTr="008E185F">
        <w:trPr>
          <w:trHeight w:val="57"/>
          <w:jc w:val="right"/>
        </w:trPr>
        <w:tc>
          <w:tcPr>
            <w:tcW w:w="3600" w:type="dxa"/>
            <w:shd w:val="clear" w:color="auto" w:fill="FFFFFF"/>
            <w:noWrap/>
            <w:hideMark/>
          </w:tcPr>
          <w:p w14:paraId="48924F77"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Syrian Arab Republic</w:t>
            </w:r>
          </w:p>
        </w:tc>
        <w:tc>
          <w:tcPr>
            <w:tcW w:w="1980" w:type="dxa"/>
            <w:shd w:val="clear" w:color="auto" w:fill="FFFFFF"/>
            <w:noWrap/>
            <w:hideMark/>
          </w:tcPr>
          <w:p w14:paraId="2FFF520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0.011</w:t>
            </w:r>
          </w:p>
        </w:tc>
        <w:tc>
          <w:tcPr>
            <w:tcW w:w="1800" w:type="dxa"/>
            <w:noWrap/>
            <w:hideMark/>
          </w:tcPr>
          <w:p w14:paraId="70FAF9E2"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0.0124</w:t>
            </w:r>
          </w:p>
        </w:tc>
        <w:tc>
          <w:tcPr>
            <w:tcW w:w="2116" w:type="dxa"/>
            <w:noWrap/>
            <w:hideMark/>
          </w:tcPr>
          <w:p w14:paraId="67515267"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318</w:t>
            </w:r>
          </w:p>
        </w:tc>
      </w:tr>
      <w:tr w:rsidR="0023336D" w:rsidRPr="00C90FBC" w14:paraId="4B217800" w14:textId="77777777" w:rsidTr="008E185F">
        <w:trPr>
          <w:trHeight w:val="57"/>
          <w:jc w:val="right"/>
        </w:trPr>
        <w:tc>
          <w:tcPr>
            <w:tcW w:w="3600" w:type="dxa"/>
            <w:shd w:val="clear" w:color="auto" w:fill="FFFFFF"/>
            <w:noWrap/>
            <w:hideMark/>
          </w:tcPr>
          <w:p w14:paraId="0117744E"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Thailand</w:t>
            </w:r>
          </w:p>
        </w:tc>
        <w:tc>
          <w:tcPr>
            <w:tcW w:w="1980" w:type="dxa"/>
            <w:shd w:val="clear" w:color="auto" w:fill="FFFFFF"/>
            <w:noWrap/>
            <w:hideMark/>
          </w:tcPr>
          <w:p w14:paraId="7BD5739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0.307</w:t>
            </w:r>
          </w:p>
        </w:tc>
        <w:tc>
          <w:tcPr>
            <w:tcW w:w="1800" w:type="dxa"/>
            <w:noWrap/>
            <w:hideMark/>
          </w:tcPr>
          <w:p w14:paraId="46BFEB27"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0.3452</w:t>
            </w:r>
          </w:p>
        </w:tc>
        <w:tc>
          <w:tcPr>
            <w:tcW w:w="2116" w:type="dxa"/>
            <w:noWrap/>
            <w:hideMark/>
          </w:tcPr>
          <w:p w14:paraId="4BAD1C3F"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8 862</w:t>
            </w:r>
          </w:p>
        </w:tc>
      </w:tr>
      <w:tr w:rsidR="0023336D" w:rsidRPr="00C90FBC" w14:paraId="39BDE89C" w14:textId="77777777" w:rsidTr="008E185F">
        <w:trPr>
          <w:trHeight w:val="57"/>
          <w:jc w:val="right"/>
        </w:trPr>
        <w:tc>
          <w:tcPr>
            <w:tcW w:w="3600" w:type="dxa"/>
            <w:shd w:val="clear" w:color="auto" w:fill="FFFFFF"/>
            <w:noWrap/>
            <w:hideMark/>
          </w:tcPr>
          <w:p w14:paraId="5E056D0B"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Tonga</w:t>
            </w:r>
          </w:p>
        </w:tc>
        <w:tc>
          <w:tcPr>
            <w:tcW w:w="1980" w:type="dxa"/>
            <w:shd w:val="clear" w:color="auto" w:fill="FFFFFF"/>
            <w:noWrap/>
            <w:hideMark/>
          </w:tcPr>
          <w:p w14:paraId="11351F0F"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0.001</w:t>
            </w:r>
          </w:p>
        </w:tc>
        <w:tc>
          <w:tcPr>
            <w:tcW w:w="1800" w:type="dxa"/>
            <w:noWrap/>
            <w:hideMark/>
          </w:tcPr>
          <w:p w14:paraId="3DF530AE"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02595FD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746F8259" w14:textId="77777777" w:rsidTr="008E185F">
        <w:trPr>
          <w:trHeight w:val="57"/>
          <w:jc w:val="right"/>
        </w:trPr>
        <w:tc>
          <w:tcPr>
            <w:tcW w:w="3600" w:type="dxa"/>
            <w:shd w:val="clear" w:color="auto" w:fill="FFFFFF"/>
            <w:noWrap/>
            <w:hideMark/>
          </w:tcPr>
          <w:p w14:paraId="4591830A"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lastRenderedPageBreak/>
              <w:t>Tuvalu</w:t>
            </w:r>
          </w:p>
        </w:tc>
        <w:tc>
          <w:tcPr>
            <w:tcW w:w="1980" w:type="dxa"/>
            <w:shd w:val="clear" w:color="auto" w:fill="FFFFFF"/>
            <w:noWrap/>
            <w:hideMark/>
          </w:tcPr>
          <w:p w14:paraId="7A5CE35B"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0.001</w:t>
            </w:r>
          </w:p>
        </w:tc>
        <w:tc>
          <w:tcPr>
            <w:tcW w:w="1800" w:type="dxa"/>
            <w:noWrap/>
            <w:hideMark/>
          </w:tcPr>
          <w:p w14:paraId="588B1A42"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6B7B4E16"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60DD2AE3" w14:textId="77777777" w:rsidTr="008E185F">
        <w:trPr>
          <w:trHeight w:val="57"/>
          <w:jc w:val="right"/>
        </w:trPr>
        <w:tc>
          <w:tcPr>
            <w:tcW w:w="3600" w:type="dxa"/>
            <w:shd w:val="clear" w:color="auto" w:fill="FFFFFF"/>
            <w:noWrap/>
            <w:hideMark/>
          </w:tcPr>
          <w:p w14:paraId="74E880F2"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United Arab Emirates</w:t>
            </w:r>
          </w:p>
        </w:tc>
        <w:tc>
          <w:tcPr>
            <w:tcW w:w="1980" w:type="dxa"/>
            <w:shd w:val="clear" w:color="auto" w:fill="FFFFFF"/>
            <w:noWrap/>
            <w:hideMark/>
          </w:tcPr>
          <w:p w14:paraId="16A7C46B"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0.616</w:t>
            </w:r>
          </w:p>
        </w:tc>
        <w:tc>
          <w:tcPr>
            <w:tcW w:w="1800" w:type="dxa"/>
            <w:noWrap/>
            <w:hideMark/>
          </w:tcPr>
          <w:p w14:paraId="3D270421"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0.6926</w:t>
            </w:r>
          </w:p>
        </w:tc>
        <w:tc>
          <w:tcPr>
            <w:tcW w:w="2116" w:type="dxa"/>
            <w:noWrap/>
            <w:hideMark/>
          </w:tcPr>
          <w:p w14:paraId="1CD635D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17 782</w:t>
            </w:r>
          </w:p>
        </w:tc>
      </w:tr>
      <w:tr w:rsidR="0023336D" w:rsidRPr="00C90FBC" w14:paraId="37F7AF68" w14:textId="77777777" w:rsidTr="008E185F">
        <w:trPr>
          <w:trHeight w:val="57"/>
          <w:jc w:val="right"/>
        </w:trPr>
        <w:tc>
          <w:tcPr>
            <w:tcW w:w="3600" w:type="dxa"/>
            <w:shd w:val="clear" w:color="auto" w:fill="FFFFFF"/>
            <w:noWrap/>
            <w:hideMark/>
          </w:tcPr>
          <w:p w14:paraId="1FC32ADF"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Vanuatu</w:t>
            </w:r>
          </w:p>
        </w:tc>
        <w:tc>
          <w:tcPr>
            <w:tcW w:w="1980" w:type="dxa"/>
            <w:shd w:val="clear" w:color="auto" w:fill="FFFFFF"/>
            <w:noWrap/>
            <w:hideMark/>
          </w:tcPr>
          <w:p w14:paraId="1D506FC6"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0.001</w:t>
            </w:r>
          </w:p>
        </w:tc>
        <w:tc>
          <w:tcPr>
            <w:tcW w:w="1800" w:type="dxa"/>
            <w:noWrap/>
            <w:hideMark/>
          </w:tcPr>
          <w:p w14:paraId="31DCD2B3"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7F8BF9B6"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477D09CB" w14:textId="77777777" w:rsidTr="008E185F">
        <w:trPr>
          <w:trHeight w:val="57"/>
          <w:jc w:val="right"/>
        </w:trPr>
        <w:tc>
          <w:tcPr>
            <w:tcW w:w="3600" w:type="dxa"/>
            <w:tcBorders>
              <w:top w:val="nil"/>
              <w:left w:val="nil"/>
              <w:bottom w:val="single" w:sz="4" w:space="0" w:color="auto"/>
              <w:right w:val="nil"/>
            </w:tcBorders>
            <w:shd w:val="clear" w:color="auto" w:fill="FFFFFF"/>
            <w:noWrap/>
            <w:hideMark/>
          </w:tcPr>
          <w:p w14:paraId="3410FF06"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Viet Nam</w:t>
            </w:r>
          </w:p>
        </w:tc>
        <w:tc>
          <w:tcPr>
            <w:tcW w:w="1980" w:type="dxa"/>
            <w:tcBorders>
              <w:top w:val="nil"/>
              <w:left w:val="nil"/>
              <w:bottom w:val="single" w:sz="4" w:space="0" w:color="auto"/>
              <w:right w:val="nil"/>
            </w:tcBorders>
            <w:shd w:val="clear" w:color="auto" w:fill="FFFFFF"/>
            <w:noWrap/>
            <w:hideMark/>
          </w:tcPr>
          <w:p w14:paraId="0B1465A5"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0.077</w:t>
            </w:r>
          </w:p>
        </w:tc>
        <w:tc>
          <w:tcPr>
            <w:tcW w:w="1800" w:type="dxa"/>
            <w:tcBorders>
              <w:top w:val="nil"/>
              <w:left w:val="nil"/>
              <w:bottom w:val="single" w:sz="4" w:space="0" w:color="auto"/>
              <w:right w:val="nil"/>
            </w:tcBorders>
            <w:noWrap/>
            <w:hideMark/>
          </w:tcPr>
          <w:p w14:paraId="288C23F7"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0.0866</w:t>
            </w:r>
          </w:p>
        </w:tc>
        <w:tc>
          <w:tcPr>
            <w:tcW w:w="2116" w:type="dxa"/>
            <w:tcBorders>
              <w:top w:val="nil"/>
              <w:left w:val="nil"/>
              <w:bottom w:val="single" w:sz="4" w:space="0" w:color="auto"/>
              <w:right w:val="nil"/>
            </w:tcBorders>
            <w:noWrap/>
            <w:hideMark/>
          </w:tcPr>
          <w:p w14:paraId="234C76FA"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2,223</w:t>
            </w:r>
          </w:p>
        </w:tc>
      </w:tr>
      <w:tr w:rsidR="0023336D" w:rsidRPr="00C90FBC" w14:paraId="12B40925" w14:textId="77777777" w:rsidTr="008E185F">
        <w:trPr>
          <w:trHeight w:val="57"/>
          <w:jc w:val="right"/>
        </w:trPr>
        <w:tc>
          <w:tcPr>
            <w:tcW w:w="7380" w:type="dxa"/>
            <w:gridSpan w:val="3"/>
            <w:tcBorders>
              <w:top w:val="single" w:sz="4" w:space="0" w:color="auto"/>
              <w:left w:val="nil"/>
              <w:bottom w:val="single" w:sz="4" w:space="0" w:color="auto"/>
              <w:right w:val="nil"/>
            </w:tcBorders>
            <w:noWrap/>
            <w:hideMark/>
          </w:tcPr>
          <w:p w14:paraId="22ED9AB2"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Central and Eastern European States (16)</w:t>
            </w:r>
          </w:p>
        </w:tc>
        <w:tc>
          <w:tcPr>
            <w:tcW w:w="2116" w:type="dxa"/>
            <w:tcBorders>
              <w:top w:val="single" w:sz="4" w:space="0" w:color="auto"/>
              <w:left w:val="nil"/>
              <w:bottom w:val="single" w:sz="4" w:space="0" w:color="auto"/>
              <w:right w:val="nil"/>
            </w:tcBorders>
            <w:noWrap/>
            <w:hideMark/>
          </w:tcPr>
          <w:p w14:paraId="1054725D" w14:textId="77777777" w:rsidR="0023336D" w:rsidRPr="00C90FBC" w:rsidRDefault="0023336D" w:rsidP="008E185F">
            <w:pPr>
              <w:pStyle w:val="Normal-pool"/>
              <w:spacing w:before="40" w:after="40"/>
              <w:jc w:val="right"/>
              <w:rPr>
                <w:rFonts w:eastAsia="Times New Roman"/>
                <w:b/>
                <w:bCs/>
                <w:color w:val="000000"/>
                <w:sz w:val="18"/>
                <w:szCs w:val="18"/>
                <w:lang w:val="en-GB"/>
              </w:rPr>
            </w:pPr>
            <w:r w:rsidRPr="00C90FBC">
              <w:rPr>
                <w:rFonts w:eastAsia="Times New Roman"/>
                <w:b/>
                <w:bCs/>
                <w:color w:val="000000"/>
                <w:sz w:val="18"/>
                <w:szCs w:val="18"/>
                <w:lang w:val="en-GB"/>
              </w:rPr>
              <w:t> </w:t>
            </w:r>
          </w:p>
        </w:tc>
      </w:tr>
      <w:tr w:rsidR="0023336D" w:rsidRPr="00C90FBC" w14:paraId="605DF00C" w14:textId="77777777" w:rsidTr="008E185F">
        <w:trPr>
          <w:trHeight w:val="57"/>
          <w:jc w:val="right"/>
        </w:trPr>
        <w:tc>
          <w:tcPr>
            <w:tcW w:w="3600" w:type="dxa"/>
            <w:tcBorders>
              <w:top w:val="single" w:sz="4" w:space="0" w:color="auto"/>
              <w:left w:val="nil"/>
              <w:bottom w:val="nil"/>
              <w:right w:val="nil"/>
            </w:tcBorders>
            <w:shd w:val="clear" w:color="auto" w:fill="FFFFFF"/>
            <w:noWrap/>
            <w:hideMark/>
          </w:tcPr>
          <w:p w14:paraId="1FCF7C20"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Albania</w:t>
            </w:r>
          </w:p>
        </w:tc>
        <w:tc>
          <w:tcPr>
            <w:tcW w:w="1980" w:type="dxa"/>
            <w:tcBorders>
              <w:top w:val="single" w:sz="4" w:space="0" w:color="auto"/>
              <w:left w:val="nil"/>
              <w:bottom w:val="nil"/>
              <w:right w:val="nil"/>
            </w:tcBorders>
            <w:shd w:val="clear" w:color="auto" w:fill="FFFFFF"/>
            <w:noWrap/>
            <w:hideMark/>
          </w:tcPr>
          <w:p w14:paraId="75D9AD7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0.008</w:t>
            </w:r>
          </w:p>
        </w:tc>
        <w:tc>
          <w:tcPr>
            <w:tcW w:w="1800" w:type="dxa"/>
            <w:tcBorders>
              <w:top w:val="single" w:sz="4" w:space="0" w:color="auto"/>
              <w:left w:val="nil"/>
              <w:bottom w:val="nil"/>
              <w:right w:val="nil"/>
            </w:tcBorders>
            <w:noWrap/>
            <w:hideMark/>
          </w:tcPr>
          <w:p w14:paraId="3AE19AC2"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tcBorders>
              <w:top w:val="single" w:sz="4" w:space="0" w:color="auto"/>
              <w:left w:val="nil"/>
              <w:bottom w:val="nil"/>
              <w:right w:val="nil"/>
            </w:tcBorders>
            <w:noWrap/>
            <w:hideMark/>
          </w:tcPr>
          <w:p w14:paraId="7BFAD22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44E7F522" w14:textId="77777777" w:rsidTr="008E185F">
        <w:trPr>
          <w:trHeight w:val="57"/>
          <w:jc w:val="right"/>
        </w:trPr>
        <w:tc>
          <w:tcPr>
            <w:tcW w:w="3600" w:type="dxa"/>
            <w:shd w:val="clear" w:color="auto" w:fill="FFFFFF"/>
            <w:noWrap/>
            <w:hideMark/>
          </w:tcPr>
          <w:p w14:paraId="0ECEE530"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Armenia</w:t>
            </w:r>
          </w:p>
        </w:tc>
        <w:tc>
          <w:tcPr>
            <w:tcW w:w="1980" w:type="dxa"/>
            <w:shd w:val="clear" w:color="auto" w:fill="FFFFFF"/>
            <w:noWrap/>
            <w:hideMark/>
          </w:tcPr>
          <w:p w14:paraId="323B1A56"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0.007</w:t>
            </w:r>
          </w:p>
        </w:tc>
        <w:tc>
          <w:tcPr>
            <w:tcW w:w="1800" w:type="dxa"/>
            <w:noWrap/>
            <w:hideMark/>
          </w:tcPr>
          <w:p w14:paraId="206E1C0D"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3B36EB26"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7173F2A8" w14:textId="77777777" w:rsidTr="008E185F">
        <w:trPr>
          <w:trHeight w:val="57"/>
          <w:jc w:val="right"/>
        </w:trPr>
        <w:tc>
          <w:tcPr>
            <w:tcW w:w="3600" w:type="dxa"/>
            <w:shd w:val="clear" w:color="auto" w:fill="FFFFFF"/>
            <w:noWrap/>
            <w:hideMark/>
          </w:tcPr>
          <w:p w14:paraId="11B3FB83"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Bulgaria</w:t>
            </w:r>
          </w:p>
        </w:tc>
        <w:tc>
          <w:tcPr>
            <w:tcW w:w="1980" w:type="dxa"/>
            <w:shd w:val="clear" w:color="auto" w:fill="FFFFFF"/>
            <w:noWrap/>
            <w:hideMark/>
          </w:tcPr>
          <w:p w14:paraId="40C4821E"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0.046</w:t>
            </w:r>
          </w:p>
        </w:tc>
        <w:tc>
          <w:tcPr>
            <w:tcW w:w="1800" w:type="dxa"/>
            <w:noWrap/>
            <w:hideMark/>
          </w:tcPr>
          <w:p w14:paraId="4DC09536"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0.0517</w:t>
            </w:r>
          </w:p>
        </w:tc>
        <w:tc>
          <w:tcPr>
            <w:tcW w:w="2116" w:type="dxa"/>
            <w:noWrap/>
            <w:hideMark/>
          </w:tcPr>
          <w:p w14:paraId="70290A1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1 328</w:t>
            </w:r>
          </w:p>
        </w:tc>
      </w:tr>
      <w:tr w:rsidR="0023336D" w:rsidRPr="00C90FBC" w14:paraId="0917D351" w14:textId="77777777" w:rsidTr="008E185F">
        <w:trPr>
          <w:trHeight w:val="57"/>
          <w:jc w:val="right"/>
        </w:trPr>
        <w:tc>
          <w:tcPr>
            <w:tcW w:w="3600" w:type="dxa"/>
            <w:shd w:val="clear" w:color="auto" w:fill="FFFFFF"/>
            <w:noWrap/>
            <w:hideMark/>
          </w:tcPr>
          <w:p w14:paraId="08311823"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Croatia</w:t>
            </w:r>
          </w:p>
        </w:tc>
        <w:tc>
          <w:tcPr>
            <w:tcW w:w="1980" w:type="dxa"/>
            <w:shd w:val="clear" w:color="auto" w:fill="FFFFFF"/>
            <w:noWrap/>
            <w:hideMark/>
          </w:tcPr>
          <w:p w14:paraId="5E77A8F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0.077</w:t>
            </w:r>
          </w:p>
        </w:tc>
        <w:tc>
          <w:tcPr>
            <w:tcW w:w="1800" w:type="dxa"/>
            <w:noWrap/>
            <w:hideMark/>
          </w:tcPr>
          <w:p w14:paraId="2F9AED8B"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0.0866</w:t>
            </w:r>
          </w:p>
        </w:tc>
        <w:tc>
          <w:tcPr>
            <w:tcW w:w="2116" w:type="dxa"/>
            <w:noWrap/>
            <w:hideMark/>
          </w:tcPr>
          <w:p w14:paraId="6597BC1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2 223</w:t>
            </w:r>
          </w:p>
        </w:tc>
      </w:tr>
      <w:tr w:rsidR="0023336D" w:rsidRPr="00C90FBC" w14:paraId="3FAD9C42" w14:textId="77777777" w:rsidTr="008E185F">
        <w:trPr>
          <w:trHeight w:val="57"/>
          <w:jc w:val="right"/>
        </w:trPr>
        <w:tc>
          <w:tcPr>
            <w:tcW w:w="3600" w:type="dxa"/>
            <w:shd w:val="clear" w:color="auto" w:fill="FFFFFF"/>
            <w:noWrap/>
            <w:hideMark/>
          </w:tcPr>
          <w:p w14:paraId="721281CC" w14:textId="77777777" w:rsidR="0023336D" w:rsidRPr="00C90FBC" w:rsidRDefault="0023336D" w:rsidP="008E185F">
            <w:pPr>
              <w:pStyle w:val="Normal-pool"/>
              <w:spacing w:before="40" w:after="40"/>
              <w:rPr>
                <w:rFonts w:eastAsia="Times New Roman"/>
                <w:sz w:val="18"/>
                <w:szCs w:val="18"/>
                <w:lang w:val="en-GB"/>
              </w:rPr>
            </w:pPr>
            <w:r w:rsidRPr="00C90FBC">
              <w:rPr>
                <w:rFonts w:eastAsia="Times New Roman"/>
                <w:sz w:val="18"/>
                <w:szCs w:val="18"/>
                <w:lang w:val="en-GB"/>
              </w:rPr>
              <w:t>Czechia</w:t>
            </w:r>
          </w:p>
        </w:tc>
        <w:tc>
          <w:tcPr>
            <w:tcW w:w="1980" w:type="dxa"/>
            <w:shd w:val="clear" w:color="auto" w:fill="FFFFFF"/>
            <w:noWrap/>
            <w:hideMark/>
          </w:tcPr>
          <w:p w14:paraId="4B0A51D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0.311</w:t>
            </w:r>
          </w:p>
        </w:tc>
        <w:tc>
          <w:tcPr>
            <w:tcW w:w="1800" w:type="dxa"/>
            <w:noWrap/>
            <w:hideMark/>
          </w:tcPr>
          <w:p w14:paraId="65F374B5"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0.3497</w:t>
            </w:r>
          </w:p>
        </w:tc>
        <w:tc>
          <w:tcPr>
            <w:tcW w:w="2116" w:type="dxa"/>
            <w:noWrap/>
            <w:hideMark/>
          </w:tcPr>
          <w:p w14:paraId="47D13366"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8 978</w:t>
            </w:r>
          </w:p>
        </w:tc>
      </w:tr>
      <w:tr w:rsidR="0023336D" w:rsidRPr="00C90FBC" w14:paraId="034B5156" w14:textId="77777777" w:rsidTr="008E185F">
        <w:trPr>
          <w:trHeight w:val="57"/>
          <w:jc w:val="right"/>
        </w:trPr>
        <w:tc>
          <w:tcPr>
            <w:tcW w:w="3600" w:type="dxa"/>
            <w:shd w:val="clear" w:color="auto" w:fill="FFFFFF"/>
            <w:noWrap/>
            <w:hideMark/>
          </w:tcPr>
          <w:p w14:paraId="02505F68"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Estonia</w:t>
            </w:r>
          </w:p>
        </w:tc>
        <w:tc>
          <w:tcPr>
            <w:tcW w:w="1980" w:type="dxa"/>
            <w:shd w:val="clear" w:color="auto" w:fill="FFFFFF"/>
            <w:noWrap/>
            <w:hideMark/>
          </w:tcPr>
          <w:p w14:paraId="6068BA92"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0.039</w:t>
            </w:r>
          </w:p>
        </w:tc>
        <w:tc>
          <w:tcPr>
            <w:tcW w:w="1800" w:type="dxa"/>
            <w:noWrap/>
            <w:hideMark/>
          </w:tcPr>
          <w:p w14:paraId="2CCA702C"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0.0439</w:t>
            </w:r>
          </w:p>
        </w:tc>
        <w:tc>
          <w:tcPr>
            <w:tcW w:w="2116" w:type="dxa"/>
            <w:noWrap/>
            <w:hideMark/>
          </w:tcPr>
          <w:p w14:paraId="6D3E1F8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1 126</w:t>
            </w:r>
          </w:p>
        </w:tc>
      </w:tr>
      <w:tr w:rsidR="0023336D" w:rsidRPr="00C90FBC" w14:paraId="54D3BEC1" w14:textId="77777777" w:rsidTr="008E185F">
        <w:trPr>
          <w:trHeight w:val="57"/>
          <w:jc w:val="right"/>
        </w:trPr>
        <w:tc>
          <w:tcPr>
            <w:tcW w:w="3600" w:type="dxa"/>
            <w:shd w:val="clear" w:color="auto" w:fill="FFFFFF"/>
            <w:noWrap/>
            <w:hideMark/>
          </w:tcPr>
          <w:p w14:paraId="7B7C1001"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Hungary</w:t>
            </w:r>
          </w:p>
        </w:tc>
        <w:tc>
          <w:tcPr>
            <w:tcW w:w="1980" w:type="dxa"/>
            <w:shd w:val="clear" w:color="auto" w:fill="FFFFFF"/>
            <w:noWrap/>
            <w:hideMark/>
          </w:tcPr>
          <w:p w14:paraId="617EE64F"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0.206</w:t>
            </w:r>
          </w:p>
        </w:tc>
        <w:tc>
          <w:tcPr>
            <w:tcW w:w="1800" w:type="dxa"/>
            <w:noWrap/>
            <w:hideMark/>
          </w:tcPr>
          <w:p w14:paraId="5C563D7D"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0.2316</w:t>
            </w:r>
          </w:p>
        </w:tc>
        <w:tc>
          <w:tcPr>
            <w:tcW w:w="2116" w:type="dxa"/>
            <w:noWrap/>
            <w:hideMark/>
          </w:tcPr>
          <w:p w14:paraId="7381C79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5 947</w:t>
            </w:r>
          </w:p>
        </w:tc>
      </w:tr>
      <w:tr w:rsidR="0023336D" w:rsidRPr="00C90FBC" w14:paraId="5515472C" w14:textId="77777777" w:rsidTr="008E185F">
        <w:trPr>
          <w:trHeight w:val="57"/>
          <w:jc w:val="right"/>
        </w:trPr>
        <w:tc>
          <w:tcPr>
            <w:tcW w:w="3600" w:type="dxa"/>
            <w:shd w:val="clear" w:color="auto" w:fill="FFFFFF"/>
            <w:noWrap/>
            <w:hideMark/>
          </w:tcPr>
          <w:p w14:paraId="5A49E188"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Latvia</w:t>
            </w:r>
          </w:p>
        </w:tc>
        <w:tc>
          <w:tcPr>
            <w:tcW w:w="1980" w:type="dxa"/>
            <w:shd w:val="clear" w:color="auto" w:fill="FFFFFF"/>
            <w:noWrap/>
            <w:hideMark/>
          </w:tcPr>
          <w:p w14:paraId="5F5DFC11"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0.047</w:t>
            </w:r>
          </w:p>
        </w:tc>
        <w:tc>
          <w:tcPr>
            <w:tcW w:w="1800" w:type="dxa"/>
            <w:noWrap/>
            <w:hideMark/>
          </w:tcPr>
          <w:p w14:paraId="339BF3F7"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0.0528</w:t>
            </w:r>
          </w:p>
        </w:tc>
        <w:tc>
          <w:tcPr>
            <w:tcW w:w="2116" w:type="dxa"/>
            <w:noWrap/>
            <w:hideMark/>
          </w:tcPr>
          <w:p w14:paraId="00EB11C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1 357</w:t>
            </w:r>
          </w:p>
        </w:tc>
      </w:tr>
      <w:tr w:rsidR="0023336D" w:rsidRPr="00C90FBC" w14:paraId="739DC2C1" w14:textId="77777777" w:rsidTr="008E185F">
        <w:trPr>
          <w:trHeight w:val="57"/>
          <w:jc w:val="right"/>
        </w:trPr>
        <w:tc>
          <w:tcPr>
            <w:tcW w:w="3600" w:type="dxa"/>
            <w:shd w:val="clear" w:color="auto" w:fill="FFFFFF"/>
            <w:noWrap/>
            <w:hideMark/>
          </w:tcPr>
          <w:p w14:paraId="2C583AF4"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Lithuania</w:t>
            </w:r>
          </w:p>
        </w:tc>
        <w:tc>
          <w:tcPr>
            <w:tcW w:w="1980" w:type="dxa"/>
            <w:shd w:val="clear" w:color="auto" w:fill="FFFFFF"/>
            <w:noWrap/>
            <w:hideMark/>
          </w:tcPr>
          <w:p w14:paraId="4FDA6B05"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0.071</w:t>
            </w:r>
          </w:p>
        </w:tc>
        <w:tc>
          <w:tcPr>
            <w:tcW w:w="1800" w:type="dxa"/>
            <w:noWrap/>
            <w:hideMark/>
          </w:tcPr>
          <w:p w14:paraId="09488A7E"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0.0798</w:t>
            </w:r>
          </w:p>
        </w:tc>
        <w:tc>
          <w:tcPr>
            <w:tcW w:w="2116" w:type="dxa"/>
            <w:noWrap/>
            <w:hideMark/>
          </w:tcPr>
          <w:p w14:paraId="3EF5B7E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2 050</w:t>
            </w:r>
          </w:p>
        </w:tc>
      </w:tr>
      <w:tr w:rsidR="0023336D" w:rsidRPr="00C90FBC" w14:paraId="05494F4C" w14:textId="77777777" w:rsidTr="008E185F">
        <w:trPr>
          <w:trHeight w:val="57"/>
          <w:jc w:val="right"/>
        </w:trPr>
        <w:tc>
          <w:tcPr>
            <w:tcW w:w="3600" w:type="dxa"/>
            <w:shd w:val="clear" w:color="auto" w:fill="FFFFFF"/>
            <w:noWrap/>
            <w:hideMark/>
          </w:tcPr>
          <w:p w14:paraId="06456725"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Montenegro</w:t>
            </w:r>
          </w:p>
        </w:tc>
        <w:tc>
          <w:tcPr>
            <w:tcW w:w="1980" w:type="dxa"/>
            <w:shd w:val="clear" w:color="auto" w:fill="FFFFFF"/>
            <w:noWrap/>
            <w:hideMark/>
          </w:tcPr>
          <w:p w14:paraId="2F92A1D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0.004</w:t>
            </w:r>
          </w:p>
        </w:tc>
        <w:tc>
          <w:tcPr>
            <w:tcW w:w="1800" w:type="dxa"/>
            <w:noWrap/>
            <w:hideMark/>
          </w:tcPr>
          <w:p w14:paraId="2756FC03"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4F0EC931"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5927F70D" w14:textId="77777777" w:rsidTr="008E185F">
        <w:trPr>
          <w:trHeight w:val="57"/>
          <w:jc w:val="right"/>
        </w:trPr>
        <w:tc>
          <w:tcPr>
            <w:tcW w:w="3600" w:type="dxa"/>
            <w:shd w:val="clear" w:color="auto" w:fill="FFFFFF"/>
            <w:noWrap/>
            <w:hideMark/>
          </w:tcPr>
          <w:p w14:paraId="6873B8B3" w14:textId="77777777" w:rsidR="0023336D" w:rsidRPr="00C90FBC" w:rsidRDefault="0023336D" w:rsidP="008E185F">
            <w:pPr>
              <w:pStyle w:val="Normal-pool"/>
              <w:spacing w:before="40" w:after="40"/>
              <w:rPr>
                <w:rFonts w:eastAsia="Times New Roman"/>
                <w:sz w:val="18"/>
                <w:szCs w:val="18"/>
                <w:lang w:val="en-GB"/>
              </w:rPr>
            </w:pPr>
            <w:r w:rsidRPr="00C90FBC">
              <w:rPr>
                <w:rFonts w:eastAsia="Times New Roman"/>
                <w:sz w:val="18"/>
                <w:szCs w:val="18"/>
                <w:lang w:val="en-GB"/>
              </w:rPr>
              <w:t>North Macedonia</w:t>
            </w:r>
          </w:p>
        </w:tc>
        <w:tc>
          <w:tcPr>
            <w:tcW w:w="1980" w:type="dxa"/>
            <w:shd w:val="clear" w:color="auto" w:fill="FFFFFF"/>
            <w:noWrap/>
            <w:hideMark/>
          </w:tcPr>
          <w:p w14:paraId="3A819DAB"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0.007</w:t>
            </w:r>
          </w:p>
        </w:tc>
        <w:tc>
          <w:tcPr>
            <w:tcW w:w="1800" w:type="dxa"/>
            <w:noWrap/>
            <w:hideMark/>
          </w:tcPr>
          <w:p w14:paraId="198A7F84"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714AAEFC"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78164E24" w14:textId="77777777" w:rsidTr="008E185F">
        <w:trPr>
          <w:trHeight w:val="57"/>
          <w:jc w:val="right"/>
        </w:trPr>
        <w:tc>
          <w:tcPr>
            <w:tcW w:w="3600" w:type="dxa"/>
            <w:noWrap/>
            <w:hideMark/>
          </w:tcPr>
          <w:p w14:paraId="6D3D9126"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Poland</w:t>
            </w:r>
          </w:p>
        </w:tc>
        <w:tc>
          <w:tcPr>
            <w:tcW w:w="1980" w:type="dxa"/>
            <w:noWrap/>
            <w:hideMark/>
          </w:tcPr>
          <w:p w14:paraId="6DF6606E"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0.802</w:t>
            </w:r>
          </w:p>
        </w:tc>
        <w:tc>
          <w:tcPr>
            <w:tcW w:w="1800" w:type="dxa"/>
            <w:noWrap/>
            <w:hideMark/>
          </w:tcPr>
          <w:p w14:paraId="1FDE3F18"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0.9018</w:t>
            </w:r>
          </w:p>
        </w:tc>
        <w:tc>
          <w:tcPr>
            <w:tcW w:w="2116" w:type="dxa"/>
            <w:noWrap/>
            <w:hideMark/>
          </w:tcPr>
          <w:p w14:paraId="2C273B2F"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23 151</w:t>
            </w:r>
          </w:p>
        </w:tc>
      </w:tr>
      <w:tr w:rsidR="0023336D" w:rsidRPr="00C90FBC" w14:paraId="1F3DAD0C" w14:textId="77777777" w:rsidTr="008E185F">
        <w:trPr>
          <w:trHeight w:val="57"/>
          <w:jc w:val="right"/>
        </w:trPr>
        <w:tc>
          <w:tcPr>
            <w:tcW w:w="3600" w:type="dxa"/>
            <w:noWrap/>
          </w:tcPr>
          <w:p w14:paraId="0AC0B3A4"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sz w:val="18"/>
                <w:szCs w:val="18"/>
                <w:lang w:val="en-GB"/>
              </w:rPr>
              <w:t>Republic of Moldova</w:t>
            </w:r>
          </w:p>
        </w:tc>
        <w:tc>
          <w:tcPr>
            <w:tcW w:w="1980" w:type="dxa"/>
            <w:noWrap/>
          </w:tcPr>
          <w:p w14:paraId="1DB8581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0.003</w:t>
            </w:r>
          </w:p>
        </w:tc>
        <w:tc>
          <w:tcPr>
            <w:tcW w:w="1800" w:type="dxa"/>
            <w:noWrap/>
          </w:tcPr>
          <w:p w14:paraId="44186F6E"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tcPr>
          <w:p w14:paraId="78779936"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438FA2E0" w14:textId="77777777" w:rsidTr="008E185F">
        <w:trPr>
          <w:trHeight w:val="57"/>
          <w:jc w:val="right"/>
        </w:trPr>
        <w:tc>
          <w:tcPr>
            <w:tcW w:w="3600" w:type="dxa"/>
            <w:shd w:val="clear" w:color="auto" w:fill="FFFFFF"/>
            <w:noWrap/>
            <w:hideMark/>
          </w:tcPr>
          <w:p w14:paraId="1C2465BA"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Romania</w:t>
            </w:r>
          </w:p>
        </w:tc>
        <w:tc>
          <w:tcPr>
            <w:tcW w:w="1980" w:type="dxa"/>
            <w:shd w:val="clear" w:color="auto" w:fill="FFFFFF"/>
            <w:noWrap/>
            <w:hideMark/>
          </w:tcPr>
          <w:p w14:paraId="3B5F452C"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0.198</w:t>
            </w:r>
          </w:p>
        </w:tc>
        <w:tc>
          <w:tcPr>
            <w:tcW w:w="1800" w:type="dxa"/>
            <w:noWrap/>
            <w:hideMark/>
          </w:tcPr>
          <w:p w14:paraId="50ED7017"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0.2226</w:t>
            </w:r>
          </w:p>
        </w:tc>
        <w:tc>
          <w:tcPr>
            <w:tcW w:w="2116" w:type="dxa"/>
            <w:noWrap/>
            <w:hideMark/>
          </w:tcPr>
          <w:p w14:paraId="3FF20AA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5 716</w:t>
            </w:r>
          </w:p>
        </w:tc>
      </w:tr>
      <w:tr w:rsidR="0023336D" w:rsidRPr="00C90FBC" w14:paraId="1E4290D5" w14:textId="77777777" w:rsidTr="008E185F">
        <w:trPr>
          <w:trHeight w:val="57"/>
          <w:jc w:val="right"/>
        </w:trPr>
        <w:tc>
          <w:tcPr>
            <w:tcW w:w="3600" w:type="dxa"/>
            <w:shd w:val="clear" w:color="auto" w:fill="FFFFFF"/>
            <w:noWrap/>
            <w:hideMark/>
          </w:tcPr>
          <w:p w14:paraId="78684F07"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Slovakia</w:t>
            </w:r>
          </w:p>
        </w:tc>
        <w:tc>
          <w:tcPr>
            <w:tcW w:w="1980" w:type="dxa"/>
            <w:shd w:val="clear" w:color="auto" w:fill="FFFFFF"/>
            <w:noWrap/>
            <w:hideMark/>
          </w:tcPr>
          <w:p w14:paraId="54ACAFB6"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0.153</w:t>
            </w:r>
          </w:p>
        </w:tc>
        <w:tc>
          <w:tcPr>
            <w:tcW w:w="1800" w:type="dxa"/>
            <w:noWrap/>
            <w:hideMark/>
          </w:tcPr>
          <w:p w14:paraId="7FDDAFCE"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0.1720</w:t>
            </w:r>
          </w:p>
        </w:tc>
        <w:tc>
          <w:tcPr>
            <w:tcW w:w="2116" w:type="dxa"/>
            <w:noWrap/>
            <w:hideMark/>
          </w:tcPr>
          <w:p w14:paraId="76AE781B"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4 417</w:t>
            </w:r>
          </w:p>
        </w:tc>
      </w:tr>
      <w:tr w:rsidR="0023336D" w:rsidRPr="00C90FBC" w14:paraId="0B77A2D5" w14:textId="77777777" w:rsidTr="008E185F">
        <w:trPr>
          <w:trHeight w:val="57"/>
          <w:jc w:val="right"/>
        </w:trPr>
        <w:tc>
          <w:tcPr>
            <w:tcW w:w="3600" w:type="dxa"/>
            <w:tcBorders>
              <w:top w:val="nil"/>
              <w:left w:val="nil"/>
              <w:bottom w:val="single" w:sz="4" w:space="0" w:color="auto"/>
              <w:right w:val="nil"/>
            </w:tcBorders>
            <w:shd w:val="clear" w:color="auto" w:fill="FFFFFF"/>
            <w:noWrap/>
            <w:hideMark/>
          </w:tcPr>
          <w:p w14:paraId="7ABAF9F1"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Slovenia</w:t>
            </w:r>
          </w:p>
        </w:tc>
        <w:tc>
          <w:tcPr>
            <w:tcW w:w="1980" w:type="dxa"/>
            <w:tcBorders>
              <w:top w:val="nil"/>
              <w:left w:val="nil"/>
              <w:bottom w:val="single" w:sz="4" w:space="0" w:color="auto"/>
              <w:right w:val="nil"/>
            </w:tcBorders>
            <w:shd w:val="clear" w:color="auto" w:fill="FFFFFF"/>
            <w:noWrap/>
            <w:hideMark/>
          </w:tcPr>
          <w:p w14:paraId="72138616"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0.076</w:t>
            </w:r>
          </w:p>
        </w:tc>
        <w:tc>
          <w:tcPr>
            <w:tcW w:w="1800" w:type="dxa"/>
            <w:tcBorders>
              <w:top w:val="nil"/>
              <w:left w:val="nil"/>
              <w:bottom w:val="single" w:sz="4" w:space="0" w:color="auto"/>
              <w:right w:val="nil"/>
            </w:tcBorders>
            <w:noWrap/>
            <w:hideMark/>
          </w:tcPr>
          <w:p w14:paraId="720BFDCA"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0.0855</w:t>
            </w:r>
          </w:p>
        </w:tc>
        <w:tc>
          <w:tcPr>
            <w:tcW w:w="2116" w:type="dxa"/>
            <w:tcBorders>
              <w:top w:val="nil"/>
              <w:left w:val="nil"/>
              <w:bottom w:val="single" w:sz="4" w:space="0" w:color="auto"/>
              <w:right w:val="nil"/>
            </w:tcBorders>
            <w:noWrap/>
            <w:hideMark/>
          </w:tcPr>
          <w:p w14:paraId="51141BB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2 194</w:t>
            </w:r>
          </w:p>
        </w:tc>
      </w:tr>
      <w:tr w:rsidR="0023336D" w:rsidRPr="00C90FBC" w14:paraId="1B450061" w14:textId="77777777" w:rsidTr="008E185F">
        <w:trPr>
          <w:trHeight w:val="57"/>
          <w:jc w:val="right"/>
        </w:trPr>
        <w:tc>
          <w:tcPr>
            <w:tcW w:w="7380" w:type="dxa"/>
            <w:gridSpan w:val="3"/>
            <w:tcBorders>
              <w:top w:val="single" w:sz="4" w:space="0" w:color="auto"/>
              <w:left w:val="nil"/>
              <w:bottom w:val="single" w:sz="4" w:space="0" w:color="auto"/>
              <w:right w:val="nil"/>
            </w:tcBorders>
            <w:noWrap/>
            <w:hideMark/>
          </w:tcPr>
          <w:p w14:paraId="07AE8213"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Latin American and Caribbean States (24)</w:t>
            </w:r>
          </w:p>
        </w:tc>
        <w:tc>
          <w:tcPr>
            <w:tcW w:w="2116" w:type="dxa"/>
            <w:tcBorders>
              <w:top w:val="single" w:sz="4" w:space="0" w:color="auto"/>
              <w:left w:val="nil"/>
              <w:bottom w:val="single" w:sz="4" w:space="0" w:color="auto"/>
              <w:right w:val="nil"/>
            </w:tcBorders>
            <w:noWrap/>
            <w:hideMark/>
          </w:tcPr>
          <w:p w14:paraId="4CC0CB53"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 </w:t>
            </w:r>
          </w:p>
        </w:tc>
      </w:tr>
      <w:tr w:rsidR="0023336D" w:rsidRPr="00C90FBC" w14:paraId="6393C1E9" w14:textId="77777777" w:rsidTr="008E185F">
        <w:trPr>
          <w:trHeight w:val="57"/>
          <w:jc w:val="right"/>
        </w:trPr>
        <w:tc>
          <w:tcPr>
            <w:tcW w:w="3600" w:type="dxa"/>
            <w:tcBorders>
              <w:top w:val="single" w:sz="4" w:space="0" w:color="auto"/>
              <w:left w:val="nil"/>
              <w:bottom w:val="nil"/>
              <w:right w:val="nil"/>
            </w:tcBorders>
            <w:shd w:val="clear" w:color="auto" w:fill="FFFFFF"/>
            <w:noWrap/>
            <w:hideMark/>
          </w:tcPr>
          <w:p w14:paraId="412C38D1"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Antigua and Barbuda</w:t>
            </w:r>
          </w:p>
        </w:tc>
        <w:tc>
          <w:tcPr>
            <w:tcW w:w="1980" w:type="dxa"/>
            <w:tcBorders>
              <w:top w:val="single" w:sz="4" w:space="0" w:color="auto"/>
              <w:left w:val="nil"/>
              <w:bottom w:val="nil"/>
              <w:right w:val="nil"/>
            </w:tcBorders>
            <w:shd w:val="clear" w:color="auto" w:fill="FFFFFF"/>
            <w:noWrap/>
            <w:hideMark/>
          </w:tcPr>
          <w:p w14:paraId="588C90E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0.002</w:t>
            </w:r>
          </w:p>
        </w:tc>
        <w:tc>
          <w:tcPr>
            <w:tcW w:w="1800" w:type="dxa"/>
            <w:tcBorders>
              <w:top w:val="single" w:sz="4" w:space="0" w:color="auto"/>
              <w:left w:val="nil"/>
              <w:bottom w:val="nil"/>
              <w:right w:val="nil"/>
            </w:tcBorders>
            <w:noWrap/>
            <w:hideMark/>
          </w:tcPr>
          <w:p w14:paraId="239ED13F"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tcBorders>
              <w:top w:val="single" w:sz="4" w:space="0" w:color="auto"/>
              <w:left w:val="nil"/>
              <w:bottom w:val="nil"/>
              <w:right w:val="nil"/>
            </w:tcBorders>
            <w:noWrap/>
            <w:hideMark/>
          </w:tcPr>
          <w:p w14:paraId="1ECE18A2"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603C194F" w14:textId="77777777" w:rsidTr="008E185F">
        <w:trPr>
          <w:trHeight w:val="57"/>
          <w:jc w:val="right"/>
        </w:trPr>
        <w:tc>
          <w:tcPr>
            <w:tcW w:w="3600" w:type="dxa"/>
            <w:shd w:val="clear" w:color="auto" w:fill="FFFFFF"/>
            <w:noWrap/>
            <w:hideMark/>
          </w:tcPr>
          <w:p w14:paraId="3682F74A"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Argentina</w:t>
            </w:r>
          </w:p>
        </w:tc>
        <w:tc>
          <w:tcPr>
            <w:tcW w:w="1980" w:type="dxa"/>
            <w:shd w:val="clear" w:color="auto" w:fill="FFFFFF"/>
            <w:noWrap/>
            <w:hideMark/>
          </w:tcPr>
          <w:p w14:paraId="59559E15"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0.915</w:t>
            </w:r>
          </w:p>
        </w:tc>
        <w:tc>
          <w:tcPr>
            <w:tcW w:w="1800" w:type="dxa"/>
            <w:noWrap/>
            <w:hideMark/>
          </w:tcPr>
          <w:p w14:paraId="449E816B"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1.0288</w:t>
            </w:r>
          </w:p>
        </w:tc>
        <w:tc>
          <w:tcPr>
            <w:tcW w:w="2116" w:type="dxa"/>
            <w:noWrap/>
            <w:hideMark/>
          </w:tcPr>
          <w:p w14:paraId="0FD7AE0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26 413</w:t>
            </w:r>
          </w:p>
        </w:tc>
      </w:tr>
      <w:tr w:rsidR="0023336D" w:rsidRPr="00C90FBC" w14:paraId="2E157C92" w14:textId="77777777" w:rsidTr="008E185F">
        <w:trPr>
          <w:trHeight w:val="57"/>
          <w:jc w:val="right"/>
        </w:trPr>
        <w:tc>
          <w:tcPr>
            <w:tcW w:w="3600" w:type="dxa"/>
            <w:shd w:val="clear" w:color="auto" w:fill="FFFFFF"/>
            <w:noWrap/>
            <w:hideMark/>
          </w:tcPr>
          <w:p w14:paraId="7CA3D293"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Bahamas</w:t>
            </w:r>
          </w:p>
        </w:tc>
        <w:tc>
          <w:tcPr>
            <w:tcW w:w="1980" w:type="dxa"/>
            <w:shd w:val="clear" w:color="auto" w:fill="FFFFFF"/>
            <w:noWrap/>
            <w:hideMark/>
          </w:tcPr>
          <w:p w14:paraId="33D23A4E"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0.018</w:t>
            </w:r>
          </w:p>
        </w:tc>
        <w:tc>
          <w:tcPr>
            <w:tcW w:w="1800" w:type="dxa"/>
            <w:noWrap/>
            <w:hideMark/>
          </w:tcPr>
          <w:p w14:paraId="23138134"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0.0202</w:t>
            </w:r>
          </w:p>
        </w:tc>
        <w:tc>
          <w:tcPr>
            <w:tcW w:w="2116" w:type="dxa"/>
            <w:noWrap/>
            <w:hideMark/>
          </w:tcPr>
          <w:p w14:paraId="3E506A9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520</w:t>
            </w:r>
          </w:p>
        </w:tc>
      </w:tr>
      <w:tr w:rsidR="0023336D" w:rsidRPr="00C90FBC" w14:paraId="0532B3C9" w14:textId="77777777" w:rsidTr="008E185F">
        <w:trPr>
          <w:trHeight w:val="57"/>
          <w:jc w:val="right"/>
        </w:trPr>
        <w:tc>
          <w:tcPr>
            <w:tcW w:w="3600" w:type="dxa"/>
            <w:shd w:val="clear" w:color="auto" w:fill="FFFFFF"/>
            <w:noWrap/>
            <w:hideMark/>
          </w:tcPr>
          <w:p w14:paraId="0958A77D"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Bolivia (</w:t>
            </w:r>
            <w:proofErr w:type="spellStart"/>
            <w:r w:rsidRPr="00C90FBC">
              <w:rPr>
                <w:rFonts w:eastAsia="Times New Roman"/>
                <w:color w:val="000000"/>
                <w:sz w:val="18"/>
                <w:szCs w:val="18"/>
                <w:lang w:val="en-GB"/>
              </w:rPr>
              <w:t>Plurinational</w:t>
            </w:r>
            <w:proofErr w:type="spellEnd"/>
            <w:r w:rsidRPr="00C90FBC">
              <w:rPr>
                <w:rFonts w:eastAsia="Times New Roman"/>
                <w:color w:val="000000"/>
                <w:sz w:val="18"/>
                <w:szCs w:val="18"/>
                <w:lang w:val="en-GB"/>
              </w:rPr>
              <w:t xml:space="preserve"> State of)</w:t>
            </w:r>
          </w:p>
        </w:tc>
        <w:tc>
          <w:tcPr>
            <w:tcW w:w="1980" w:type="dxa"/>
            <w:shd w:val="clear" w:color="auto" w:fill="FFFFFF"/>
            <w:noWrap/>
            <w:hideMark/>
          </w:tcPr>
          <w:p w14:paraId="291E0D9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0.016</w:t>
            </w:r>
          </w:p>
        </w:tc>
        <w:tc>
          <w:tcPr>
            <w:tcW w:w="1800" w:type="dxa"/>
            <w:noWrap/>
            <w:hideMark/>
          </w:tcPr>
          <w:p w14:paraId="00FC805A"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0.0180</w:t>
            </w:r>
          </w:p>
        </w:tc>
        <w:tc>
          <w:tcPr>
            <w:tcW w:w="2116" w:type="dxa"/>
            <w:noWrap/>
            <w:hideMark/>
          </w:tcPr>
          <w:p w14:paraId="71D4A10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462</w:t>
            </w:r>
          </w:p>
        </w:tc>
      </w:tr>
      <w:tr w:rsidR="0023336D" w:rsidRPr="00C90FBC" w14:paraId="0DF9EC52" w14:textId="77777777" w:rsidTr="008E185F">
        <w:trPr>
          <w:trHeight w:val="57"/>
          <w:jc w:val="right"/>
        </w:trPr>
        <w:tc>
          <w:tcPr>
            <w:tcW w:w="3600" w:type="dxa"/>
            <w:shd w:val="clear" w:color="auto" w:fill="FFFFFF"/>
            <w:noWrap/>
            <w:hideMark/>
          </w:tcPr>
          <w:p w14:paraId="0527D90D"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Brazil</w:t>
            </w:r>
          </w:p>
        </w:tc>
        <w:tc>
          <w:tcPr>
            <w:tcW w:w="1980" w:type="dxa"/>
            <w:shd w:val="clear" w:color="auto" w:fill="FFFFFF"/>
            <w:noWrap/>
            <w:hideMark/>
          </w:tcPr>
          <w:p w14:paraId="64BE6F95"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2.948</w:t>
            </w:r>
          </w:p>
        </w:tc>
        <w:tc>
          <w:tcPr>
            <w:tcW w:w="1800" w:type="dxa"/>
            <w:noWrap/>
            <w:hideMark/>
          </w:tcPr>
          <w:p w14:paraId="78CB993E"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3.3147</w:t>
            </w:r>
          </w:p>
        </w:tc>
        <w:tc>
          <w:tcPr>
            <w:tcW w:w="2116" w:type="dxa"/>
            <w:noWrap/>
            <w:hideMark/>
          </w:tcPr>
          <w:p w14:paraId="35C2D1D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85 100</w:t>
            </w:r>
          </w:p>
        </w:tc>
      </w:tr>
      <w:tr w:rsidR="0023336D" w:rsidRPr="00C90FBC" w14:paraId="5411AAB9" w14:textId="77777777" w:rsidTr="008E185F">
        <w:trPr>
          <w:trHeight w:val="57"/>
          <w:jc w:val="right"/>
        </w:trPr>
        <w:tc>
          <w:tcPr>
            <w:tcW w:w="3600" w:type="dxa"/>
            <w:shd w:val="clear" w:color="auto" w:fill="FFFFFF"/>
            <w:noWrap/>
            <w:hideMark/>
          </w:tcPr>
          <w:p w14:paraId="47EBC1E2"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Chile</w:t>
            </w:r>
          </w:p>
        </w:tc>
        <w:tc>
          <w:tcPr>
            <w:tcW w:w="1980" w:type="dxa"/>
            <w:shd w:val="clear" w:color="auto" w:fill="FFFFFF"/>
            <w:noWrap/>
            <w:hideMark/>
          </w:tcPr>
          <w:p w14:paraId="3A79C881"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0.407</w:t>
            </w:r>
          </w:p>
        </w:tc>
        <w:tc>
          <w:tcPr>
            <w:tcW w:w="1800" w:type="dxa"/>
            <w:noWrap/>
            <w:hideMark/>
          </w:tcPr>
          <w:p w14:paraId="6D0DC8B0"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0.4576</w:t>
            </w:r>
          </w:p>
        </w:tc>
        <w:tc>
          <w:tcPr>
            <w:tcW w:w="2116" w:type="dxa"/>
            <w:noWrap/>
            <w:hideMark/>
          </w:tcPr>
          <w:p w14:paraId="44D9013F"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11 749</w:t>
            </w:r>
          </w:p>
        </w:tc>
      </w:tr>
      <w:tr w:rsidR="0023336D" w:rsidRPr="00C90FBC" w14:paraId="33474875" w14:textId="77777777" w:rsidTr="008E185F">
        <w:trPr>
          <w:trHeight w:val="57"/>
          <w:jc w:val="right"/>
        </w:trPr>
        <w:tc>
          <w:tcPr>
            <w:tcW w:w="3600" w:type="dxa"/>
            <w:shd w:val="clear" w:color="auto" w:fill="FFFFFF"/>
            <w:noWrap/>
            <w:hideMark/>
          </w:tcPr>
          <w:p w14:paraId="44CF5712"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Colombia</w:t>
            </w:r>
          </w:p>
        </w:tc>
        <w:tc>
          <w:tcPr>
            <w:tcW w:w="1980" w:type="dxa"/>
            <w:shd w:val="clear" w:color="auto" w:fill="FFFFFF"/>
            <w:noWrap/>
            <w:hideMark/>
          </w:tcPr>
          <w:p w14:paraId="614C1B8A"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0.288</w:t>
            </w:r>
          </w:p>
        </w:tc>
        <w:tc>
          <w:tcPr>
            <w:tcW w:w="1800" w:type="dxa"/>
            <w:noWrap/>
            <w:hideMark/>
          </w:tcPr>
          <w:p w14:paraId="3FC95A58"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0.3238</w:t>
            </w:r>
          </w:p>
        </w:tc>
        <w:tc>
          <w:tcPr>
            <w:tcW w:w="2116" w:type="dxa"/>
            <w:noWrap/>
            <w:hideMark/>
          </w:tcPr>
          <w:p w14:paraId="2A9BBA5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8 314</w:t>
            </w:r>
          </w:p>
        </w:tc>
      </w:tr>
      <w:tr w:rsidR="0023336D" w:rsidRPr="00C90FBC" w14:paraId="468C8C5F" w14:textId="77777777" w:rsidTr="008E185F">
        <w:trPr>
          <w:trHeight w:val="57"/>
          <w:jc w:val="right"/>
        </w:trPr>
        <w:tc>
          <w:tcPr>
            <w:tcW w:w="3600" w:type="dxa"/>
            <w:shd w:val="clear" w:color="auto" w:fill="FFFFFF"/>
            <w:noWrap/>
            <w:hideMark/>
          </w:tcPr>
          <w:p w14:paraId="50B38F96"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Costa Rica</w:t>
            </w:r>
          </w:p>
        </w:tc>
        <w:tc>
          <w:tcPr>
            <w:tcW w:w="1980" w:type="dxa"/>
            <w:shd w:val="clear" w:color="auto" w:fill="FFFFFF"/>
            <w:noWrap/>
            <w:hideMark/>
          </w:tcPr>
          <w:p w14:paraId="13985A97"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0.062</w:t>
            </w:r>
          </w:p>
        </w:tc>
        <w:tc>
          <w:tcPr>
            <w:tcW w:w="1800" w:type="dxa"/>
            <w:noWrap/>
            <w:hideMark/>
          </w:tcPr>
          <w:p w14:paraId="56D81850"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0.0697</w:t>
            </w:r>
          </w:p>
        </w:tc>
        <w:tc>
          <w:tcPr>
            <w:tcW w:w="2116" w:type="dxa"/>
            <w:noWrap/>
            <w:hideMark/>
          </w:tcPr>
          <w:p w14:paraId="3B299D83"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1 790</w:t>
            </w:r>
          </w:p>
        </w:tc>
      </w:tr>
      <w:tr w:rsidR="0023336D" w:rsidRPr="00C90FBC" w14:paraId="49CF0AEC" w14:textId="77777777" w:rsidTr="008E185F">
        <w:trPr>
          <w:trHeight w:val="57"/>
          <w:jc w:val="right"/>
        </w:trPr>
        <w:tc>
          <w:tcPr>
            <w:tcW w:w="3600" w:type="dxa"/>
            <w:shd w:val="clear" w:color="auto" w:fill="FFFFFF"/>
            <w:noWrap/>
            <w:hideMark/>
          </w:tcPr>
          <w:p w14:paraId="18F1F3ED"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Cuba</w:t>
            </w:r>
          </w:p>
        </w:tc>
        <w:tc>
          <w:tcPr>
            <w:tcW w:w="1980" w:type="dxa"/>
            <w:shd w:val="clear" w:color="auto" w:fill="FFFFFF"/>
            <w:noWrap/>
            <w:hideMark/>
          </w:tcPr>
          <w:p w14:paraId="152795A7"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0.08</w:t>
            </w:r>
          </w:p>
        </w:tc>
        <w:tc>
          <w:tcPr>
            <w:tcW w:w="1800" w:type="dxa"/>
            <w:noWrap/>
            <w:hideMark/>
          </w:tcPr>
          <w:p w14:paraId="2AA4F73E"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0.0900</w:t>
            </w:r>
          </w:p>
        </w:tc>
        <w:tc>
          <w:tcPr>
            <w:tcW w:w="2116" w:type="dxa"/>
            <w:noWrap/>
            <w:hideMark/>
          </w:tcPr>
          <w:p w14:paraId="15ADDB9E"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2 309</w:t>
            </w:r>
          </w:p>
        </w:tc>
      </w:tr>
      <w:tr w:rsidR="0023336D" w:rsidRPr="00C90FBC" w14:paraId="2C8CE09B" w14:textId="77777777" w:rsidTr="008E185F">
        <w:trPr>
          <w:trHeight w:val="57"/>
          <w:jc w:val="right"/>
        </w:trPr>
        <w:tc>
          <w:tcPr>
            <w:tcW w:w="3600" w:type="dxa"/>
            <w:shd w:val="clear" w:color="auto" w:fill="FFFFFF"/>
            <w:noWrap/>
            <w:hideMark/>
          </w:tcPr>
          <w:p w14:paraId="26E2E75D"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Dominican Republic</w:t>
            </w:r>
          </w:p>
        </w:tc>
        <w:tc>
          <w:tcPr>
            <w:tcW w:w="1980" w:type="dxa"/>
            <w:shd w:val="clear" w:color="auto" w:fill="FFFFFF"/>
            <w:noWrap/>
            <w:hideMark/>
          </w:tcPr>
          <w:p w14:paraId="69D29647"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0.053</w:t>
            </w:r>
          </w:p>
        </w:tc>
        <w:tc>
          <w:tcPr>
            <w:tcW w:w="1800" w:type="dxa"/>
            <w:noWrap/>
            <w:hideMark/>
          </w:tcPr>
          <w:p w14:paraId="4EDC042C"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0.0596</w:t>
            </w:r>
          </w:p>
        </w:tc>
        <w:tc>
          <w:tcPr>
            <w:tcW w:w="2116" w:type="dxa"/>
            <w:noWrap/>
            <w:hideMark/>
          </w:tcPr>
          <w:p w14:paraId="6998F8C7"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1 530</w:t>
            </w:r>
          </w:p>
        </w:tc>
      </w:tr>
      <w:tr w:rsidR="0023336D" w:rsidRPr="00C90FBC" w14:paraId="649DD0ED" w14:textId="77777777" w:rsidTr="008E185F">
        <w:trPr>
          <w:trHeight w:val="57"/>
          <w:jc w:val="right"/>
        </w:trPr>
        <w:tc>
          <w:tcPr>
            <w:tcW w:w="3600" w:type="dxa"/>
            <w:shd w:val="clear" w:color="auto" w:fill="FFFFFF"/>
            <w:noWrap/>
            <w:hideMark/>
          </w:tcPr>
          <w:p w14:paraId="33916CE1"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Ecuador</w:t>
            </w:r>
          </w:p>
        </w:tc>
        <w:tc>
          <w:tcPr>
            <w:tcW w:w="1980" w:type="dxa"/>
            <w:shd w:val="clear" w:color="auto" w:fill="FFFFFF"/>
            <w:noWrap/>
            <w:hideMark/>
          </w:tcPr>
          <w:p w14:paraId="6D0AD405"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0.08</w:t>
            </w:r>
          </w:p>
        </w:tc>
        <w:tc>
          <w:tcPr>
            <w:tcW w:w="1800" w:type="dxa"/>
            <w:noWrap/>
            <w:hideMark/>
          </w:tcPr>
          <w:p w14:paraId="5374AD51"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0.0900</w:t>
            </w:r>
          </w:p>
        </w:tc>
        <w:tc>
          <w:tcPr>
            <w:tcW w:w="2116" w:type="dxa"/>
            <w:noWrap/>
            <w:hideMark/>
          </w:tcPr>
          <w:p w14:paraId="3E29CCA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2 309</w:t>
            </w:r>
          </w:p>
        </w:tc>
      </w:tr>
      <w:tr w:rsidR="0023336D" w:rsidRPr="00C90FBC" w14:paraId="32F4211E" w14:textId="77777777" w:rsidTr="008E185F">
        <w:trPr>
          <w:trHeight w:val="57"/>
          <w:jc w:val="right"/>
        </w:trPr>
        <w:tc>
          <w:tcPr>
            <w:tcW w:w="3600" w:type="dxa"/>
            <w:shd w:val="clear" w:color="auto" w:fill="FFFFFF"/>
            <w:noWrap/>
            <w:hideMark/>
          </w:tcPr>
          <w:p w14:paraId="15650A43" w14:textId="77777777" w:rsidR="0023336D" w:rsidRPr="00C90FBC" w:rsidRDefault="0023336D" w:rsidP="008E185F">
            <w:pPr>
              <w:pStyle w:val="Normal-pool"/>
              <w:spacing w:before="40" w:after="40"/>
              <w:rPr>
                <w:rFonts w:eastAsia="Times New Roman"/>
                <w:sz w:val="18"/>
                <w:szCs w:val="18"/>
                <w:lang w:val="en-GB"/>
              </w:rPr>
            </w:pPr>
            <w:r w:rsidRPr="00C90FBC">
              <w:rPr>
                <w:rFonts w:eastAsia="Times New Roman"/>
                <w:sz w:val="18"/>
                <w:szCs w:val="18"/>
                <w:lang w:val="en-GB"/>
              </w:rPr>
              <w:t>El Salvador</w:t>
            </w:r>
          </w:p>
        </w:tc>
        <w:tc>
          <w:tcPr>
            <w:tcW w:w="1980" w:type="dxa"/>
            <w:shd w:val="clear" w:color="auto" w:fill="FFFFFF"/>
            <w:noWrap/>
            <w:hideMark/>
          </w:tcPr>
          <w:p w14:paraId="604770F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0.012</w:t>
            </w:r>
          </w:p>
        </w:tc>
        <w:tc>
          <w:tcPr>
            <w:tcW w:w="1800" w:type="dxa"/>
            <w:noWrap/>
            <w:hideMark/>
          </w:tcPr>
          <w:p w14:paraId="2FC5E8FC"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0.0135</w:t>
            </w:r>
          </w:p>
        </w:tc>
        <w:tc>
          <w:tcPr>
            <w:tcW w:w="2116" w:type="dxa"/>
            <w:noWrap/>
            <w:hideMark/>
          </w:tcPr>
          <w:p w14:paraId="5687CDEF"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346</w:t>
            </w:r>
          </w:p>
        </w:tc>
      </w:tr>
      <w:tr w:rsidR="0023336D" w:rsidRPr="00C90FBC" w14:paraId="1D88EEA5" w14:textId="77777777" w:rsidTr="008E185F">
        <w:trPr>
          <w:trHeight w:val="57"/>
          <w:jc w:val="right"/>
        </w:trPr>
        <w:tc>
          <w:tcPr>
            <w:tcW w:w="3600" w:type="dxa"/>
            <w:shd w:val="clear" w:color="auto" w:fill="FFFFFF"/>
            <w:noWrap/>
            <w:hideMark/>
          </w:tcPr>
          <w:p w14:paraId="5AA746D3"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Guyana</w:t>
            </w:r>
          </w:p>
        </w:tc>
        <w:tc>
          <w:tcPr>
            <w:tcW w:w="1980" w:type="dxa"/>
            <w:shd w:val="clear" w:color="auto" w:fill="FFFFFF"/>
            <w:noWrap/>
            <w:hideMark/>
          </w:tcPr>
          <w:p w14:paraId="5E54FF11"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0.002</w:t>
            </w:r>
          </w:p>
        </w:tc>
        <w:tc>
          <w:tcPr>
            <w:tcW w:w="1800" w:type="dxa"/>
            <w:noWrap/>
            <w:hideMark/>
          </w:tcPr>
          <w:p w14:paraId="7DCA1706"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4CE237F1"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4724BA43" w14:textId="77777777" w:rsidTr="008E185F">
        <w:trPr>
          <w:trHeight w:val="57"/>
          <w:jc w:val="right"/>
        </w:trPr>
        <w:tc>
          <w:tcPr>
            <w:tcW w:w="3600" w:type="dxa"/>
            <w:shd w:val="clear" w:color="auto" w:fill="FFFFFF"/>
            <w:noWrap/>
            <w:hideMark/>
          </w:tcPr>
          <w:p w14:paraId="2937FE78"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Honduras</w:t>
            </w:r>
          </w:p>
        </w:tc>
        <w:tc>
          <w:tcPr>
            <w:tcW w:w="1980" w:type="dxa"/>
            <w:shd w:val="clear" w:color="auto" w:fill="FFFFFF"/>
            <w:noWrap/>
            <w:hideMark/>
          </w:tcPr>
          <w:p w14:paraId="642A02DB"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0.009</w:t>
            </w:r>
          </w:p>
        </w:tc>
        <w:tc>
          <w:tcPr>
            <w:tcW w:w="1800" w:type="dxa"/>
            <w:noWrap/>
            <w:hideMark/>
          </w:tcPr>
          <w:p w14:paraId="3ABC6D6A"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69BE5DE3"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373C3F8C" w14:textId="77777777" w:rsidTr="008E185F">
        <w:trPr>
          <w:trHeight w:val="57"/>
          <w:jc w:val="right"/>
        </w:trPr>
        <w:tc>
          <w:tcPr>
            <w:tcW w:w="3600" w:type="dxa"/>
            <w:shd w:val="clear" w:color="auto" w:fill="FFFFFF"/>
            <w:noWrap/>
            <w:hideMark/>
          </w:tcPr>
          <w:p w14:paraId="670A6C49"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Jamaica</w:t>
            </w:r>
          </w:p>
        </w:tc>
        <w:tc>
          <w:tcPr>
            <w:tcW w:w="1980" w:type="dxa"/>
            <w:shd w:val="clear" w:color="auto" w:fill="FFFFFF"/>
            <w:noWrap/>
            <w:hideMark/>
          </w:tcPr>
          <w:p w14:paraId="15E92575"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0.008</w:t>
            </w:r>
          </w:p>
        </w:tc>
        <w:tc>
          <w:tcPr>
            <w:tcW w:w="1800" w:type="dxa"/>
            <w:noWrap/>
            <w:hideMark/>
          </w:tcPr>
          <w:p w14:paraId="2C4EB36D"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62461FBB"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2B89EA62" w14:textId="77777777" w:rsidTr="008E185F">
        <w:trPr>
          <w:trHeight w:val="57"/>
          <w:jc w:val="right"/>
        </w:trPr>
        <w:tc>
          <w:tcPr>
            <w:tcW w:w="3600" w:type="dxa"/>
            <w:shd w:val="clear" w:color="auto" w:fill="FFFFFF"/>
            <w:noWrap/>
            <w:hideMark/>
          </w:tcPr>
          <w:p w14:paraId="1D5EA5F1"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Mexico</w:t>
            </w:r>
          </w:p>
        </w:tc>
        <w:tc>
          <w:tcPr>
            <w:tcW w:w="1980" w:type="dxa"/>
            <w:shd w:val="clear" w:color="auto" w:fill="FFFFFF"/>
            <w:noWrap/>
            <w:hideMark/>
          </w:tcPr>
          <w:p w14:paraId="5310DE5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1.292</w:t>
            </w:r>
          </w:p>
        </w:tc>
        <w:tc>
          <w:tcPr>
            <w:tcW w:w="1800" w:type="dxa"/>
            <w:noWrap/>
            <w:hideMark/>
          </w:tcPr>
          <w:p w14:paraId="492EE754"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1.4527</w:t>
            </w:r>
          </w:p>
        </w:tc>
        <w:tc>
          <w:tcPr>
            <w:tcW w:w="2116" w:type="dxa"/>
            <w:noWrap/>
            <w:hideMark/>
          </w:tcPr>
          <w:p w14:paraId="276D6A0B"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37 296</w:t>
            </w:r>
          </w:p>
        </w:tc>
      </w:tr>
      <w:tr w:rsidR="0023336D" w:rsidRPr="00C90FBC" w14:paraId="15E50269" w14:textId="77777777" w:rsidTr="008E185F">
        <w:trPr>
          <w:trHeight w:val="57"/>
          <w:jc w:val="right"/>
        </w:trPr>
        <w:tc>
          <w:tcPr>
            <w:tcW w:w="3600" w:type="dxa"/>
            <w:shd w:val="clear" w:color="auto" w:fill="FFFFFF"/>
            <w:noWrap/>
            <w:hideMark/>
          </w:tcPr>
          <w:p w14:paraId="64F188E4"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Nicaragua</w:t>
            </w:r>
          </w:p>
        </w:tc>
        <w:tc>
          <w:tcPr>
            <w:tcW w:w="1980" w:type="dxa"/>
            <w:shd w:val="clear" w:color="auto" w:fill="FFFFFF"/>
            <w:noWrap/>
            <w:hideMark/>
          </w:tcPr>
          <w:p w14:paraId="211D841F"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0.005</w:t>
            </w:r>
          </w:p>
        </w:tc>
        <w:tc>
          <w:tcPr>
            <w:tcW w:w="1800" w:type="dxa"/>
            <w:noWrap/>
            <w:hideMark/>
          </w:tcPr>
          <w:p w14:paraId="04626551"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4DD595EA"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5B4A1A6D" w14:textId="77777777" w:rsidTr="008E185F">
        <w:trPr>
          <w:trHeight w:val="57"/>
          <w:jc w:val="right"/>
        </w:trPr>
        <w:tc>
          <w:tcPr>
            <w:tcW w:w="3600" w:type="dxa"/>
            <w:shd w:val="clear" w:color="auto" w:fill="FFFFFF"/>
            <w:noWrap/>
            <w:hideMark/>
          </w:tcPr>
          <w:p w14:paraId="0D9A25CD"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Panama</w:t>
            </w:r>
          </w:p>
        </w:tc>
        <w:tc>
          <w:tcPr>
            <w:tcW w:w="1980" w:type="dxa"/>
            <w:shd w:val="clear" w:color="auto" w:fill="FFFFFF"/>
            <w:noWrap/>
            <w:hideMark/>
          </w:tcPr>
          <w:p w14:paraId="6DA8F107"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0.045</w:t>
            </w:r>
          </w:p>
        </w:tc>
        <w:tc>
          <w:tcPr>
            <w:tcW w:w="1800" w:type="dxa"/>
            <w:noWrap/>
            <w:hideMark/>
          </w:tcPr>
          <w:p w14:paraId="0533854B"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0.0506</w:t>
            </w:r>
          </w:p>
        </w:tc>
        <w:tc>
          <w:tcPr>
            <w:tcW w:w="2116" w:type="dxa"/>
            <w:noWrap/>
            <w:hideMark/>
          </w:tcPr>
          <w:p w14:paraId="248D498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1 299</w:t>
            </w:r>
          </w:p>
        </w:tc>
      </w:tr>
      <w:tr w:rsidR="0023336D" w:rsidRPr="00C90FBC" w14:paraId="148FD361" w14:textId="77777777" w:rsidTr="008E185F">
        <w:trPr>
          <w:trHeight w:val="57"/>
          <w:jc w:val="right"/>
        </w:trPr>
        <w:tc>
          <w:tcPr>
            <w:tcW w:w="3600" w:type="dxa"/>
            <w:shd w:val="clear" w:color="auto" w:fill="FFFFFF"/>
            <w:noWrap/>
            <w:hideMark/>
          </w:tcPr>
          <w:p w14:paraId="44E4C0C2"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Paraguay</w:t>
            </w:r>
          </w:p>
        </w:tc>
        <w:tc>
          <w:tcPr>
            <w:tcW w:w="1980" w:type="dxa"/>
            <w:shd w:val="clear" w:color="auto" w:fill="FFFFFF"/>
            <w:noWrap/>
            <w:hideMark/>
          </w:tcPr>
          <w:p w14:paraId="16C3A14E"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0.016</w:t>
            </w:r>
          </w:p>
        </w:tc>
        <w:tc>
          <w:tcPr>
            <w:tcW w:w="1800" w:type="dxa"/>
            <w:noWrap/>
            <w:hideMark/>
          </w:tcPr>
          <w:p w14:paraId="6A0FE41B"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0.0180</w:t>
            </w:r>
          </w:p>
        </w:tc>
        <w:tc>
          <w:tcPr>
            <w:tcW w:w="2116" w:type="dxa"/>
            <w:noWrap/>
            <w:hideMark/>
          </w:tcPr>
          <w:p w14:paraId="7EAED78A"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462</w:t>
            </w:r>
          </w:p>
        </w:tc>
      </w:tr>
      <w:tr w:rsidR="0023336D" w:rsidRPr="00C90FBC" w14:paraId="18F05E75" w14:textId="77777777" w:rsidTr="008E185F">
        <w:trPr>
          <w:trHeight w:val="57"/>
          <w:jc w:val="right"/>
        </w:trPr>
        <w:tc>
          <w:tcPr>
            <w:tcW w:w="3600" w:type="dxa"/>
            <w:shd w:val="clear" w:color="auto" w:fill="FFFFFF"/>
            <w:noWrap/>
            <w:hideMark/>
          </w:tcPr>
          <w:p w14:paraId="6CACE8A8"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Peru</w:t>
            </w:r>
          </w:p>
        </w:tc>
        <w:tc>
          <w:tcPr>
            <w:tcW w:w="1980" w:type="dxa"/>
            <w:shd w:val="clear" w:color="auto" w:fill="FFFFFF"/>
            <w:noWrap/>
            <w:hideMark/>
          </w:tcPr>
          <w:p w14:paraId="40666C9E"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0.152</w:t>
            </w:r>
          </w:p>
        </w:tc>
        <w:tc>
          <w:tcPr>
            <w:tcW w:w="1800" w:type="dxa"/>
            <w:noWrap/>
            <w:hideMark/>
          </w:tcPr>
          <w:p w14:paraId="3461BF58"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0.1709</w:t>
            </w:r>
          </w:p>
        </w:tc>
        <w:tc>
          <w:tcPr>
            <w:tcW w:w="2116" w:type="dxa"/>
            <w:noWrap/>
            <w:hideMark/>
          </w:tcPr>
          <w:p w14:paraId="24F6538F"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4 388</w:t>
            </w:r>
          </w:p>
        </w:tc>
      </w:tr>
      <w:tr w:rsidR="0023336D" w:rsidRPr="00C90FBC" w14:paraId="7585E468" w14:textId="77777777" w:rsidTr="008E185F">
        <w:trPr>
          <w:trHeight w:val="57"/>
          <w:jc w:val="right"/>
        </w:trPr>
        <w:tc>
          <w:tcPr>
            <w:tcW w:w="3600" w:type="dxa"/>
            <w:shd w:val="clear" w:color="auto" w:fill="FFFFFF"/>
            <w:noWrap/>
            <w:hideMark/>
          </w:tcPr>
          <w:p w14:paraId="5864693F" w14:textId="77777777" w:rsidR="0023336D" w:rsidRPr="00C90FBC" w:rsidRDefault="0023336D" w:rsidP="008E185F">
            <w:pPr>
              <w:pStyle w:val="Normal-pool"/>
              <w:spacing w:before="40" w:after="40"/>
              <w:rPr>
                <w:rFonts w:eastAsia="Times New Roman"/>
                <w:sz w:val="18"/>
                <w:szCs w:val="18"/>
                <w:lang w:val="en-GB"/>
              </w:rPr>
            </w:pPr>
            <w:r w:rsidRPr="00C90FBC">
              <w:rPr>
                <w:rFonts w:eastAsia="Times New Roman"/>
                <w:sz w:val="18"/>
                <w:szCs w:val="18"/>
                <w:lang w:val="en-GB"/>
              </w:rPr>
              <w:t>Saint Kitts and Nevis</w:t>
            </w:r>
          </w:p>
        </w:tc>
        <w:tc>
          <w:tcPr>
            <w:tcW w:w="1980" w:type="dxa"/>
            <w:shd w:val="clear" w:color="auto" w:fill="FFFFFF"/>
            <w:noWrap/>
            <w:hideMark/>
          </w:tcPr>
          <w:p w14:paraId="1F267F5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0.001</w:t>
            </w:r>
          </w:p>
        </w:tc>
        <w:tc>
          <w:tcPr>
            <w:tcW w:w="1800" w:type="dxa"/>
            <w:noWrap/>
            <w:hideMark/>
          </w:tcPr>
          <w:p w14:paraId="22EEE958"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427AA12C"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1FF2BE4C" w14:textId="77777777" w:rsidTr="008E185F">
        <w:trPr>
          <w:trHeight w:val="57"/>
          <w:jc w:val="right"/>
        </w:trPr>
        <w:tc>
          <w:tcPr>
            <w:tcW w:w="3600" w:type="dxa"/>
            <w:shd w:val="clear" w:color="auto" w:fill="FFFFFF"/>
            <w:noWrap/>
            <w:hideMark/>
          </w:tcPr>
          <w:p w14:paraId="2C98584D" w14:textId="77777777" w:rsidR="0023336D" w:rsidRPr="00C90FBC" w:rsidRDefault="0023336D" w:rsidP="008E185F">
            <w:pPr>
              <w:pStyle w:val="Normal-pool"/>
              <w:spacing w:before="40" w:after="40"/>
              <w:rPr>
                <w:rFonts w:eastAsia="Times New Roman"/>
                <w:sz w:val="18"/>
                <w:szCs w:val="18"/>
                <w:lang w:val="en-GB"/>
              </w:rPr>
            </w:pPr>
            <w:r w:rsidRPr="00C90FBC">
              <w:rPr>
                <w:rFonts w:eastAsia="Times New Roman"/>
                <w:sz w:val="18"/>
                <w:szCs w:val="18"/>
                <w:lang w:val="en-GB"/>
              </w:rPr>
              <w:t>Saint Lucia</w:t>
            </w:r>
          </w:p>
        </w:tc>
        <w:tc>
          <w:tcPr>
            <w:tcW w:w="1980" w:type="dxa"/>
            <w:shd w:val="clear" w:color="auto" w:fill="FFFFFF"/>
            <w:noWrap/>
            <w:hideMark/>
          </w:tcPr>
          <w:p w14:paraId="6B8058D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0.001</w:t>
            </w:r>
          </w:p>
        </w:tc>
        <w:tc>
          <w:tcPr>
            <w:tcW w:w="1800" w:type="dxa"/>
            <w:noWrap/>
            <w:hideMark/>
          </w:tcPr>
          <w:p w14:paraId="35DC1169"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5694A7B5"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1A319AA3" w14:textId="77777777" w:rsidTr="008E185F">
        <w:trPr>
          <w:trHeight w:val="57"/>
          <w:jc w:val="right"/>
        </w:trPr>
        <w:tc>
          <w:tcPr>
            <w:tcW w:w="3600" w:type="dxa"/>
            <w:shd w:val="clear" w:color="auto" w:fill="FFFFFF"/>
            <w:noWrap/>
            <w:hideMark/>
          </w:tcPr>
          <w:p w14:paraId="3E7B2088"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Suriname</w:t>
            </w:r>
          </w:p>
        </w:tc>
        <w:tc>
          <w:tcPr>
            <w:tcW w:w="1980" w:type="dxa"/>
            <w:shd w:val="clear" w:color="auto" w:fill="FFFFFF"/>
            <w:noWrap/>
            <w:hideMark/>
          </w:tcPr>
          <w:p w14:paraId="149BE0B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0.005</w:t>
            </w:r>
          </w:p>
        </w:tc>
        <w:tc>
          <w:tcPr>
            <w:tcW w:w="1800" w:type="dxa"/>
            <w:noWrap/>
            <w:hideMark/>
          </w:tcPr>
          <w:p w14:paraId="3B08A81E"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5626665B"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1FB7C02E" w14:textId="77777777" w:rsidTr="008E185F">
        <w:trPr>
          <w:trHeight w:val="57"/>
          <w:jc w:val="right"/>
        </w:trPr>
        <w:tc>
          <w:tcPr>
            <w:tcW w:w="3600" w:type="dxa"/>
            <w:tcBorders>
              <w:top w:val="nil"/>
              <w:left w:val="nil"/>
              <w:bottom w:val="single" w:sz="4" w:space="0" w:color="auto"/>
              <w:right w:val="nil"/>
            </w:tcBorders>
            <w:shd w:val="clear" w:color="auto" w:fill="FFFFFF"/>
            <w:noWrap/>
            <w:hideMark/>
          </w:tcPr>
          <w:p w14:paraId="7C061011"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Uruguay</w:t>
            </w:r>
          </w:p>
        </w:tc>
        <w:tc>
          <w:tcPr>
            <w:tcW w:w="1980" w:type="dxa"/>
            <w:tcBorders>
              <w:top w:val="nil"/>
              <w:left w:val="nil"/>
              <w:bottom w:val="single" w:sz="4" w:space="0" w:color="auto"/>
              <w:right w:val="nil"/>
            </w:tcBorders>
            <w:shd w:val="clear" w:color="auto" w:fill="FFFFFF"/>
            <w:noWrap/>
            <w:hideMark/>
          </w:tcPr>
          <w:p w14:paraId="0FA34681"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0.087</w:t>
            </w:r>
          </w:p>
        </w:tc>
        <w:tc>
          <w:tcPr>
            <w:tcW w:w="1800" w:type="dxa"/>
            <w:tcBorders>
              <w:top w:val="nil"/>
              <w:left w:val="nil"/>
              <w:bottom w:val="single" w:sz="4" w:space="0" w:color="auto"/>
              <w:right w:val="nil"/>
            </w:tcBorders>
            <w:noWrap/>
            <w:hideMark/>
          </w:tcPr>
          <w:p w14:paraId="05D46CC1"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0.0978</w:t>
            </w:r>
          </w:p>
        </w:tc>
        <w:tc>
          <w:tcPr>
            <w:tcW w:w="2116" w:type="dxa"/>
            <w:tcBorders>
              <w:top w:val="nil"/>
              <w:left w:val="nil"/>
              <w:bottom w:val="single" w:sz="4" w:space="0" w:color="auto"/>
              <w:right w:val="nil"/>
            </w:tcBorders>
            <w:noWrap/>
            <w:hideMark/>
          </w:tcPr>
          <w:p w14:paraId="415CC9D5"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2 511</w:t>
            </w:r>
          </w:p>
        </w:tc>
      </w:tr>
      <w:tr w:rsidR="0023336D" w:rsidRPr="00C90FBC" w14:paraId="1CF5F387" w14:textId="77777777" w:rsidTr="008E185F">
        <w:trPr>
          <w:trHeight w:val="57"/>
          <w:jc w:val="right"/>
        </w:trPr>
        <w:tc>
          <w:tcPr>
            <w:tcW w:w="7380" w:type="dxa"/>
            <w:gridSpan w:val="3"/>
            <w:tcBorders>
              <w:top w:val="single" w:sz="4" w:space="0" w:color="auto"/>
              <w:left w:val="nil"/>
              <w:bottom w:val="single" w:sz="4" w:space="0" w:color="auto"/>
              <w:right w:val="nil"/>
            </w:tcBorders>
            <w:noWrap/>
            <w:hideMark/>
          </w:tcPr>
          <w:p w14:paraId="67546958" w14:textId="77777777" w:rsidR="0023336D" w:rsidRPr="00C90FBC" w:rsidRDefault="0023336D" w:rsidP="008E185F">
            <w:pPr>
              <w:pStyle w:val="Normal-pool"/>
              <w:keepNext/>
              <w:keepLines/>
              <w:spacing w:before="40" w:after="40"/>
              <w:rPr>
                <w:rFonts w:eastAsia="Times New Roman"/>
                <w:b/>
                <w:bCs/>
                <w:color w:val="000000"/>
                <w:sz w:val="18"/>
                <w:szCs w:val="18"/>
                <w:lang w:val="en-GB"/>
              </w:rPr>
            </w:pPr>
            <w:r w:rsidRPr="00C90FBC">
              <w:rPr>
                <w:rFonts w:eastAsia="Times New Roman"/>
                <w:b/>
                <w:bCs/>
                <w:color w:val="000000"/>
                <w:sz w:val="18"/>
                <w:szCs w:val="18"/>
                <w:lang w:val="en-GB"/>
              </w:rPr>
              <w:lastRenderedPageBreak/>
              <w:t>Western European and other States (23) </w:t>
            </w:r>
          </w:p>
        </w:tc>
        <w:tc>
          <w:tcPr>
            <w:tcW w:w="2116" w:type="dxa"/>
            <w:tcBorders>
              <w:top w:val="single" w:sz="4" w:space="0" w:color="auto"/>
              <w:left w:val="nil"/>
              <w:bottom w:val="single" w:sz="4" w:space="0" w:color="auto"/>
              <w:right w:val="nil"/>
            </w:tcBorders>
            <w:noWrap/>
            <w:hideMark/>
          </w:tcPr>
          <w:p w14:paraId="2C5A3D7F"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 </w:t>
            </w:r>
          </w:p>
        </w:tc>
      </w:tr>
      <w:tr w:rsidR="0023336D" w:rsidRPr="00C90FBC" w14:paraId="481AC89B" w14:textId="77777777" w:rsidTr="008E185F">
        <w:trPr>
          <w:trHeight w:val="57"/>
          <w:jc w:val="right"/>
        </w:trPr>
        <w:tc>
          <w:tcPr>
            <w:tcW w:w="3600" w:type="dxa"/>
            <w:tcBorders>
              <w:top w:val="single" w:sz="4" w:space="0" w:color="auto"/>
              <w:left w:val="nil"/>
              <w:bottom w:val="nil"/>
              <w:right w:val="nil"/>
            </w:tcBorders>
            <w:shd w:val="clear" w:color="auto" w:fill="FFFFFF"/>
            <w:noWrap/>
            <w:hideMark/>
          </w:tcPr>
          <w:p w14:paraId="228C32F9"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Austria</w:t>
            </w:r>
          </w:p>
        </w:tc>
        <w:tc>
          <w:tcPr>
            <w:tcW w:w="1980" w:type="dxa"/>
            <w:tcBorders>
              <w:top w:val="single" w:sz="4" w:space="0" w:color="auto"/>
              <w:left w:val="nil"/>
              <w:bottom w:val="nil"/>
              <w:right w:val="nil"/>
            </w:tcBorders>
            <w:shd w:val="clear" w:color="auto" w:fill="FFFFFF"/>
            <w:noWrap/>
            <w:hideMark/>
          </w:tcPr>
          <w:p w14:paraId="778C4562"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0.677</w:t>
            </w:r>
          </w:p>
        </w:tc>
        <w:tc>
          <w:tcPr>
            <w:tcW w:w="1800" w:type="dxa"/>
            <w:tcBorders>
              <w:top w:val="single" w:sz="4" w:space="0" w:color="auto"/>
              <w:left w:val="nil"/>
              <w:bottom w:val="nil"/>
              <w:right w:val="nil"/>
            </w:tcBorders>
            <w:noWrap/>
            <w:hideMark/>
          </w:tcPr>
          <w:p w14:paraId="5B4EB304"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0.7612</w:t>
            </w:r>
          </w:p>
        </w:tc>
        <w:tc>
          <w:tcPr>
            <w:tcW w:w="2116" w:type="dxa"/>
            <w:tcBorders>
              <w:top w:val="single" w:sz="4" w:space="0" w:color="auto"/>
              <w:left w:val="nil"/>
              <w:bottom w:val="nil"/>
              <w:right w:val="nil"/>
            </w:tcBorders>
            <w:noWrap/>
            <w:hideMark/>
          </w:tcPr>
          <w:p w14:paraId="7536886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19 543</w:t>
            </w:r>
          </w:p>
        </w:tc>
      </w:tr>
      <w:tr w:rsidR="0023336D" w:rsidRPr="00C90FBC" w14:paraId="1EFA954B" w14:textId="77777777" w:rsidTr="008E185F">
        <w:trPr>
          <w:trHeight w:val="57"/>
          <w:jc w:val="right"/>
        </w:trPr>
        <w:tc>
          <w:tcPr>
            <w:tcW w:w="3600" w:type="dxa"/>
            <w:shd w:val="clear" w:color="auto" w:fill="FFFFFF"/>
            <w:noWrap/>
            <w:hideMark/>
          </w:tcPr>
          <w:p w14:paraId="468EB45B"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Belgium</w:t>
            </w:r>
          </w:p>
        </w:tc>
        <w:tc>
          <w:tcPr>
            <w:tcW w:w="1980" w:type="dxa"/>
            <w:shd w:val="clear" w:color="auto" w:fill="FFFFFF"/>
            <w:noWrap/>
            <w:hideMark/>
          </w:tcPr>
          <w:p w14:paraId="6BA9DCE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0.821</w:t>
            </w:r>
          </w:p>
        </w:tc>
        <w:tc>
          <w:tcPr>
            <w:tcW w:w="1800" w:type="dxa"/>
            <w:noWrap/>
            <w:hideMark/>
          </w:tcPr>
          <w:p w14:paraId="6E8D5014"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0.9231</w:t>
            </w:r>
          </w:p>
        </w:tc>
        <w:tc>
          <w:tcPr>
            <w:tcW w:w="2116" w:type="dxa"/>
            <w:noWrap/>
            <w:hideMark/>
          </w:tcPr>
          <w:p w14:paraId="3E46035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23 700</w:t>
            </w:r>
          </w:p>
        </w:tc>
      </w:tr>
      <w:tr w:rsidR="0023336D" w:rsidRPr="00C90FBC" w14:paraId="3BD8C050" w14:textId="77777777" w:rsidTr="008E185F">
        <w:trPr>
          <w:trHeight w:val="57"/>
          <w:jc w:val="right"/>
        </w:trPr>
        <w:tc>
          <w:tcPr>
            <w:tcW w:w="3600" w:type="dxa"/>
            <w:shd w:val="clear" w:color="auto" w:fill="FFFFFF"/>
            <w:noWrap/>
            <w:hideMark/>
          </w:tcPr>
          <w:p w14:paraId="0E3E27AE"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Canada</w:t>
            </w:r>
          </w:p>
        </w:tc>
        <w:tc>
          <w:tcPr>
            <w:tcW w:w="1980" w:type="dxa"/>
            <w:shd w:val="clear" w:color="auto" w:fill="FFFFFF"/>
            <w:noWrap/>
            <w:hideMark/>
          </w:tcPr>
          <w:p w14:paraId="0184F1FE"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2.734</w:t>
            </w:r>
          </w:p>
        </w:tc>
        <w:tc>
          <w:tcPr>
            <w:tcW w:w="1800" w:type="dxa"/>
            <w:noWrap/>
            <w:hideMark/>
          </w:tcPr>
          <w:p w14:paraId="64443E17"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3.0741</w:t>
            </w:r>
          </w:p>
        </w:tc>
        <w:tc>
          <w:tcPr>
            <w:tcW w:w="2116" w:type="dxa"/>
            <w:noWrap/>
            <w:hideMark/>
          </w:tcPr>
          <w:p w14:paraId="290EE7A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78 922</w:t>
            </w:r>
          </w:p>
        </w:tc>
      </w:tr>
      <w:tr w:rsidR="0023336D" w:rsidRPr="00C90FBC" w14:paraId="0B54D7FE" w14:textId="77777777" w:rsidTr="008E185F">
        <w:trPr>
          <w:trHeight w:val="57"/>
          <w:jc w:val="right"/>
        </w:trPr>
        <w:tc>
          <w:tcPr>
            <w:tcW w:w="3600" w:type="dxa"/>
            <w:shd w:val="clear" w:color="auto" w:fill="FFFFFF"/>
            <w:noWrap/>
            <w:hideMark/>
          </w:tcPr>
          <w:p w14:paraId="05569914"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Denmark</w:t>
            </w:r>
          </w:p>
        </w:tc>
        <w:tc>
          <w:tcPr>
            <w:tcW w:w="1980" w:type="dxa"/>
            <w:shd w:val="clear" w:color="auto" w:fill="FFFFFF"/>
            <w:noWrap/>
            <w:hideMark/>
          </w:tcPr>
          <w:p w14:paraId="663B49D6"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0.554</w:t>
            </w:r>
          </w:p>
        </w:tc>
        <w:tc>
          <w:tcPr>
            <w:tcW w:w="1800" w:type="dxa"/>
            <w:noWrap/>
            <w:hideMark/>
          </w:tcPr>
          <w:p w14:paraId="0B8C9214"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0.6229</w:t>
            </w:r>
          </w:p>
        </w:tc>
        <w:tc>
          <w:tcPr>
            <w:tcW w:w="2116" w:type="dxa"/>
            <w:noWrap/>
            <w:hideMark/>
          </w:tcPr>
          <w:p w14:paraId="2ACCBBFE"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15 992</w:t>
            </w:r>
          </w:p>
        </w:tc>
      </w:tr>
      <w:tr w:rsidR="0023336D" w:rsidRPr="00C90FBC" w14:paraId="5B153533" w14:textId="77777777" w:rsidTr="008E185F">
        <w:trPr>
          <w:trHeight w:val="57"/>
          <w:jc w:val="right"/>
        </w:trPr>
        <w:tc>
          <w:tcPr>
            <w:tcW w:w="3600" w:type="dxa"/>
            <w:noWrap/>
            <w:hideMark/>
          </w:tcPr>
          <w:p w14:paraId="50EEE125" w14:textId="77777777" w:rsidR="0023336D" w:rsidRPr="00C90FBC" w:rsidRDefault="0023336D" w:rsidP="008E185F">
            <w:pPr>
              <w:pStyle w:val="Normal-pool"/>
              <w:spacing w:before="40" w:after="40"/>
              <w:rPr>
                <w:rFonts w:eastAsia="Times New Roman"/>
                <w:sz w:val="18"/>
                <w:szCs w:val="18"/>
                <w:lang w:val="en-GB"/>
              </w:rPr>
            </w:pPr>
            <w:r w:rsidRPr="00C90FBC">
              <w:rPr>
                <w:rFonts w:eastAsia="Times New Roman"/>
                <w:sz w:val="18"/>
                <w:szCs w:val="18"/>
                <w:lang w:val="en-GB"/>
              </w:rPr>
              <w:t>European Union</w:t>
            </w:r>
          </w:p>
        </w:tc>
        <w:tc>
          <w:tcPr>
            <w:tcW w:w="1980" w:type="dxa"/>
            <w:noWrap/>
            <w:hideMark/>
          </w:tcPr>
          <w:p w14:paraId="7740394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w:t>
            </w:r>
          </w:p>
        </w:tc>
        <w:tc>
          <w:tcPr>
            <w:tcW w:w="1800" w:type="dxa"/>
            <w:noWrap/>
            <w:hideMark/>
          </w:tcPr>
          <w:p w14:paraId="75E26E1F"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2.5000</w:t>
            </w:r>
          </w:p>
        </w:tc>
        <w:tc>
          <w:tcPr>
            <w:tcW w:w="2116" w:type="dxa"/>
            <w:noWrap/>
            <w:hideMark/>
          </w:tcPr>
          <w:p w14:paraId="0AA79BEB"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64 183</w:t>
            </w:r>
          </w:p>
        </w:tc>
      </w:tr>
      <w:tr w:rsidR="0023336D" w:rsidRPr="00C90FBC" w14:paraId="2837AAB4" w14:textId="77777777" w:rsidTr="008E185F">
        <w:trPr>
          <w:trHeight w:val="57"/>
          <w:jc w:val="right"/>
        </w:trPr>
        <w:tc>
          <w:tcPr>
            <w:tcW w:w="3600" w:type="dxa"/>
            <w:shd w:val="clear" w:color="auto" w:fill="FFFFFF"/>
            <w:noWrap/>
            <w:hideMark/>
          </w:tcPr>
          <w:p w14:paraId="57A6D385"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Finland</w:t>
            </w:r>
          </w:p>
        </w:tc>
        <w:tc>
          <w:tcPr>
            <w:tcW w:w="1980" w:type="dxa"/>
            <w:shd w:val="clear" w:color="auto" w:fill="FFFFFF"/>
            <w:noWrap/>
            <w:hideMark/>
          </w:tcPr>
          <w:p w14:paraId="360D880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0.421</w:t>
            </w:r>
          </w:p>
        </w:tc>
        <w:tc>
          <w:tcPr>
            <w:tcW w:w="1800" w:type="dxa"/>
            <w:noWrap/>
            <w:hideMark/>
          </w:tcPr>
          <w:p w14:paraId="40287844"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0.4734</w:t>
            </w:r>
          </w:p>
        </w:tc>
        <w:tc>
          <w:tcPr>
            <w:tcW w:w="2116" w:type="dxa"/>
            <w:noWrap/>
            <w:hideMark/>
          </w:tcPr>
          <w:p w14:paraId="6B9AAEFA"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12 153</w:t>
            </w:r>
          </w:p>
        </w:tc>
      </w:tr>
      <w:tr w:rsidR="0023336D" w:rsidRPr="00C90FBC" w14:paraId="3436453E" w14:textId="77777777" w:rsidTr="008E185F">
        <w:trPr>
          <w:trHeight w:val="57"/>
          <w:jc w:val="right"/>
        </w:trPr>
        <w:tc>
          <w:tcPr>
            <w:tcW w:w="3600" w:type="dxa"/>
            <w:shd w:val="clear" w:color="auto" w:fill="FFFFFF"/>
            <w:noWrap/>
            <w:hideMark/>
          </w:tcPr>
          <w:p w14:paraId="7A9C74DB"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France</w:t>
            </w:r>
          </w:p>
        </w:tc>
        <w:tc>
          <w:tcPr>
            <w:tcW w:w="1980" w:type="dxa"/>
            <w:shd w:val="clear" w:color="auto" w:fill="FFFFFF"/>
            <w:noWrap/>
            <w:hideMark/>
          </w:tcPr>
          <w:p w14:paraId="5F3C01F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4.427</w:t>
            </w:r>
          </w:p>
        </w:tc>
        <w:tc>
          <w:tcPr>
            <w:tcW w:w="1800" w:type="dxa"/>
            <w:noWrap/>
            <w:hideMark/>
          </w:tcPr>
          <w:p w14:paraId="1C249695"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4.9777</w:t>
            </w:r>
          </w:p>
        </w:tc>
        <w:tc>
          <w:tcPr>
            <w:tcW w:w="2116" w:type="dxa"/>
            <w:noWrap/>
            <w:hideMark/>
          </w:tcPr>
          <w:p w14:paraId="42B1A5E6"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127 794</w:t>
            </w:r>
          </w:p>
        </w:tc>
      </w:tr>
      <w:tr w:rsidR="0023336D" w:rsidRPr="00C90FBC" w14:paraId="112D86F5" w14:textId="77777777" w:rsidTr="008E185F">
        <w:trPr>
          <w:trHeight w:val="57"/>
          <w:jc w:val="right"/>
        </w:trPr>
        <w:tc>
          <w:tcPr>
            <w:tcW w:w="3600" w:type="dxa"/>
            <w:shd w:val="clear" w:color="auto" w:fill="FFFFFF"/>
            <w:noWrap/>
            <w:hideMark/>
          </w:tcPr>
          <w:p w14:paraId="210B2973"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Germany</w:t>
            </w:r>
          </w:p>
        </w:tc>
        <w:tc>
          <w:tcPr>
            <w:tcW w:w="1980" w:type="dxa"/>
            <w:shd w:val="clear" w:color="auto" w:fill="FFFFFF"/>
            <w:noWrap/>
            <w:hideMark/>
          </w:tcPr>
          <w:p w14:paraId="4441F705"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6.09</w:t>
            </w:r>
          </w:p>
        </w:tc>
        <w:tc>
          <w:tcPr>
            <w:tcW w:w="1800" w:type="dxa"/>
            <w:noWrap/>
            <w:hideMark/>
          </w:tcPr>
          <w:p w14:paraId="31AE5747"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6.8476</w:t>
            </w:r>
          </w:p>
        </w:tc>
        <w:tc>
          <w:tcPr>
            <w:tcW w:w="2116" w:type="dxa"/>
            <w:noWrap/>
            <w:hideMark/>
          </w:tcPr>
          <w:p w14:paraId="08571E2E"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175 800</w:t>
            </w:r>
          </w:p>
        </w:tc>
      </w:tr>
      <w:tr w:rsidR="0023336D" w:rsidRPr="00C90FBC" w14:paraId="38819B7F" w14:textId="77777777" w:rsidTr="008E185F">
        <w:trPr>
          <w:trHeight w:val="57"/>
          <w:jc w:val="right"/>
        </w:trPr>
        <w:tc>
          <w:tcPr>
            <w:tcW w:w="3600" w:type="dxa"/>
            <w:shd w:val="clear" w:color="auto" w:fill="FFFFFF"/>
            <w:noWrap/>
            <w:hideMark/>
          </w:tcPr>
          <w:p w14:paraId="1A9F19FB"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Greece</w:t>
            </w:r>
          </w:p>
        </w:tc>
        <w:tc>
          <w:tcPr>
            <w:tcW w:w="1980" w:type="dxa"/>
            <w:shd w:val="clear" w:color="auto" w:fill="FFFFFF"/>
            <w:noWrap/>
            <w:hideMark/>
          </w:tcPr>
          <w:p w14:paraId="64B475C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0.366</w:t>
            </w:r>
          </w:p>
        </w:tc>
        <w:tc>
          <w:tcPr>
            <w:tcW w:w="1800" w:type="dxa"/>
            <w:noWrap/>
            <w:hideMark/>
          </w:tcPr>
          <w:p w14:paraId="7A16DA42"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0.4115</w:t>
            </w:r>
          </w:p>
        </w:tc>
        <w:tc>
          <w:tcPr>
            <w:tcW w:w="2116" w:type="dxa"/>
            <w:noWrap/>
            <w:hideMark/>
          </w:tcPr>
          <w:p w14:paraId="59C0120E"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10 565</w:t>
            </w:r>
          </w:p>
        </w:tc>
      </w:tr>
      <w:tr w:rsidR="0023336D" w:rsidRPr="00C90FBC" w14:paraId="3E0B4A51" w14:textId="77777777" w:rsidTr="008E185F">
        <w:trPr>
          <w:trHeight w:val="57"/>
          <w:jc w:val="right"/>
        </w:trPr>
        <w:tc>
          <w:tcPr>
            <w:tcW w:w="3600" w:type="dxa"/>
            <w:shd w:val="clear" w:color="auto" w:fill="FFFFFF"/>
            <w:noWrap/>
            <w:hideMark/>
          </w:tcPr>
          <w:p w14:paraId="5F372D01"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Iceland</w:t>
            </w:r>
          </w:p>
        </w:tc>
        <w:tc>
          <w:tcPr>
            <w:tcW w:w="1980" w:type="dxa"/>
            <w:shd w:val="clear" w:color="auto" w:fill="FFFFFF"/>
            <w:noWrap/>
            <w:hideMark/>
          </w:tcPr>
          <w:p w14:paraId="62C65F5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0.028</w:t>
            </w:r>
          </w:p>
        </w:tc>
        <w:tc>
          <w:tcPr>
            <w:tcW w:w="1800" w:type="dxa"/>
            <w:noWrap/>
            <w:hideMark/>
          </w:tcPr>
          <w:p w14:paraId="6F44A6F5"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0.0315</w:t>
            </w:r>
          </w:p>
        </w:tc>
        <w:tc>
          <w:tcPr>
            <w:tcW w:w="2116" w:type="dxa"/>
            <w:noWrap/>
            <w:hideMark/>
          </w:tcPr>
          <w:p w14:paraId="37C5E5B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808</w:t>
            </w:r>
          </w:p>
        </w:tc>
      </w:tr>
      <w:tr w:rsidR="0023336D" w:rsidRPr="00C90FBC" w14:paraId="4D489C75" w14:textId="77777777" w:rsidTr="008E185F">
        <w:trPr>
          <w:trHeight w:val="57"/>
          <w:jc w:val="right"/>
        </w:trPr>
        <w:tc>
          <w:tcPr>
            <w:tcW w:w="3600" w:type="dxa"/>
            <w:shd w:val="clear" w:color="auto" w:fill="FFFFFF"/>
            <w:noWrap/>
            <w:hideMark/>
          </w:tcPr>
          <w:p w14:paraId="522EEA47"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Ireland</w:t>
            </w:r>
          </w:p>
        </w:tc>
        <w:tc>
          <w:tcPr>
            <w:tcW w:w="1980" w:type="dxa"/>
            <w:shd w:val="clear" w:color="auto" w:fill="FFFFFF"/>
            <w:noWrap/>
            <w:hideMark/>
          </w:tcPr>
          <w:p w14:paraId="6CDE925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0.371</w:t>
            </w:r>
          </w:p>
        </w:tc>
        <w:tc>
          <w:tcPr>
            <w:tcW w:w="1800" w:type="dxa"/>
            <w:noWrap/>
            <w:hideMark/>
          </w:tcPr>
          <w:p w14:paraId="31A1DB31"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0.4171</w:t>
            </w:r>
          </w:p>
        </w:tc>
        <w:tc>
          <w:tcPr>
            <w:tcW w:w="2116" w:type="dxa"/>
            <w:noWrap/>
            <w:hideMark/>
          </w:tcPr>
          <w:p w14:paraId="2962C5B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10 710</w:t>
            </w:r>
          </w:p>
        </w:tc>
      </w:tr>
      <w:tr w:rsidR="0023336D" w:rsidRPr="00C90FBC" w14:paraId="69B422C3" w14:textId="77777777" w:rsidTr="008E185F">
        <w:trPr>
          <w:trHeight w:val="57"/>
          <w:jc w:val="right"/>
        </w:trPr>
        <w:tc>
          <w:tcPr>
            <w:tcW w:w="3600" w:type="dxa"/>
            <w:shd w:val="clear" w:color="auto" w:fill="FFFFFF"/>
            <w:noWrap/>
            <w:hideMark/>
          </w:tcPr>
          <w:p w14:paraId="75A70234"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Italy</w:t>
            </w:r>
          </w:p>
        </w:tc>
        <w:tc>
          <w:tcPr>
            <w:tcW w:w="1980" w:type="dxa"/>
            <w:shd w:val="clear" w:color="auto" w:fill="FFFFFF"/>
            <w:noWrap/>
            <w:hideMark/>
          </w:tcPr>
          <w:p w14:paraId="230C6C9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3.307</w:t>
            </w:r>
          </w:p>
        </w:tc>
        <w:tc>
          <w:tcPr>
            <w:tcW w:w="1800" w:type="dxa"/>
            <w:noWrap/>
            <w:hideMark/>
          </w:tcPr>
          <w:p w14:paraId="2EAEC5AE"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3.7184</w:t>
            </w:r>
          </w:p>
        </w:tc>
        <w:tc>
          <w:tcPr>
            <w:tcW w:w="2116" w:type="dxa"/>
            <w:noWrap/>
            <w:hideMark/>
          </w:tcPr>
          <w:p w14:paraId="01E2827A"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95 463</w:t>
            </w:r>
          </w:p>
        </w:tc>
      </w:tr>
      <w:tr w:rsidR="0023336D" w:rsidRPr="00C90FBC" w14:paraId="0C695EE1" w14:textId="77777777" w:rsidTr="008E185F">
        <w:trPr>
          <w:trHeight w:val="57"/>
          <w:jc w:val="right"/>
        </w:trPr>
        <w:tc>
          <w:tcPr>
            <w:tcW w:w="3600" w:type="dxa"/>
            <w:shd w:val="clear" w:color="auto" w:fill="FFFFFF"/>
            <w:noWrap/>
            <w:hideMark/>
          </w:tcPr>
          <w:p w14:paraId="3EA685A2"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Liechtenstein</w:t>
            </w:r>
          </w:p>
        </w:tc>
        <w:tc>
          <w:tcPr>
            <w:tcW w:w="1980" w:type="dxa"/>
            <w:shd w:val="clear" w:color="auto" w:fill="FFFFFF"/>
            <w:noWrap/>
            <w:hideMark/>
          </w:tcPr>
          <w:p w14:paraId="15616CD3"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0.009</w:t>
            </w:r>
          </w:p>
        </w:tc>
        <w:tc>
          <w:tcPr>
            <w:tcW w:w="1800" w:type="dxa"/>
            <w:noWrap/>
            <w:hideMark/>
          </w:tcPr>
          <w:p w14:paraId="55988D61"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0.0100</w:t>
            </w:r>
          </w:p>
        </w:tc>
        <w:tc>
          <w:tcPr>
            <w:tcW w:w="2116" w:type="dxa"/>
            <w:noWrap/>
            <w:hideMark/>
          </w:tcPr>
          <w:p w14:paraId="58749AF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257</w:t>
            </w:r>
          </w:p>
        </w:tc>
      </w:tr>
      <w:tr w:rsidR="0023336D" w:rsidRPr="00C90FBC" w14:paraId="5E3343E1" w14:textId="77777777" w:rsidTr="008E185F">
        <w:trPr>
          <w:trHeight w:val="57"/>
          <w:jc w:val="right"/>
        </w:trPr>
        <w:tc>
          <w:tcPr>
            <w:tcW w:w="3600" w:type="dxa"/>
            <w:shd w:val="clear" w:color="auto" w:fill="FFFFFF"/>
            <w:noWrap/>
            <w:hideMark/>
          </w:tcPr>
          <w:p w14:paraId="4169A838"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Luxembourg</w:t>
            </w:r>
          </w:p>
        </w:tc>
        <w:tc>
          <w:tcPr>
            <w:tcW w:w="1980" w:type="dxa"/>
            <w:shd w:val="clear" w:color="auto" w:fill="FFFFFF"/>
            <w:noWrap/>
            <w:hideMark/>
          </w:tcPr>
          <w:p w14:paraId="0D6734F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0.067</w:t>
            </w:r>
          </w:p>
        </w:tc>
        <w:tc>
          <w:tcPr>
            <w:tcW w:w="1800" w:type="dxa"/>
            <w:noWrap/>
            <w:hideMark/>
          </w:tcPr>
          <w:p w14:paraId="4B67287E"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0.0753</w:t>
            </w:r>
          </w:p>
        </w:tc>
        <w:tc>
          <w:tcPr>
            <w:tcW w:w="2116" w:type="dxa"/>
            <w:noWrap/>
            <w:hideMark/>
          </w:tcPr>
          <w:p w14:paraId="4F8937EC"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1 934</w:t>
            </w:r>
          </w:p>
        </w:tc>
      </w:tr>
      <w:tr w:rsidR="0023336D" w:rsidRPr="00C90FBC" w14:paraId="33161A7C" w14:textId="77777777" w:rsidTr="008E185F">
        <w:trPr>
          <w:trHeight w:val="57"/>
          <w:jc w:val="right"/>
        </w:trPr>
        <w:tc>
          <w:tcPr>
            <w:tcW w:w="3600" w:type="dxa"/>
            <w:shd w:val="clear" w:color="auto" w:fill="FFFFFF"/>
            <w:noWrap/>
            <w:hideMark/>
          </w:tcPr>
          <w:p w14:paraId="6FC00533"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Malta</w:t>
            </w:r>
          </w:p>
        </w:tc>
        <w:tc>
          <w:tcPr>
            <w:tcW w:w="1980" w:type="dxa"/>
            <w:shd w:val="clear" w:color="auto" w:fill="FFFFFF"/>
            <w:noWrap/>
            <w:hideMark/>
          </w:tcPr>
          <w:p w14:paraId="3494560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0.017</w:t>
            </w:r>
          </w:p>
        </w:tc>
        <w:tc>
          <w:tcPr>
            <w:tcW w:w="1800" w:type="dxa"/>
            <w:noWrap/>
            <w:hideMark/>
          </w:tcPr>
          <w:p w14:paraId="39B56F50"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0.0191</w:t>
            </w:r>
          </w:p>
        </w:tc>
        <w:tc>
          <w:tcPr>
            <w:tcW w:w="2116" w:type="dxa"/>
            <w:noWrap/>
            <w:hideMark/>
          </w:tcPr>
          <w:p w14:paraId="007C13F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491</w:t>
            </w:r>
          </w:p>
        </w:tc>
      </w:tr>
      <w:tr w:rsidR="0023336D" w:rsidRPr="00C90FBC" w14:paraId="73F07860" w14:textId="77777777" w:rsidTr="008E185F">
        <w:trPr>
          <w:trHeight w:val="57"/>
          <w:jc w:val="right"/>
        </w:trPr>
        <w:tc>
          <w:tcPr>
            <w:tcW w:w="3600" w:type="dxa"/>
            <w:shd w:val="clear" w:color="auto" w:fill="FFFFFF"/>
            <w:noWrap/>
            <w:hideMark/>
          </w:tcPr>
          <w:p w14:paraId="7202CC47"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Monaco</w:t>
            </w:r>
          </w:p>
        </w:tc>
        <w:tc>
          <w:tcPr>
            <w:tcW w:w="1980" w:type="dxa"/>
            <w:shd w:val="clear" w:color="auto" w:fill="FFFFFF"/>
            <w:noWrap/>
            <w:hideMark/>
          </w:tcPr>
          <w:p w14:paraId="7063C533"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0.011</w:t>
            </w:r>
          </w:p>
        </w:tc>
        <w:tc>
          <w:tcPr>
            <w:tcW w:w="1800" w:type="dxa"/>
            <w:noWrap/>
            <w:hideMark/>
          </w:tcPr>
          <w:p w14:paraId="3E91326F"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0.0124</w:t>
            </w:r>
          </w:p>
        </w:tc>
        <w:tc>
          <w:tcPr>
            <w:tcW w:w="2116" w:type="dxa"/>
            <w:noWrap/>
            <w:hideMark/>
          </w:tcPr>
          <w:p w14:paraId="63489E5E"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318</w:t>
            </w:r>
          </w:p>
        </w:tc>
      </w:tr>
      <w:tr w:rsidR="0023336D" w:rsidRPr="00C90FBC" w14:paraId="21E40C62" w14:textId="77777777" w:rsidTr="008E185F">
        <w:trPr>
          <w:trHeight w:val="57"/>
          <w:jc w:val="right"/>
        </w:trPr>
        <w:tc>
          <w:tcPr>
            <w:tcW w:w="3600" w:type="dxa"/>
            <w:shd w:val="clear" w:color="auto" w:fill="FFFFFF"/>
            <w:noWrap/>
            <w:hideMark/>
          </w:tcPr>
          <w:p w14:paraId="6B470138"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Netherlands</w:t>
            </w:r>
          </w:p>
        </w:tc>
        <w:tc>
          <w:tcPr>
            <w:tcW w:w="1980" w:type="dxa"/>
            <w:shd w:val="clear" w:color="auto" w:fill="FFFFFF"/>
            <w:noWrap/>
            <w:hideMark/>
          </w:tcPr>
          <w:p w14:paraId="1E06B56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1.356</w:t>
            </w:r>
          </w:p>
        </w:tc>
        <w:tc>
          <w:tcPr>
            <w:tcW w:w="1800" w:type="dxa"/>
            <w:noWrap/>
            <w:hideMark/>
          </w:tcPr>
          <w:p w14:paraId="026A3E90"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1.5247</w:t>
            </w:r>
          </w:p>
        </w:tc>
        <w:tc>
          <w:tcPr>
            <w:tcW w:w="2116" w:type="dxa"/>
            <w:noWrap/>
            <w:hideMark/>
          </w:tcPr>
          <w:p w14:paraId="40EEBD61"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39 144</w:t>
            </w:r>
          </w:p>
        </w:tc>
      </w:tr>
      <w:tr w:rsidR="0023336D" w:rsidRPr="00C90FBC" w14:paraId="1470054D" w14:textId="77777777" w:rsidTr="008E185F">
        <w:trPr>
          <w:trHeight w:val="57"/>
          <w:jc w:val="right"/>
        </w:trPr>
        <w:tc>
          <w:tcPr>
            <w:tcW w:w="3600" w:type="dxa"/>
            <w:shd w:val="clear" w:color="auto" w:fill="FFFFFF"/>
            <w:noWrap/>
            <w:hideMark/>
          </w:tcPr>
          <w:p w14:paraId="44BBC36C"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Norway</w:t>
            </w:r>
          </w:p>
        </w:tc>
        <w:tc>
          <w:tcPr>
            <w:tcW w:w="1980" w:type="dxa"/>
            <w:shd w:val="clear" w:color="auto" w:fill="FFFFFF"/>
            <w:noWrap/>
            <w:hideMark/>
          </w:tcPr>
          <w:p w14:paraId="7244EC6F"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0.754</w:t>
            </w:r>
          </w:p>
        </w:tc>
        <w:tc>
          <w:tcPr>
            <w:tcW w:w="1800" w:type="dxa"/>
            <w:noWrap/>
            <w:hideMark/>
          </w:tcPr>
          <w:p w14:paraId="592F553C"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0.8478</w:t>
            </w:r>
          </w:p>
        </w:tc>
        <w:tc>
          <w:tcPr>
            <w:tcW w:w="2116" w:type="dxa"/>
            <w:noWrap/>
            <w:hideMark/>
          </w:tcPr>
          <w:p w14:paraId="07E5C2D4"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21 766</w:t>
            </w:r>
          </w:p>
        </w:tc>
      </w:tr>
      <w:tr w:rsidR="0023336D" w:rsidRPr="00C90FBC" w14:paraId="4AFB952B" w14:textId="77777777" w:rsidTr="008E185F">
        <w:trPr>
          <w:trHeight w:val="57"/>
          <w:jc w:val="right"/>
        </w:trPr>
        <w:tc>
          <w:tcPr>
            <w:tcW w:w="3600" w:type="dxa"/>
            <w:shd w:val="clear" w:color="auto" w:fill="FFFFFF"/>
            <w:noWrap/>
            <w:hideMark/>
          </w:tcPr>
          <w:p w14:paraId="28881CFC"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Portugal</w:t>
            </w:r>
          </w:p>
        </w:tc>
        <w:tc>
          <w:tcPr>
            <w:tcW w:w="1980" w:type="dxa"/>
            <w:shd w:val="clear" w:color="auto" w:fill="FFFFFF"/>
            <w:noWrap/>
            <w:hideMark/>
          </w:tcPr>
          <w:p w14:paraId="08CCCA5D"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0.35</w:t>
            </w:r>
          </w:p>
        </w:tc>
        <w:tc>
          <w:tcPr>
            <w:tcW w:w="1800" w:type="dxa"/>
            <w:noWrap/>
            <w:hideMark/>
          </w:tcPr>
          <w:p w14:paraId="337C0AF5"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0.3935</w:t>
            </w:r>
          </w:p>
        </w:tc>
        <w:tc>
          <w:tcPr>
            <w:tcW w:w="2116" w:type="dxa"/>
            <w:noWrap/>
            <w:hideMark/>
          </w:tcPr>
          <w:p w14:paraId="38BD232F"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10 103</w:t>
            </w:r>
          </w:p>
        </w:tc>
      </w:tr>
      <w:tr w:rsidR="0023336D" w:rsidRPr="00C90FBC" w14:paraId="7DE39F0E" w14:textId="77777777" w:rsidTr="008E185F">
        <w:trPr>
          <w:trHeight w:val="57"/>
          <w:jc w:val="right"/>
        </w:trPr>
        <w:tc>
          <w:tcPr>
            <w:tcW w:w="3600" w:type="dxa"/>
            <w:shd w:val="clear" w:color="auto" w:fill="FFFFFF"/>
            <w:noWrap/>
            <w:hideMark/>
          </w:tcPr>
          <w:p w14:paraId="30967D52"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Sweden</w:t>
            </w:r>
          </w:p>
        </w:tc>
        <w:tc>
          <w:tcPr>
            <w:tcW w:w="1980" w:type="dxa"/>
            <w:shd w:val="clear" w:color="auto" w:fill="FFFFFF"/>
            <w:noWrap/>
            <w:hideMark/>
          </w:tcPr>
          <w:p w14:paraId="18527F72"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0.906</w:t>
            </w:r>
          </w:p>
        </w:tc>
        <w:tc>
          <w:tcPr>
            <w:tcW w:w="1800" w:type="dxa"/>
            <w:noWrap/>
            <w:hideMark/>
          </w:tcPr>
          <w:p w14:paraId="2FEFE4EC"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1.0187</w:t>
            </w:r>
          </w:p>
        </w:tc>
        <w:tc>
          <w:tcPr>
            <w:tcW w:w="2116" w:type="dxa"/>
            <w:noWrap/>
            <w:hideMark/>
          </w:tcPr>
          <w:p w14:paraId="212E0788"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26 153</w:t>
            </w:r>
          </w:p>
        </w:tc>
      </w:tr>
      <w:tr w:rsidR="0023336D" w:rsidRPr="00C90FBC" w14:paraId="07046178" w14:textId="77777777" w:rsidTr="008E185F">
        <w:trPr>
          <w:trHeight w:val="57"/>
          <w:jc w:val="right"/>
        </w:trPr>
        <w:tc>
          <w:tcPr>
            <w:tcW w:w="3600" w:type="dxa"/>
            <w:shd w:val="clear" w:color="auto" w:fill="FFFFFF"/>
            <w:noWrap/>
            <w:hideMark/>
          </w:tcPr>
          <w:p w14:paraId="2059D433"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Switzerland</w:t>
            </w:r>
          </w:p>
        </w:tc>
        <w:tc>
          <w:tcPr>
            <w:tcW w:w="1980" w:type="dxa"/>
            <w:shd w:val="clear" w:color="auto" w:fill="FFFFFF"/>
            <w:noWrap/>
            <w:hideMark/>
          </w:tcPr>
          <w:p w14:paraId="312E629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1.151</w:t>
            </w:r>
          </w:p>
        </w:tc>
        <w:tc>
          <w:tcPr>
            <w:tcW w:w="1800" w:type="dxa"/>
            <w:noWrap/>
            <w:hideMark/>
          </w:tcPr>
          <w:p w14:paraId="5B8958A7"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1.2942</w:t>
            </w:r>
          </w:p>
        </w:tc>
        <w:tc>
          <w:tcPr>
            <w:tcW w:w="2116" w:type="dxa"/>
            <w:noWrap/>
            <w:hideMark/>
          </w:tcPr>
          <w:p w14:paraId="3F1AED0A"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33 226</w:t>
            </w:r>
          </w:p>
        </w:tc>
      </w:tr>
      <w:tr w:rsidR="0023336D" w:rsidRPr="00C90FBC" w14:paraId="751B7742" w14:textId="77777777" w:rsidTr="008E185F">
        <w:trPr>
          <w:trHeight w:val="57"/>
          <w:jc w:val="right"/>
        </w:trPr>
        <w:tc>
          <w:tcPr>
            <w:tcW w:w="3600" w:type="dxa"/>
            <w:shd w:val="clear" w:color="auto" w:fill="FFFFFF"/>
            <w:noWrap/>
            <w:hideMark/>
          </w:tcPr>
          <w:p w14:paraId="4E1BDAFC" w14:textId="77777777" w:rsidR="0023336D" w:rsidRPr="00C90FBC" w:rsidRDefault="0023336D" w:rsidP="008E185F">
            <w:pPr>
              <w:pStyle w:val="Normal-pool"/>
              <w:spacing w:before="40" w:after="40"/>
              <w:rPr>
                <w:rFonts w:eastAsia="Times New Roman"/>
                <w:color w:val="000000"/>
                <w:sz w:val="18"/>
                <w:szCs w:val="18"/>
                <w:lang w:val="en-GB"/>
              </w:rPr>
            </w:pPr>
            <w:r w:rsidRPr="00C90FBC">
              <w:rPr>
                <w:rFonts w:eastAsia="Times New Roman"/>
                <w:color w:val="000000"/>
                <w:sz w:val="18"/>
                <w:szCs w:val="18"/>
                <w:lang w:val="en-GB"/>
              </w:rPr>
              <w:t xml:space="preserve">United Kingdom </w:t>
            </w:r>
            <w:r w:rsidRPr="00C90FBC">
              <w:rPr>
                <w:rFonts w:asciiTheme="majorBidi" w:eastAsia="Times New Roman" w:hAnsiTheme="majorBidi" w:cstheme="majorBidi"/>
                <w:color w:val="000000"/>
                <w:sz w:val="18"/>
                <w:szCs w:val="18"/>
                <w:lang w:val="en-GB"/>
              </w:rPr>
              <w:t>of Great Britain and Northern Ireland</w:t>
            </w:r>
          </w:p>
        </w:tc>
        <w:tc>
          <w:tcPr>
            <w:tcW w:w="1980" w:type="dxa"/>
            <w:shd w:val="clear" w:color="auto" w:fill="FFFFFF"/>
            <w:noWrap/>
            <w:hideMark/>
          </w:tcPr>
          <w:p w14:paraId="1DACDDB3"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4.567</w:t>
            </w:r>
          </w:p>
        </w:tc>
        <w:tc>
          <w:tcPr>
            <w:tcW w:w="1800" w:type="dxa"/>
            <w:noWrap/>
            <w:hideMark/>
          </w:tcPr>
          <w:p w14:paraId="0BC1E1F0"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5.1351</w:t>
            </w:r>
          </w:p>
        </w:tc>
        <w:tc>
          <w:tcPr>
            <w:tcW w:w="2116" w:type="dxa"/>
            <w:noWrap/>
            <w:hideMark/>
          </w:tcPr>
          <w:p w14:paraId="280579B9"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131 835</w:t>
            </w:r>
          </w:p>
        </w:tc>
      </w:tr>
      <w:tr w:rsidR="0023336D" w:rsidRPr="00C90FBC" w14:paraId="3107CD8E" w14:textId="77777777" w:rsidTr="008E185F">
        <w:trPr>
          <w:trHeight w:val="57"/>
          <w:jc w:val="right"/>
        </w:trPr>
        <w:tc>
          <w:tcPr>
            <w:tcW w:w="3600" w:type="dxa"/>
            <w:tcBorders>
              <w:top w:val="nil"/>
              <w:left w:val="nil"/>
              <w:bottom w:val="single" w:sz="4" w:space="0" w:color="auto"/>
              <w:right w:val="nil"/>
            </w:tcBorders>
            <w:noWrap/>
            <w:hideMark/>
          </w:tcPr>
          <w:p w14:paraId="39BB2300" w14:textId="77777777" w:rsidR="0023336D" w:rsidRPr="00C90FBC" w:rsidRDefault="0023336D" w:rsidP="008E185F">
            <w:pPr>
              <w:pStyle w:val="Normal-pool"/>
              <w:spacing w:before="40" w:after="40"/>
              <w:rPr>
                <w:rFonts w:eastAsia="Times New Roman"/>
                <w:sz w:val="18"/>
                <w:szCs w:val="18"/>
                <w:lang w:val="en-GB"/>
              </w:rPr>
            </w:pPr>
            <w:r w:rsidRPr="00C90FBC">
              <w:rPr>
                <w:rFonts w:eastAsia="Times New Roman"/>
                <w:sz w:val="18"/>
                <w:szCs w:val="18"/>
                <w:lang w:val="en-GB"/>
              </w:rPr>
              <w:t xml:space="preserve">United States of America </w:t>
            </w:r>
          </w:p>
        </w:tc>
        <w:tc>
          <w:tcPr>
            <w:tcW w:w="1980" w:type="dxa"/>
            <w:tcBorders>
              <w:top w:val="nil"/>
              <w:left w:val="nil"/>
              <w:bottom w:val="single" w:sz="4" w:space="0" w:color="auto"/>
              <w:right w:val="nil"/>
            </w:tcBorders>
            <w:noWrap/>
            <w:hideMark/>
          </w:tcPr>
          <w:p w14:paraId="5B3A92F0"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22</w:t>
            </w:r>
          </w:p>
        </w:tc>
        <w:tc>
          <w:tcPr>
            <w:tcW w:w="1800" w:type="dxa"/>
            <w:tcBorders>
              <w:top w:val="nil"/>
              <w:left w:val="nil"/>
              <w:bottom w:val="single" w:sz="4" w:space="0" w:color="auto"/>
              <w:right w:val="nil"/>
            </w:tcBorders>
            <w:noWrap/>
            <w:hideMark/>
          </w:tcPr>
          <w:p w14:paraId="7123D627" w14:textId="77777777" w:rsidR="0023336D" w:rsidRPr="00C90FBC" w:rsidRDefault="0023336D" w:rsidP="008E185F">
            <w:pPr>
              <w:pStyle w:val="Normal-pool"/>
              <w:spacing w:before="40" w:after="40"/>
              <w:jc w:val="right"/>
              <w:rPr>
                <w:rFonts w:eastAsia="Times New Roman"/>
                <w:sz w:val="18"/>
                <w:szCs w:val="18"/>
                <w:lang w:val="en-GB"/>
              </w:rPr>
            </w:pPr>
            <w:r w:rsidRPr="00C90FBC">
              <w:rPr>
                <w:rFonts w:eastAsia="Times New Roman"/>
                <w:sz w:val="18"/>
                <w:szCs w:val="18"/>
                <w:lang w:val="en-GB"/>
              </w:rPr>
              <w:t>22.0000</w:t>
            </w:r>
          </w:p>
        </w:tc>
        <w:tc>
          <w:tcPr>
            <w:tcW w:w="2116" w:type="dxa"/>
            <w:tcBorders>
              <w:top w:val="nil"/>
              <w:left w:val="nil"/>
              <w:bottom w:val="single" w:sz="4" w:space="0" w:color="auto"/>
              <w:right w:val="nil"/>
            </w:tcBorders>
            <w:noWrap/>
            <w:hideMark/>
          </w:tcPr>
          <w:p w14:paraId="06DB95A0" w14:textId="77777777" w:rsidR="0023336D" w:rsidRPr="00C90FBC" w:rsidRDefault="0023336D" w:rsidP="008E185F">
            <w:pPr>
              <w:pStyle w:val="Normal-pool"/>
              <w:spacing w:before="40" w:after="40"/>
              <w:jc w:val="right"/>
              <w:rPr>
                <w:rFonts w:eastAsia="Times New Roman"/>
                <w:color w:val="000000"/>
                <w:sz w:val="18"/>
                <w:szCs w:val="18"/>
                <w:lang w:val="en-GB"/>
              </w:rPr>
            </w:pPr>
            <w:r w:rsidRPr="00C90FBC">
              <w:rPr>
                <w:rFonts w:eastAsia="Times New Roman"/>
                <w:color w:val="000000"/>
                <w:sz w:val="18"/>
                <w:szCs w:val="18"/>
                <w:lang w:val="en-GB"/>
              </w:rPr>
              <w:t>564 814</w:t>
            </w:r>
          </w:p>
        </w:tc>
      </w:tr>
      <w:tr w:rsidR="0023336D" w:rsidRPr="00C90FBC" w14:paraId="7F482941" w14:textId="77777777" w:rsidTr="008E185F">
        <w:trPr>
          <w:trHeight w:val="57"/>
          <w:jc w:val="right"/>
        </w:trPr>
        <w:tc>
          <w:tcPr>
            <w:tcW w:w="5580" w:type="dxa"/>
            <w:gridSpan w:val="2"/>
            <w:tcBorders>
              <w:top w:val="single" w:sz="4" w:space="0" w:color="auto"/>
              <w:left w:val="nil"/>
              <w:bottom w:val="single" w:sz="4" w:space="0" w:color="auto"/>
              <w:right w:val="nil"/>
            </w:tcBorders>
            <w:noWrap/>
            <w:hideMark/>
          </w:tcPr>
          <w:p w14:paraId="13657D6E"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Total assessed contributions</w:t>
            </w:r>
          </w:p>
        </w:tc>
        <w:tc>
          <w:tcPr>
            <w:tcW w:w="1800" w:type="dxa"/>
            <w:tcBorders>
              <w:top w:val="single" w:sz="4" w:space="0" w:color="auto"/>
              <w:left w:val="nil"/>
              <w:bottom w:val="single" w:sz="4" w:space="0" w:color="auto"/>
              <w:right w:val="nil"/>
            </w:tcBorders>
            <w:noWrap/>
            <w:hideMark/>
          </w:tcPr>
          <w:p w14:paraId="3789AB52" w14:textId="77777777" w:rsidR="0023336D" w:rsidRPr="00C90FBC" w:rsidRDefault="0023336D" w:rsidP="008E185F">
            <w:pPr>
              <w:pStyle w:val="Normal-pool"/>
              <w:spacing w:before="40" w:after="40"/>
              <w:jc w:val="right"/>
              <w:rPr>
                <w:rFonts w:eastAsia="Times New Roman"/>
                <w:b/>
                <w:bCs/>
                <w:sz w:val="18"/>
                <w:szCs w:val="18"/>
                <w:lang w:val="en-GB"/>
              </w:rPr>
            </w:pPr>
            <w:r w:rsidRPr="00C90FBC">
              <w:rPr>
                <w:rFonts w:eastAsia="Times New Roman"/>
                <w:b/>
                <w:bCs/>
                <w:sz w:val="18"/>
                <w:szCs w:val="18"/>
                <w:lang w:val="en-GB"/>
              </w:rPr>
              <w:t>100.00</w:t>
            </w:r>
          </w:p>
        </w:tc>
        <w:tc>
          <w:tcPr>
            <w:tcW w:w="2116" w:type="dxa"/>
            <w:tcBorders>
              <w:top w:val="single" w:sz="4" w:space="0" w:color="auto"/>
              <w:left w:val="nil"/>
              <w:bottom w:val="single" w:sz="4" w:space="0" w:color="auto"/>
              <w:right w:val="nil"/>
            </w:tcBorders>
            <w:noWrap/>
            <w:hideMark/>
          </w:tcPr>
          <w:p w14:paraId="377E31C5" w14:textId="77777777" w:rsidR="0023336D" w:rsidRPr="00C90FBC" w:rsidRDefault="0023336D" w:rsidP="008E185F">
            <w:pPr>
              <w:pStyle w:val="Normal-pool"/>
              <w:spacing w:before="40" w:after="40"/>
              <w:jc w:val="right"/>
              <w:rPr>
                <w:rFonts w:eastAsia="Times New Roman"/>
                <w:b/>
                <w:bCs/>
                <w:color w:val="000000"/>
                <w:sz w:val="18"/>
                <w:szCs w:val="18"/>
                <w:lang w:val="en-GB"/>
              </w:rPr>
            </w:pPr>
            <w:r w:rsidRPr="00C90FBC">
              <w:rPr>
                <w:rFonts w:eastAsia="Times New Roman"/>
                <w:b/>
                <w:bCs/>
                <w:color w:val="000000"/>
                <w:sz w:val="18"/>
                <w:szCs w:val="18"/>
                <w:lang w:val="en-GB"/>
              </w:rPr>
              <w:t>2 567 335</w:t>
            </w:r>
          </w:p>
        </w:tc>
      </w:tr>
      <w:tr w:rsidR="0023336D" w:rsidRPr="00C90FBC" w14:paraId="7EBB121A" w14:textId="77777777" w:rsidTr="008E185F">
        <w:trPr>
          <w:trHeight w:val="57"/>
          <w:jc w:val="right"/>
        </w:trPr>
        <w:tc>
          <w:tcPr>
            <w:tcW w:w="5580" w:type="dxa"/>
            <w:gridSpan w:val="2"/>
            <w:tcBorders>
              <w:top w:val="single" w:sz="4" w:space="0" w:color="auto"/>
              <w:left w:val="nil"/>
              <w:bottom w:val="single" w:sz="12" w:space="0" w:color="auto"/>
              <w:right w:val="nil"/>
            </w:tcBorders>
            <w:noWrap/>
            <w:hideMark/>
          </w:tcPr>
          <w:p w14:paraId="0E63A8E3" w14:textId="77777777" w:rsidR="0023336D" w:rsidRPr="00C90FBC" w:rsidRDefault="0023336D" w:rsidP="008E185F">
            <w:pPr>
              <w:pStyle w:val="Normal-pool"/>
              <w:spacing w:before="40" w:after="40"/>
              <w:rPr>
                <w:rFonts w:eastAsia="Times New Roman"/>
                <w:b/>
                <w:bCs/>
                <w:color w:val="000000"/>
                <w:sz w:val="18"/>
                <w:szCs w:val="18"/>
                <w:lang w:val="en-GB"/>
              </w:rPr>
            </w:pPr>
            <w:r w:rsidRPr="00C90FBC">
              <w:rPr>
                <w:rFonts w:eastAsia="Times New Roman"/>
                <w:b/>
                <w:bCs/>
                <w:color w:val="000000"/>
                <w:sz w:val="18"/>
                <w:szCs w:val="18"/>
                <w:lang w:val="en-GB"/>
              </w:rPr>
              <w:t xml:space="preserve">Total approved budget (including </w:t>
            </w:r>
            <w:r w:rsidRPr="00C90FBC">
              <w:rPr>
                <w:rFonts w:asciiTheme="majorBidi" w:eastAsia="Times New Roman" w:hAnsiTheme="majorBidi" w:cstheme="majorBidi"/>
                <w:b/>
                <w:bCs/>
                <w:color w:val="000000"/>
                <w:sz w:val="18"/>
                <w:szCs w:val="18"/>
                <w:lang w:val="en-GB"/>
              </w:rPr>
              <w:t>host country contribution*)</w:t>
            </w:r>
          </w:p>
        </w:tc>
        <w:tc>
          <w:tcPr>
            <w:tcW w:w="1800" w:type="dxa"/>
            <w:tcBorders>
              <w:top w:val="single" w:sz="4" w:space="0" w:color="auto"/>
              <w:left w:val="nil"/>
              <w:bottom w:val="single" w:sz="12" w:space="0" w:color="auto"/>
              <w:right w:val="nil"/>
            </w:tcBorders>
            <w:noWrap/>
            <w:hideMark/>
          </w:tcPr>
          <w:p w14:paraId="2052D320" w14:textId="77777777" w:rsidR="0023336D" w:rsidRPr="00C90FBC" w:rsidRDefault="0023336D" w:rsidP="008E185F">
            <w:pPr>
              <w:pStyle w:val="Normal-pool"/>
              <w:spacing w:before="40" w:after="40"/>
              <w:jc w:val="right"/>
              <w:rPr>
                <w:rFonts w:eastAsia="Times New Roman"/>
                <w:b/>
                <w:bCs/>
                <w:color w:val="000000"/>
                <w:sz w:val="18"/>
                <w:szCs w:val="18"/>
                <w:lang w:val="en-GB"/>
              </w:rPr>
            </w:pPr>
          </w:p>
        </w:tc>
        <w:tc>
          <w:tcPr>
            <w:tcW w:w="2116" w:type="dxa"/>
            <w:tcBorders>
              <w:top w:val="single" w:sz="4" w:space="0" w:color="auto"/>
              <w:left w:val="nil"/>
              <w:bottom w:val="single" w:sz="12" w:space="0" w:color="auto"/>
              <w:right w:val="nil"/>
            </w:tcBorders>
            <w:noWrap/>
            <w:hideMark/>
          </w:tcPr>
          <w:p w14:paraId="247A311E" w14:textId="77777777" w:rsidR="0023336D" w:rsidRPr="00C90FBC" w:rsidRDefault="0023336D" w:rsidP="008E185F">
            <w:pPr>
              <w:pStyle w:val="Normal-pool"/>
              <w:spacing w:before="40" w:after="40"/>
              <w:jc w:val="right"/>
              <w:rPr>
                <w:rFonts w:eastAsia="Times New Roman"/>
                <w:b/>
                <w:bCs/>
                <w:color w:val="000000"/>
                <w:sz w:val="18"/>
                <w:szCs w:val="18"/>
                <w:lang w:val="en-GB"/>
              </w:rPr>
            </w:pPr>
            <w:r w:rsidRPr="00C90FBC">
              <w:rPr>
                <w:rFonts w:eastAsia="Times New Roman"/>
                <w:b/>
                <w:bCs/>
                <w:color w:val="000000"/>
                <w:sz w:val="18"/>
                <w:szCs w:val="18"/>
                <w:lang w:val="en-GB"/>
              </w:rPr>
              <w:t>3 180 159</w:t>
            </w:r>
          </w:p>
        </w:tc>
      </w:tr>
    </w:tbl>
    <w:p w14:paraId="69B27737" w14:textId="77777777" w:rsidR="0023336D" w:rsidRPr="00C90FBC" w:rsidRDefault="0023336D" w:rsidP="0023336D">
      <w:pPr>
        <w:pStyle w:val="NormalNonumber"/>
        <w:spacing w:before="60" w:after="0"/>
        <w:rPr>
          <w:sz w:val="18"/>
          <w:szCs w:val="18"/>
          <w:lang w:val="en-GB"/>
        </w:rPr>
      </w:pPr>
      <w:r w:rsidRPr="00C90FBC">
        <w:rPr>
          <w:lang w:val="en-GB"/>
        </w:rPr>
        <w:tab/>
      </w:r>
      <w:r w:rsidRPr="00C90FBC">
        <w:rPr>
          <w:sz w:val="18"/>
          <w:szCs w:val="18"/>
          <w:lang w:val="en-GB"/>
        </w:rPr>
        <w:t>* Includes estimated host country contribution of Switzerland to the general trust fund in United States dollars.</w:t>
      </w:r>
    </w:p>
    <w:p w14:paraId="7E9457E9" w14:textId="77777777" w:rsidR="0023336D" w:rsidRPr="00C90FBC" w:rsidRDefault="0023336D" w:rsidP="0023336D">
      <w:pPr>
        <w:pStyle w:val="Normal-pool"/>
        <w:rPr>
          <w:lang w:val="en-GB"/>
        </w:rPr>
      </w:pPr>
      <w:r w:rsidRPr="00C90FBC">
        <w:rPr>
          <w:lang w:val="en-GB"/>
        </w:rPr>
        <w:br w:type="page"/>
      </w:r>
    </w:p>
    <w:p w14:paraId="1BFD8B2B" w14:textId="77777777" w:rsidR="0023336D" w:rsidRPr="00C90FBC" w:rsidRDefault="0023336D" w:rsidP="0023336D">
      <w:pPr>
        <w:pStyle w:val="Titletable"/>
        <w:rPr>
          <w:lang w:val="en-GB"/>
        </w:rPr>
      </w:pPr>
      <w:r w:rsidRPr="00C90FBC">
        <w:rPr>
          <w:b w:val="0"/>
          <w:bCs w:val="0"/>
          <w:lang w:val="en-GB"/>
        </w:rPr>
        <w:lastRenderedPageBreak/>
        <w:t xml:space="preserve">Table 3 </w:t>
      </w:r>
      <w:r w:rsidRPr="00C90FBC">
        <w:rPr>
          <w:b w:val="0"/>
          <w:bCs w:val="0"/>
          <w:lang w:val="en-GB"/>
        </w:rPr>
        <w:br/>
      </w:r>
      <w:r w:rsidRPr="00C90FBC">
        <w:rPr>
          <w:lang w:val="en-GB"/>
        </w:rPr>
        <w:t>Indicative staffing requirements for the biennium 2022‒2023</w:t>
      </w:r>
    </w:p>
    <w:tbl>
      <w:tblPr>
        <w:tblW w:w="5000" w:type="pct"/>
        <w:jc w:val="right"/>
        <w:tblLook w:val="04A0" w:firstRow="1" w:lastRow="0" w:firstColumn="1" w:lastColumn="0" w:noHBand="0" w:noVBand="1"/>
      </w:tblPr>
      <w:tblGrid>
        <w:gridCol w:w="3360"/>
        <w:gridCol w:w="1607"/>
        <w:gridCol w:w="1753"/>
        <w:gridCol w:w="1753"/>
        <w:gridCol w:w="1023"/>
      </w:tblGrid>
      <w:tr w:rsidR="0023336D" w:rsidRPr="00C90FBC" w14:paraId="37447304" w14:textId="77777777" w:rsidTr="008E185F">
        <w:trPr>
          <w:trHeight w:val="57"/>
          <w:tblHeader/>
          <w:jc w:val="right"/>
        </w:trPr>
        <w:tc>
          <w:tcPr>
            <w:tcW w:w="3312" w:type="dxa"/>
            <w:vMerge w:val="restart"/>
            <w:tcBorders>
              <w:top w:val="single" w:sz="4" w:space="0" w:color="auto"/>
              <w:left w:val="nil"/>
              <w:bottom w:val="single" w:sz="12" w:space="0" w:color="auto"/>
              <w:right w:val="nil"/>
            </w:tcBorders>
            <w:noWrap/>
            <w:vAlign w:val="bottom"/>
            <w:hideMark/>
          </w:tcPr>
          <w:p w14:paraId="68D0BE78" w14:textId="77777777" w:rsidR="0023336D" w:rsidRPr="00C90FBC" w:rsidRDefault="0023336D" w:rsidP="008E185F">
            <w:pPr>
              <w:pStyle w:val="Normal-pool"/>
              <w:spacing w:before="40" w:after="40"/>
              <w:rPr>
                <w:i/>
                <w:iCs/>
                <w:sz w:val="18"/>
                <w:szCs w:val="18"/>
                <w:lang w:val="en-GB"/>
              </w:rPr>
            </w:pPr>
            <w:r w:rsidRPr="00C90FBC">
              <w:rPr>
                <w:i/>
                <w:iCs/>
                <w:sz w:val="18"/>
                <w:szCs w:val="18"/>
                <w:lang w:val="en-GB"/>
              </w:rPr>
              <w:t>Staff category and level</w:t>
            </w:r>
          </w:p>
        </w:tc>
        <w:tc>
          <w:tcPr>
            <w:tcW w:w="6048" w:type="dxa"/>
            <w:gridSpan w:val="4"/>
            <w:tcBorders>
              <w:top w:val="single" w:sz="4" w:space="0" w:color="auto"/>
              <w:left w:val="nil"/>
              <w:bottom w:val="single" w:sz="4" w:space="0" w:color="auto"/>
              <w:right w:val="nil"/>
            </w:tcBorders>
            <w:noWrap/>
            <w:vAlign w:val="bottom"/>
            <w:hideMark/>
          </w:tcPr>
          <w:p w14:paraId="2B27F73C" w14:textId="77777777" w:rsidR="0023336D" w:rsidRPr="00C90FBC" w:rsidRDefault="0023336D" w:rsidP="008E185F">
            <w:pPr>
              <w:pStyle w:val="Normal-pool"/>
              <w:spacing w:before="40" w:after="40"/>
              <w:jc w:val="center"/>
              <w:rPr>
                <w:i/>
                <w:iCs/>
                <w:sz w:val="18"/>
                <w:szCs w:val="18"/>
                <w:lang w:val="en-GB"/>
              </w:rPr>
            </w:pPr>
            <w:r w:rsidRPr="00C90FBC">
              <w:rPr>
                <w:i/>
                <w:iCs/>
                <w:sz w:val="18"/>
                <w:szCs w:val="18"/>
                <w:lang w:val="en-GB"/>
              </w:rPr>
              <w:t>2022</w:t>
            </w:r>
            <w:r w:rsidRPr="00C90FBC">
              <w:rPr>
                <w:rFonts w:eastAsia="MS Gothic"/>
                <w:i/>
                <w:iCs/>
                <w:sz w:val="18"/>
                <w:szCs w:val="18"/>
                <w:lang w:val="en-GB"/>
              </w:rPr>
              <w:t>‒</w:t>
            </w:r>
            <w:r w:rsidRPr="00C90FBC">
              <w:rPr>
                <w:i/>
                <w:iCs/>
                <w:sz w:val="18"/>
                <w:szCs w:val="18"/>
                <w:lang w:val="en-GB"/>
              </w:rPr>
              <w:t>2023</w:t>
            </w:r>
          </w:p>
        </w:tc>
      </w:tr>
      <w:tr w:rsidR="0023336D" w:rsidRPr="00C90FBC" w14:paraId="772408FB" w14:textId="77777777" w:rsidTr="008E185F">
        <w:trPr>
          <w:trHeight w:val="57"/>
          <w:tblHeader/>
          <w:jc w:val="right"/>
        </w:trPr>
        <w:tc>
          <w:tcPr>
            <w:tcW w:w="0" w:type="auto"/>
            <w:vMerge/>
            <w:tcBorders>
              <w:top w:val="single" w:sz="4" w:space="0" w:color="auto"/>
              <w:left w:val="nil"/>
              <w:bottom w:val="single" w:sz="12" w:space="0" w:color="auto"/>
              <w:right w:val="nil"/>
            </w:tcBorders>
            <w:vAlign w:val="center"/>
            <w:hideMark/>
          </w:tcPr>
          <w:p w14:paraId="57FD3F76" w14:textId="77777777" w:rsidR="0023336D" w:rsidRPr="00C90FBC" w:rsidRDefault="0023336D" w:rsidP="008E185F">
            <w:pPr>
              <w:pStyle w:val="Normal-pool"/>
              <w:spacing w:before="40" w:after="40"/>
              <w:rPr>
                <w:i/>
                <w:iCs/>
                <w:sz w:val="18"/>
                <w:szCs w:val="18"/>
                <w:lang w:val="en-GB"/>
              </w:rPr>
            </w:pPr>
          </w:p>
        </w:tc>
        <w:tc>
          <w:tcPr>
            <w:tcW w:w="1584" w:type="dxa"/>
            <w:tcBorders>
              <w:top w:val="single" w:sz="4" w:space="0" w:color="auto"/>
              <w:left w:val="nil"/>
              <w:bottom w:val="single" w:sz="12" w:space="0" w:color="auto"/>
              <w:right w:val="nil"/>
            </w:tcBorders>
            <w:noWrap/>
            <w:vAlign w:val="bottom"/>
            <w:hideMark/>
          </w:tcPr>
          <w:p w14:paraId="297877FF" w14:textId="77777777" w:rsidR="0023336D" w:rsidRPr="00C90FBC" w:rsidRDefault="0023336D" w:rsidP="008E185F">
            <w:pPr>
              <w:pStyle w:val="Normal-pool"/>
              <w:spacing w:before="40" w:after="40"/>
              <w:jc w:val="right"/>
              <w:rPr>
                <w:i/>
                <w:iCs/>
                <w:sz w:val="18"/>
                <w:szCs w:val="18"/>
                <w:lang w:val="en-GB"/>
              </w:rPr>
            </w:pPr>
            <w:r w:rsidRPr="00C90FBC">
              <w:rPr>
                <w:i/>
                <w:iCs/>
                <w:sz w:val="18"/>
                <w:szCs w:val="18"/>
                <w:lang w:val="en-GB"/>
              </w:rPr>
              <w:t>General trust fund</w:t>
            </w:r>
          </w:p>
        </w:tc>
        <w:tc>
          <w:tcPr>
            <w:tcW w:w="1728" w:type="dxa"/>
            <w:tcBorders>
              <w:top w:val="single" w:sz="4" w:space="0" w:color="auto"/>
              <w:left w:val="nil"/>
              <w:bottom w:val="single" w:sz="12" w:space="0" w:color="auto"/>
              <w:right w:val="nil"/>
            </w:tcBorders>
            <w:noWrap/>
            <w:vAlign w:val="bottom"/>
            <w:hideMark/>
          </w:tcPr>
          <w:p w14:paraId="0DA03B38" w14:textId="77777777" w:rsidR="0023336D" w:rsidRPr="00C90FBC" w:rsidRDefault="0023336D" w:rsidP="008E185F">
            <w:pPr>
              <w:pStyle w:val="Normal-pool"/>
              <w:spacing w:before="40" w:after="40"/>
              <w:jc w:val="right"/>
              <w:rPr>
                <w:i/>
                <w:iCs/>
                <w:sz w:val="18"/>
                <w:szCs w:val="18"/>
                <w:lang w:val="en-GB"/>
              </w:rPr>
            </w:pPr>
            <w:r w:rsidRPr="00C90FBC">
              <w:rPr>
                <w:i/>
                <w:iCs/>
                <w:sz w:val="18"/>
                <w:szCs w:val="18"/>
                <w:lang w:val="en-GB"/>
              </w:rPr>
              <w:t>Special trust fund</w:t>
            </w:r>
          </w:p>
        </w:tc>
        <w:tc>
          <w:tcPr>
            <w:tcW w:w="1728" w:type="dxa"/>
            <w:tcBorders>
              <w:top w:val="single" w:sz="4" w:space="0" w:color="auto"/>
              <w:left w:val="nil"/>
              <w:bottom w:val="single" w:sz="12" w:space="0" w:color="auto"/>
              <w:right w:val="nil"/>
            </w:tcBorders>
            <w:noWrap/>
            <w:vAlign w:val="bottom"/>
            <w:hideMark/>
          </w:tcPr>
          <w:p w14:paraId="570C950E" w14:textId="77777777" w:rsidR="0023336D" w:rsidRPr="00C90FBC" w:rsidRDefault="0023336D" w:rsidP="008E185F">
            <w:pPr>
              <w:pStyle w:val="Normal-pool"/>
              <w:spacing w:before="40" w:after="40"/>
              <w:jc w:val="right"/>
              <w:rPr>
                <w:i/>
                <w:iCs/>
                <w:sz w:val="18"/>
                <w:szCs w:val="18"/>
                <w:lang w:val="en-GB"/>
              </w:rPr>
            </w:pPr>
            <w:r w:rsidRPr="00C90FBC">
              <w:rPr>
                <w:i/>
                <w:iCs/>
                <w:sz w:val="18"/>
                <w:szCs w:val="18"/>
                <w:lang w:val="en-GB"/>
              </w:rPr>
              <w:t>UNEP programme support costs</w:t>
            </w:r>
          </w:p>
        </w:tc>
        <w:tc>
          <w:tcPr>
            <w:tcW w:w="1008" w:type="dxa"/>
            <w:tcBorders>
              <w:top w:val="single" w:sz="4" w:space="0" w:color="auto"/>
              <w:left w:val="nil"/>
              <w:bottom w:val="single" w:sz="12" w:space="0" w:color="auto"/>
              <w:right w:val="nil"/>
            </w:tcBorders>
            <w:noWrap/>
            <w:vAlign w:val="bottom"/>
            <w:hideMark/>
          </w:tcPr>
          <w:p w14:paraId="18BF1F64" w14:textId="77777777" w:rsidR="0023336D" w:rsidRPr="00C90FBC" w:rsidRDefault="0023336D" w:rsidP="008E185F">
            <w:pPr>
              <w:pStyle w:val="Normal-pool"/>
              <w:spacing w:before="40" w:after="40"/>
              <w:jc w:val="right"/>
              <w:rPr>
                <w:i/>
                <w:iCs/>
                <w:sz w:val="18"/>
                <w:szCs w:val="18"/>
                <w:lang w:val="en-GB"/>
              </w:rPr>
            </w:pPr>
            <w:r w:rsidRPr="00C90FBC">
              <w:rPr>
                <w:i/>
                <w:iCs/>
                <w:sz w:val="18"/>
                <w:szCs w:val="18"/>
                <w:lang w:val="en-GB"/>
              </w:rPr>
              <w:t>Total</w:t>
            </w:r>
          </w:p>
        </w:tc>
      </w:tr>
      <w:tr w:rsidR="0023336D" w:rsidRPr="00C90FBC" w14:paraId="2DE2FAD2" w14:textId="77777777" w:rsidTr="008E185F">
        <w:trPr>
          <w:trHeight w:val="57"/>
          <w:jc w:val="right"/>
        </w:trPr>
        <w:tc>
          <w:tcPr>
            <w:tcW w:w="3312" w:type="dxa"/>
            <w:noWrap/>
            <w:hideMark/>
          </w:tcPr>
          <w:p w14:paraId="3C79743A"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A. Professional categories</w:t>
            </w:r>
          </w:p>
        </w:tc>
        <w:tc>
          <w:tcPr>
            <w:tcW w:w="1584" w:type="dxa"/>
            <w:noWrap/>
            <w:hideMark/>
          </w:tcPr>
          <w:p w14:paraId="1A6CB668" w14:textId="77777777" w:rsidR="0023336D" w:rsidRPr="00C90FBC" w:rsidRDefault="0023336D" w:rsidP="008E185F">
            <w:pPr>
              <w:pStyle w:val="Normal-pool"/>
              <w:spacing w:before="40" w:after="40"/>
              <w:jc w:val="right"/>
              <w:rPr>
                <w:b/>
                <w:bCs/>
                <w:sz w:val="18"/>
                <w:szCs w:val="18"/>
                <w:lang w:val="en-GB"/>
              </w:rPr>
            </w:pPr>
          </w:p>
        </w:tc>
        <w:tc>
          <w:tcPr>
            <w:tcW w:w="1728" w:type="dxa"/>
            <w:noWrap/>
            <w:hideMark/>
          </w:tcPr>
          <w:p w14:paraId="579E6562" w14:textId="77777777" w:rsidR="0023336D" w:rsidRPr="00C90FBC" w:rsidRDefault="0023336D" w:rsidP="008E185F">
            <w:pPr>
              <w:pStyle w:val="Normal-pool"/>
              <w:spacing w:before="40" w:after="40"/>
              <w:jc w:val="right"/>
              <w:rPr>
                <w:rFonts w:eastAsia="Times New Roman"/>
                <w:b/>
                <w:bCs/>
                <w:sz w:val="18"/>
                <w:szCs w:val="18"/>
                <w:lang w:val="en-GB" w:eastAsia="en-GB"/>
              </w:rPr>
            </w:pPr>
          </w:p>
        </w:tc>
        <w:tc>
          <w:tcPr>
            <w:tcW w:w="1728" w:type="dxa"/>
            <w:noWrap/>
            <w:hideMark/>
          </w:tcPr>
          <w:p w14:paraId="72A443E1" w14:textId="77777777" w:rsidR="0023336D" w:rsidRPr="00C90FBC" w:rsidRDefault="0023336D" w:rsidP="008E185F">
            <w:pPr>
              <w:pStyle w:val="Normal-pool"/>
              <w:spacing w:before="40" w:after="40"/>
              <w:jc w:val="right"/>
              <w:rPr>
                <w:rFonts w:eastAsia="Times New Roman"/>
                <w:b/>
                <w:bCs/>
                <w:sz w:val="18"/>
                <w:szCs w:val="18"/>
                <w:lang w:val="en-GB" w:eastAsia="en-GB"/>
              </w:rPr>
            </w:pPr>
          </w:p>
        </w:tc>
        <w:tc>
          <w:tcPr>
            <w:tcW w:w="1008" w:type="dxa"/>
            <w:noWrap/>
            <w:hideMark/>
          </w:tcPr>
          <w:p w14:paraId="22CD026E" w14:textId="77777777" w:rsidR="0023336D" w:rsidRPr="00C90FBC" w:rsidRDefault="0023336D" w:rsidP="008E185F">
            <w:pPr>
              <w:pStyle w:val="Normal-pool"/>
              <w:spacing w:before="40" w:after="40"/>
              <w:jc w:val="right"/>
              <w:rPr>
                <w:rFonts w:eastAsia="Times New Roman"/>
                <w:b/>
                <w:bCs/>
                <w:sz w:val="18"/>
                <w:szCs w:val="18"/>
                <w:lang w:val="en-GB" w:eastAsia="en-GB"/>
              </w:rPr>
            </w:pPr>
          </w:p>
        </w:tc>
      </w:tr>
      <w:tr w:rsidR="0023336D" w:rsidRPr="00C90FBC" w14:paraId="19F14839" w14:textId="77777777" w:rsidTr="008E185F">
        <w:trPr>
          <w:trHeight w:val="57"/>
          <w:jc w:val="right"/>
        </w:trPr>
        <w:tc>
          <w:tcPr>
            <w:tcW w:w="3312" w:type="dxa"/>
            <w:noWrap/>
            <w:hideMark/>
          </w:tcPr>
          <w:p w14:paraId="77BD215A" w14:textId="77777777" w:rsidR="0023336D" w:rsidRPr="00C90FBC" w:rsidRDefault="0023336D" w:rsidP="008E185F">
            <w:pPr>
              <w:pStyle w:val="Normal-pool"/>
              <w:spacing w:before="40" w:after="40"/>
              <w:rPr>
                <w:sz w:val="18"/>
                <w:szCs w:val="18"/>
                <w:lang w:val="en-GB"/>
              </w:rPr>
            </w:pPr>
            <w:r w:rsidRPr="00C90FBC">
              <w:rPr>
                <w:sz w:val="18"/>
                <w:szCs w:val="18"/>
                <w:lang w:val="en-GB"/>
              </w:rPr>
              <w:t>D-1</w:t>
            </w:r>
          </w:p>
        </w:tc>
        <w:tc>
          <w:tcPr>
            <w:tcW w:w="1584" w:type="dxa"/>
            <w:noWrap/>
            <w:hideMark/>
          </w:tcPr>
          <w:p w14:paraId="2DB57C72"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1</w:t>
            </w:r>
          </w:p>
        </w:tc>
        <w:tc>
          <w:tcPr>
            <w:tcW w:w="1728" w:type="dxa"/>
            <w:noWrap/>
            <w:hideMark/>
          </w:tcPr>
          <w:p w14:paraId="2673F9E8"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sym w:font="Symbol" w:char="F02D"/>
            </w:r>
          </w:p>
        </w:tc>
        <w:tc>
          <w:tcPr>
            <w:tcW w:w="1728" w:type="dxa"/>
            <w:noWrap/>
            <w:hideMark/>
          </w:tcPr>
          <w:p w14:paraId="4A47009D"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sym w:font="Symbol" w:char="F02D"/>
            </w:r>
          </w:p>
        </w:tc>
        <w:tc>
          <w:tcPr>
            <w:tcW w:w="1008" w:type="dxa"/>
            <w:noWrap/>
            <w:hideMark/>
          </w:tcPr>
          <w:p w14:paraId="20EF5DE1"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1</w:t>
            </w:r>
          </w:p>
        </w:tc>
      </w:tr>
      <w:tr w:rsidR="0023336D" w:rsidRPr="00C90FBC" w14:paraId="02053ADC" w14:textId="77777777" w:rsidTr="008E185F">
        <w:trPr>
          <w:trHeight w:val="57"/>
          <w:jc w:val="right"/>
        </w:trPr>
        <w:tc>
          <w:tcPr>
            <w:tcW w:w="3312" w:type="dxa"/>
            <w:noWrap/>
            <w:hideMark/>
          </w:tcPr>
          <w:p w14:paraId="586C711F" w14:textId="77777777" w:rsidR="0023336D" w:rsidRPr="00C90FBC" w:rsidRDefault="0023336D" w:rsidP="008E185F">
            <w:pPr>
              <w:pStyle w:val="Normal-pool"/>
              <w:spacing w:before="40" w:after="40"/>
              <w:rPr>
                <w:sz w:val="18"/>
                <w:szCs w:val="18"/>
                <w:lang w:val="en-GB"/>
              </w:rPr>
            </w:pPr>
            <w:r w:rsidRPr="00C90FBC">
              <w:rPr>
                <w:sz w:val="18"/>
                <w:szCs w:val="18"/>
                <w:lang w:val="en-GB"/>
              </w:rPr>
              <w:t>P-5</w:t>
            </w:r>
          </w:p>
        </w:tc>
        <w:tc>
          <w:tcPr>
            <w:tcW w:w="1584" w:type="dxa"/>
            <w:noWrap/>
            <w:hideMark/>
          </w:tcPr>
          <w:p w14:paraId="533C97DD"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1</w:t>
            </w:r>
          </w:p>
        </w:tc>
        <w:tc>
          <w:tcPr>
            <w:tcW w:w="1728" w:type="dxa"/>
            <w:noWrap/>
            <w:hideMark/>
          </w:tcPr>
          <w:p w14:paraId="569ADED0"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1</w:t>
            </w:r>
          </w:p>
        </w:tc>
        <w:tc>
          <w:tcPr>
            <w:tcW w:w="1728" w:type="dxa"/>
            <w:noWrap/>
            <w:hideMark/>
          </w:tcPr>
          <w:p w14:paraId="0E62B020"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sym w:font="Symbol" w:char="F02D"/>
            </w:r>
          </w:p>
        </w:tc>
        <w:tc>
          <w:tcPr>
            <w:tcW w:w="1008" w:type="dxa"/>
            <w:noWrap/>
            <w:hideMark/>
          </w:tcPr>
          <w:p w14:paraId="7B0B77F0"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2</w:t>
            </w:r>
          </w:p>
        </w:tc>
      </w:tr>
      <w:tr w:rsidR="0023336D" w:rsidRPr="00C90FBC" w14:paraId="3DE733B7" w14:textId="77777777" w:rsidTr="008E185F">
        <w:trPr>
          <w:trHeight w:val="57"/>
          <w:jc w:val="right"/>
        </w:trPr>
        <w:tc>
          <w:tcPr>
            <w:tcW w:w="3312" w:type="dxa"/>
            <w:noWrap/>
            <w:hideMark/>
          </w:tcPr>
          <w:p w14:paraId="1DAFC963" w14:textId="77777777" w:rsidR="0023336D" w:rsidRPr="00C90FBC" w:rsidRDefault="0023336D" w:rsidP="008E185F">
            <w:pPr>
              <w:pStyle w:val="Normal-pool"/>
              <w:spacing w:before="40" w:after="40"/>
              <w:rPr>
                <w:sz w:val="18"/>
                <w:szCs w:val="18"/>
                <w:lang w:val="en-GB"/>
              </w:rPr>
            </w:pPr>
            <w:r w:rsidRPr="00C90FBC">
              <w:rPr>
                <w:sz w:val="18"/>
                <w:szCs w:val="18"/>
                <w:lang w:val="en-GB"/>
              </w:rPr>
              <w:t>P-4</w:t>
            </w:r>
          </w:p>
        </w:tc>
        <w:tc>
          <w:tcPr>
            <w:tcW w:w="1584" w:type="dxa"/>
            <w:noWrap/>
            <w:hideMark/>
          </w:tcPr>
          <w:p w14:paraId="7BCDAF09"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3</w:t>
            </w:r>
          </w:p>
        </w:tc>
        <w:tc>
          <w:tcPr>
            <w:tcW w:w="1728" w:type="dxa"/>
            <w:noWrap/>
            <w:hideMark/>
          </w:tcPr>
          <w:p w14:paraId="1CC0D579"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sym w:font="Symbol" w:char="F02D"/>
            </w:r>
          </w:p>
        </w:tc>
        <w:tc>
          <w:tcPr>
            <w:tcW w:w="1728" w:type="dxa"/>
            <w:noWrap/>
            <w:hideMark/>
          </w:tcPr>
          <w:p w14:paraId="2CCA3755"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1</w:t>
            </w:r>
          </w:p>
        </w:tc>
        <w:tc>
          <w:tcPr>
            <w:tcW w:w="1008" w:type="dxa"/>
            <w:noWrap/>
            <w:hideMark/>
          </w:tcPr>
          <w:p w14:paraId="64B99071"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4</w:t>
            </w:r>
          </w:p>
        </w:tc>
      </w:tr>
      <w:tr w:rsidR="0023336D" w:rsidRPr="00C90FBC" w14:paraId="39166DCF" w14:textId="77777777" w:rsidTr="008E185F">
        <w:trPr>
          <w:trHeight w:val="57"/>
          <w:jc w:val="right"/>
        </w:trPr>
        <w:tc>
          <w:tcPr>
            <w:tcW w:w="3312" w:type="dxa"/>
            <w:noWrap/>
            <w:hideMark/>
          </w:tcPr>
          <w:p w14:paraId="69B7C633" w14:textId="77777777" w:rsidR="0023336D" w:rsidRPr="00C90FBC" w:rsidRDefault="0023336D" w:rsidP="008E185F">
            <w:pPr>
              <w:pStyle w:val="Normal-pool"/>
              <w:spacing w:before="40" w:after="40"/>
              <w:rPr>
                <w:sz w:val="18"/>
                <w:szCs w:val="18"/>
                <w:lang w:val="en-GB"/>
              </w:rPr>
            </w:pPr>
            <w:r w:rsidRPr="00C90FBC">
              <w:rPr>
                <w:sz w:val="18"/>
                <w:szCs w:val="18"/>
                <w:lang w:val="en-GB"/>
              </w:rPr>
              <w:t>P-3</w:t>
            </w:r>
          </w:p>
        </w:tc>
        <w:tc>
          <w:tcPr>
            <w:tcW w:w="1584" w:type="dxa"/>
            <w:noWrap/>
            <w:hideMark/>
          </w:tcPr>
          <w:p w14:paraId="4A3B80BF"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2</w:t>
            </w:r>
          </w:p>
        </w:tc>
        <w:tc>
          <w:tcPr>
            <w:tcW w:w="1728" w:type="dxa"/>
            <w:noWrap/>
            <w:hideMark/>
          </w:tcPr>
          <w:p w14:paraId="67C700A4"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sym w:font="Symbol" w:char="F02D"/>
            </w:r>
          </w:p>
        </w:tc>
        <w:tc>
          <w:tcPr>
            <w:tcW w:w="1728" w:type="dxa"/>
            <w:noWrap/>
            <w:hideMark/>
          </w:tcPr>
          <w:p w14:paraId="58708AF0"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sym w:font="Symbol" w:char="F02D"/>
            </w:r>
          </w:p>
        </w:tc>
        <w:tc>
          <w:tcPr>
            <w:tcW w:w="1008" w:type="dxa"/>
            <w:noWrap/>
            <w:hideMark/>
          </w:tcPr>
          <w:p w14:paraId="708F0096"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2</w:t>
            </w:r>
          </w:p>
        </w:tc>
      </w:tr>
      <w:tr w:rsidR="0023336D" w:rsidRPr="00C90FBC" w14:paraId="2FA4CBF8" w14:textId="77777777" w:rsidTr="008E185F">
        <w:trPr>
          <w:trHeight w:val="57"/>
          <w:jc w:val="right"/>
        </w:trPr>
        <w:tc>
          <w:tcPr>
            <w:tcW w:w="3312" w:type="dxa"/>
            <w:noWrap/>
            <w:hideMark/>
          </w:tcPr>
          <w:p w14:paraId="2C7F66A8" w14:textId="77777777" w:rsidR="0023336D" w:rsidRPr="00C90FBC" w:rsidRDefault="0023336D" w:rsidP="008E185F">
            <w:pPr>
              <w:pStyle w:val="Normal-pool"/>
              <w:spacing w:before="40" w:after="40"/>
              <w:rPr>
                <w:sz w:val="18"/>
                <w:szCs w:val="18"/>
                <w:lang w:val="en-GB"/>
              </w:rPr>
            </w:pPr>
            <w:r w:rsidRPr="00C90FBC">
              <w:rPr>
                <w:sz w:val="18"/>
                <w:szCs w:val="18"/>
                <w:lang w:val="en-GB"/>
              </w:rPr>
              <w:t>P-2</w:t>
            </w:r>
          </w:p>
        </w:tc>
        <w:tc>
          <w:tcPr>
            <w:tcW w:w="1584" w:type="dxa"/>
            <w:noWrap/>
            <w:hideMark/>
          </w:tcPr>
          <w:p w14:paraId="2E92074F"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sym w:font="Symbol" w:char="F02D"/>
            </w:r>
          </w:p>
        </w:tc>
        <w:tc>
          <w:tcPr>
            <w:tcW w:w="1728" w:type="dxa"/>
            <w:noWrap/>
            <w:hideMark/>
          </w:tcPr>
          <w:p w14:paraId="332F3818"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sym w:font="Symbol" w:char="F02D"/>
            </w:r>
          </w:p>
        </w:tc>
        <w:tc>
          <w:tcPr>
            <w:tcW w:w="1728" w:type="dxa"/>
            <w:noWrap/>
            <w:hideMark/>
          </w:tcPr>
          <w:p w14:paraId="3587B4C1"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sym w:font="Symbol" w:char="F02D"/>
            </w:r>
          </w:p>
        </w:tc>
        <w:tc>
          <w:tcPr>
            <w:tcW w:w="1008" w:type="dxa"/>
            <w:noWrap/>
            <w:hideMark/>
          </w:tcPr>
          <w:p w14:paraId="322E2742"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sym w:font="Symbol" w:char="F02D"/>
            </w:r>
          </w:p>
        </w:tc>
      </w:tr>
      <w:tr w:rsidR="0023336D" w:rsidRPr="00C90FBC" w14:paraId="24BE0316" w14:textId="77777777" w:rsidTr="008E185F">
        <w:trPr>
          <w:trHeight w:val="57"/>
          <w:jc w:val="right"/>
        </w:trPr>
        <w:tc>
          <w:tcPr>
            <w:tcW w:w="3312" w:type="dxa"/>
            <w:tcBorders>
              <w:top w:val="single" w:sz="4" w:space="0" w:color="auto"/>
              <w:left w:val="nil"/>
              <w:bottom w:val="single" w:sz="4" w:space="0" w:color="auto"/>
              <w:right w:val="nil"/>
            </w:tcBorders>
            <w:noWrap/>
            <w:hideMark/>
          </w:tcPr>
          <w:p w14:paraId="6031BD63"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Subtotal (A)</w:t>
            </w:r>
          </w:p>
        </w:tc>
        <w:tc>
          <w:tcPr>
            <w:tcW w:w="1584" w:type="dxa"/>
            <w:tcBorders>
              <w:top w:val="single" w:sz="4" w:space="0" w:color="auto"/>
              <w:left w:val="nil"/>
              <w:bottom w:val="single" w:sz="4" w:space="0" w:color="auto"/>
              <w:right w:val="nil"/>
            </w:tcBorders>
            <w:noWrap/>
            <w:hideMark/>
          </w:tcPr>
          <w:p w14:paraId="6F3B6610"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7</w:t>
            </w:r>
          </w:p>
        </w:tc>
        <w:tc>
          <w:tcPr>
            <w:tcW w:w="1728" w:type="dxa"/>
            <w:tcBorders>
              <w:top w:val="single" w:sz="4" w:space="0" w:color="auto"/>
              <w:left w:val="nil"/>
              <w:bottom w:val="single" w:sz="4" w:space="0" w:color="auto"/>
              <w:right w:val="nil"/>
            </w:tcBorders>
            <w:noWrap/>
            <w:hideMark/>
          </w:tcPr>
          <w:p w14:paraId="54C7719E"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1</w:t>
            </w:r>
          </w:p>
        </w:tc>
        <w:tc>
          <w:tcPr>
            <w:tcW w:w="1728" w:type="dxa"/>
            <w:tcBorders>
              <w:top w:val="single" w:sz="4" w:space="0" w:color="auto"/>
              <w:left w:val="nil"/>
              <w:bottom w:val="single" w:sz="4" w:space="0" w:color="auto"/>
              <w:right w:val="nil"/>
            </w:tcBorders>
            <w:noWrap/>
            <w:hideMark/>
          </w:tcPr>
          <w:p w14:paraId="025E9358"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1</w:t>
            </w:r>
          </w:p>
        </w:tc>
        <w:tc>
          <w:tcPr>
            <w:tcW w:w="1008" w:type="dxa"/>
            <w:tcBorders>
              <w:top w:val="single" w:sz="4" w:space="0" w:color="auto"/>
              <w:left w:val="nil"/>
              <w:bottom w:val="single" w:sz="4" w:space="0" w:color="auto"/>
              <w:right w:val="nil"/>
            </w:tcBorders>
            <w:noWrap/>
            <w:hideMark/>
          </w:tcPr>
          <w:p w14:paraId="01473B63"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9</w:t>
            </w:r>
          </w:p>
        </w:tc>
      </w:tr>
      <w:tr w:rsidR="0023336D" w:rsidRPr="00C90FBC" w14:paraId="73E03DD2" w14:textId="77777777" w:rsidTr="008E185F">
        <w:trPr>
          <w:trHeight w:val="57"/>
          <w:jc w:val="right"/>
        </w:trPr>
        <w:tc>
          <w:tcPr>
            <w:tcW w:w="3312" w:type="dxa"/>
            <w:noWrap/>
            <w:hideMark/>
          </w:tcPr>
          <w:p w14:paraId="28891D5B"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B. General Service category</w:t>
            </w:r>
          </w:p>
        </w:tc>
        <w:tc>
          <w:tcPr>
            <w:tcW w:w="1584" w:type="dxa"/>
            <w:noWrap/>
            <w:hideMark/>
          </w:tcPr>
          <w:p w14:paraId="2F3805DD" w14:textId="77777777" w:rsidR="0023336D" w:rsidRPr="00C90FBC" w:rsidRDefault="0023336D" w:rsidP="008E185F">
            <w:pPr>
              <w:pStyle w:val="Normal-pool"/>
              <w:spacing w:before="40" w:after="40"/>
              <w:jc w:val="right"/>
              <w:rPr>
                <w:b/>
                <w:bCs/>
                <w:sz w:val="18"/>
                <w:szCs w:val="18"/>
                <w:lang w:val="en-GB"/>
              </w:rPr>
            </w:pPr>
          </w:p>
        </w:tc>
        <w:tc>
          <w:tcPr>
            <w:tcW w:w="1728" w:type="dxa"/>
            <w:noWrap/>
            <w:hideMark/>
          </w:tcPr>
          <w:p w14:paraId="1345AA4B" w14:textId="77777777" w:rsidR="0023336D" w:rsidRPr="00C90FBC" w:rsidRDefault="0023336D" w:rsidP="008E185F">
            <w:pPr>
              <w:pStyle w:val="Normal-pool"/>
              <w:spacing w:before="40" w:after="40"/>
              <w:jc w:val="right"/>
              <w:rPr>
                <w:rFonts w:eastAsia="Times New Roman"/>
                <w:b/>
                <w:bCs/>
                <w:sz w:val="18"/>
                <w:szCs w:val="18"/>
                <w:lang w:val="en-GB" w:eastAsia="en-GB"/>
              </w:rPr>
            </w:pPr>
          </w:p>
        </w:tc>
        <w:tc>
          <w:tcPr>
            <w:tcW w:w="1728" w:type="dxa"/>
            <w:noWrap/>
            <w:hideMark/>
          </w:tcPr>
          <w:p w14:paraId="72A2C783" w14:textId="77777777" w:rsidR="0023336D" w:rsidRPr="00C90FBC" w:rsidRDefault="0023336D" w:rsidP="008E185F">
            <w:pPr>
              <w:pStyle w:val="Normal-pool"/>
              <w:spacing w:before="40" w:after="40"/>
              <w:jc w:val="right"/>
              <w:rPr>
                <w:rFonts w:eastAsia="Times New Roman"/>
                <w:b/>
                <w:bCs/>
                <w:sz w:val="18"/>
                <w:szCs w:val="18"/>
                <w:lang w:val="en-GB" w:eastAsia="en-GB"/>
              </w:rPr>
            </w:pPr>
          </w:p>
        </w:tc>
        <w:tc>
          <w:tcPr>
            <w:tcW w:w="1008" w:type="dxa"/>
            <w:noWrap/>
            <w:hideMark/>
          </w:tcPr>
          <w:p w14:paraId="69CCE0FD" w14:textId="77777777" w:rsidR="0023336D" w:rsidRPr="00C90FBC" w:rsidRDefault="0023336D" w:rsidP="008E185F">
            <w:pPr>
              <w:pStyle w:val="Normal-pool"/>
              <w:spacing w:before="40" w:after="40"/>
              <w:jc w:val="right"/>
              <w:rPr>
                <w:rFonts w:eastAsia="Times New Roman"/>
                <w:b/>
                <w:bCs/>
                <w:sz w:val="18"/>
                <w:szCs w:val="18"/>
                <w:lang w:val="en-GB" w:eastAsia="en-GB"/>
              </w:rPr>
            </w:pPr>
          </w:p>
        </w:tc>
      </w:tr>
      <w:tr w:rsidR="0023336D" w:rsidRPr="00C90FBC" w14:paraId="0D45BAB1" w14:textId="77777777" w:rsidTr="008E185F">
        <w:trPr>
          <w:trHeight w:val="57"/>
          <w:jc w:val="right"/>
        </w:trPr>
        <w:tc>
          <w:tcPr>
            <w:tcW w:w="3312" w:type="dxa"/>
            <w:noWrap/>
            <w:hideMark/>
          </w:tcPr>
          <w:p w14:paraId="7CB0A16A" w14:textId="77777777" w:rsidR="0023336D" w:rsidRPr="00C90FBC" w:rsidRDefault="0023336D" w:rsidP="008E185F">
            <w:pPr>
              <w:pStyle w:val="Normal-pool"/>
              <w:spacing w:before="40" w:after="40"/>
              <w:rPr>
                <w:sz w:val="18"/>
                <w:szCs w:val="18"/>
                <w:lang w:val="en-GB"/>
              </w:rPr>
            </w:pPr>
            <w:r w:rsidRPr="00C90FBC">
              <w:rPr>
                <w:sz w:val="18"/>
                <w:szCs w:val="18"/>
                <w:lang w:val="en-GB"/>
              </w:rPr>
              <w:t>GS</w:t>
            </w:r>
          </w:p>
        </w:tc>
        <w:tc>
          <w:tcPr>
            <w:tcW w:w="1584" w:type="dxa"/>
            <w:noWrap/>
            <w:hideMark/>
          </w:tcPr>
          <w:p w14:paraId="1F2D50BA"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4</w:t>
            </w:r>
          </w:p>
        </w:tc>
        <w:tc>
          <w:tcPr>
            <w:tcW w:w="1728" w:type="dxa"/>
            <w:noWrap/>
            <w:hideMark/>
          </w:tcPr>
          <w:p w14:paraId="287EB4BB"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sym w:font="Symbol" w:char="F02D"/>
            </w:r>
          </w:p>
        </w:tc>
        <w:tc>
          <w:tcPr>
            <w:tcW w:w="1728" w:type="dxa"/>
            <w:noWrap/>
            <w:hideMark/>
          </w:tcPr>
          <w:p w14:paraId="1FE83683"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1</w:t>
            </w:r>
          </w:p>
        </w:tc>
        <w:tc>
          <w:tcPr>
            <w:tcW w:w="1008" w:type="dxa"/>
            <w:noWrap/>
            <w:hideMark/>
          </w:tcPr>
          <w:p w14:paraId="2A800B7E" w14:textId="77777777" w:rsidR="0023336D" w:rsidRPr="00C90FBC" w:rsidRDefault="0023336D" w:rsidP="008E185F">
            <w:pPr>
              <w:pStyle w:val="Normal-pool"/>
              <w:spacing w:before="40" w:after="40"/>
              <w:jc w:val="right"/>
              <w:rPr>
                <w:sz w:val="18"/>
                <w:szCs w:val="18"/>
                <w:lang w:val="en-GB"/>
              </w:rPr>
            </w:pPr>
            <w:r w:rsidRPr="00C90FBC">
              <w:rPr>
                <w:sz w:val="18"/>
                <w:szCs w:val="18"/>
                <w:lang w:val="en-GB"/>
              </w:rPr>
              <w:t>5</w:t>
            </w:r>
          </w:p>
        </w:tc>
      </w:tr>
      <w:tr w:rsidR="0023336D" w:rsidRPr="00C90FBC" w14:paraId="182DFBA0" w14:textId="77777777" w:rsidTr="008E185F">
        <w:trPr>
          <w:trHeight w:val="57"/>
          <w:jc w:val="right"/>
        </w:trPr>
        <w:tc>
          <w:tcPr>
            <w:tcW w:w="3312" w:type="dxa"/>
            <w:tcBorders>
              <w:top w:val="single" w:sz="4" w:space="0" w:color="auto"/>
              <w:left w:val="nil"/>
              <w:bottom w:val="single" w:sz="4" w:space="0" w:color="auto"/>
              <w:right w:val="nil"/>
            </w:tcBorders>
            <w:noWrap/>
            <w:hideMark/>
          </w:tcPr>
          <w:p w14:paraId="4717CA94"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Subtotal (B)</w:t>
            </w:r>
          </w:p>
        </w:tc>
        <w:tc>
          <w:tcPr>
            <w:tcW w:w="1584" w:type="dxa"/>
            <w:tcBorders>
              <w:top w:val="single" w:sz="4" w:space="0" w:color="auto"/>
              <w:left w:val="nil"/>
              <w:bottom w:val="single" w:sz="4" w:space="0" w:color="auto"/>
              <w:right w:val="nil"/>
            </w:tcBorders>
            <w:noWrap/>
            <w:hideMark/>
          </w:tcPr>
          <w:p w14:paraId="76C36508"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4</w:t>
            </w:r>
          </w:p>
        </w:tc>
        <w:tc>
          <w:tcPr>
            <w:tcW w:w="1728" w:type="dxa"/>
            <w:tcBorders>
              <w:top w:val="single" w:sz="4" w:space="0" w:color="auto"/>
              <w:left w:val="nil"/>
              <w:bottom w:val="single" w:sz="4" w:space="0" w:color="auto"/>
              <w:right w:val="nil"/>
            </w:tcBorders>
            <w:noWrap/>
            <w:hideMark/>
          </w:tcPr>
          <w:p w14:paraId="4107D8DF"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0</w:t>
            </w:r>
          </w:p>
        </w:tc>
        <w:tc>
          <w:tcPr>
            <w:tcW w:w="1728" w:type="dxa"/>
            <w:tcBorders>
              <w:top w:val="single" w:sz="4" w:space="0" w:color="auto"/>
              <w:left w:val="nil"/>
              <w:bottom w:val="single" w:sz="4" w:space="0" w:color="auto"/>
              <w:right w:val="nil"/>
            </w:tcBorders>
            <w:noWrap/>
            <w:hideMark/>
          </w:tcPr>
          <w:p w14:paraId="6517AB51"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1</w:t>
            </w:r>
          </w:p>
        </w:tc>
        <w:tc>
          <w:tcPr>
            <w:tcW w:w="1008" w:type="dxa"/>
            <w:tcBorders>
              <w:top w:val="single" w:sz="4" w:space="0" w:color="auto"/>
              <w:left w:val="nil"/>
              <w:bottom w:val="single" w:sz="4" w:space="0" w:color="auto"/>
              <w:right w:val="nil"/>
            </w:tcBorders>
            <w:noWrap/>
            <w:hideMark/>
          </w:tcPr>
          <w:p w14:paraId="58142721"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5</w:t>
            </w:r>
          </w:p>
        </w:tc>
      </w:tr>
      <w:tr w:rsidR="0023336D" w:rsidRPr="00C90FBC" w14:paraId="52334CB4" w14:textId="77777777" w:rsidTr="008E185F">
        <w:trPr>
          <w:trHeight w:val="57"/>
          <w:jc w:val="right"/>
        </w:trPr>
        <w:tc>
          <w:tcPr>
            <w:tcW w:w="3312" w:type="dxa"/>
            <w:tcBorders>
              <w:top w:val="single" w:sz="4" w:space="0" w:color="auto"/>
              <w:left w:val="nil"/>
              <w:bottom w:val="single" w:sz="12" w:space="0" w:color="auto"/>
              <w:right w:val="nil"/>
            </w:tcBorders>
            <w:noWrap/>
            <w:hideMark/>
          </w:tcPr>
          <w:p w14:paraId="371AEC69" w14:textId="77777777" w:rsidR="0023336D" w:rsidRPr="00C90FBC" w:rsidRDefault="0023336D" w:rsidP="008E185F">
            <w:pPr>
              <w:pStyle w:val="Normal-pool"/>
              <w:spacing w:before="40" w:after="40"/>
              <w:rPr>
                <w:b/>
                <w:bCs/>
                <w:sz w:val="18"/>
                <w:szCs w:val="18"/>
                <w:lang w:val="en-GB"/>
              </w:rPr>
            </w:pPr>
            <w:r w:rsidRPr="00C90FBC">
              <w:rPr>
                <w:b/>
                <w:bCs/>
                <w:sz w:val="18"/>
                <w:szCs w:val="18"/>
                <w:lang w:val="en-GB"/>
              </w:rPr>
              <w:t>Total (A + B)</w:t>
            </w:r>
          </w:p>
        </w:tc>
        <w:tc>
          <w:tcPr>
            <w:tcW w:w="1584" w:type="dxa"/>
            <w:tcBorders>
              <w:top w:val="single" w:sz="4" w:space="0" w:color="auto"/>
              <w:left w:val="nil"/>
              <w:bottom w:val="single" w:sz="12" w:space="0" w:color="auto"/>
              <w:right w:val="nil"/>
            </w:tcBorders>
            <w:noWrap/>
            <w:hideMark/>
          </w:tcPr>
          <w:p w14:paraId="1EEC5655"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11</w:t>
            </w:r>
          </w:p>
        </w:tc>
        <w:tc>
          <w:tcPr>
            <w:tcW w:w="1728" w:type="dxa"/>
            <w:tcBorders>
              <w:top w:val="single" w:sz="4" w:space="0" w:color="auto"/>
              <w:left w:val="nil"/>
              <w:bottom w:val="single" w:sz="12" w:space="0" w:color="auto"/>
              <w:right w:val="nil"/>
            </w:tcBorders>
            <w:noWrap/>
            <w:hideMark/>
          </w:tcPr>
          <w:p w14:paraId="6BB8BAB7"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1</w:t>
            </w:r>
          </w:p>
        </w:tc>
        <w:tc>
          <w:tcPr>
            <w:tcW w:w="1728" w:type="dxa"/>
            <w:tcBorders>
              <w:top w:val="single" w:sz="4" w:space="0" w:color="auto"/>
              <w:left w:val="nil"/>
              <w:bottom w:val="single" w:sz="12" w:space="0" w:color="auto"/>
              <w:right w:val="nil"/>
            </w:tcBorders>
            <w:noWrap/>
            <w:hideMark/>
          </w:tcPr>
          <w:p w14:paraId="28DFF565"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2</w:t>
            </w:r>
          </w:p>
        </w:tc>
        <w:tc>
          <w:tcPr>
            <w:tcW w:w="1008" w:type="dxa"/>
            <w:tcBorders>
              <w:top w:val="single" w:sz="4" w:space="0" w:color="auto"/>
              <w:left w:val="nil"/>
              <w:bottom w:val="single" w:sz="12" w:space="0" w:color="auto"/>
              <w:right w:val="nil"/>
            </w:tcBorders>
            <w:noWrap/>
            <w:hideMark/>
          </w:tcPr>
          <w:p w14:paraId="32D5E15C" w14:textId="77777777" w:rsidR="0023336D" w:rsidRPr="00C90FBC" w:rsidRDefault="0023336D" w:rsidP="008E185F">
            <w:pPr>
              <w:pStyle w:val="Normal-pool"/>
              <w:spacing w:before="40" w:after="40"/>
              <w:jc w:val="right"/>
              <w:rPr>
                <w:b/>
                <w:bCs/>
                <w:sz w:val="18"/>
                <w:szCs w:val="18"/>
                <w:lang w:val="en-GB"/>
              </w:rPr>
            </w:pPr>
            <w:r w:rsidRPr="00C90FBC">
              <w:rPr>
                <w:b/>
                <w:bCs/>
                <w:sz w:val="18"/>
                <w:szCs w:val="18"/>
                <w:lang w:val="en-GB"/>
              </w:rPr>
              <w:t>14</w:t>
            </w:r>
          </w:p>
        </w:tc>
      </w:tr>
    </w:tbl>
    <w:p w14:paraId="15127DC5" w14:textId="77777777" w:rsidR="0023336D" w:rsidRPr="00C90FBC" w:rsidRDefault="0023336D" w:rsidP="0023336D">
      <w:pPr>
        <w:pStyle w:val="NormalNonumber"/>
        <w:spacing w:before="60" w:after="0"/>
        <w:rPr>
          <w:sz w:val="18"/>
          <w:szCs w:val="18"/>
          <w:lang w:val="en-GB"/>
        </w:rPr>
      </w:pPr>
      <w:r w:rsidRPr="00C90FBC">
        <w:rPr>
          <w:i/>
          <w:sz w:val="18"/>
          <w:szCs w:val="18"/>
          <w:lang w:val="en-GB"/>
        </w:rPr>
        <w:tab/>
        <w:t>Note</w:t>
      </w:r>
      <w:r w:rsidRPr="00C90FBC">
        <w:rPr>
          <w:sz w:val="18"/>
          <w:szCs w:val="18"/>
          <w:lang w:val="en-GB"/>
        </w:rPr>
        <w:t>: The staffing table includes the reclassification of two G-4 posts to G-5. In addition, Italy is funding a P-2 Junior Professional Officer post until October 2023.</w:t>
      </w:r>
    </w:p>
    <w:p w14:paraId="4985A968" w14:textId="016FA305" w:rsidR="00962471" w:rsidRDefault="00962471" w:rsidP="0023336D">
      <w:pPr>
        <w:pStyle w:val="CH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15442E" w14:paraId="2F4BBBDC" w14:textId="77777777" w:rsidTr="0015442E">
        <w:tc>
          <w:tcPr>
            <w:tcW w:w="1897" w:type="dxa"/>
          </w:tcPr>
          <w:p w14:paraId="27C0D419" w14:textId="77777777" w:rsidR="0015442E" w:rsidRDefault="0015442E" w:rsidP="0015442E">
            <w:pPr>
              <w:pStyle w:val="Normal-pool"/>
            </w:pPr>
          </w:p>
        </w:tc>
        <w:tc>
          <w:tcPr>
            <w:tcW w:w="1897" w:type="dxa"/>
          </w:tcPr>
          <w:p w14:paraId="2B958A57" w14:textId="77777777" w:rsidR="0015442E" w:rsidRDefault="0015442E" w:rsidP="0015442E">
            <w:pPr>
              <w:pStyle w:val="Normal-pool"/>
            </w:pPr>
          </w:p>
        </w:tc>
        <w:tc>
          <w:tcPr>
            <w:tcW w:w="1897" w:type="dxa"/>
            <w:tcBorders>
              <w:bottom w:val="single" w:sz="4" w:space="0" w:color="auto"/>
            </w:tcBorders>
          </w:tcPr>
          <w:p w14:paraId="22E8FB7B" w14:textId="77777777" w:rsidR="0015442E" w:rsidRDefault="0015442E" w:rsidP="00202479">
            <w:pPr>
              <w:pStyle w:val="Normal-pool"/>
            </w:pPr>
          </w:p>
        </w:tc>
        <w:tc>
          <w:tcPr>
            <w:tcW w:w="1897" w:type="dxa"/>
          </w:tcPr>
          <w:p w14:paraId="5F046949" w14:textId="77777777" w:rsidR="0015442E" w:rsidRDefault="0015442E" w:rsidP="0015442E">
            <w:pPr>
              <w:pStyle w:val="Normal-pool"/>
            </w:pPr>
          </w:p>
        </w:tc>
        <w:tc>
          <w:tcPr>
            <w:tcW w:w="1898" w:type="dxa"/>
          </w:tcPr>
          <w:p w14:paraId="4747F9EC" w14:textId="77777777" w:rsidR="0015442E" w:rsidRDefault="0015442E" w:rsidP="0015442E">
            <w:pPr>
              <w:pStyle w:val="Normal-pool"/>
            </w:pPr>
          </w:p>
        </w:tc>
      </w:tr>
    </w:tbl>
    <w:p w14:paraId="0772BAB2" w14:textId="77777777" w:rsidR="0015442E" w:rsidRDefault="0015442E" w:rsidP="0015442E">
      <w:pPr>
        <w:pStyle w:val="Normal-pool"/>
      </w:pPr>
    </w:p>
    <w:sectPr w:rsidR="0015442E" w:rsidSect="0015442E">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4DFF0" w14:textId="77777777" w:rsidR="00671431" w:rsidRDefault="00671431">
      <w:r>
        <w:separator/>
      </w:r>
    </w:p>
  </w:endnote>
  <w:endnote w:type="continuationSeparator" w:id="0">
    <w:p w14:paraId="0A1E732E" w14:textId="77777777" w:rsidR="00671431" w:rsidRDefault="00671431">
      <w:r>
        <w:continuationSeparator/>
      </w:r>
    </w:p>
  </w:endnote>
  <w:endnote w:type="continuationNotice" w:id="1">
    <w:p w14:paraId="129D311B" w14:textId="77777777" w:rsidR="00671431" w:rsidRDefault="006714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Lucida Grande">
    <w:charset w:val="00"/>
    <w:family w:val="swiss"/>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0EEF2" w14:textId="77777777" w:rsidR="00123699" w:rsidRPr="00F96910" w:rsidRDefault="00123699" w:rsidP="00F96910">
    <w:pPr>
      <w:pStyle w:val="Footer-pool"/>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F7542C" w:rsidRPr="0015442E">
      <w:rPr>
        <w:rStyle w:val="PageNumber"/>
        <w:b/>
        <w:noProof/>
      </w:rPr>
      <w:t>2</w:t>
    </w:r>
    <w:r w:rsidRPr="0015442E">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1A013" w14:textId="77777777" w:rsidR="00123699" w:rsidRPr="0015442E" w:rsidRDefault="00123699" w:rsidP="00F96910">
    <w:pPr>
      <w:pStyle w:val="Footer-pool"/>
      <w:jc w:val="right"/>
      <w:rPr>
        <w:b w:val="0"/>
      </w:rPr>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250B6D" w:rsidRPr="0015442E">
      <w:rPr>
        <w:rStyle w:val="PageNumber"/>
        <w:b/>
        <w:noProof/>
      </w:rPr>
      <w:t>3</w:t>
    </w:r>
    <w:r w:rsidRPr="0015442E">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6A59F" w14:textId="0834AFD3" w:rsidR="0015442E" w:rsidRDefault="0015442E" w:rsidP="0015442E">
    <w:pPr>
      <w:pStyle w:val="Normal-pool"/>
    </w:pPr>
    <w:r>
      <w:tab/>
    </w:r>
    <w:r w:rsidR="0015019D" w:rsidRPr="007769D4">
      <w:t>0</w:t>
    </w:r>
    <w:r w:rsidR="007769D4" w:rsidRPr="007769D4">
      <w:t>311</w:t>
    </w:r>
    <w:r w:rsidR="003402F4" w:rsidRPr="007769D4">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ABCA4" w14:textId="77777777" w:rsidR="00671431" w:rsidRPr="0072353B" w:rsidRDefault="00671431" w:rsidP="0072353B">
      <w:pPr>
        <w:tabs>
          <w:tab w:val="left" w:pos="624"/>
        </w:tabs>
        <w:spacing w:before="60"/>
        <w:ind w:left="624"/>
        <w:rPr>
          <w:sz w:val="18"/>
          <w:szCs w:val="18"/>
        </w:rPr>
      </w:pPr>
      <w:r w:rsidRPr="0072353B">
        <w:rPr>
          <w:sz w:val="18"/>
          <w:szCs w:val="18"/>
        </w:rPr>
        <w:separator/>
      </w:r>
    </w:p>
  </w:footnote>
  <w:footnote w:type="continuationSeparator" w:id="0">
    <w:p w14:paraId="0D44085C" w14:textId="77777777" w:rsidR="00671431" w:rsidRDefault="00671431">
      <w:r>
        <w:continuationSeparator/>
      </w:r>
    </w:p>
  </w:footnote>
  <w:footnote w:type="continuationNotice" w:id="1">
    <w:p w14:paraId="010F6BA2" w14:textId="77777777" w:rsidR="00671431" w:rsidRDefault="00671431"/>
  </w:footnote>
  <w:footnote w:id="2">
    <w:p w14:paraId="32CDAFFD" w14:textId="77777777" w:rsidR="0023336D" w:rsidRPr="001244B4" w:rsidRDefault="0023336D" w:rsidP="0023336D">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BB4CD4">
        <w:rPr>
          <w:rStyle w:val="FootnoteReference"/>
          <w:sz w:val="18"/>
        </w:rPr>
        <w:footnoteRef/>
      </w:r>
      <w:r w:rsidRPr="00BB4CD4">
        <w:rPr>
          <w:sz w:val="18"/>
          <w:szCs w:val="18"/>
        </w:rPr>
        <w:t xml:space="preserve"> </w:t>
      </w:r>
      <w:r w:rsidRPr="001244B4">
        <w:rPr>
          <w:sz w:val="18"/>
          <w:szCs w:val="18"/>
        </w:rPr>
        <w:t>UNEP/MC/COP.4/24.</w:t>
      </w:r>
    </w:p>
  </w:footnote>
  <w:footnote w:id="3">
    <w:p w14:paraId="17E54718" w14:textId="77777777" w:rsidR="0023336D" w:rsidRPr="001244B4" w:rsidRDefault="0023336D" w:rsidP="0023336D">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1244B4">
        <w:rPr>
          <w:rStyle w:val="FootnoteReference"/>
          <w:sz w:val="18"/>
        </w:rPr>
        <w:footnoteRef/>
      </w:r>
      <w:r w:rsidRPr="001244B4">
        <w:rPr>
          <w:sz w:val="18"/>
          <w:szCs w:val="18"/>
        </w:rPr>
        <w:t xml:space="preserve"> UNEP/MC/COP.4/INF/21.</w:t>
      </w:r>
    </w:p>
  </w:footnote>
  <w:footnote w:id="4">
    <w:p w14:paraId="51E51BF4" w14:textId="77777777" w:rsidR="0023336D" w:rsidRPr="001244B4" w:rsidRDefault="0023336D" w:rsidP="0023336D">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1244B4">
        <w:rPr>
          <w:rStyle w:val="FootnoteReference"/>
          <w:sz w:val="18"/>
        </w:rPr>
        <w:footnoteRef/>
      </w:r>
      <w:r w:rsidRPr="001244B4">
        <w:rPr>
          <w:sz w:val="18"/>
          <w:szCs w:val="18"/>
        </w:rPr>
        <w:t xml:space="preserve"> UNEP/MC/COP.4/INF/22.</w:t>
      </w:r>
    </w:p>
  </w:footnote>
  <w:footnote w:id="5">
    <w:p w14:paraId="5D6E329F" w14:textId="77777777" w:rsidR="0023336D" w:rsidRPr="001244B4" w:rsidRDefault="0023336D" w:rsidP="0023336D">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1244B4">
        <w:rPr>
          <w:rStyle w:val="FootnoteReference"/>
          <w:sz w:val="18"/>
        </w:rPr>
        <w:footnoteRef/>
      </w:r>
      <w:r w:rsidRPr="001244B4">
        <w:rPr>
          <w:sz w:val="18"/>
          <w:szCs w:val="18"/>
        </w:rPr>
        <w:t xml:space="preserve"> UNEP/MC/COP.4/19.</w:t>
      </w:r>
    </w:p>
  </w:footnote>
  <w:footnote w:id="6">
    <w:p w14:paraId="6798F126" w14:textId="77777777" w:rsidR="0023336D" w:rsidRPr="00BB4CD4" w:rsidRDefault="0023336D" w:rsidP="0023336D">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1244B4">
        <w:rPr>
          <w:rStyle w:val="FootnoteReference"/>
          <w:sz w:val="18"/>
        </w:rPr>
        <w:footnoteRef/>
      </w:r>
      <w:r w:rsidRPr="001244B4">
        <w:rPr>
          <w:sz w:val="18"/>
          <w:szCs w:val="18"/>
        </w:rPr>
        <w:t xml:space="preserve"> UNEP/MC/COP.4/23.</w:t>
      </w:r>
    </w:p>
  </w:footnote>
  <w:footnote w:id="7">
    <w:p w14:paraId="71683484" w14:textId="77777777" w:rsidR="0023336D" w:rsidRPr="00BB4CD4" w:rsidRDefault="0023336D" w:rsidP="0023336D">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BB4CD4">
        <w:rPr>
          <w:rStyle w:val="FootnoteReference"/>
          <w:sz w:val="18"/>
        </w:rPr>
        <w:footnoteRef/>
      </w:r>
      <w:r w:rsidRPr="00BB4CD4">
        <w:rPr>
          <w:sz w:val="18"/>
          <w:szCs w:val="18"/>
        </w:rPr>
        <w:t xml:space="preserve"> UNEP/MC/COP.4/INF/21.</w:t>
      </w:r>
    </w:p>
  </w:footnote>
  <w:footnote w:id="8">
    <w:p w14:paraId="45B39381" w14:textId="77777777" w:rsidR="0023336D" w:rsidRPr="00BB4CD4" w:rsidRDefault="0023336D" w:rsidP="0023336D">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BB4CD4">
        <w:rPr>
          <w:rStyle w:val="FootnoteReference"/>
          <w:sz w:val="18"/>
        </w:rPr>
        <w:footnoteRef/>
      </w:r>
      <w:r w:rsidRPr="00BB4CD4">
        <w:rPr>
          <w:sz w:val="18"/>
          <w:szCs w:val="18"/>
        </w:rPr>
        <w:t xml:space="preserve"> UNEP/MC/COP.4/19.</w:t>
      </w:r>
    </w:p>
  </w:footnote>
  <w:footnote w:id="9">
    <w:p w14:paraId="152E96E7" w14:textId="77777777" w:rsidR="0023336D" w:rsidRPr="00BB4CD4" w:rsidRDefault="0023336D" w:rsidP="0023336D">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BB4CD4">
        <w:rPr>
          <w:rStyle w:val="FootnoteReference"/>
          <w:sz w:val="18"/>
        </w:rPr>
        <w:footnoteRef/>
      </w:r>
      <w:r w:rsidRPr="00BB4CD4">
        <w:rPr>
          <w:sz w:val="18"/>
          <w:szCs w:val="18"/>
        </w:rPr>
        <w:t xml:space="preserve"> UNEP/MC/COP.4/23.</w:t>
      </w:r>
    </w:p>
  </w:footnote>
  <w:footnote w:id="10">
    <w:p w14:paraId="375FE9FE" w14:textId="77777777" w:rsidR="0023336D" w:rsidRPr="00BB4CD4" w:rsidRDefault="0023336D" w:rsidP="0023336D">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BB4CD4">
        <w:rPr>
          <w:rStyle w:val="FootnoteReference"/>
          <w:sz w:val="18"/>
        </w:rPr>
        <w:footnoteRef/>
      </w:r>
      <w:r w:rsidRPr="00BB4CD4">
        <w:rPr>
          <w:sz w:val="18"/>
          <w:szCs w:val="18"/>
        </w:rPr>
        <w:t xml:space="preserve"> UNEP/MC/COP.4/24.</w:t>
      </w:r>
    </w:p>
  </w:footnote>
  <w:footnote w:id="11">
    <w:p w14:paraId="75A09973" w14:textId="77777777" w:rsidR="0023336D" w:rsidRPr="00BB4CD4" w:rsidRDefault="0023336D" w:rsidP="0023336D">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BB4CD4">
        <w:rPr>
          <w:rStyle w:val="FootnoteReference"/>
          <w:sz w:val="18"/>
        </w:rPr>
        <w:footnoteRef/>
      </w:r>
      <w:r w:rsidRPr="00BB4CD4">
        <w:rPr>
          <w:sz w:val="18"/>
          <w:szCs w:val="18"/>
        </w:rPr>
        <w:t xml:space="preserve"> UNEP/MC/COP.3/INF/21.</w:t>
      </w:r>
    </w:p>
  </w:footnote>
  <w:footnote w:id="12">
    <w:p w14:paraId="2D2BCB5D" w14:textId="77777777" w:rsidR="0023336D" w:rsidRPr="00BB4CD4" w:rsidRDefault="0023336D" w:rsidP="0023336D">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BB4CD4">
        <w:rPr>
          <w:rStyle w:val="FootnoteReference"/>
          <w:sz w:val="18"/>
        </w:rPr>
        <w:footnoteRef/>
      </w:r>
      <w:r w:rsidRPr="00BB4CD4">
        <w:rPr>
          <w:sz w:val="18"/>
          <w:szCs w:val="18"/>
        </w:rPr>
        <w:t xml:space="preserve"> UNEP/MC/COP.3/INF/22.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2D0A7" w14:textId="0B802A08" w:rsidR="00123699" w:rsidRPr="00F96910" w:rsidRDefault="00F96910" w:rsidP="00F96910">
    <w:pPr>
      <w:pStyle w:val="Header-pool"/>
    </w:pPr>
    <w:r w:rsidRPr="00F96910">
      <w:t>UNEP/MC</w:t>
    </w:r>
    <w:r w:rsidR="00EA2CF9">
      <w:t>/</w:t>
    </w:r>
    <w:r w:rsidRPr="00F96910">
      <w:t>COP.</w:t>
    </w:r>
    <w:r w:rsidR="003402F4">
      <w:t>4</w:t>
    </w:r>
    <w:r w:rsidRPr="00F96910">
      <w:t>/</w:t>
    </w:r>
    <w:r w:rsidR="003402F4">
      <w:t>Dec.</w:t>
    </w:r>
    <w:r w:rsidR="0023336D">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60FB5" w14:textId="7CC97F71" w:rsidR="00123699" w:rsidRPr="00392F9C" w:rsidRDefault="00F96910" w:rsidP="00F96910">
    <w:pPr>
      <w:pStyle w:val="Header-pool"/>
      <w:jc w:val="right"/>
      <w:rPr>
        <w:szCs w:val="18"/>
      </w:rPr>
    </w:pPr>
    <w:r w:rsidRPr="00F96910">
      <w:t>UNEP/MC</w:t>
    </w:r>
    <w:r w:rsidR="00EA2CF9">
      <w:t>/</w:t>
    </w:r>
    <w:r w:rsidRPr="00F96910">
      <w:t>COP.</w:t>
    </w:r>
    <w:r w:rsidR="00E36FE3">
      <w:t>4</w:t>
    </w:r>
    <w:r w:rsidRPr="00F96910">
      <w:t>/</w:t>
    </w:r>
    <w:r w:rsidR="00E36FE3">
      <w:t>Dec.</w:t>
    </w:r>
    <w:r w:rsidR="0023336D">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5AB74" w14:textId="77777777" w:rsidR="00C059F0" w:rsidRPr="00F7542C" w:rsidRDefault="00C059F0" w:rsidP="00F7542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42E90"/>
    <w:multiLevelType w:val="hybridMultilevel"/>
    <w:tmpl w:val="F894EBB2"/>
    <w:lvl w:ilvl="0" w:tplc="B776CA36">
      <w:start w:val="1"/>
      <w:numFmt w:val="lowerLetter"/>
      <w:lvlText w:val="(%1)"/>
      <w:lvlJc w:val="left"/>
      <w:pPr>
        <w:ind w:left="2591" w:hanging="360"/>
      </w:pPr>
    </w:lvl>
    <w:lvl w:ilvl="1" w:tplc="08090019">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abstractNum w:abstractNumId="1" w15:restartNumberingAfterBreak="0">
    <w:nsid w:val="52A66A9D"/>
    <w:multiLevelType w:val="multilevel"/>
    <w:tmpl w:val="C0FC335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removePersonalInformation/>
  <w:removeDateAndTime/>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9"/>
  <w:hyphenationZone w:val="425"/>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2F4"/>
    <w:rsid w:val="000149E6"/>
    <w:rsid w:val="000247B0"/>
    <w:rsid w:val="00026997"/>
    <w:rsid w:val="00033E0B"/>
    <w:rsid w:val="00035EDE"/>
    <w:rsid w:val="00044340"/>
    <w:rsid w:val="000509B4"/>
    <w:rsid w:val="0006035B"/>
    <w:rsid w:val="00071886"/>
    <w:rsid w:val="00074135"/>
    <w:rsid w:val="000742BC"/>
    <w:rsid w:val="00082A0C"/>
    <w:rsid w:val="00083504"/>
    <w:rsid w:val="000941E5"/>
    <w:rsid w:val="0009640C"/>
    <w:rsid w:val="000B22A2"/>
    <w:rsid w:val="000C0F46"/>
    <w:rsid w:val="000C2A52"/>
    <w:rsid w:val="000D0733"/>
    <w:rsid w:val="000D33C0"/>
    <w:rsid w:val="000D6941"/>
    <w:rsid w:val="001202E3"/>
    <w:rsid w:val="00123699"/>
    <w:rsid w:val="0012644F"/>
    <w:rsid w:val="0013059D"/>
    <w:rsid w:val="00141A55"/>
    <w:rsid w:val="001446A3"/>
    <w:rsid w:val="00145960"/>
    <w:rsid w:val="0015019D"/>
    <w:rsid w:val="0015442E"/>
    <w:rsid w:val="00155395"/>
    <w:rsid w:val="00160D74"/>
    <w:rsid w:val="00167D02"/>
    <w:rsid w:val="00181EC8"/>
    <w:rsid w:val="00184349"/>
    <w:rsid w:val="00193DC9"/>
    <w:rsid w:val="00195E9F"/>
    <w:rsid w:val="00195F33"/>
    <w:rsid w:val="001B1617"/>
    <w:rsid w:val="001B504B"/>
    <w:rsid w:val="001B7D42"/>
    <w:rsid w:val="001D3874"/>
    <w:rsid w:val="001D7E75"/>
    <w:rsid w:val="001E56D2"/>
    <w:rsid w:val="001E7D56"/>
    <w:rsid w:val="001F75DE"/>
    <w:rsid w:val="00200D58"/>
    <w:rsid w:val="002013BE"/>
    <w:rsid w:val="00202479"/>
    <w:rsid w:val="002063A4"/>
    <w:rsid w:val="0021145B"/>
    <w:rsid w:val="0023336D"/>
    <w:rsid w:val="00234B59"/>
    <w:rsid w:val="00243D36"/>
    <w:rsid w:val="00247707"/>
    <w:rsid w:val="00250B6D"/>
    <w:rsid w:val="0026018E"/>
    <w:rsid w:val="00260799"/>
    <w:rsid w:val="00275DA1"/>
    <w:rsid w:val="002768BA"/>
    <w:rsid w:val="00286740"/>
    <w:rsid w:val="002929D8"/>
    <w:rsid w:val="002A1C1C"/>
    <w:rsid w:val="002A237D"/>
    <w:rsid w:val="002A4C53"/>
    <w:rsid w:val="002B0672"/>
    <w:rsid w:val="002B247F"/>
    <w:rsid w:val="002C145D"/>
    <w:rsid w:val="002C2C3E"/>
    <w:rsid w:val="002C533E"/>
    <w:rsid w:val="002D027F"/>
    <w:rsid w:val="002D7A85"/>
    <w:rsid w:val="002D7B60"/>
    <w:rsid w:val="002F4761"/>
    <w:rsid w:val="002F5C79"/>
    <w:rsid w:val="003019E2"/>
    <w:rsid w:val="0031413F"/>
    <w:rsid w:val="003148BB"/>
    <w:rsid w:val="00317976"/>
    <w:rsid w:val="00324B1A"/>
    <w:rsid w:val="003402F4"/>
    <w:rsid w:val="00355EA9"/>
    <w:rsid w:val="003578DE"/>
    <w:rsid w:val="00362047"/>
    <w:rsid w:val="0036669D"/>
    <w:rsid w:val="00372781"/>
    <w:rsid w:val="00386AB0"/>
    <w:rsid w:val="0039169B"/>
    <w:rsid w:val="00392F9C"/>
    <w:rsid w:val="00396257"/>
    <w:rsid w:val="003963DF"/>
    <w:rsid w:val="00397EB8"/>
    <w:rsid w:val="003A1C5B"/>
    <w:rsid w:val="003A4FD0"/>
    <w:rsid w:val="003A69D1"/>
    <w:rsid w:val="003A7705"/>
    <w:rsid w:val="003A77F1"/>
    <w:rsid w:val="003B1545"/>
    <w:rsid w:val="003B5FFF"/>
    <w:rsid w:val="003C409D"/>
    <w:rsid w:val="003C5BA6"/>
    <w:rsid w:val="003D104A"/>
    <w:rsid w:val="003E6F41"/>
    <w:rsid w:val="003E7DE3"/>
    <w:rsid w:val="003F06BB"/>
    <w:rsid w:val="003F0E85"/>
    <w:rsid w:val="00410C55"/>
    <w:rsid w:val="00416854"/>
    <w:rsid w:val="00417725"/>
    <w:rsid w:val="00437F26"/>
    <w:rsid w:val="00444097"/>
    <w:rsid w:val="00445487"/>
    <w:rsid w:val="0045459C"/>
    <w:rsid w:val="00454769"/>
    <w:rsid w:val="00466991"/>
    <w:rsid w:val="0047064C"/>
    <w:rsid w:val="00477921"/>
    <w:rsid w:val="00494164"/>
    <w:rsid w:val="004A42E1"/>
    <w:rsid w:val="004B162C"/>
    <w:rsid w:val="004B614E"/>
    <w:rsid w:val="004C3DBE"/>
    <w:rsid w:val="004C5C96"/>
    <w:rsid w:val="004D06A4"/>
    <w:rsid w:val="004F1A81"/>
    <w:rsid w:val="0050052E"/>
    <w:rsid w:val="005218D9"/>
    <w:rsid w:val="00534862"/>
    <w:rsid w:val="00536186"/>
    <w:rsid w:val="005369CB"/>
    <w:rsid w:val="00544CBB"/>
    <w:rsid w:val="00547FDC"/>
    <w:rsid w:val="00551104"/>
    <w:rsid w:val="00561676"/>
    <w:rsid w:val="00566B59"/>
    <w:rsid w:val="0057315F"/>
    <w:rsid w:val="00576104"/>
    <w:rsid w:val="005B42A6"/>
    <w:rsid w:val="005C67C8"/>
    <w:rsid w:val="005D0249"/>
    <w:rsid w:val="005D1DA1"/>
    <w:rsid w:val="005D6E8C"/>
    <w:rsid w:val="005F100C"/>
    <w:rsid w:val="005F68DA"/>
    <w:rsid w:val="0060773B"/>
    <w:rsid w:val="006157B5"/>
    <w:rsid w:val="00622D02"/>
    <w:rsid w:val="00626FC6"/>
    <w:rsid w:val="006303B4"/>
    <w:rsid w:val="00633D3D"/>
    <w:rsid w:val="00641703"/>
    <w:rsid w:val="006431A6"/>
    <w:rsid w:val="006459F6"/>
    <w:rsid w:val="006501AD"/>
    <w:rsid w:val="00651BFA"/>
    <w:rsid w:val="006520E8"/>
    <w:rsid w:val="00654475"/>
    <w:rsid w:val="00665A4B"/>
    <w:rsid w:val="00671431"/>
    <w:rsid w:val="006717E6"/>
    <w:rsid w:val="00673665"/>
    <w:rsid w:val="00680611"/>
    <w:rsid w:val="00692E2A"/>
    <w:rsid w:val="006A5620"/>
    <w:rsid w:val="006A76F2"/>
    <w:rsid w:val="006D4F04"/>
    <w:rsid w:val="006D7EFB"/>
    <w:rsid w:val="006E6672"/>
    <w:rsid w:val="006E6722"/>
    <w:rsid w:val="006F5276"/>
    <w:rsid w:val="007027B9"/>
    <w:rsid w:val="00715E88"/>
    <w:rsid w:val="0072353B"/>
    <w:rsid w:val="00734CAA"/>
    <w:rsid w:val="00741B20"/>
    <w:rsid w:val="00751150"/>
    <w:rsid w:val="0075533C"/>
    <w:rsid w:val="00757581"/>
    <w:rsid w:val="007611A0"/>
    <w:rsid w:val="0076147A"/>
    <w:rsid w:val="007769D4"/>
    <w:rsid w:val="007828A5"/>
    <w:rsid w:val="007841F5"/>
    <w:rsid w:val="00796D3F"/>
    <w:rsid w:val="007A1683"/>
    <w:rsid w:val="007A5C12"/>
    <w:rsid w:val="007A7CB0"/>
    <w:rsid w:val="007B24F8"/>
    <w:rsid w:val="007B68A3"/>
    <w:rsid w:val="007C2541"/>
    <w:rsid w:val="007C521D"/>
    <w:rsid w:val="007D66A8"/>
    <w:rsid w:val="007E003F"/>
    <w:rsid w:val="007F11CD"/>
    <w:rsid w:val="008164F2"/>
    <w:rsid w:val="008201A2"/>
    <w:rsid w:val="00821395"/>
    <w:rsid w:val="00824FC7"/>
    <w:rsid w:val="00830E26"/>
    <w:rsid w:val="00843576"/>
    <w:rsid w:val="00843B64"/>
    <w:rsid w:val="008478FC"/>
    <w:rsid w:val="00867BFF"/>
    <w:rsid w:val="0088480A"/>
    <w:rsid w:val="0088757A"/>
    <w:rsid w:val="008957DD"/>
    <w:rsid w:val="008970CD"/>
    <w:rsid w:val="00897D98"/>
    <w:rsid w:val="008A3441"/>
    <w:rsid w:val="008A6DF2"/>
    <w:rsid w:val="008A7807"/>
    <w:rsid w:val="008B4CC9"/>
    <w:rsid w:val="008D7C99"/>
    <w:rsid w:val="008E0FCB"/>
    <w:rsid w:val="008F201B"/>
    <w:rsid w:val="008F5D00"/>
    <w:rsid w:val="0092178C"/>
    <w:rsid w:val="00930B88"/>
    <w:rsid w:val="00930E68"/>
    <w:rsid w:val="0094095A"/>
    <w:rsid w:val="00940DCC"/>
    <w:rsid w:val="0094179A"/>
    <w:rsid w:val="0094459E"/>
    <w:rsid w:val="00944DBC"/>
    <w:rsid w:val="009473C6"/>
    <w:rsid w:val="00950977"/>
    <w:rsid w:val="00951A7B"/>
    <w:rsid w:val="009564A6"/>
    <w:rsid w:val="00962471"/>
    <w:rsid w:val="00967621"/>
    <w:rsid w:val="00967E6A"/>
    <w:rsid w:val="00984069"/>
    <w:rsid w:val="00992DE3"/>
    <w:rsid w:val="009B4A0F"/>
    <w:rsid w:val="009C11D2"/>
    <w:rsid w:val="009C6C70"/>
    <w:rsid w:val="009D0B63"/>
    <w:rsid w:val="009D7B82"/>
    <w:rsid w:val="009E24BE"/>
    <w:rsid w:val="009E2F3F"/>
    <w:rsid w:val="009E307E"/>
    <w:rsid w:val="00A001C6"/>
    <w:rsid w:val="00A03B6E"/>
    <w:rsid w:val="00A07870"/>
    <w:rsid w:val="00A07F19"/>
    <w:rsid w:val="00A11B9F"/>
    <w:rsid w:val="00A1348D"/>
    <w:rsid w:val="00A142E9"/>
    <w:rsid w:val="00A232EE"/>
    <w:rsid w:val="00A32F74"/>
    <w:rsid w:val="00A3546E"/>
    <w:rsid w:val="00A35EA7"/>
    <w:rsid w:val="00A4175F"/>
    <w:rsid w:val="00A44411"/>
    <w:rsid w:val="00A469FA"/>
    <w:rsid w:val="00A55B01"/>
    <w:rsid w:val="00A56B5B"/>
    <w:rsid w:val="00A603FF"/>
    <w:rsid w:val="00A657DD"/>
    <w:rsid w:val="00A666A6"/>
    <w:rsid w:val="00A675FD"/>
    <w:rsid w:val="00A706CF"/>
    <w:rsid w:val="00A71EFB"/>
    <w:rsid w:val="00A72437"/>
    <w:rsid w:val="00A80611"/>
    <w:rsid w:val="00AB5340"/>
    <w:rsid w:val="00AC0A89"/>
    <w:rsid w:val="00AC5CBF"/>
    <w:rsid w:val="00AC7C96"/>
    <w:rsid w:val="00AD17C4"/>
    <w:rsid w:val="00AE237D"/>
    <w:rsid w:val="00AE502A"/>
    <w:rsid w:val="00AF7C07"/>
    <w:rsid w:val="00B11663"/>
    <w:rsid w:val="00B12B35"/>
    <w:rsid w:val="00B22C93"/>
    <w:rsid w:val="00B27589"/>
    <w:rsid w:val="00B405B7"/>
    <w:rsid w:val="00B40CD8"/>
    <w:rsid w:val="00B4162D"/>
    <w:rsid w:val="00B52222"/>
    <w:rsid w:val="00B52657"/>
    <w:rsid w:val="00B5428A"/>
    <w:rsid w:val="00B54847"/>
    <w:rsid w:val="00B54FE7"/>
    <w:rsid w:val="00B66901"/>
    <w:rsid w:val="00B71E6D"/>
    <w:rsid w:val="00B72070"/>
    <w:rsid w:val="00B737E9"/>
    <w:rsid w:val="00B779E1"/>
    <w:rsid w:val="00B849E3"/>
    <w:rsid w:val="00B91EE1"/>
    <w:rsid w:val="00B925AB"/>
    <w:rsid w:val="00B96610"/>
    <w:rsid w:val="00BA0090"/>
    <w:rsid w:val="00BA1A67"/>
    <w:rsid w:val="00BA7128"/>
    <w:rsid w:val="00BE5B5F"/>
    <w:rsid w:val="00BF17E5"/>
    <w:rsid w:val="00C059F0"/>
    <w:rsid w:val="00C0725D"/>
    <w:rsid w:val="00C228DB"/>
    <w:rsid w:val="00C26F55"/>
    <w:rsid w:val="00C30C63"/>
    <w:rsid w:val="00C36B8B"/>
    <w:rsid w:val="00C415C1"/>
    <w:rsid w:val="00C47DBF"/>
    <w:rsid w:val="00C52AC2"/>
    <w:rsid w:val="00C552FF"/>
    <w:rsid w:val="00C558DA"/>
    <w:rsid w:val="00C55AF3"/>
    <w:rsid w:val="00C84759"/>
    <w:rsid w:val="00C86D73"/>
    <w:rsid w:val="00CA6C7F"/>
    <w:rsid w:val="00CC10A6"/>
    <w:rsid w:val="00CC2FDC"/>
    <w:rsid w:val="00CC7F63"/>
    <w:rsid w:val="00CD5EB8"/>
    <w:rsid w:val="00CD7044"/>
    <w:rsid w:val="00CE08B9"/>
    <w:rsid w:val="00CE3103"/>
    <w:rsid w:val="00CE524C"/>
    <w:rsid w:val="00CF141F"/>
    <w:rsid w:val="00CF4777"/>
    <w:rsid w:val="00D067BB"/>
    <w:rsid w:val="00D07EDB"/>
    <w:rsid w:val="00D1352A"/>
    <w:rsid w:val="00D13873"/>
    <w:rsid w:val="00D169AF"/>
    <w:rsid w:val="00D25249"/>
    <w:rsid w:val="00D25ED8"/>
    <w:rsid w:val="00D33365"/>
    <w:rsid w:val="00D34DE9"/>
    <w:rsid w:val="00D35F94"/>
    <w:rsid w:val="00D44172"/>
    <w:rsid w:val="00D61FBB"/>
    <w:rsid w:val="00D63B8C"/>
    <w:rsid w:val="00D63D88"/>
    <w:rsid w:val="00D65163"/>
    <w:rsid w:val="00D739CC"/>
    <w:rsid w:val="00D76E06"/>
    <w:rsid w:val="00D8093D"/>
    <w:rsid w:val="00D8108C"/>
    <w:rsid w:val="00D842AE"/>
    <w:rsid w:val="00D9211C"/>
    <w:rsid w:val="00D92DE0"/>
    <w:rsid w:val="00D92FEF"/>
    <w:rsid w:val="00D93A0F"/>
    <w:rsid w:val="00DA0077"/>
    <w:rsid w:val="00DA1BCA"/>
    <w:rsid w:val="00DA606E"/>
    <w:rsid w:val="00DC46FF"/>
    <w:rsid w:val="00DC5254"/>
    <w:rsid w:val="00DD1A4F"/>
    <w:rsid w:val="00DD3107"/>
    <w:rsid w:val="00DD7C2C"/>
    <w:rsid w:val="00DF70BF"/>
    <w:rsid w:val="00E04FF0"/>
    <w:rsid w:val="00E06797"/>
    <w:rsid w:val="00E072CC"/>
    <w:rsid w:val="00E1265B"/>
    <w:rsid w:val="00E13B48"/>
    <w:rsid w:val="00E1404F"/>
    <w:rsid w:val="00E21C83"/>
    <w:rsid w:val="00E24063"/>
    <w:rsid w:val="00E24ADA"/>
    <w:rsid w:val="00E276A4"/>
    <w:rsid w:val="00E32F59"/>
    <w:rsid w:val="00E3329D"/>
    <w:rsid w:val="00E36FE3"/>
    <w:rsid w:val="00E46D9A"/>
    <w:rsid w:val="00E565FF"/>
    <w:rsid w:val="00E65388"/>
    <w:rsid w:val="00E726A7"/>
    <w:rsid w:val="00E85B7D"/>
    <w:rsid w:val="00E9121B"/>
    <w:rsid w:val="00E91D53"/>
    <w:rsid w:val="00E942CC"/>
    <w:rsid w:val="00E96DA8"/>
    <w:rsid w:val="00EA0AE2"/>
    <w:rsid w:val="00EA2CF9"/>
    <w:rsid w:val="00EA39E5"/>
    <w:rsid w:val="00EC5A46"/>
    <w:rsid w:val="00EC63E2"/>
    <w:rsid w:val="00EE0374"/>
    <w:rsid w:val="00EF22B3"/>
    <w:rsid w:val="00F03B69"/>
    <w:rsid w:val="00F05C85"/>
    <w:rsid w:val="00F07A50"/>
    <w:rsid w:val="00F113DA"/>
    <w:rsid w:val="00F116A8"/>
    <w:rsid w:val="00F11AC1"/>
    <w:rsid w:val="00F34719"/>
    <w:rsid w:val="00F37DC8"/>
    <w:rsid w:val="00F439B3"/>
    <w:rsid w:val="00F650C3"/>
    <w:rsid w:val="00F65D85"/>
    <w:rsid w:val="00F7542C"/>
    <w:rsid w:val="00F8091E"/>
    <w:rsid w:val="00F839A2"/>
    <w:rsid w:val="00F8615C"/>
    <w:rsid w:val="00F873F8"/>
    <w:rsid w:val="00F92E48"/>
    <w:rsid w:val="00F96910"/>
    <w:rsid w:val="00F969E5"/>
    <w:rsid w:val="00FA6BB0"/>
    <w:rsid w:val="00FB49C6"/>
    <w:rsid w:val="00FB7DD2"/>
    <w:rsid w:val="00FD5860"/>
    <w:rsid w:val="00FE352D"/>
    <w:rsid w:val="00FE40EB"/>
    <w:rsid w:val="00FE4D02"/>
    <w:rsid w:val="00FE7D62"/>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D136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6" w:uiPriority="99"/>
    <w:lsdException w:name="toc 7" w:uiPriority="99"/>
    <w:lsdException w:name="toc 8" w:uiPriority="99"/>
    <w:lsdException w:name="toc 9" w:uiPriority="99"/>
    <w:lsdException w:name="footnote text" w:uiPriority="99" w:qFormat="1"/>
    <w:lsdException w:name="annotation text" w:uiPriority="99"/>
    <w:lsdException w:name="header" w:uiPriority="99"/>
    <w:lsdException w:name="footer" w:uiPriority="99"/>
    <w:lsdException w:name="caption" w:semiHidden="1" w:unhideWhenUsed="1" w:qFormat="1"/>
    <w:lsdException w:name="table of figures" w:uiPriority="99"/>
    <w:lsdException w:name="footnote reference" w:uiPriority="99" w:qFormat="1"/>
    <w:lsdException w:name="annotation reference" w:uiPriority="99"/>
    <w:lsdException w:name="Title" w:qFormat="1"/>
    <w:lsdException w:name="Default Paragraph Font" w:uiPriority="1"/>
    <w:lsdException w:name="Subtitle" w:qFormat="1"/>
    <w:lsdException w:name="FollowedHyperlink" w:uiPriority="99"/>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annotation subject" w:uiPriority="99"/>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5442E"/>
    <w:rPr>
      <w:rFonts w:eastAsia="SimSun"/>
      <w:lang w:eastAsia="zh-CN"/>
    </w:rPr>
  </w:style>
  <w:style w:type="paragraph" w:styleId="Heading1">
    <w:name w:val="heading 1"/>
    <w:basedOn w:val="Normal"/>
    <w:next w:val="Normalnumber"/>
    <w:link w:val="Heading1Char"/>
    <w:qFormat/>
    <w:rsid w:val="0015442E"/>
    <w:pPr>
      <w:keepNext/>
      <w:spacing w:before="240" w:after="120"/>
      <w:ind w:left="1247" w:hanging="680"/>
      <w:outlineLvl w:val="0"/>
    </w:pPr>
    <w:rPr>
      <w:b/>
      <w:sz w:val="28"/>
    </w:rPr>
  </w:style>
  <w:style w:type="paragraph" w:styleId="Heading2">
    <w:name w:val="heading 2"/>
    <w:basedOn w:val="Normal"/>
    <w:next w:val="Normalnumber"/>
    <w:link w:val="Heading2Char"/>
    <w:qFormat/>
    <w:rsid w:val="0015442E"/>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15442E"/>
    <w:pPr>
      <w:spacing w:after="120"/>
      <w:ind w:left="1247" w:hanging="680"/>
      <w:outlineLvl w:val="2"/>
    </w:pPr>
    <w:rPr>
      <w:b/>
    </w:rPr>
  </w:style>
  <w:style w:type="paragraph" w:styleId="Heading4">
    <w:name w:val="heading 4"/>
    <w:basedOn w:val="Heading3"/>
    <w:next w:val="Normalnumber"/>
    <w:link w:val="Heading4Char"/>
    <w:qFormat/>
    <w:rsid w:val="0015442E"/>
    <w:pPr>
      <w:keepNext/>
      <w:outlineLvl w:val="3"/>
    </w:pPr>
  </w:style>
  <w:style w:type="paragraph" w:styleId="Heading5">
    <w:name w:val="heading 5"/>
    <w:basedOn w:val="Normal"/>
    <w:next w:val="Normal"/>
    <w:link w:val="Heading5Char"/>
    <w:qFormat/>
    <w:rsid w:val="0015442E"/>
    <w:pPr>
      <w:keepNext/>
      <w:outlineLvl w:val="4"/>
    </w:pPr>
    <w:rPr>
      <w:rFonts w:ascii="Univers" w:hAnsi="Univers"/>
      <w:b/>
      <w:sz w:val="24"/>
    </w:rPr>
  </w:style>
  <w:style w:type="paragraph" w:styleId="Heading6">
    <w:name w:val="heading 6"/>
    <w:basedOn w:val="Normal"/>
    <w:next w:val="Normal"/>
    <w:link w:val="Heading6Char"/>
    <w:qFormat/>
    <w:rsid w:val="0015442E"/>
    <w:pPr>
      <w:keepNext/>
      <w:ind w:left="578"/>
      <w:outlineLvl w:val="5"/>
    </w:pPr>
    <w:rPr>
      <w:b/>
      <w:bCs/>
      <w:sz w:val="24"/>
    </w:rPr>
  </w:style>
  <w:style w:type="paragraph" w:styleId="Heading7">
    <w:name w:val="heading 7"/>
    <w:basedOn w:val="Normal"/>
    <w:next w:val="Normal"/>
    <w:link w:val="Heading7Char"/>
    <w:uiPriority w:val="99"/>
    <w:qFormat/>
    <w:rsid w:val="0015442E"/>
    <w:pPr>
      <w:keepNext/>
      <w:widowControl w:val="0"/>
      <w:jc w:val="center"/>
      <w:outlineLvl w:val="6"/>
    </w:pPr>
    <w:rPr>
      <w:snapToGrid w:val="0"/>
      <w:u w:val="single"/>
    </w:rPr>
  </w:style>
  <w:style w:type="paragraph" w:styleId="Heading8">
    <w:name w:val="heading 8"/>
    <w:basedOn w:val="Normal"/>
    <w:next w:val="Normal"/>
    <w:link w:val="Heading8Char"/>
    <w:uiPriority w:val="99"/>
    <w:qFormat/>
    <w:rsid w:val="0015442E"/>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link w:val="Heading9Char"/>
    <w:uiPriority w:val="99"/>
    <w:qFormat/>
    <w:rsid w:val="0015442E"/>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15442E"/>
    <w:rPr>
      <w:rFonts w:ascii="Times New Roman" w:hAnsi="Times New Roman"/>
      <w:b/>
      <w:sz w:val="18"/>
    </w:rPr>
  </w:style>
  <w:style w:type="table" w:customStyle="1" w:styleId="Tabledocright">
    <w:name w:val="Table_doc_right"/>
    <w:basedOn w:val="TableNormal"/>
    <w:rsid w:val="0015442E"/>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uiPriority w:val="99"/>
    <w:semiHidden/>
    <w:rsid w:val="0015442E"/>
    <w:pPr>
      <w:ind w:left="1000"/>
    </w:pPr>
    <w:rPr>
      <w:sz w:val="18"/>
      <w:szCs w:val="18"/>
    </w:rPr>
  </w:style>
  <w:style w:type="paragraph" w:styleId="TOC7">
    <w:name w:val="toc 7"/>
    <w:basedOn w:val="Normal"/>
    <w:next w:val="Normal"/>
    <w:autoRedefine/>
    <w:uiPriority w:val="99"/>
    <w:semiHidden/>
    <w:rsid w:val="0015442E"/>
    <w:pPr>
      <w:ind w:left="1200"/>
    </w:pPr>
    <w:rPr>
      <w:sz w:val="18"/>
      <w:szCs w:val="18"/>
    </w:rPr>
  </w:style>
  <w:style w:type="paragraph" w:styleId="TOC8">
    <w:name w:val="toc 8"/>
    <w:basedOn w:val="Normal"/>
    <w:next w:val="Normal"/>
    <w:autoRedefine/>
    <w:uiPriority w:val="99"/>
    <w:semiHidden/>
    <w:rsid w:val="0015442E"/>
    <w:pPr>
      <w:ind w:left="1400"/>
    </w:pPr>
    <w:rPr>
      <w:sz w:val="18"/>
      <w:szCs w:val="18"/>
    </w:rPr>
  </w:style>
  <w:style w:type="paragraph" w:styleId="TOC9">
    <w:name w:val="toc 9"/>
    <w:basedOn w:val="Normal"/>
    <w:next w:val="Normal"/>
    <w:autoRedefine/>
    <w:uiPriority w:val="99"/>
    <w:semiHidden/>
    <w:rsid w:val="0015442E"/>
    <w:pPr>
      <w:ind w:left="1600"/>
    </w:pPr>
    <w:rPr>
      <w:sz w:val="18"/>
      <w:szCs w:val="18"/>
    </w:rPr>
  </w:style>
  <w:style w:type="paragraph" w:customStyle="1" w:styleId="Titlefigure">
    <w:name w:val="Title_figure"/>
    <w:basedOn w:val="Titletable"/>
    <w:next w:val="NormalNonumber"/>
    <w:uiPriority w:val="99"/>
    <w:rsid w:val="0015442E"/>
    <w:rPr>
      <w:bCs w:val="0"/>
    </w:rPr>
  </w:style>
  <w:style w:type="paragraph" w:styleId="TableofFigures">
    <w:name w:val="table of figures"/>
    <w:basedOn w:val="Normal"/>
    <w:next w:val="Normal"/>
    <w:autoRedefine/>
    <w:uiPriority w:val="99"/>
    <w:semiHidden/>
    <w:rsid w:val="0015442E"/>
    <w:pPr>
      <w:ind w:left="1814" w:hanging="567"/>
    </w:pPr>
  </w:style>
  <w:style w:type="paragraph" w:customStyle="1" w:styleId="CH1">
    <w:name w:val="CH1"/>
    <w:basedOn w:val="Normal-pool"/>
    <w:next w:val="CH2"/>
    <w:uiPriority w:val="99"/>
    <w:qFormat/>
    <w:rsid w:val="0015442E"/>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15442E"/>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uiPriority w:val="99"/>
    <w:qFormat/>
    <w:rsid w:val="0015442E"/>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uiPriority w:val="99"/>
    <w:rsid w:val="0015442E"/>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15442E"/>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iPriority w:val="99"/>
    <w:unhideWhenUsed/>
    <w:rsid w:val="0015442E"/>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b/>
      <w:lang w:eastAsia="en-US"/>
    </w:rPr>
  </w:style>
  <w:style w:type="paragraph" w:customStyle="1" w:styleId="Footerpool">
    <w:name w:val="Footer_pool"/>
    <w:basedOn w:val="Normal"/>
    <w:next w:val="Normal"/>
    <w:uiPriority w:val="99"/>
    <w:semiHidden/>
    <w:rsid w:val="0015442E"/>
    <w:pPr>
      <w:tabs>
        <w:tab w:val="left" w:pos="4321"/>
        <w:tab w:val="right" w:pos="8641"/>
      </w:tabs>
      <w:spacing w:before="60" w:after="120"/>
    </w:pPr>
    <w:rPr>
      <w:b/>
      <w:sz w:val="18"/>
    </w:rPr>
  </w:style>
  <w:style w:type="paragraph" w:customStyle="1" w:styleId="Headerpool">
    <w:name w:val="Header_pool"/>
    <w:basedOn w:val="Normal"/>
    <w:next w:val="Normal"/>
    <w:uiPriority w:val="99"/>
    <w:semiHidden/>
    <w:rsid w:val="0015442E"/>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uiPriority w:val="99"/>
    <w:rsid w:val="0015442E"/>
    <w:pPr>
      <w:tabs>
        <w:tab w:val="left" w:pos="4321"/>
        <w:tab w:val="right" w:pos="8641"/>
      </w:tabs>
      <w:spacing w:before="60" w:after="120"/>
    </w:pPr>
    <w:rPr>
      <w:b/>
      <w:sz w:val="18"/>
    </w:rPr>
  </w:style>
  <w:style w:type="paragraph" w:customStyle="1" w:styleId="Header-pool">
    <w:name w:val="Header-pool"/>
    <w:basedOn w:val="Normal-pool"/>
    <w:next w:val="Normal-pool"/>
    <w:uiPriority w:val="99"/>
    <w:rsid w:val="0015442E"/>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5442E"/>
    <w:pPr>
      <w:tabs>
        <w:tab w:val="left" w:pos="1247"/>
        <w:tab w:val="left" w:pos="1814"/>
        <w:tab w:val="left" w:pos="2381"/>
        <w:tab w:val="left" w:pos="2948"/>
        <w:tab w:val="left" w:pos="3515"/>
        <w:tab w:val="left" w:pos="4082"/>
      </w:tabs>
    </w:pPr>
    <w:rPr>
      <w:rFonts w:eastAsia="SimSun"/>
      <w:lang w:val="en-US" w:eastAsia="en-US"/>
    </w:rPr>
  </w:style>
  <w:style w:type="paragraph" w:styleId="FootnoteText">
    <w:name w:val="footnote text"/>
    <w:aliases w:val="Geneva 9,Font: Geneva 9,Boston 10,f,fn,Footnotes,Footnote ak,ft,fn cafc,Footnotes Char Char,Footnote Text Char Char,fn Char Char,footnote text Char Char Char Ch,Footnote Text Char1,footnote text Char Char Char Ch Char,DNV-FT,-E Fußnotente"/>
    <w:basedOn w:val="Normal"/>
    <w:link w:val="FootnoteTextChar"/>
    <w:uiPriority w:val="99"/>
    <w:qFormat/>
    <w:rsid w:val="0015442E"/>
    <w:pPr>
      <w:tabs>
        <w:tab w:val="left" w:pos="1247"/>
        <w:tab w:val="left" w:pos="1814"/>
        <w:tab w:val="left" w:pos="2381"/>
        <w:tab w:val="left" w:pos="2948"/>
        <w:tab w:val="left" w:pos="3515"/>
        <w:tab w:val="left" w:pos="4082"/>
      </w:tabs>
      <w:spacing w:before="20" w:after="40"/>
      <w:ind w:left="1247"/>
    </w:pPr>
    <w:rPr>
      <w:sz w:val="18"/>
      <w:lang w:val="fr-CA" w:eastAsia="en-US"/>
    </w:rPr>
  </w:style>
  <w:style w:type="character" w:customStyle="1" w:styleId="HeaderChar">
    <w:name w:val="Header Char"/>
    <w:link w:val="Header"/>
    <w:uiPriority w:val="99"/>
    <w:semiHidden/>
    <w:rsid w:val="00250B6D"/>
    <w:rPr>
      <w:rFonts w:eastAsia="SimSun"/>
      <w:b/>
      <w:sz w:val="18"/>
      <w:lang w:val="en-US" w:eastAsia="zh-CN"/>
    </w:rPr>
  </w:style>
  <w:style w:type="table" w:customStyle="1" w:styleId="AATable">
    <w:name w:val="AA_Table"/>
    <w:basedOn w:val="TableNormal"/>
    <w:semiHidden/>
    <w:rsid w:val="0015442E"/>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uiPriority w:val="99"/>
    <w:qFormat/>
    <w:rsid w:val="0015442E"/>
    <w:pPr>
      <w:keepNext/>
      <w:keepLines/>
      <w:suppressAutoHyphens/>
      <w:ind w:right="5103"/>
    </w:pPr>
    <w:rPr>
      <w:b/>
    </w:rPr>
  </w:style>
  <w:style w:type="paragraph" w:customStyle="1" w:styleId="AATitle2">
    <w:name w:val="AA_Title2"/>
    <w:basedOn w:val="AATitle"/>
    <w:uiPriority w:val="99"/>
    <w:qFormat/>
    <w:rsid w:val="0015442E"/>
    <w:pPr>
      <w:tabs>
        <w:tab w:val="clear" w:pos="4082"/>
      </w:tabs>
      <w:spacing w:before="120" w:after="120"/>
      <w:ind w:right="4536"/>
    </w:pPr>
  </w:style>
  <w:style w:type="paragraph" w:customStyle="1" w:styleId="BBTitle">
    <w:name w:val="BB_Title"/>
    <w:basedOn w:val="Normal-pool"/>
    <w:link w:val="BBTitleChar"/>
    <w:uiPriority w:val="99"/>
    <w:qFormat/>
    <w:rsid w:val="0015442E"/>
    <w:pPr>
      <w:keepNext/>
      <w:keepLines/>
      <w:suppressAutoHyphens/>
      <w:spacing w:before="320" w:after="240"/>
      <w:ind w:left="1247" w:right="567"/>
    </w:pPr>
    <w:rPr>
      <w:b/>
      <w:sz w:val="28"/>
      <w:szCs w:val="28"/>
    </w:rPr>
  </w:style>
  <w:style w:type="paragraph" w:styleId="Footer">
    <w:name w:val="footer"/>
    <w:basedOn w:val="Normal"/>
    <w:link w:val="FooterChar"/>
    <w:uiPriority w:val="99"/>
    <w:rsid w:val="0015442E"/>
    <w:pPr>
      <w:tabs>
        <w:tab w:val="center" w:pos="4320"/>
        <w:tab w:val="right" w:pos="8640"/>
      </w:tabs>
      <w:spacing w:before="60" w:after="120"/>
    </w:pPr>
    <w:rPr>
      <w:sz w:val="18"/>
    </w:rPr>
  </w:style>
  <w:style w:type="paragraph" w:styleId="Header">
    <w:name w:val="header"/>
    <w:basedOn w:val="Normal"/>
    <w:link w:val="HeaderChar"/>
    <w:uiPriority w:val="99"/>
    <w:semiHidden/>
    <w:rsid w:val="0015442E"/>
    <w:pPr>
      <w:pBdr>
        <w:bottom w:val="single" w:sz="4" w:space="1" w:color="auto"/>
      </w:pBdr>
      <w:tabs>
        <w:tab w:val="center" w:pos="4536"/>
        <w:tab w:val="right" w:pos="9072"/>
      </w:tabs>
      <w:spacing w:after="120"/>
    </w:pPr>
    <w:rPr>
      <w:b/>
      <w:sz w:val="18"/>
    </w:rPr>
  </w:style>
  <w:style w:type="character" w:styleId="Hyperlink">
    <w:name w:val="Hyperlink"/>
    <w:unhideWhenUsed/>
    <w:rsid w:val="0015442E"/>
    <w:rPr>
      <w:rFonts w:ascii="Times New Roman" w:hAnsi="Times New Roman"/>
      <w:color w:val="auto"/>
      <w:sz w:val="20"/>
      <w:szCs w:val="20"/>
      <w:u w:val="none"/>
      <w:lang w:val="en-US"/>
    </w:rPr>
  </w:style>
  <w:style w:type="numbering" w:customStyle="1" w:styleId="Normallist">
    <w:name w:val="Normal_list"/>
    <w:basedOn w:val="NoList"/>
    <w:rsid w:val="0015442E"/>
    <w:pPr>
      <w:numPr>
        <w:numId w:val="1"/>
      </w:numPr>
    </w:pPr>
  </w:style>
  <w:style w:type="paragraph" w:customStyle="1" w:styleId="NormalNonumber">
    <w:name w:val="Normal_No_number"/>
    <w:basedOn w:val="Normal-pool"/>
    <w:uiPriority w:val="99"/>
    <w:qFormat/>
    <w:rsid w:val="0015442E"/>
    <w:pPr>
      <w:spacing w:after="120"/>
      <w:ind w:left="1247"/>
    </w:pPr>
  </w:style>
  <w:style w:type="paragraph" w:customStyle="1" w:styleId="Normalnumber">
    <w:name w:val="Normal_number"/>
    <w:basedOn w:val="Normalpool"/>
    <w:link w:val="NormalnumberChar"/>
    <w:qFormat/>
    <w:rsid w:val="0015442E"/>
    <w:pPr>
      <w:numPr>
        <w:numId w:val="2"/>
      </w:numPr>
      <w:spacing w:after="120"/>
    </w:pPr>
    <w:rPr>
      <w:rFonts w:eastAsia="Times New Roman"/>
    </w:rPr>
  </w:style>
  <w:style w:type="paragraph" w:customStyle="1" w:styleId="Titletable">
    <w:name w:val="Title_table"/>
    <w:basedOn w:val="Normal-pool"/>
    <w:next w:val="NormalNonumber"/>
    <w:rsid w:val="0015442E"/>
    <w:pPr>
      <w:keepNext/>
      <w:keepLines/>
      <w:suppressAutoHyphens/>
      <w:spacing w:after="60"/>
      <w:ind w:left="1247"/>
    </w:pPr>
    <w:rPr>
      <w:b/>
      <w:bCs/>
    </w:rPr>
  </w:style>
  <w:style w:type="paragraph" w:styleId="TOC1">
    <w:name w:val="toc 1"/>
    <w:basedOn w:val="Normal-pool"/>
    <w:next w:val="Normal-pool"/>
    <w:uiPriority w:val="39"/>
    <w:unhideWhenUsed/>
    <w:rsid w:val="0015442E"/>
    <w:pPr>
      <w:tabs>
        <w:tab w:val="right" w:leader="dot" w:pos="9486"/>
      </w:tabs>
      <w:spacing w:before="240"/>
      <w:ind w:left="1814" w:hanging="567"/>
    </w:pPr>
    <w:rPr>
      <w:bCs/>
    </w:rPr>
  </w:style>
  <w:style w:type="paragraph" w:styleId="TOC2">
    <w:name w:val="toc 2"/>
    <w:basedOn w:val="Normal-pool"/>
    <w:next w:val="Normal-pool"/>
    <w:unhideWhenUsed/>
    <w:rsid w:val="0015442E"/>
    <w:pPr>
      <w:tabs>
        <w:tab w:val="right" w:leader="dot" w:pos="9486"/>
      </w:tabs>
      <w:ind w:left="2381" w:hanging="567"/>
    </w:pPr>
  </w:style>
  <w:style w:type="paragraph" w:styleId="TOC3">
    <w:name w:val="toc 3"/>
    <w:basedOn w:val="Normal-pool"/>
    <w:next w:val="Normal-pool"/>
    <w:unhideWhenUsed/>
    <w:rsid w:val="0015442E"/>
    <w:pPr>
      <w:tabs>
        <w:tab w:val="right" w:leader="dot" w:pos="9486"/>
      </w:tabs>
      <w:ind w:left="2948" w:hanging="567"/>
    </w:pPr>
    <w:rPr>
      <w:iCs/>
    </w:rPr>
  </w:style>
  <w:style w:type="paragraph" w:styleId="TOC4">
    <w:name w:val="toc 4"/>
    <w:basedOn w:val="Normal-pool"/>
    <w:next w:val="Normal-pool"/>
    <w:unhideWhenUsed/>
    <w:rsid w:val="0015442E"/>
    <w:pPr>
      <w:tabs>
        <w:tab w:val="left" w:pos="1000"/>
        <w:tab w:val="right" w:leader="dot" w:pos="9486"/>
      </w:tabs>
      <w:ind w:left="3515" w:hanging="567"/>
    </w:pPr>
    <w:rPr>
      <w:szCs w:val="18"/>
    </w:rPr>
  </w:style>
  <w:style w:type="paragraph" w:styleId="TOC5">
    <w:name w:val="toc 5"/>
    <w:basedOn w:val="Normal-pool"/>
    <w:next w:val="Normal-pool"/>
    <w:rsid w:val="0015442E"/>
    <w:pPr>
      <w:ind w:left="800"/>
    </w:pPr>
    <w:rPr>
      <w:sz w:val="18"/>
      <w:szCs w:val="18"/>
    </w:rPr>
  </w:style>
  <w:style w:type="paragraph" w:customStyle="1" w:styleId="ZZAnxheader">
    <w:name w:val="ZZ_Anx_header"/>
    <w:basedOn w:val="Normal-pool"/>
    <w:uiPriority w:val="99"/>
    <w:rsid w:val="0015442E"/>
    <w:rPr>
      <w:b/>
      <w:bCs/>
      <w:sz w:val="28"/>
      <w:szCs w:val="22"/>
    </w:rPr>
  </w:style>
  <w:style w:type="paragraph" w:customStyle="1" w:styleId="ZZAnxtitle">
    <w:name w:val="ZZ_Anx_title"/>
    <w:basedOn w:val="Normal-pool"/>
    <w:link w:val="ZZAnxtitleChar"/>
    <w:rsid w:val="0015442E"/>
    <w:pPr>
      <w:spacing w:before="360" w:after="120"/>
      <w:ind w:left="1247"/>
    </w:pPr>
    <w:rPr>
      <w:b/>
      <w:bCs/>
      <w:sz w:val="28"/>
      <w:szCs w:val="26"/>
    </w:rPr>
  </w:style>
  <w:style w:type="paragraph" w:styleId="BalloonText">
    <w:name w:val="Balloon Text"/>
    <w:basedOn w:val="Normal"/>
    <w:link w:val="BalloonTextChar"/>
    <w:uiPriority w:val="99"/>
    <w:rsid w:val="003E6F41"/>
    <w:rPr>
      <w:rFonts w:ascii="Segoe UI" w:hAnsi="Segoe UI" w:cs="Segoe UI"/>
      <w:sz w:val="18"/>
      <w:szCs w:val="18"/>
    </w:rPr>
  </w:style>
  <w:style w:type="character" w:customStyle="1" w:styleId="BalloonTextChar">
    <w:name w:val="Balloon Text Char"/>
    <w:basedOn w:val="DefaultParagraphFont"/>
    <w:link w:val="BalloonText"/>
    <w:uiPriority w:val="99"/>
    <w:rsid w:val="003E6F41"/>
    <w:rPr>
      <w:rFonts w:ascii="Segoe UI" w:hAnsi="Segoe UI" w:cs="Segoe UI"/>
      <w:sz w:val="18"/>
      <w:szCs w:val="18"/>
      <w:lang w:val="fr-FR" w:eastAsia="en-US"/>
    </w:rPr>
  </w:style>
  <w:style w:type="character" w:styleId="CommentReference">
    <w:name w:val="annotation reference"/>
    <w:basedOn w:val="DefaultParagraphFont"/>
    <w:uiPriority w:val="99"/>
    <w:rsid w:val="003E6F41"/>
    <w:rPr>
      <w:sz w:val="16"/>
      <w:szCs w:val="16"/>
    </w:rPr>
  </w:style>
  <w:style w:type="paragraph" w:styleId="CommentText">
    <w:name w:val="annotation text"/>
    <w:basedOn w:val="Normal"/>
    <w:link w:val="CommentTextChar"/>
    <w:uiPriority w:val="99"/>
    <w:rsid w:val="003E6F41"/>
    <w:rPr>
      <w:sz w:val="24"/>
      <w:szCs w:val="24"/>
      <w:lang w:eastAsia="en-GB"/>
    </w:rPr>
  </w:style>
  <w:style w:type="character" w:customStyle="1" w:styleId="CommentTextChar">
    <w:name w:val="Comment Text Char"/>
    <w:basedOn w:val="DefaultParagraphFont"/>
    <w:link w:val="CommentText"/>
    <w:uiPriority w:val="99"/>
    <w:rsid w:val="003E6F41"/>
    <w:rPr>
      <w:sz w:val="24"/>
      <w:szCs w:val="24"/>
    </w:rPr>
  </w:style>
  <w:style w:type="paragraph" w:styleId="CommentSubject">
    <w:name w:val="annotation subject"/>
    <w:basedOn w:val="CommentText"/>
    <w:next w:val="CommentText"/>
    <w:link w:val="CommentSubjectChar"/>
    <w:uiPriority w:val="99"/>
    <w:rsid w:val="007841F5"/>
    <w:pPr>
      <w:tabs>
        <w:tab w:val="left" w:pos="1247"/>
        <w:tab w:val="left" w:pos="1814"/>
        <w:tab w:val="left" w:pos="2381"/>
        <w:tab w:val="left" w:pos="2948"/>
        <w:tab w:val="left" w:pos="3515"/>
      </w:tabs>
    </w:pPr>
    <w:rPr>
      <w:b/>
      <w:bCs/>
      <w:sz w:val="20"/>
      <w:szCs w:val="20"/>
      <w:lang w:val="fr-FR" w:eastAsia="en-US"/>
    </w:rPr>
  </w:style>
  <w:style w:type="character" w:customStyle="1" w:styleId="CommentSubjectChar">
    <w:name w:val="Comment Subject Char"/>
    <w:basedOn w:val="CommentTextChar"/>
    <w:link w:val="CommentSubject"/>
    <w:uiPriority w:val="99"/>
    <w:rsid w:val="007841F5"/>
    <w:rPr>
      <w:b/>
      <w:bCs/>
      <w:sz w:val="24"/>
      <w:szCs w:val="24"/>
      <w:lang w:val="fr-FR" w:eastAsia="en-US"/>
    </w:rPr>
  </w:style>
  <w:style w:type="character" w:customStyle="1" w:styleId="FootnoteTextChar">
    <w:name w:val="Footnote Text Char"/>
    <w:aliases w:val="Geneva 9 Char,Font: Geneva 9 Char,Boston 10 Char,f Char,fn Char,Footnotes Char,Footnote ak Char,ft Char,fn cafc Char,Footnotes Char Char Char,Footnote Text Char Char Char,fn Char Char Char,footnote text Char Char Char Ch Char1"/>
    <w:link w:val="FootnoteText"/>
    <w:uiPriority w:val="99"/>
    <w:locked/>
    <w:rsid w:val="0012644F"/>
    <w:rPr>
      <w:rFonts w:eastAsia="SimSun"/>
      <w:sz w:val="18"/>
      <w:lang w:val="fr-CA" w:eastAsia="en-US"/>
    </w:rPr>
  </w:style>
  <w:style w:type="paragraph" w:styleId="ListParagraph">
    <w:name w:val="List Paragraph"/>
    <w:basedOn w:val="Normal"/>
    <w:uiPriority w:val="99"/>
    <w:qFormat/>
    <w:rsid w:val="00D07EDB"/>
    <w:pPr>
      <w:ind w:left="720"/>
      <w:contextualSpacing/>
    </w:pPr>
  </w:style>
  <w:style w:type="character" w:styleId="FootnoteReference">
    <w:name w:val="footnote reference"/>
    <w:aliases w:val="ftref,16 Point,Superscript 6 Point,number,SUPERS,Footnote Reference Superscript,(Ref. de nota al pie),fr,Ref,de nota al pie,註腳內容,de nota al pie + (Asian) MS Mincho,Footnote Reference1,11 pt,Ref. de nota de rodapé1,stylish,4_G,note TESI"/>
    <w:uiPriority w:val="99"/>
    <w:qFormat/>
    <w:rsid w:val="0015442E"/>
    <w:rPr>
      <w:rFonts w:ascii="Times New Roman" w:hAnsi="Times New Roman"/>
      <w:color w:val="auto"/>
      <w:sz w:val="20"/>
      <w:szCs w:val="18"/>
      <w:vertAlign w:val="superscript"/>
    </w:rPr>
  </w:style>
  <w:style w:type="paragraph" w:styleId="NormalWeb">
    <w:name w:val="Normal (Web)"/>
    <w:basedOn w:val="Normal"/>
    <w:uiPriority w:val="99"/>
    <w:unhideWhenUsed/>
    <w:rsid w:val="0015442E"/>
    <w:pPr>
      <w:spacing w:before="100" w:beforeAutospacing="1" w:after="100" w:afterAutospacing="1"/>
    </w:pPr>
    <w:rPr>
      <w:rFonts w:eastAsiaTheme="minorEastAsia"/>
      <w:sz w:val="24"/>
      <w:szCs w:val="24"/>
      <w:lang w:eastAsia="en-US"/>
    </w:rPr>
  </w:style>
  <w:style w:type="table" w:styleId="TableGrid">
    <w:name w:val="Table Grid"/>
    <w:basedOn w:val="TableNormal"/>
    <w:rsid w:val="0015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rmallist1">
    <w:name w:val="Normal_list1"/>
    <w:basedOn w:val="NoList"/>
    <w:rsid w:val="003402F4"/>
  </w:style>
  <w:style w:type="character" w:customStyle="1" w:styleId="Normal-poolChar">
    <w:name w:val="Normal-pool Char"/>
    <w:link w:val="Normal-pool"/>
    <w:locked/>
    <w:rsid w:val="00534862"/>
    <w:rPr>
      <w:rFonts w:eastAsia="SimSun"/>
      <w:lang w:val="en-US" w:eastAsia="en-US"/>
    </w:rPr>
  </w:style>
  <w:style w:type="character" w:customStyle="1" w:styleId="Heading3Char">
    <w:name w:val="Heading 3 Char"/>
    <w:basedOn w:val="DefaultParagraphFont"/>
    <w:link w:val="Heading3"/>
    <w:rsid w:val="0023336D"/>
    <w:rPr>
      <w:rFonts w:eastAsia="SimSun"/>
      <w:b/>
      <w:lang w:eastAsia="zh-CN"/>
    </w:rPr>
  </w:style>
  <w:style w:type="character" w:customStyle="1" w:styleId="BalloonTextChar2">
    <w:name w:val="Balloon Text Char2"/>
    <w:basedOn w:val="DefaultParagraphFont"/>
    <w:uiPriority w:val="99"/>
    <w:semiHidden/>
    <w:rsid w:val="0023336D"/>
    <w:rPr>
      <w:rFonts w:ascii="Lucida Grande" w:hAnsi="Lucida Grande"/>
      <w:sz w:val="18"/>
      <w:szCs w:val="18"/>
    </w:rPr>
  </w:style>
  <w:style w:type="character" w:customStyle="1" w:styleId="NormalnumberChar">
    <w:name w:val="Normal_number Char"/>
    <w:link w:val="Normalnumber"/>
    <w:locked/>
    <w:rsid w:val="0023336D"/>
    <w:rPr>
      <w:lang w:val="fr-CA" w:eastAsia="en-US"/>
    </w:rPr>
  </w:style>
  <w:style w:type="character" w:customStyle="1" w:styleId="BBTitleChar">
    <w:name w:val="BB_Title Char"/>
    <w:link w:val="BBTitle"/>
    <w:uiPriority w:val="99"/>
    <w:locked/>
    <w:rsid w:val="0023336D"/>
    <w:rPr>
      <w:rFonts w:eastAsia="SimSun"/>
      <w:b/>
      <w:sz w:val="28"/>
      <w:szCs w:val="28"/>
      <w:lang w:val="en-US" w:eastAsia="en-US"/>
    </w:rPr>
  </w:style>
  <w:style w:type="character" w:customStyle="1" w:styleId="Heading1Char">
    <w:name w:val="Heading 1 Char"/>
    <w:basedOn w:val="DefaultParagraphFont"/>
    <w:link w:val="Heading1"/>
    <w:rsid w:val="0023336D"/>
    <w:rPr>
      <w:rFonts w:eastAsia="SimSun"/>
      <w:b/>
      <w:sz w:val="28"/>
      <w:lang w:eastAsia="zh-CN"/>
    </w:rPr>
  </w:style>
  <w:style w:type="character" w:customStyle="1" w:styleId="Heading2Char">
    <w:name w:val="Heading 2 Char"/>
    <w:basedOn w:val="DefaultParagraphFont"/>
    <w:link w:val="Heading2"/>
    <w:rsid w:val="0023336D"/>
    <w:rPr>
      <w:rFonts w:eastAsia="SimSun"/>
      <w:b/>
      <w:sz w:val="24"/>
      <w:szCs w:val="24"/>
      <w:lang w:eastAsia="zh-CN"/>
    </w:rPr>
  </w:style>
  <w:style w:type="character" w:customStyle="1" w:styleId="Heading4Char">
    <w:name w:val="Heading 4 Char"/>
    <w:basedOn w:val="DefaultParagraphFont"/>
    <w:link w:val="Heading4"/>
    <w:rsid w:val="0023336D"/>
    <w:rPr>
      <w:rFonts w:eastAsia="SimSun"/>
      <w:b/>
      <w:lang w:eastAsia="zh-CN"/>
    </w:rPr>
  </w:style>
  <w:style w:type="character" w:customStyle="1" w:styleId="Heading5Char">
    <w:name w:val="Heading 5 Char"/>
    <w:basedOn w:val="DefaultParagraphFont"/>
    <w:link w:val="Heading5"/>
    <w:rsid w:val="0023336D"/>
    <w:rPr>
      <w:rFonts w:ascii="Univers" w:eastAsia="SimSun" w:hAnsi="Univers"/>
      <w:b/>
      <w:sz w:val="24"/>
      <w:lang w:eastAsia="zh-CN"/>
    </w:rPr>
  </w:style>
  <w:style w:type="character" w:customStyle="1" w:styleId="Heading6Char">
    <w:name w:val="Heading 6 Char"/>
    <w:basedOn w:val="DefaultParagraphFont"/>
    <w:link w:val="Heading6"/>
    <w:rsid w:val="0023336D"/>
    <w:rPr>
      <w:rFonts w:eastAsia="SimSun"/>
      <w:b/>
      <w:bCs/>
      <w:sz w:val="24"/>
      <w:lang w:eastAsia="zh-CN"/>
    </w:rPr>
  </w:style>
  <w:style w:type="character" w:customStyle="1" w:styleId="Heading7Char">
    <w:name w:val="Heading 7 Char"/>
    <w:basedOn w:val="DefaultParagraphFont"/>
    <w:link w:val="Heading7"/>
    <w:uiPriority w:val="99"/>
    <w:rsid w:val="0023336D"/>
    <w:rPr>
      <w:rFonts w:eastAsia="SimSun"/>
      <w:snapToGrid w:val="0"/>
      <w:u w:val="single"/>
      <w:lang w:eastAsia="zh-CN"/>
    </w:rPr>
  </w:style>
  <w:style w:type="character" w:customStyle="1" w:styleId="Heading8Char">
    <w:name w:val="Heading 8 Char"/>
    <w:basedOn w:val="DefaultParagraphFont"/>
    <w:link w:val="Heading8"/>
    <w:uiPriority w:val="99"/>
    <w:rsid w:val="0023336D"/>
    <w:rPr>
      <w:rFonts w:eastAsia="SimSun"/>
      <w:snapToGrid w:val="0"/>
      <w:u w:val="single"/>
      <w:lang w:eastAsia="zh-CN"/>
    </w:rPr>
  </w:style>
  <w:style w:type="character" w:customStyle="1" w:styleId="Heading9Char">
    <w:name w:val="Heading 9 Char"/>
    <w:basedOn w:val="DefaultParagraphFont"/>
    <w:link w:val="Heading9"/>
    <w:uiPriority w:val="99"/>
    <w:rsid w:val="0023336D"/>
    <w:rPr>
      <w:rFonts w:eastAsia="SimSun"/>
      <w:snapToGrid w:val="0"/>
      <w:u w:val="single"/>
      <w:lang w:eastAsia="zh-CN"/>
    </w:rPr>
  </w:style>
  <w:style w:type="character" w:styleId="FollowedHyperlink">
    <w:name w:val="FollowedHyperlink"/>
    <w:basedOn w:val="DefaultParagraphFont"/>
    <w:uiPriority w:val="99"/>
    <w:unhideWhenUsed/>
    <w:rsid w:val="0023336D"/>
    <w:rPr>
      <w:color w:val="954F72" w:themeColor="followedHyperlink"/>
      <w:u w:val="single"/>
    </w:rPr>
  </w:style>
  <w:style w:type="paragraph" w:customStyle="1" w:styleId="msonormal0">
    <w:name w:val="msonormal"/>
    <w:basedOn w:val="Normal"/>
    <w:uiPriority w:val="99"/>
    <w:semiHidden/>
    <w:rsid w:val="0023336D"/>
    <w:pPr>
      <w:spacing w:before="100" w:beforeAutospacing="1" w:after="100" w:afterAutospacing="1"/>
    </w:pPr>
    <w:rPr>
      <w:rFonts w:eastAsiaTheme="minorEastAsia"/>
      <w:sz w:val="24"/>
      <w:szCs w:val="24"/>
      <w:lang w:val="en-US" w:eastAsia="en-US"/>
    </w:rPr>
  </w:style>
  <w:style w:type="character" w:customStyle="1" w:styleId="FooterChar">
    <w:name w:val="Footer Char"/>
    <w:basedOn w:val="DefaultParagraphFont"/>
    <w:link w:val="Footer"/>
    <w:uiPriority w:val="99"/>
    <w:rsid w:val="0023336D"/>
    <w:rPr>
      <w:rFonts w:eastAsia="SimSun"/>
      <w:sz w:val="18"/>
      <w:lang w:eastAsia="zh-CN"/>
    </w:rPr>
  </w:style>
  <w:style w:type="paragraph" w:styleId="Revision">
    <w:name w:val="Revision"/>
    <w:uiPriority w:val="71"/>
    <w:semiHidden/>
    <w:rsid w:val="0023336D"/>
    <w:rPr>
      <w:sz w:val="24"/>
      <w:szCs w:val="24"/>
      <w:lang w:val="en-US" w:eastAsia="en-US"/>
    </w:rPr>
  </w:style>
  <w:style w:type="character" w:customStyle="1" w:styleId="CH2Char">
    <w:name w:val="CH2 Char"/>
    <w:link w:val="CH2"/>
    <w:locked/>
    <w:rsid w:val="0023336D"/>
    <w:rPr>
      <w:rFonts w:eastAsia="SimSun"/>
      <w:b/>
      <w:sz w:val="24"/>
      <w:szCs w:val="24"/>
      <w:lang w:val="en-US" w:eastAsia="en-US"/>
    </w:rPr>
  </w:style>
  <w:style w:type="character" w:customStyle="1" w:styleId="ZZAnxtitleChar">
    <w:name w:val="ZZ_Anx_title Char"/>
    <w:link w:val="ZZAnxtitle"/>
    <w:locked/>
    <w:rsid w:val="0023336D"/>
    <w:rPr>
      <w:rFonts w:eastAsia="SimSun"/>
      <w:b/>
      <w:bCs/>
      <w:sz w:val="28"/>
      <w:szCs w:val="26"/>
      <w:lang w:val="en-US" w:eastAsia="en-US"/>
    </w:rPr>
  </w:style>
  <w:style w:type="paragraph" w:customStyle="1" w:styleId="ColorfulShading-Accent11">
    <w:name w:val="Colorful Shading - Accent 11"/>
    <w:uiPriority w:val="71"/>
    <w:semiHidden/>
    <w:rsid w:val="0023336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AN\United%20Nations\Minamata%20Convention%20-%20General\COP4.1\Documents\Post-session%20Documents\FINAL\4_Dec8_Reporting\UNEP-MC-COP_EN-COR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0F95D3-8141-4A55-A9FD-51D2B98FF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DFB87E-D080-4E18-ACBA-AA8FD538ABFA}">
  <ds:schemaRefs>
    <ds:schemaRef ds:uri="http://schemas.openxmlformats.org/officeDocument/2006/bibliography"/>
  </ds:schemaRefs>
</ds:datastoreItem>
</file>

<file path=customXml/itemProps3.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4.xml><?xml version="1.0" encoding="utf-8"?>
<ds:datastoreItem xmlns:ds="http://schemas.openxmlformats.org/officeDocument/2006/customXml" ds:itemID="{9F1DA343-F8C2-4EE4-9F56-9973669BF7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UNEP-MC-COP_EN-CORR.dotm</Template>
  <TotalTime>0</TotalTime>
  <Pages>10</Pages>
  <Words>2492</Words>
  <Characters>13518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2022-10-04T20:15:00Z</dcterms:created>
  <dcterms:modified xsi:type="dcterms:W3CDTF">2022-11-21T07:25:00Z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y fmtid="{D5CDD505-2E9C-101B-9397-08002B2CF9AE}" pid="3" name="MediaServiceImageTags">
    <vt:lpwstr/>
  </property>
</Properties>
</file>