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041"/>
        <w:gridCol w:w="992"/>
        <w:gridCol w:w="2749"/>
        <w:gridCol w:w="1651"/>
        <w:gridCol w:w="1410"/>
      </w:tblGrid>
      <w:tr w:rsidR="0015442E" w:rsidRPr="00D705C8" w14:paraId="66DCC6F4" w14:textId="77777777" w:rsidTr="0059162C">
        <w:trPr>
          <w:trHeight w:val="57"/>
          <w:jc w:val="right"/>
        </w:trPr>
        <w:tc>
          <w:tcPr>
            <w:tcW w:w="2694" w:type="dxa"/>
            <w:gridSpan w:val="2"/>
          </w:tcPr>
          <w:p w14:paraId="320BB4AD" w14:textId="77777777" w:rsidR="0015442E" w:rsidRPr="00FE0852" w:rsidRDefault="0059162C" w:rsidP="001C3E7A">
            <w:pPr>
              <w:tabs>
                <w:tab w:val="clear" w:pos="1247"/>
                <w:tab w:val="clear" w:pos="1814"/>
                <w:tab w:val="clear" w:pos="2381"/>
                <w:tab w:val="clear" w:pos="2948"/>
                <w:tab w:val="clear" w:pos="3515"/>
              </w:tabs>
              <w:ind w:right="-57"/>
              <w:rPr>
                <w:rFonts w:ascii="Arial" w:hAnsi="Arial" w:cs="Arial"/>
                <w:b/>
                <w:bCs/>
                <w:sz w:val="27"/>
                <w:szCs w:val="27"/>
                <w:lang w:val="ru-RU"/>
              </w:rPr>
            </w:pPr>
            <w:bookmarkStart w:id="0" w:name="_Hlk74571254"/>
            <w:r w:rsidRPr="00FE0852">
              <w:rPr>
                <w:rFonts w:ascii="Arial" w:hAnsi="Arial"/>
                <w:b/>
                <w:sz w:val="27"/>
                <w:szCs w:val="27"/>
                <w:lang w:val="ru-RU"/>
              </w:rPr>
              <w:t>ОРГАНИЗАЦИЯ</w:t>
            </w:r>
            <w:r w:rsidRPr="00FE0852">
              <w:rPr>
                <w:rFonts w:ascii="Arial" w:hAnsi="Arial"/>
                <w:b/>
                <w:sz w:val="27"/>
                <w:szCs w:val="27"/>
                <w:lang w:val="ru-RU"/>
              </w:rPr>
              <w:br/>
              <w:t>ОБЪЕДИНЕННЫХ</w:t>
            </w:r>
            <w:r w:rsidRPr="00FE0852">
              <w:rPr>
                <w:rFonts w:ascii="Arial" w:hAnsi="Arial"/>
                <w:b/>
                <w:sz w:val="27"/>
                <w:szCs w:val="27"/>
                <w:lang w:val="ru-RU"/>
              </w:rPr>
              <w:br/>
              <w:t>НАЦИЙ</w:t>
            </w:r>
          </w:p>
        </w:tc>
        <w:tc>
          <w:tcPr>
            <w:tcW w:w="5392" w:type="dxa"/>
            <w:gridSpan w:val="3"/>
          </w:tcPr>
          <w:p w14:paraId="061F1376" w14:textId="77777777" w:rsidR="0015442E" w:rsidRPr="00FE0852" w:rsidRDefault="006C2B82" w:rsidP="001C3E7A">
            <w:pPr>
              <w:tabs>
                <w:tab w:val="clear" w:pos="1247"/>
                <w:tab w:val="clear" w:pos="1814"/>
                <w:tab w:val="clear" w:pos="2381"/>
                <w:tab w:val="clear" w:pos="2948"/>
                <w:tab w:val="clear" w:pos="3515"/>
              </w:tabs>
              <w:spacing w:before="20"/>
              <w:rPr>
                <w:lang w:val="en-US"/>
              </w:rPr>
            </w:pPr>
            <w:r w:rsidRPr="00FE0852">
              <w:rPr>
                <w:noProof/>
                <w:lang w:val="en-US"/>
              </w:rPr>
              <w:drawing>
                <wp:inline distT="0" distB="0" distL="0" distR="0" wp14:anchorId="0141F5FF" wp14:editId="5A86EB69">
                  <wp:extent cx="1267200" cy="57043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UNEP_RU-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70436"/>
                          </a:xfrm>
                          <a:prstGeom prst="rect">
                            <a:avLst/>
                          </a:prstGeom>
                        </pic:spPr>
                      </pic:pic>
                    </a:graphicData>
                  </a:graphic>
                </wp:inline>
              </w:drawing>
            </w:r>
          </w:p>
        </w:tc>
        <w:tc>
          <w:tcPr>
            <w:tcW w:w="1410" w:type="dxa"/>
          </w:tcPr>
          <w:p w14:paraId="713A5BB3" w14:textId="77777777" w:rsidR="0015442E" w:rsidRPr="00FE0852" w:rsidRDefault="00F60EA5" w:rsidP="001C3E7A">
            <w:pPr>
              <w:tabs>
                <w:tab w:val="clear" w:pos="1247"/>
                <w:tab w:val="clear" w:pos="1814"/>
                <w:tab w:val="clear" w:pos="2381"/>
                <w:tab w:val="clear" w:pos="2948"/>
                <w:tab w:val="clear" w:pos="3515"/>
              </w:tabs>
              <w:jc w:val="right"/>
              <w:rPr>
                <w:rFonts w:ascii="Arial" w:hAnsi="Arial" w:cs="Arial"/>
                <w:b/>
                <w:bCs/>
                <w:sz w:val="64"/>
                <w:szCs w:val="64"/>
                <w:lang w:val="en-US"/>
              </w:rPr>
            </w:pPr>
            <w:r w:rsidRPr="00FE0852">
              <w:rPr>
                <w:rFonts w:ascii="Arial" w:hAnsi="Arial" w:cs="Arial"/>
                <w:b/>
                <w:bCs/>
                <w:sz w:val="64"/>
                <w:szCs w:val="64"/>
                <w:lang w:val="en-US"/>
              </w:rPr>
              <w:t>M</w:t>
            </w:r>
            <w:r w:rsidR="0015442E" w:rsidRPr="00FE0852">
              <w:rPr>
                <w:rFonts w:ascii="Arial" w:hAnsi="Arial" w:cs="Arial"/>
                <w:b/>
                <w:bCs/>
                <w:sz w:val="64"/>
                <w:szCs w:val="64"/>
                <w:lang w:val="en-US"/>
              </w:rPr>
              <w:t>C</w:t>
            </w:r>
          </w:p>
        </w:tc>
      </w:tr>
      <w:tr w:rsidR="0015442E" w:rsidRPr="00D705C8" w14:paraId="7D28D3C0" w14:textId="77777777" w:rsidTr="005C7D1D">
        <w:trPr>
          <w:trHeight w:val="57"/>
          <w:jc w:val="right"/>
        </w:trPr>
        <w:tc>
          <w:tcPr>
            <w:tcW w:w="1653" w:type="dxa"/>
            <w:tcBorders>
              <w:bottom w:val="single" w:sz="4" w:space="0" w:color="auto"/>
            </w:tcBorders>
          </w:tcPr>
          <w:p w14:paraId="3EC97241" w14:textId="77777777" w:rsidR="0015442E" w:rsidRPr="00487B54" w:rsidRDefault="0015442E" w:rsidP="001C3E7A">
            <w:pPr>
              <w:tabs>
                <w:tab w:val="clear" w:pos="1247"/>
                <w:tab w:val="clear" w:pos="1814"/>
                <w:tab w:val="clear" w:pos="2381"/>
                <w:tab w:val="clear" w:pos="2948"/>
                <w:tab w:val="clear" w:pos="3515"/>
              </w:tabs>
            </w:pPr>
          </w:p>
        </w:tc>
        <w:tc>
          <w:tcPr>
            <w:tcW w:w="4782" w:type="dxa"/>
            <w:gridSpan w:val="3"/>
            <w:tcBorders>
              <w:bottom w:val="single" w:sz="4" w:space="0" w:color="auto"/>
            </w:tcBorders>
          </w:tcPr>
          <w:p w14:paraId="51310BDE" w14:textId="77777777" w:rsidR="0015442E" w:rsidRPr="00FE0852" w:rsidRDefault="0015442E" w:rsidP="001C3E7A">
            <w:pPr>
              <w:tabs>
                <w:tab w:val="clear" w:pos="1247"/>
                <w:tab w:val="clear" w:pos="1814"/>
                <w:tab w:val="clear" w:pos="2381"/>
                <w:tab w:val="clear" w:pos="2948"/>
                <w:tab w:val="clear" w:pos="3515"/>
              </w:tabs>
              <w:rPr>
                <w:lang w:val="en-US"/>
              </w:rPr>
            </w:pPr>
          </w:p>
        </w:tc>
        <w:tc>
          <w:tcPr>
            <w:tcW w:w="3061" w:type="dxa"/>
            <w:gridSpan w:val="2"/>
            <w:tcBorders>
              <w:bottom w:val="single" w:sz="4" w:space="0" w:color="auto"/>
            </w:tcBorders>
          </w:tcPr>
          <w:p w14:paraId="61A11ED6" w14:textId="44D086B0" w:rsidR="0015442E" w:rsidRPr="00FE0852" w:rsidRDefault="0015442E" w:rsidP="001D1432">
            <w:pPr>
              <w:tabs>
                <w:tab w:val="clear" w:pos="1247"/>
                <w:tab w:val="clear" w:pos="1814"/>
                <w:tab w:val="clear" w:pos="2381"/>
                <w:tab w:val="clear" w:pos="2948"/>
                <w:tab w:val="clear" w:pos="3515"/>
              </w:tabs>
              <w:ind w:left="-60"/>
              <w:rPr>
                <w:lang w:val="en-US"/>
              </w:rPr>
            </w:pPr>
            <w:r w:rsidRPr="00FE0852">
              <w:rPr>
                <w:b/>
                <w:bCs/>
                <w:sz w:val="28"/>
                <w:szCs w:val="28"/>
                <w:lang w:val="en-US"/>
              </w:rPr>
              <w:t>UNEP</w:t>
            </w:r>
            <w:r w:rsidRPr="00FE0852">
              <w:rPr>
                <w:lang w:val="en-US"/>
              </w:rPr>
              <w:t>/</w:t>
            </w:r>
            <w:r w:rsidR="00962471" w:rsidRPr="00FE0852">
              <w:rPr>
                <w:lang w:val="en-US"/>
              </w:rPr>
              <w:t>MC</w:t>
            </w:r>
            <w:r w:rsidR="008659A0" w:rsidRPr="00FE0852">
              <w:rPr>
                <w:lang w:val="en-US"/>
              </w:rPr>
              <w:t>/</w:t>
            </w:r>
            <w:r w:rsidR="00962471" w:rsidRPr="00FE0852">
              <w:rPr>
                <w:lang w:val="en-US"/>
              </w:rPr>
              <w:t>COP.</w:t>
            </w:r>
            <w:r w:rsidR="000F4549">
              <w:rPr>
                <w:lang w:val="en-US"/>
              </w:rPr>
              <w:t>4</w:t>
            </w:r>
            <w:r w:rsidR="001C3E7A" w:rsidRPr="00FE0852">
              <w:rPr>
                <w:lang w:val="en-US"/>
              </w:rPr>
              <w:t>/</w:t>
            </w:r>
            <w:r w:rsidR="00F37BD7">
              <w:rPr>
                <w:lang w:val="en-US"/>
              </w:rPr>
              <w:t>Dec.</w:t>
            </w:r>
            <w:r w:rsidR="00595B8E">
              <w:rPr>
                <w:lang w:val="en-US"/>
              </w:rPr>
              <w:t>1</w:t>
            </w:r>
            <w:r w:rsidR="001D1432">
              <w:rPr>
                <w:lang w:val="en-US"/>
              </w:rPr>
              <w:t>1/Add.1</w:t>
            </w:r>
          </w:p>
        </w:tc>
      </w:tr>
      <w:tr w:rsidR="0015442E" w:rsidRPr="00D705C8" w14:paraId="35376371" w14:textId="77777777" w:rsidTr="0006181A">
        <w:trPr>
          <w:trHeight w:val="57"/>
          <w:jc w:val="right"/>
        </w:trPr>
        <w:tc>
          <w:tcPr>
            <w:tcW w:w="3686" w:type="dxa"/>
            <w:gridSpan w:val="3"/>
            <w:tcBorders>
              <w:top w:val="single" w:sz="4" w:space="0" w:color="auto"/>
              <w:bottom w:val="single" w:sz="18" w:space="0" w:color="auto"/>
            </w:tcBorders>
            <w:shd w:val="clear" w:color="auto" w:fill="auto"/>
          </w:tcPr>
          <w:p w14:paraId="22506F0D" w14:textId="77777777" w:rsidR="0015442E" w:rsidRPr="00FE0852" w:rsidRDefault="0059162C" w:rsidP="001C3E7A">
            <w:pPr>
              <w:tabs>
                <w:tab w:val="clear" w:pos="1247"/>
                <w:tab w:val="clear" w:pos="1814"/>
                <w:tab w:val="clear" w:pos="2381"/>
                <w:tab w:val="clear" w:pos="2948"/>
                <w:tab w:val="clear" w:pos="3515"/>
              </w:tabs>
              <w:spacing w:before="120" w:after="240"/>
              <w:ind w:left="-85"/>
              <w:rPr>
                <w:sz w:val="22"/>
                <w:lang w:val="en-US"/>
              </w:rPr>
            </w:pPr>
            <w:r w:rsidRPr="00FE0852">
              <w:rPr>
                <w:noProof/>
                <w:sz w:val="22"/>
                <w:lang w:val="en-US"/>
              </w:rPr>
              <w:drawing>
                <wp:inline distT="0" distB="0" distL="0" distR="0" wp14:anchorId="050208B2" wp14:editId="3A1442AC">
                  <wp:extent cx="2203450" cy="10287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NAMATA-BW_RU.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2749" w:type="dxa"/>
            <w:tcBorders>
              <w:top w:val="single" w:sz="4" w:space="0" w:color="auto"/>
              <w:bottom w:val="single" w:sz="18" w:space="0" w:color="auto"/>
            </w:tcBorders>
            <w:shd w:val="clear" w:color="auto" w:fill="auto"/>
          </w:tcPr>
          <w:p w14:paraId="02C11AC5" w14:textId="77777777" w:rsidR="0015442E" w:rsidRPr="00746753" w:rsidRDefault="0015442E" w:rsidP="001C3E7A">
            <w:pPr>
              <w:tabs>
                <w:tab w:val="clear" w:pos="1247"/>
                <w:tab w:val="clear" w:pos="1814"/>
                <w:tab w:val="clear" w:pos="2381"/>
                <w:tab w:val="clear" w:pos="2948"/>
                <w:tab w:val="clear" w:pos="3515"/>
              </w:tabs>
              <w:spacing w:before="240" w:after="480"/>
              <w:rPr>
                <w:rFonts w:ascii="Arial" w:hAnsi="Arial" w:cs="Arial"/>
                <w:lang w:val="en-US"/>
              </w:rPr>
            </w:pPr>
          </w:p>
        </w:tc>
        <w:tc>
          <w:tcPr>
            <w:tcW w:w="3061" w:type="dxa"/>
            <w:gridSpan w:val="2"/>
            <w:tcBorders>
              <w:top w:val="single" w:sz="4" w:space="0" w:color="auto"/>
              <w:bottom w:val="single" w:sz="18" w:space="0" w:color="auto"/>
            </w:tcBorders>
          </w:tcPr>
          <w:p w14:paraId="18ED6EC7" w14:textId="77777777" w:rsidR="00A70B56" w:rsidRDefault="0015442E" w:rsidP="001C3E7A">
            <w:pPr>
              <w:tabs>
                <w:tab w:val="clear" w:pos="1247"/>
                <w:tab w:val="clear" w:pos="1814"/>
                <w:tab w:val="clear" w:pos="2381"/>
                <w:tab w:val="clear" w:pos="2948"/>
                <w:tab w:val="clear" w:pos="3515"/>
              </w:tabs>
              <w:spacing w:before="120"/>
              <w:rPr>
                <w:lang w:val="en-US"/>
              </w:rPr>
            </w:pPr>
            <w:r w:rsidRPr="00FE0852">
              <w:rPr>
                <w:lang w:val="en-US"/>
              </w:rPr>
              <w:t>Distr.</w:t>
            </w:r>
            <w:r w:rsidR="00E317A4" w:rsidRPr="00FE0852">
              <w:rPr>
                <w:lang w:val="en-US"/>
              </w:rPr>
              <w:t>:</w:t>
            </w:r>
            <w:r w:rsidRPr="00FE0852">
              <w:rPr>
                <w:lang w:val="en-US"/>
              </w:rPr>
              <w:t xml:space="preserve"> </w:t>
            </w:r>
            <w:r w:rsidR="00E317A4" w:rsidRPr="00FE0852">
              <w:rPr>
                <w:lang w:val="en-US"/>
              </w:rPr>
              <w:t>G</w:t>
            </w:r>
            <w:r w:rsidRPr="00FE0852">
              <w:rPr>
                <w:lang w:val="en-US"/>
              </w:rPr>
              <w:t>eneral</w:t>
            </w:r>
          </w:p>
          <w:p w14:paraId="452CB143" w14:textId="329B60DB" w:rsidR="0015442E" w:rsidRPr="00FE0852" w:rsidRDefault="00171AF1" w:rsidP="00A70B56">
            <w:pPr>
              <w:tabs>
                <w:tab w:val="clear" w:pos="1247"/>
                <w:tab w:val="clear" w:pos="1814"/>
                <w:tab w:val="clear" w:pos="2381"/>
                <w:tab w:val="clear" w:pos="2948"/>
                <w:tab w:val="clear" w:pos="3515"/>
              </w:tabs>
              <w:rPr>
                <w:iCs/>
                <w:lang w:val="en-US"/>
              </w:rPr>
            </w:pPr>
            <w:r>
              <w:rPr>
                <w:iCs/>
                <w:lang w:val="en-US"/>
              </w:rPr>
              <w:t>8 April</w:t>
            </w:r>
            <w:r w:rsidR="001C3E7A" w:rsidRPr="00FE0852">
              <w:rPr>
                <w:iCs/>
                <w:lang w:val="en-US"/>
              </w:rPr>
              <w:t xml:space="preserve"> 202</w:t>
            </w:r>
            <w:r w:rsidR="00522FC4">
              <w:rPr>
                <w:iCs/>
                <w:lang w:val="en-US"/>
              </w:rPr>
              <w:t>2</w:t>
            </w:r>
          </w:p>
          <w:p w14:paraId="5C2261EC" w14:textId="77777777" w:rsidR="00A70B56" w:rsidRDefault="00E317A4" w:rsidP="001C3E7A">
            <w:pPr>
              <w:tabs>
                <w:tab w:val="clear" w:pos="1247"/>
                <w:tab w:val="clear" w:pos="1814"/>
                <w:tab w:val="clear" w:pos="2381"/>
                <w:tab w:val="clear" w:pos="2948"/>
                <w:tab w:val="clear" w:pos="3515"/>
              </w:tabs>
              <w:spacing w:before="120"/>
              <w:rPr>
                <w:lang w:val="en-US"/>
              </w:rPr>
            </w:pPr>
            <w:r w:rsidRPr="00FE0852">
              <w:rPr>
                <w:lang w:val="en-US"/>
              </w:rPr>
              <w:t>Russian</w:t>
            </w:r>
            <w:r w:rsidR="005C7D1D" w:rsidRPr="00FE0852">
              <w:rPr>
                <w:lang w:val="en-US"/>
              </w:rPr>
              <w:t xml:space="preserve"> </w:t>
            </w:r>
          </w:p>
          <w:p w14:paraId="5E992BEF" w14:textId="47E94C56" w:rsidR="0015442E" w:rsidRPr="00FE0852" w:rsidRDefault="0015442E" w:rsidP="00A70B56">
            <w:pPr>
              <w:tabs>
                <w:tab w:val="clear" w:pos="1247"/>
                <w:tab w:val="clear" w:pos="1814"/>
                <w:tab w:val="clear" w:pos="2381"/>
                <w:tab w:val="clear" w:pos="2948"/>
                <w:tab w:val="clear" w:pos="3515"/>
              </w:tabs>
              <w:rPr>
                <w:sz w:val="22"/>
                <w:lang w:val="en-US"/>
              </w:rPr>
            </w:pPr>
            <w:r w:rsidRPr="00FE0852">
              <w:rPr>
                <w:lang w:val="en-US"/>
              </w:rPr>
              <w:t xml:space="preserve">Original: </w:t>
            </w:r>
            <w:r w:rsidR="00E317A4" w:rsidRPr="00FE0852">
              <w:rPr>
                <w:lang w:val="en-US"/>
              </w:rPr>
              <w:t>English</w:t>
            </w:r>
          </w:p>
        </w:tc>
      </w:tr>
    </w:tbl>
    <w:p w14:paraId="28EEA3F1" w14:textId="77777777" w:rsidR="00962471" w:rsidRPr="00FE0852" w:rsidRDefault="0059162C" w:rsidP="00A70B56">
      <w:pPr>
        <w:tabs>
          <w:tab w:val="clear" w:pos="1247"/>
          <w:tab w:val="clear" w:pos="1814"/>
          <w:tab w:val="clear" w:pos="2381"/>
          <w:tab w:val="clear" w:pos="2948"/>
          <w:tab w:val="clear" w:pos="3515"/>
        </w:tabs>
        <w:ind w:right="4536"/>
        <w:rPr>
          <w:b/>
          <w:bCs/>
          <w:lang w:val="ru-RU"/>
        </w:rPr>
      </w:pPr>
      <w:r w:rsidRPr="00FE0852">
        <w:rPr>
          <w:b/>
          <w:bCs/>
          <w:lang w:val="ru-RU"/>
        </w:rPr>
        <w:t xml:space="preserve">Конференция Сторон </w:t>
      </w:r>
      <w:proofErr w:type="spellStart"/>
      <w:r w:rsidRPr="00FE0852">
        <w:rPr>
          <w:b/>
          <w:bCs/>
          <w:lang w:val="ru-RU"/>
        </w:rPr>
        <w:t>Минаматской</w:t>
      </w:r>
      <w:proofErr w:type="spellEnd"/>
      <w:r w:rsidRPr="00FE0852">
        <w:rPr>
          <w:b/>
          <w:bCs/>
          <w:lang w:val="ru-RU"/>
        </w:rPr>
        <w:t xml:space="preserve"> </w:t>
      </w:r>
      <w:r w:rsidR="00E317A4" w:rsidRPr="00FE0852">
        <w:rPr>
          <w:b/>
          <w:bCs/>
          <w:lang w:val="ru-RU"/>
        </w:rPr>
        <w:br/>
      </w:r>
      <w:r w:rsidRPr="00FE0852">
        <w:rPr>
          <w:b/>
          <w:bCs/>
          <w:lang w:val="ru-RU"/>
        </w:rPr>
        <w:t>конвенции о ртути</w:t>
      </w:r>
    </w:p>
    <w:bookmarkEnd w:id="0"/>
    <w:p w14:paraId="66142FBD" w14:textId="62514BC0" w:rsidR="00962471" w:rsidRPr="00FE0852" w:rsidRDefault="001C3E7A" w:rsidP="00A70B56">
      <w:pPr>
        <w:tabs>
          <w:tab w:val="clear" w:pos="1247"/>
          <w:tab w:val="clear" w:pos="1814"/>
          <w:tab w:val="clear" w:pos="2381"/>
          <w:tab w:val="clear" w:pos="2948"/>
          <w:tab w:val="clear" w:pos="3515"/>
        </w:tabs>
        <w:ind w:right="4536"/>
        <w:rPr>
          <w:b/>
          <w:bCs/>
          <w:lang w:val="ru-RU"/>
        </w:rPr>
      </w:pPr>
      <w:r w:rsidRPr="00FE0852">
        <w:rPr>
          <w:b/>
          <w:bCs/>
          <w:lang w:val="ru-RU"/>
        </w:rPr>
        <w:t>Четвертое</w:t>
      </w:r>
      <w:r w:rsidR="00962471" w:rsidRPr="00FE0852">
        <w:rPr>
          <w:b/>
          <w:bCs/>
          <w:lang w:val="ru-RU"/>
        </w:rPr>
        <w:t xml:space="preserve"> </w:t>
      </w:r>
      <w:r w:rsidR="00375D74" w:rsidRPr="00FE0852">
        <w:rPr>
          <w:b/>
          <w:bCs/>
          <w:lang w:val="ru-RU"/>
        </w:rPr>
        <w:t>совещание</w:t>
      </w:r>
    </w:p>
    <w:p w14:paraId="543F444E" w14:textId="137F42E9" w:rsidR="00EB6A99" w:rsidRPr="009459E3" w:rsidRDefault="003C1CBA" w:rsidP="001346DB">
      <w:pPr>
        <w:tabs>
          <w:tab w:val="clear" w:pos="1247"/>
          <w:tab w:val="clear" w:pos="1814"/>
          <w:tab w:val="clear" w:pos="2381"/>
          <w:tab w:val="clear" w:pos="2948"/>
          <w:tab w:val="clear" w:pos="3515"/>
        </w:tabs>
        <w:spacing w:after="120"/>
        <w:ind w:right="4536"/>
        <w:rPr>
          <w:lang w:val="ru-RU"/>
        </w:rPr>
      </w:pPr>
      <w:r>
        <w:rPr>
          <w:bCs/>
          <w:lang w:val="ru-RU"/>
        </w:rPr>
        <w:t xml:space="preserve">В онлайн-режиме, </w:t>
      </w:r>
      <w:proofErr w:type="gramStart"/>
      <w:r>
        <w:rPr>
          <w:bCs/>
          <w:lang w:val="ru-RU"/>
        </w:rPr>
        <w:t>1-5</w:t>
      </w:r>
      <w:proofErr w:type="gramEnd"/>
      <w:r>
        <w:rPr>
          <w:bCs/>
          <w:lang w:val="ru-RU"/>
        </w:rPr>
        <w:t xml:space="preserve"> ноября 2021 года, </w:t>
      </w:r>
      <w:r w:rsidR="007B33B3">
        <w:rPr>
          <w:bCs/>
          <w:lang w:val="ru-RU"/>
        </w:rPr>
        <w:br/>
      </w:r>
      <w:r w:rsidR="001346DB">
        <w:rPr>
          <w:bCs/>
          <w:lang w:val="ru-RU"/>
        </w:rPr>
        <w:t xml:space="preserve">и </w:t>
      </w:r>
      <w:r>
        <w:rPr>
          <w:bCs/>
          <w:lang w:val="ru-RU"/>
        </w:rPr>
        <w:t>Бали, Индонезия, 21-25 марта 2022 года</w:t>
      </w:r>
    </w:p>
    <w:p w14:paraId="4B3C903D" w14:textId="77777777" w:rsidR="00CB1BEB" w:rsidRDefault="00CB1BEB" w:rsidP="00CB1BEB">
      <w:pPr>
        <w:tabs>
          <w:tab w:val="clear" w:pos="1247"/>
          <w:tab w:val="clear" w:pos="1814"/>
          <w:tab w:val="clear" w:pos="2381"/>
          <w:tab w:val="clear" w:pos="2948"/>
          <w:tab w:val="clear" w:pos="3515"/>
        </w:tabs>
        <w:suppressAutoHyphens/>
        <w:spacing w:after="120"/>
        <w:ind w:left="1247"/>
        <w:rPr>
          <w:rFonts w:eastAsia="SimSun"/>
          <w:b/>
          <w:bCs/>
          <w:sz w:val="28"/>
          <w:szCs w:val="28"/>
          <w:lang w:val="ru-RU"/>
        </w:rPr>
      </w:pPr>
    </w:p>
    <w:p w14:paraId="34B7AE30" w14:textId="36EA07DE"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8"/>
          <w:szCs w:val="28"/>
          <w:lang w:val="ru-RU"/>
        </w:rPr>
      </w:pPr>
      <w:r w:rsidRPr="00EE4D21">
        <w:rPr>
          <w:rFonts w:eastAsia="SimSun"/>
          <w:b/>
          <w:bCs/>
          <w:sz w:val="28"/>
          <w:szCs w:val="28"/>
          <w:lang w:val="ru-RU"/>
        </w:rPr>
        <w:t>Положение о Группе по оценке эффективности (ГОЭ)</w:t>
      </w:r>
      <w:r w:rsidRPr="00EE4D21">
        <w:rPr>
          <w:rFonts w:eastAsia="SimSun"/>
          <w:sz w:val="28"/>
          <w:szCs w:val="18"/>
          <w:lang w:val="ru-RU"/>
        </w:rPr>
        <w:footnoteReference w:customMarkFollows="1" w:id="1"/>
        <w:t>*</w:t>
      </w:r>
    </w:p>
    <w:p w14:paraId="2762E903" w14:textId="77777777" w:rsidR="00CB1BEB" w:rsidRPr="00EE4D21" w:rsidRDefault="001064A3" w:rsidP="00CB1BEB">
      <w:pPr>
        <w:tabs>
          <w:tab w:val="clear" w:pos="1247"/>
          <w:tab w:val="clear" w:pos="1814"/>
          <w:tab w:val="clear" w:pos="2381"/>
          <w:tab w:val="clear" w:pos="2948"/>
          <w:tab w:val="clear" w:pos="3515"/>
        </w:tabs>
        <w:spacing w:after="240"/>
        <w:ind w:left="1247"/>
        <w:rPr>
          <w:rFonts w:eastAsia="SimSun"/>
          <w:lang w:val="ru-RU"/>
        </w:rPr>
      </w:pPr>
      <w:r w:rsidRPr="00611117">
        <w:rPr>
          <w:b/>
          <w:bCs/>
          <w:sz w:val="28"/>
          <w:szCs w:val="28"/>
          <w:lang w:val="ru-RU"/>
        </w:rPr>
        <w:tab/>
      </w:r>
      <w:r w:rsidR="00CB1BEB" w:rsidRPr="00EE4D21">
        <w:rPr>
          <w:rFonts w:eastAsia="SimSun"/>
          <w:lang w:val="ru-RU"/>
        </w:rPr>
        <w:t xml:space="preserve">Приведенное ниже Положение о новой Группе по оценке эффективности стало результатом работы контактной группы по оценке эффективности на возобновленном четвертом совещании Конференции Сторон. Все элементы Положения, за исключением членского состава Группы по оценке эффективности, были согласованы. </w:t>
      </w:r>
    </w:p>
    <w:p w14:paraId="31B04C7F" w14:textId="6B1CC288" w:rsidR="00CB1BEB" w:rsidRPr="00CB1BEB"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ru-RU"/>
        </w:rPr>
      </w:pPr>
      <w:r w:rsidRPr="00EE4D21">
        <w:rPr>
          <w:rFonts w:eastAsia="SimSun"/>
          <w:b/>
          <w:sz w:val="28"/>
          <w:szCs w:val="28"/>
          <w:lang w:val="ru-RU"/>
        </w:rPr>
        <w:tab/>
      </w:r>
      <w:r w:rsidRPr="00CB1BEB">
        <w:rPr>
          <w:rFonts w:eastAsia="SimSun"/>
          <w:b/>
          <w:sz w:val="24"/>
          <w:szCs w:val="24"/>
          <w:lang w:val="ru-RU"/>
        </w:rPr>
        <w:t>Мандат</w:t>
      </w:r>
    </w:p>
    <w:p w14:paraId="5373759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Группа по оценке эффективности (далее «ГОЭ») отвечает за разработку доклада </w:t>
      </w:r>
      <w:r>
        <w:rPr>
          <w:lang w:val="ru-RU"/>
        </w:rPr>
        <w:t>об</w:t>
      </w:r>
      <w:r w:rsidRPr="00EE4D21">
        <w:rPr>
          <w:lang w:val="ru-RU"/>
        </w:rPr>
        <w:t xml:space="preserve"> оценке эффективности (ОЭ) и осуществляет надзор за его подготовкой согласно поручению Конференции Сторон (КС). ГОЭ объединяет информацию и знания, собранные и обобщенные в ходе этого процесса, в итоговом докладе для КС и представляет КС рекомендации по повышению эффективности, а также накопленный опыт и наилучшие методы.</w:t>
      </w:r>
    </w:p>
    <w:p w14:paraId="0F72BFFB"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Мандат ГОЭ завершается представлением окончательного доклада Конференции Сторон. </w:t>
      </w:r>
    </w:p>
    <w:p w14:paraId="403BB469"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Задачи</w:t>
      </w:r>
      <w:r w:rsidRPr="00EE4D21">
        <w:rPr>
          <w:rFonts w:eastAsia="SimSun"/>
          <w:b/>
          <w:sz w:val="24"/>
          <w:szCs w:val="24"/>
          <w:lang w:val="ru-RU"/>
        </w:rPr>
        <w:t xml:space="preserve"> </w:t>
      </w:r>
    </w:p>
    <w:p w14:paraId="4D84EAC6"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proofErr w:type="gramStart"/>
      <w:r w:rsidRPr="00EE4D21">
        <w:rPr>
          <w:lang w:val="ru-RU"/>
        </w:rPr>
        <w:t>Для завершения подготовки окончательного доклада,</w:t>
      </w:r>
      <w:proofErr w:type="gramEnd"/>
      <w:r w:rsidRPr="00EE4D21">
        <w:rPr>
          <w:lang w:val="ru-RU"/>
        </w:rPr>
        <w:t xml:space="preserve"> ГОЭ выполняет следующее:</w:t>
      </w:r>
    </w:p>
    <w:p w14:paraId="7F2F8478" w14:textId="77777777" w:rsidR="00CB1BEB" w:rsidRPr="00EE4D21" w:rsidRDefault="00CB1BEB" w:rsidP="00CB1BEB">
      <w:pPr>
        <w:numPr>
          <w:ilvl w:val="1"/>
          <w:numId w:val="13"/>
        </w:numPr>
        <w:tabs>
          <w:tab w:val="clear" w:pos="1247"/>
          <w:tab w:val="clear" w:pos="1814"/>
          <w:tab w:val="clear" w:pos="2381"/>
          <w:tab w:val="clear" w:pos="2948"/>
          <w:tab w:val="clear" w:pos="3515"/>
        </w:tabs>
        <w:spacing w:after="120"/>
        <w:ind w:firstLine="624"/>
        <w:rPr>
          <w:rFonts w:eastAsia="Calibri"/>
          <w:lang w:val="ru-RU"/>
        </w:rPr>
      </w:pPr>
      <w:r w:rsidRPr="00EE4D21">
        <w:rPr>
          <w:lang w:val="ru-RU"/>
        </w:rPr>
        <w:t>контролирует процесс оценки эффективности для завершения доклада об оценке эффективности, включая эти планы и доклады, как указано в приложении X;</w:t>
      </w:r>
    </w:p>
    <w:p w14:paraId="5CF9E7ED" w14:textId="77777777" w:rsidR="00CB1BEB" w:rsidRPr="00EE4D21" w:rsidRDefault="00CB1BEB" w:rsidP="00CB1BEB">
      <w:pPr>
        <w:numPr>
          <w:ilvl w:val="1"/>
          <w:numId w:val="13"/>
        </w:numPr>
        <w:tabs>
          <w:tab w:val="clear" w:pos="1247"/>
          <w:tab w:val="clear" w:pos="1814"/>
          <w:tab w:val="clear" w:pos="2381"/>
          <w:tab w:val="clear" w:pos="2948"/>
          <w:tab w:val="clear" w:pos="3515"/>
        </w:tabs>
        <w:spacing w:after="120"/>
        <w:ind w:firstLine="624"/>
        <w:rPr>
          <w:rFonts w:eastAsia="Calibri"/>
          <w:lang w:val="ru-RU"/>
        </w:rPr>
      </w:pPr>
      <w:r w:rsidRPr="00EE4D21">
        <w:rPr>
          <w:lang w:val="ru-RU"/>
        </w:rPr>
        <w:t>представляет доклад об оценке эффективности, как указано в приложении X. При подготовке своего доклада ГОЭ также ссылается на список показателей, без ущерба для их окончательного согласования КС. Доклады и данные, представленные Сторонами для процесса оценки эффективности, будут по мере необходимости использоваться в качестве основных источников информации для оценки эффективности. Собранные данные, обладающие максимальной сопоставимостью, репрезентативностью и устойчивостью, должны стать источником для подготовки окончательного доклада об оценке эффективности;</w:t>
      </w:r>
    </w:p>
    <w:p w14:paraId="7A436482" w14:textId="77777777" w:rsidR="00CB1BEB" w:rsidRPr="00EE4D21" w:rsidRDefault="00CB1BEB" w:rsidP="00CB1BEB">
      <w:pPr>
        <w:numPr>
          <w:ilvl w:val="1"/>
          <w:numId w:val="13"/>
        </w:numPr>
        <w:tabs>
          <w:tab w:val="clear" w:pos="1247"/>
          <w:tab w:val="clear" w:pos="1814"/>
          <w:tab w:val="clear" w:pos="2381"/>
          <w:tab w:val="clear" w:pos="2948"/>
          <w:tab w:val="clear" w:pos="3515"/>
        </w:tabs>
        <w:spacing w:after="120"/>
        <w:ind w:firstLine="624"/>
        <w:rPr>
          <w:rFonts w:eastAsia="Calibri"/>
          <w:lang w:val="ru-RU"/>
        </w:rPr>
      </w:pPr>
      <w:r w:rsidRPr="00EE4D21">
        <w:rPr>
          <w:lang w:val="ru-RU"/>
        </w:rPr>
        <w:t xml:space="preserve">изучает, рассматривает и представляет КС в надлежащем порядке планы и доклады, включенные в приложение X, в том числе замечания Сторон по планам и докладам. Данные, представленные Сторонами, должны быть учтены в докладах. Если используются другие источники данных, помимо представленных Сторонами данных, это необходимо указывать в докладах. </w:t>
      </w:r>
    </w:p>
    <w:p w14:paraId="0673C14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При выполнении задач, указанных в пункте 3, ГОЭ может делегировать работу Научной группе открытого состава (НГОС), секретариату и другим группам для выполнения </w:t>
      </w:r>
      <w:r w:rsidRPr="00EE4D21">
        <w:rPr>
          <w:lang w:val="ru-RU"/>
        </w:rPr>
        <w:lastRenderedPageBreak/>
        <w:t>обязательств ГОЭ в рамках выделенных ресурсов. ГОЭ взаимодействует с соответствующими группами и принимает во внимание их рекомендации и вклад.</w:t>
      </w:r>
    </w:p>
    <w:p w14:paraId="21CA393A"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ГОЭ предложит секретариату, НГОС и другим соответствующим группам действовать в надлежащем порядке на основе указаний, полученных от КС, для продолжения постановки и осуществления необходимых задач для дальнейшей работы по оценке эффективности.</w:t>
      </w:r>
    </w:p>
    <w:p w14:paraId="660232A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В дополнение к своему докладу об оценке эффективности для Конференции Сторон, ГОЭ подготовит и представит КС обзор накопленного опыта, полученного в ходе первого цикла оценки эффективности, чтобы учесть его в последующих циклах, включая рекомендации по внесению любых изменений в показатели, Руководство по мониторингу, источники данных, доклады или общую структуру. </w:t>
      </w:r>
    </w:p>
    <w:p w14:paraId="7D5DD634"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Членский состав</w:t>
      </w:r>
    </w:p>
    <w:p w14:paraId="13EF892C"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Члены ГОЭ назначаются на основе справедливого географического распределения с учетом необходимости обеспечения гендерной сбалансированности и различных специализаций.</w:t>
      </w:r>
    </w:p>
    <w:p w14:paraId="676E0F42" w14:textId="77777777" w:rsidR="00CB1BEB" w:rsidRPr="00EE4D21" w:rsidRDefault="00CB1BEB" w:rsidP="00CB1BEB">
      <w:pPr>
        <w:keepNext/>
        <w:keepLines/>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ГОЭ состоит из [(15)] [(40)] участников от Сторон, распределенных следующим образом:</w:t>
      </w:r>
    </w:p>
    <w:p w14:paraId="044C529D" w14:textId="77777777" w:rsidR="00CB1BEB" w:rsidRPr="00EE4D21" w:rsidRDefault="00CB1BEB" w:rsidP="00CB1BEB">
      <w:pPr>
        <w:keepNext/>
        <w:keepLines/>
        <w:numPr>
          <w:ilvl w:val="1"/>
          <w:numId w:val="13"/>
        </w:numPr>
        <w:tabs>
          <w:tab w:val="clear" w:pos="1247"/>
          <w:tab w:val="clear" w:pos="1814"/>
          <w:tab w:val="clear" w:pos="2381"/>
          <w:tab w:val="clear" w:pos="2948"/>
          <w:tab w:val="clear" w:pos="3515"/>
        </w:tabs>
        <w:spacing w:after="120"/>
        <w:ind w:firstLine="624"/>
        <w:rPr>
          <w:rFonts w:eastAsia="Calibri"/>
          <w:lang w:val="ru-RU"/>
        </w:rPr>
      </w:pPr>
      <w:r w:rsidRPr="00EE4D21">
        <w:rPr>
          <w:lang w:val="ru-RU"/>
        </w:rPr>
        <w:t>[три (3) представителя] [восемь (8) представителей] от Сторон, назначенных каждым из пяти регионов Организации Объединенных Наций.</w:t>
      </w:r>
    </w:p>
    <w:p w14:paraId="7F09F94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Представители, назначенные регионами, должны иметь опыт выполнения работы, проводимой ГОЭ.</w:t>
      </w:r>
    </w:p>
    <w:p w14:paraId="3CACBAA9"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Члены ГОЭ сохраняют объективность и применяют свои экспертные знания нейтральным и беспристрастным образом, а также действуют в наилучших интересах Конвенции.</w:t>
      </w:r>
    </w:p>
    <w:p w14:paraId="4981C321"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Члены ГОЭ выполняют свои обязанности в течение одного цикла оценки эффективности, определяемого Конференцией Сторон. Новая группа будет вновь сформирована в соответствии с системой оценки эффективности в следующем цикле.</w:t>
      </w:r>
    </w:p>
    <w:p w14:paraId="1227ABBF"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Если член группы не может завершить срок полномочий, то регион, назначивший этого члена, предложит другого кандидата для завершения срока полномочий.</w:t>
      </w:r>
    </w:p>
    <w:p w14:paraId="16F4814D"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Приглашенные эксперты и наблюдатели</w:t>
      </w:r>
    </w:p>
    <w:p w14:paraId="3D112251"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Секретариат по согласованию с ГОЭ приглашает двух (2) </w:t>
      </w:r>
      <w:proofErr w:type="spellStart"/>
      <w:r w:rsidRPr="00EE4D21">
        <w:rPr>
          <w:lang w:val="ru-RU"/>
        </w:rPr>
        <w:t>международно</w:t>
      </w:r>
      <w:proofErr w:type="spellEnd"/>
      <w:r w:rsidRPr="00EE4D21">
        <w:rPr>
          <w:lang w:val="ru-RU"/>
        </w:rPr>
        <w:t xml:space="preserve"> признанных экспертов Организации Объединенных Наций по оценке эффективности в качестве наблюдателей, с должным учетом имеющихся экспертных ресурсов.</w:t>
      </w:r>
    </w:p>
    <w:p w14:paraId="555E51DE"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Сопредседатели (2) НГОС и председатель Комитета по осуществлению и соблюдению приглашаются к участию в качестве наблюдателей. </w:t>
      </w:r>
    </w:p>
    <w:p w14:paraId="1E77A6B0"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ГОЭ предложит участие в качестве наблюдателей экспертам числом до пяти (5) человек из развитых и развивающихся стран, представляющим гражданское общество, организации коренных народов, организации местных общин, межправительственные организации, промышленные круги и Глобальное партнерство ЮНЕП по ртути. Участие наблюдателей будет сбалансировано между вышеупомянутыми группами и по гендерному признаку.</w:t>
      </w:r>
    </w:p>
    <w:p w14:paraId="6F427D22"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ГОЭ может приглашать дополнительных наблюдателей на разовой основе в разумных пределах.</w:t>
      </w:r>
    </w:p>
    <w:p w14:paraId="64C78154"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Должностные лица</w:t>
      </w:r>
    </w:p>
    <w:p w14:paraId="54B956A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ГОЭ избирает двух сопредседателей из числа Сторон-членов, одного от развитой и одного от развивающейся страны, для содействия ее работе и проведения совещаний. </w:t>
      </w:r>
    </w:p>
    <w:p w14:paraId="653DDDB1"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Процедурные вопросы</w:t>
      </w:r>
    </w:p>
    <w:p w14:paraId="116EC2C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ГОЭ применяет правила процедуры Конференции Сторон </w:t>
      </w:r>
      <w:proofErr w:type="spellStart"/>
      <w:r w:rsidRPr="00EE4D21">
        <w:rPr>
          <w:lang w:val="ru-RU"/>
        </w:rPr>
        <w:t>mutatis</w:t>
      </w:r>
      <w:proofErr w:type="spellEnd"/>
      <w:r w:rsidRPr="00EE4D21">
        <w:rPr>
          <w:lang w:val="ru-RU"/>
        </w:rPr>
        <w:t xml:space="preserve"> </w:t>
      </w:r>
      <w:proofErr w:type="spellStart"/>
      <w:r w:rsidRPr="00EE4D21">
        <w:rPr>
          <w:lang w:val="ru-RU"/>
        </w:rPr>
        <w:t>mutandis</w:t>
      </w:r>
      <w:proofErr w:type="spellEnd"/>
      <w:r w:rsidRPr="00EE4D21">
        <w:rPr>
          <w:lang w:val="ru-RU"/>
        </w:rPr>
        <w:t xml:space="preserve">, если иное не предусмотрено настоящим положением. </w:t>
      </w:r>
    </w:p>
    <w:p w14:paraId="6132AF85"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en-GB"/>
        </w:rPr>
      </w:pPr>
      <w:r w:rsidRPr="00EE4D21">
        <w:rPr>
          <w:lang w:val="ru-RU"/>
        </w:rPr>
        <w:t xml:space="preserve">ГОЭ может создавать механизмы, необходимые для содействия ее работе в соответствии с настоящим положением, включая формирование подгрупп, в рамках выделенных ресурсов. Любые подгруппы работают под руководством и надзором ГОЭ и </w:t>
      </w:r>
      <w:r w:rsidRPr="00EE4D21">
        <w:rPr>
          <w:lang w:val="ru-RU"/>
        </w:rPr>
        <w:lastRenderedPageBreak/>
        <w:t xml:space="preserve">прекращают существование после выполнения поставленной задачи. Подгруппы по возможности ведут работу в электронном виде. </w:t>
      </w:r>
    </w:p>
    <w:p w14:paraId="708464BE"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 xml:space="preserve">ГОЭ стремится к достижению согласия консенсусом. Если члены группы не смогут достичь консенсуса, диапазон их мнений отражается в соответствующем докладе для представления Конференции Сторон. </w:t>
      </w:r>
    </w:p>
    <w:p w14:paraId="2219CEA7"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Секретариат</w:t>
      </w:r>
    </w:p>
    <w:p w14:paraId="5319996F"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Секретариат обеспечивает административную, логистическую, программную и предметную поддержку для совещаний и работы ГОЭ, при содействии требуемых служб и с учетом имеющихся ресурсов.</w:t>
      </w:r>
    </w:p>
    <w:p w14:paraId="18201D14"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Совещания</w:t>
      </w:r>
    </w:p>
    <w:p w14:paraId="2308555E"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ГОЭ будет работать в онлайн-режиме и при необходимости проведет до двух очных совещаний в рамках выделенных ресурсов, чтобы рассмотреть информацию, полученную для цикла оценки, и подготовить доклад о своих выводах для Конференции Сторон. Периодичность проведения очных совещаний ГОЭ может быть изменена по мере необходимости на основании решений Конференции Сторон.</w:t>
      </w:r>
    </w:p>
    <w:p w14:paraId="11BFCD78"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Проекты документов для передачи Конференции Сторон, будут открыты для замечаний Сторон. Работа над проектами документов будет завершена ГОЭ не менее чем за четыре месяца до начала совещания Конференции Сторон.</w:t>
      </w:r>
    </w:p>
    <w:p w14:paraId="063A31AA"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en-GB"/>
        </w:rPr>
      </w:pPr>
      <w:r w:rsidRPr="00EE4D21">
        <w:rPr>
          <w:rFonts w:eastAsia="SimSun"/>
          <w:b/>
          <w:sz w:val="24"/>
          <w:szCs w:val="24"/>
          <w:lang w:val="ru-RU"/>
        </w:rPr>
        <w:tab/>
      </w:r>
      <w:r w:rsidRPr="00EE4D21">
        <w:rPr>
          <w:rFonts w:eastAsia="SimSun"/>
          <w:b/>
          <w:bCs/>
          <w:sz w:val="24"/>
          <w:szCs w:val="24"/>
          <w:lang w:val="ru-RU"/>
        </w:rPr>
        <w:t>Язык совещаний</w:t>
      </w:r>
    </w:p>
    <w:p w14:paraId="018FFBA9" w14:textId="77777777" w:rsidR="00CB1BEB" w:rsidRPr="00EE4D21" w:rsidRDefault="00CB1BEB" w:rsidP="00CB1BEB">
      <w:pPr>
        <w:numPr>
          <w:ilvl w:val="0"/>
          <w:numId w:val="14"/>
        </w:numPr>
        <w:tabs>
          <w:tab w:val="clear" w:pos="1247"/>
          <w:tab w:val="clear" w:pos="1814"/>
          <w:tab w:val="clear" w:pos="2381"/>
          <w:tab w:val="clear" w:pos="2948"/>
          <w:tab w:val="clear" w:pos="3515"/>
        </w:tabs>
        <w:spacing w:after="120"/>
        <w:ind w:left="1247"/>
        <w:rPr>
          <w:rFonts w:eastAsia="Calibri"/>
          <w:lang w:val="ru-RU"/>
        </w:rPr>
      </w:pPr>
      <w:r w:rsidRPr="00EE4D21">
        <w:rPr>
          <w:lang w:val="ru-RU"/>
        </w:rPr>
        <w:t>Рабочим языком ГОЭ является английский.</w:t>
      </w:r>
    </w:p>
    <w:p w14:paraId="0BB63F04" w14:textId="77777777" w:rsidR="00CB1BEB" w:rsidRPr="00EE4D21" w:rsidRDefault="00CB1BEB" w:rsidP="00CB1BEB">
      <w:pPr>
        <w:tabs>
          <w:tab w:val="clear" w:pos="1247"/>
          <w:tab w:val="clear" w:pos="1814"/>
          <w:tab w:val="clear" w:pos="2381"/>
          <w:tab w:val="clear" w:pos="2948"/>
          <w:tab w:val="clear" w:pos="3515"/>
        </w:tabs>
        <w:suppressAutoHyphens/>
        <w:spacing w:after="120"/>
        <w:ind w:left="1247"/>
        <w:rPr>
          <w:rFonts w:eastAsia="SimSun"/>
          <w:b/>
          <w:sz w:val="24"/>
          <w:szCs w:val="24"/>
          <w:lang w:val="ru-RU"/>
        </w:rPr>
      </w:pPr>
      <w:r w:rsidRPr="00EE4D21">
        <w:rPr>
          <w:rFonts w:eastAsia="SimSun"/>
          <w:b/>
          <w:sz w:val="24"/>
          <w:szCs w:val="24"/>
          <w:lang w:val="ru-RU"/>
        </w:rPr>
        <w:tab/>
      </w:r>
      <w:r w:rsidRPr="00EE4D21">
        <w:rPr>
          <w:rFonts w:eastAsia="SimSun"/>
          <w:b/>
          <w:bCs/>
          <w:sz w:val="24"/>
          <w:szCs w:val="24"/>
          <w:lang w:val="ru-RU"/>
        </w:rPr>
        <w:t>Бюджет</w:t>
      </w:r>
    </w:p>
    <w:p w14:paraId="699C2DE8" w14:textId="77777777" w:rsidR="00CB1BEB" w:rsidRPr="007E4609" w:rsidRDefault="00CB1BEB" w:rsidP="00CB1BEB">
      <w:pPr>
        <w:numPr>
          <w:ilvl w:val="0"/>
          <w:numId w:val="14"/>
        </w:numPr>
        <w:tabs>
          <w:tab w:val="clear" w:pos="1247"/>
          <w:tab w:val="clear" w:pos="1814"/>
          <w:tab w:val="clear" w:pos="2381"/>
          <w:tab w:val="clear" w:pos="2948"/>
          <w:tab w:val="clear" w:pos="3515"/>
        </w:tabs>
        <w:spacing w:after="120"/>
        <w:ind w:left="1247"/>
        <w:rPr>
          <w:lang w:val="ru-RU"/>
        </w:rPr>
      </w:pPr>
      <w:r w:rsidRPr="00EE4D21">
        <w:rPr>
          <w:rFonts w:eastAsia="SimSun"/>
          <w:lang w:val="ru-RU" w:eastAsia="zh-CN"/>
        </w:rPr>
        <w:t>Финансовая поддержка для оплаты проезда и суточные должны, после утверждения Конференцией Сторон, предоставляться членам ГОЭ и приглашенным наблюдателям для участия в совещаниях ГОЭ в соответствии с правилами и практикой Организации Объединенных Наций.</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087F339E" w14:textId="77777777" w:rsidTr="0015442E">
        <w:tc>
          <w:tcPr>
            <w:tcW w:w="1897" w:type="dxa"/>
          </w:tcPr>
          <w:p w14:paraId="33450BE6"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7" w:type="dxa"/>
          </w:tcPr>
          <w:p w14:paraId="7AE652CA"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7" w:type="dxa"/>
            <w:tcBorders>
              <w:bottom w:val="single" w:sz="4" w:space="0" w:color="auto"/>
            </w:tcBorders>
          </w:tcPr>
          <w:p w14:paraId="71030039" w14:textId="77777777" w:rsidR="0015442E" w:rsidRDefault="0015442E" w:rsidP="001C3E7A">
            <w:pPr>
              <w:pStyle w:val="Normal-pool"/>
              <w:tabs>
                <w:tab w:val="clear" w:pos="1247"/>
                <w:tab w:val="clear" w:pos="1814"/>
                <w:tab w:val="clear" w:pos="2381"/>
                <w:tab w:val="clear" w:pos="2948"/>
                <w:tab w:val="clear" w:pos="3515"/>
                <w:tab w:val="clear" w:pos="4082"/>
              </w:tabs>
              <w:spacing w:before="480"/>
            </w:pPr>
          </w:p>
        </w:tc>
        <w:tc>
          <w:tcPr>
            <w:tcW w:w="1897" w:type="dxa"/>
          </w:tcPr>
          <w:p w14:paraId="1B2C79D4" w14:textId="77777777" w:rsidR="0015442E" w:rsidRDefault="0015442E" w:rsidP="001C3E7A">
            <w:pPr>
              <w:pStyle w:val="Normal-pool"/>
              <w:tabs>
                <w:tab w:val="clear" w:pos="1247"/>
                <w:tab w:val="clear" w:pos="1814"/>
                <w:tab w:val="clear" w:pos="2381"/>
                <w:tab w:val="clear" w:pos="2948"/>
                <w:tab w:val="clear" w:pos="3515"/>
                <w:tab w:val="clear" w:pos="4082"/>
              </w:tabs>
            </w:pPr>
          </w:p>
        </w:tc>
        <w:tc>
          <w:tcPr>
            <w:tcW w:w="1898" w:type="dxa"/>
          </w:tcPr>
          <w:p w14:paraId="144A7BE1" w14:textId="77777777" w:rsidR="0015442E" w:rsidRDefault="0015442E" w:rsidP="001C3E7A">
            <w:pPr>
              <w:pStyle w:val="Normal-pool"/>
              <w:tabs>
                <w:tab w:val="clear" w:pos="1247"/>
                <w:tab w:val="clear" w:pos="1814"/>
                <w:tab w:val="clear" w:pos="2381"/>
                <w:tab w:val="clear" w:pos="2948"/>
                <w:tab w:val="clear" w:pos="3515"/>
                <w:tab w:val="clear" w:pos="4082"/>
              </w:tabs>
            </w:pPr>
          </w:p>
        </w:tc>
      </w:tr>
    </w:tbl>
    <w:p w14:paraId="12EBF5D0" w14:textId="77777777" w:rsidR="008659A0" w:rsidRDefault="008659A0" w:rsidP="00EB0150">
      <w:pPr>
        <w:pStyle w:val="Normal-pool"/>
        <w:tabs>
          <w:tab w:val="clear" w:pos="1247"/>
          <w:tab w:val="clear" w:pos="1814"/>
          <w:tab w:val="clear" w:pos="2381"/>
          <w:tab w:val="clear" w:pos="2948"/>
          <w:tab w:val="clear" w:pos="3515"/>
          <w:tab w:val="clear" w:pos="4082"/>
        </w:tabs>
      </w:pPr>
    </w:p>
    <w:sectPr w:rsidR="008659A0"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6475" w14:textId="77777777" w:rsidR="0071798B" w:rsidRDefault="0071798B">
      <w:r>
        <w:separator/>
      </w:r>
    </w:p>
  </w:endnote>
  <w:endnote w:type="continuationSeparator" w:id="0">
    <w:p w14:paraId="7FF2C98A" w14:textId="77777777" w:rsidR="0071798B" w:rsidRDefault="00717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5E00" w14:textId="457F0645" w:rsidR="00123699" w:rsidRPr="003B5910" w:rsidRDefault="00123699" w:rsidP="00A70B56">
    <w:pPr>
      <w:pStyle w:val="Footer-pool"/>
      <w:tabs>
        <w:tab w:val="clear" w:pos="1247"/>
        <w:tab w:val="clear" w:pos="1814"/>
        <w:tab w:val="clear" w:pos="2381"/>
        <w:tab w:val="clear" w:pos="2948"/>
        <w:tab w:val="clear" w:pos="3515"/>
        <w:tab w:val="clear" w:pos="4082"/>
        <w:tab w:val="clear" w:pos="4321"/>
        <w:tab w:val="clear" w:pos="8641"/>
      </w:tabs>
      <w:rPr>
        <w:lang w:val="en-US"/>
      </w:rPr>
    </w:pPr>
    <w:r w:rsidRPr="003B5910">
      <w:rPr>
        <w:rStyle w:val="PageNumber"/>
        <w:b/>
        <w:lang w:val="en-US"/>
      </w:rPr>
      <w:fldChar w:fldCharType="begin"/>
    </w:r>
    <w:r w:rsidRPr="003B5910">
      <w:rPr>
        <w:rStyle w:val="PageNumber"/>
        <w:b/>
        <w:lang w:val="en-US"/>
      </w:rPr>
      <w:instrText xml:space="preserve"> PAGE </w:instrText>
    </w:r>
    <w:r w:rsidRPr="003B5910">
      <w:rPr>
        <w:rStyle w:val="PageNumber"/>
        <w:b/>
        <w:lang w:val="en-US"/>
      </w:rPr>
      <w:fldChar w:fldCharType="separate"/>
    </w:r>
    <w:r w:rsidR="00F7542C" w:rsidRPr="003B5910">
      <w:rPr>
        <w:rStyle w:val="PageNumber"/>
        <w:b/>
        <w:noProof/>
        <w:lang w:val="en-US"/>
      </w:rPr>
      <w:t>2</w:t>
    </w:r>
    <w:r w:rsidRPr="003B5910">
      <w:rPr>
        <w:rStyle w:val="PageNumbe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0E42" w14:textId="77777777" w:rsidR="00123699" w:rsidRPr="003B5910" w:rsidRDefault="00123699" w:rsidP="003B5910">
    <w:pPr>
      <w:pStyle w:val="Footer-pool"/>
      <w:tabs>
        <w:tab w:val="clear" w:pos="1247"/>
        <w:tab w:val="clear" w:pos="1814"/>
        <w:tab w:val="clear" w:pos="2381"/>
        <w:tab w:val="clear" w:pos="2948"/>
        <w:tab w:val="clear" w:pos="3515"/>
        <w:tab w:val="clear" w:pos="4082"/>
        <w:tab w:val="clear" w:pos="4321"/>
        <w:tab w:val="clear" w:pos="8641"/>
      </w:tabs>
      <w:jc w:val="right"/>
      <w:rPr>
        <w:b w:val="0"/>
        <w:lang w:val="en-US"/>
      </w:rPr>
    </w:pPr>
    <w:r w:rsidRPr="003B5910">
      <w:rPr>
        <w:rStyle w:val="PageNumber"/>
        <w:b/>
        <w:lang w:val="en-US"/>
      </w:rPr>
      <w:fldChar w:fldCharType="begin"/>
    </w:r>
    <w:r w:rsidRPr="003B5910">
      <w:rPr>
        <w:rStyle w:val="PageNumber"/>
        <w:b/>
        <w:lang w:val="en-US"/>
      </w:rPr>
      <w:instrText xml:space="preserve"> PAGE </w:instrText>
    </w:r>
    <w:r w:rsidRPr="003B5910">
      <w:rPr>
        <w:rStyle w:val="PageNumber"/>
        <w:b/>
        <w:lang w:val="en-US"/>
      </w:rPr>
      <w:fldChar w:fldCharType="separate"/>
    </w:r>
    <w:r w:rsidR="00250B6D" w:rsidRPr="003B5910">
      <w:rPr>
        <w:rStyle w:val="PageNumber"/>
        <w:b/>
        <w:noProof/>
        <w:lang w:val="en-US"/>
      </w:rPr>
      <w:t>3</w:t>
    </w:r>
    <w:r w:rsidRPr="003B5910">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0173" w14:textId="502DAC03" w:rsidR="0015442E" w:rsidRPr="003B5910" w:rsidRDefault="0015442E" w:rsidP="00A70B56">
    <w:pPr>
      <w:pStyle w:val="Normal-pool"/>
      <w:tabs>
        <w:tab w:val="clear" w:pos="1247"/>
        <w:tab w:val="clear" w:pos="1814"/>
        <w:tab w:val="clear" w:pos="2381"/>
        <w:tab w:val="clear" w:pos="2948"/>
        <w:tab w:val="clear" w:pos="3515"/>
        <w:tab w:val="clear" w:pos="4082"/>
      </w:tabs>
      <w:spacing w:before="60" w:after="120"/>
      <w:rPr>
        <w:lang w:val="en-US"/>
      </w:rPr>
    </w:pPr>
    <w:r w:rsidRPr="003B5910">
      <w:rPr>
        <w:lang w:val="en-US"/>
      </w:rPr>
      <w:tab/>
    </w:r>
    <w:r w:rsidR="00875E6E" w:rsidRPr="00917F8F">
      <w:rPr>
        <w:lang w:val="en-US"/>
      </w:rPr>
      <w:t>0</w:t>
    </w:r>
    <w:r w:rsidR="00917F8F" w:rsidRPr="00917F8F">
      <w:rPr>
        <w:lang w:val="en-US"/>
      </w:rPr>
      <w:t>311</w:t>
    </w:r>
    <w:r w:rsidR="00A70B56" w:rsidRPr="00917F8F">
      <w:rPr>
        <w:lang w:val="en-US"/>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62598" w14:textId="77777777" w:rsidR="0071798B" w:rsidRPr="0072353B" w:rsidRDefault="0071798B" w:rsidP="0072353B">
      <w:pPr>
        <w:tabs>
          <w:tab w:val="left" w:pos="624"/>
        </w:tabs>
        <w:spacing w:before="60"/>
        <w:ind w:left="624"/>
        <w:rPr>
          <w:sz w:val="18"/>
          <w:szCs w:val="18"/>
        </w:rPr>
      </w:pPr>
      <w:r w:rsidRPr="0072353B">
        <w:rPr>
          <w:sz w:val="18"/>
          <w:szCs w:val="18"/>
        </w:rPr>
        <w:separator/>
      </w:r>
    </w:p>
  </w:footnote>
  <w:footnote w:type="continuationSeparator" w:id="0">
    <w:p w14:paraId="3663DE5F" w14:textId="77777777" w:rsidR="0071798B" w:rsidRDefault="0071798B">
      <w:r>
        <w:continuationSeparator/>
      </w:r>
    </w:p>
  </w:footnote>
  <w:footnote w:id="1">
    <w:p w14:paraId="05A24181" w14:textId="77777777" w:rsidR="00CB1BEB" w:rsidRPr="009C22DE" w:rsidRDefault="00CB1BEB" w:rsidP="00CB1BEB">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6074EF">
        <w:rPr>
          <w:sz w:val="18"/>
          <w:szCs w:val="18"/>
        </w:rPr>
        <w:t xml:space="preserve">* </w:t>
      </w:r>
      <w:r>
        <w:rPr>
          <w:sz w:val="18"/>
          <w:szCs w:val="18"/>
        </w:rPr>
        <w:tab/>
      </w:r>
      <w:r w:rsidRPr="006074EF">
        <w:rPr>
          <w:sz w:val="18"/>
          <w:szCs w:val="18"/>
        </w:rPr>
        <w:t xml:space="preserve">Настоящее </w:t>
      </w:r>
      <w:r>
        <w:rPr>
          <w:sz w:val="18"/>
          <w:szCs w:val="18"/>
        </w:rPr>
        <w:t>положение</w:t>
      </w:r>
      <w:r w:rsidRPr="006074EF">
        <w:rPr>
          <w:sz w:val="18"/>
          <w:szCs w:val="18"/>
        </w:rPr>
        <w:t xml:space="preserve"> воспроизводится в том виде, в котором оно был изложено в документе зала заседаний, без официального редактирования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E274" w14:textId="575B37EF" w:rsidR="00123699" w:rsidRPr="003B5910" w:rsidRDefault="00F96910" w:rsidP="003B5910">
    <w:pPr>
      <w:pStyle w:val="Header-pool"/>
      <w:tabs>
        <w:tab w:val="clear" w:pos="1247"/>
        <w:tab w:val="clear" w:pos="4082"/>
        <w:tab w:val="clear" w:pos="4536"/>
        <w:tab w:val="clear" w:pos="9072"/>
      </w:tabs>
      <w:rPr>
        <w:lang w:val="en-US"/>
      </w:rPr>
    </w:pPr>
    <w:r w:rsidRPr="003B5910">
      <w:rPr>
        <w:lang w:val="en-US"/>
      </w:rPr>
      <w:t>UNEP/MC</w:t>
    </w:r>
    <w:r w:rsidR="008659A0" w:rsidRPr="003B5910">
      <w:rPr>
        <w:lang w:val="en-US"/>
      </w:rPr>
      <w:t>/</w:t>
    </w:r>
    <w:r w:rsidRPr="003B5910">
      <w:rPr>
        <w:lang w:val="en-US"/>
      </w:rPr>
      <w:t>COP.</w:t>
    </w:r>
    <w:r w:rsidR="003C1CBA">
      <w:rPr>
        <w:lang w:val="en-US"/>
      </w:rPr>
      <w:t>4</w:t>
    </w:r>
    <w:r w:rsidRPr="003B5910">
      <w:rPr>
        <w:lang w:val="en-US"/>
      </w:rPr>
      <w:t>/</w:t>
    </w:r>
    <w:r w:rsidR="003C1CBA">
      <w:rPr>
        <w:lang w:val="en-US"/>
      </w:rPr>
      <w:t>Dec.</w:t>
    </w:r>
    <w:r w:rsidR="00917F8F">
      <w:rPr>
        <w:lang w:val="en-US"/>
      </w:rPr>
      <w:t>1</w:t>
    </w:r>
    <w:r w:rsidR="001D1432">
      <w:rPr>
        <w:lang w:val="en-US"/>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E950" w14:textId="033582DD" w:rsidR="00123699" w:rsidRPr="003B5910" w:rsidRDefault="00F96910" w:rsidP="003B5910">
    <w:pPr>
      <w:pStyle w:val="Header-pool"/>
      <w:tabs>
        <w:tab w:val="clear" w:pos="1247"/>
        <w:tab w:val="clear" w:pos="4082"/>
        <w:tab w:val="clear" w:pos="4536"/>
        <w:tab w:val="clear" w:pos="9072"/>
      </w:tabs>
      <w:jc w:val="right"/>
      <w:rPr>
        <w:szCs w:val="18"/>
        <w:lang w:val="en-US"/>
      </w:rPr>
    </w:pPr>
    <w:r w:rsidRPr="003B5910">
      <w:rPr>
        <w:lang w:val="en-US"/>
      </w:rPr>
      <w:t>UNEP/MC</w:t>
    </w:r>
    <w:r w:rsidR="008659A0" w:rsidRPr="003B5910">
      <w:rPr>
        <w:lang w:val="en-US"/>
      </w:rPr>
      <w:t>/</w:t>
    </w:r>
    <w:r w:rsidRPr="003B5910">
      <w:rPr>
        <w:lang w:val="en-US"/>
      </w:rPr>
      <w:t>COP.</w:t>
    </w:r>
    <w:r w:rsidR="003C1CBA">
      <w:rPr>
        <w:lang w:val="en-US"/>
      </w:rPr>
      <w:t>4</w:t>
    </w:r>
    <w:r w:rsidRPr="003B5910">
      <w:rPr>
        <w:lang w:val="en-US"/>
      </w:rPr>
      <w:t>/</w:t>
    </w:r>
    <w:r w:rsidR="003C1CBA">
      <w:rPr>
        <w:lang w:val="en-US"/>
      </w:rPr>
      <w:t>Dec.</w:t>
    </w:r>
    <w:r w:rsidR="00CB1BEB">
      <w:rPr>
        <w:lang w:val="en-US"/>
      </w:rPr>
      <w:t>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E26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F42AB"/>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53B7225"/>
    <w:multiLevelType w:val="hybridMultilevel"/>
    <w:tmpl w:val="3596141A"/>
    <w:lvl w:ilvl="0" w:tplc="A008EDF4">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363C69BE"/>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C30635"/>
    <w:multiLevelType w:val="hybridMultilevel"/>
    <w:tmpl w:val="926018A8"/>
    <w:lvl w:ilvl="0" w:tplc="8D624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5D1D76CE"/>
    <w:multiLevelType w:val="hybridMultilevel"/>
    <w:tmpl w:val="C1F0A142"/>
    <w:lvl w:ilvl="0" w:tplc="CA8E303C">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291BF8"/>
    <w:multiLevelType w:val="multilevel"/>
    <w:tmpl w:val="F4ACF36E"/>
    <w:numStyleLink w:val="Normallist"/>
  </w:abstractNum>
  <w:abstractNum w:abstractNumId="1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1"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9"/>
  </w:num>
  <w:num w:numId="5">
    <w:abstractNumId w:val="6"/>
  </w:num>
  <w:num w:numId="6">
    <w:abstractNumId w:val="0"/>
  </w:num>
  <w:num w:numId="7">
    <w:abstractNumId w:val="5"/>
  </w:num>
  <w:num w:numId="8">
    <w:abstractNumId w:val="8"/>
  </w:num>
  <w:num w:numId="9">
    <w:abstractNumId w:val="2"/>
  </w:num>
  <w:num w:numId="10">
    <w:abstractNumId w:val="11"/>
  </w:num>
  <w:num w:numId="11">
    <w:abstractNumId w:val="3"/>
  </w:num>
  <w:num w:numId="12">
    <w:abstractNumId w:val="10"/>
  </w:num>
  <w:num w:numId="13">
    <w:abstractNumId w:val="7"/>
    <w:lvlOverride w:ilvl="0">
      <w:lvl w:ilvl="0">
        <w:start w:val="1"/>
        <w:numFmt w:val="decimal"/>
        <w:pStyle w:val="Normalnumber"/>
        <w:lvlText w:val="%1."/>
        <w:lvlJc w:val="left"/>
        <w:pPr>
          <w:tabs>
            <w:tab w:val="num" w:pos="670"/>
          </w:tabs>
          <w:ind w:left="135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7"/>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ru-RU"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B2"/>
    <w:rsid w:val="00003BCB"/>
    <w:rsid w:val="000149E6"/>
    <w:rsid w:val="000247B0"/>
    <w:rsid w:val="00026997"/>
    <w:rsid w:val="00033E0B"/>
    <w:rsid w:val="00035EDE"/>
    <w:rsid w:val="00037460"/>
    <w:rsid w:val="00044340"/>
    <w:rsid w:val="000503BC"/>
    <w:rsid w:val="000509B4"/>
    <w:rsid w:val="0006035B"/>
    <w:rsid w:val="0006181A"/>
    <w:rsid w:val="000669FB"/>
    <w:rsid w:val="00071886"/>
    <w:rsid w:val="000742BC"/>
    <w:rsid w:val="00082A0C"/>
    <w:rsid w:val="00083504"/>
    <w:rsid w:val="000843C6"/>
    <w:rsid w:val="000941E5"/>
    <w:rsid w:val="0009640C"/>
    <w:rsid w:val="000B22A2"/>
    <w:rsid w:val="000B6914"/>
    <w:rsid w:val="000C0F46"/>
    <w:rsid w:val="000C2A52"/>
    <w:rsid w:val="000D0733"/>
    <w:rsid w:val="000D33C0"/>
    <w:rsid w:val="000D6941"/>
    <w:rsid w:val="000E4868"/>
    <w:rsid w:val="000F4549"/>
    <w:rsid w:val="001064A3"/>
    <w:rsid w:val="001202E3"/>
    <w:rsid w:val="00123699"/>
    <w:rsid w:val="0012644F"/>
    <w:rsid w:val="0013059D"/>
    <w:rsid w:val="001346DB"/>
    <w:rsid w:val="00141A55"/>
    <w:rsid w:val="001446A3"/>
    <w:rsid w:val="00145960"/>
    <w:rsid w:val="0015442E"/>
    <w:rsid w:val="00155395"/>
    <w:rsid w:val="00160D74"/>
    <w:rsid w:val="00167D02"/>
    <w:rsid w:val="00171AF1"/>
    <w:rsid w:val="00181EC8"/>
    <w:rsid w:val="00184349"/>
    <w:rsid w:val="00193DC9"/>
    <w:rsid w:val="00195E9F"/>
    <w:rsid w:val="00195F33"/>
    <w:rsid w:val="001B1617"/>
    <w:rsid w:val="001B504B"/>
    <w:rsid w:val="001B69D4"/>
    <w:rsid w:val="001B7D42"/>
    <w:rsid w:val="001C3E7A"/>
    <w:rsid w:val="001D1432"/>
    <w:rsid w:val="001D3874"/>
    <w:rsid w:val="001D4C3C"/>
    <w:rsid w:val="001D7E75"/>
    <w:rsid w:val="001E56D2"/>
    <w:rsid w:val="001E7D56"/>
    <w:rsid w:val="001F75DE"/>
    <w:rsid w:val="00200D58"/>
    <w:rsid w:val="002013BE"/>
    <w:rsid w:val="002063A4"/>
    <w:rsid w:val="0021145B"/>
    <w:rsid w:val="00222F26"/>
    <w:rsid w:val="00234B59"/>
    <w:rsid w:val="002431AE"/>
    <w:rsid w:val="00243D36"/>
    <w:rsid w:val="00247707"/>
    <w:rsid w:val="00250B6D"/>
    <w:rsid w:val="0026018E"/>
    <w:rsid w:val="00260799"/>
    <w:rsid w:val="00270AAF"/>
    <w:rsid w:val="00275DA1"/>
    <w:rsid w:val="002768BA"/>
    <w:rsid w:val="00286740"/>
    <w:rsid w:val="002929D8"/>
    <w:rsid w:val="002A237D"/>
    <w:rsid w:val="002A4C53"/>
    <w:rsid w:val="002B0672"/>
    <w:rsid w:val="002B247F"/>
    <w:rsid w:val="002C145D"/>
    <w:rsid w:val="002C2C3E"/>
    <w:rsid w:val="002C533E"/>
    <w:rsid w:val="002D027F"/>
    <w:rsid w:val="002D7A85"/>
    <w:rsid w:val="002D7B60"/>
    <w:rsid w:val="002F28D0"/>
    <w:rsid w:val="002F4761"/>
    <w:rsid w:val="002F5C79"/>
    <w:rsid w:val="003019E2"/>
    <w:rsid w:val="0031413F"/>
    <w:rsid w:val="003148BB"/>
    <w:rsid w:val="00317976"/>
    <w:rsid w:val="00321398"/>
    <w:rsid w:val="00324B1A"/>
    <w:rsid w:val="00336111"/>
    <w:rsid w:val="00342FBF"/>
    <w:rsid w:val="00350ADA"/>
    <w:rsid w:val="00355EA9"/>
    <w:rsid w:val="003578DE"/>
    <w:rsid w:val="00362047"/>
    <w:rsid w:val="0036669D"/>
    <w:rsid w:val="00372781"/>
    <w:rsid w:val="00375D74"/>
    <w:rsid w:val="0039169B"/>
    <w:rsid w:val="00392F9C"/>
    <w:rsid w:val="00396257"/>
    <w:rsid w:val="003963DF"/>
    <w:rsid w:val="00397EB8"/>
    <w:rsid w:val="003A1C5B"/>
    <w:rsid w:val="003A4FD0"/>
    <w:rsid w:val="003A69D1"/>
    <w:rsid w:val="003A7705"/>
    <w:rsid w:val="003A77F1"/>
    <w:rsid w:val="003B1545"/>
    <w:rsid w:val="003B5910"/>
    <w:rsid w:val="003B5FFF"/>
    <w:rsid w:val="003B7D67"/>
    <w:rsid w:val="003C1CBA"/>
    <w:rsid w:val="003C409D"/>
    <w:rsid w:val="003C5BA6"/>
    <w:rsid w:val="003D104A"/>
    <w:rsid w:val="003E4593"/>
    <w:rsid w:val="003E6F41"/>
    <w:rsid w:val="003E7DE3"/>
    <w:rsid w:val="003F06BB"/>
    <w:rsid w:val="003F09D4"/>
    <w:rsid w:val="003F0E85"/>
    <w:rsid w:val="00410C55"/>
    <w:rsid w:val="00416854"/>
    <w:rsid w:val="00417725"/>
    <w:rsid w:val="004267BF"/>
    <w:rsid w:val="00430726"/>
    <w:rsid w:val="00437F26"/>
    <w:rsid w:val="00443D04"/>
    <w:rsid w:val="00444097"/>
    <w:rsid w:val="00445487"/>
    <w:rsid w:val="00454769"/>
    <w:rsid w:val="0046322E"/>
    <w:rsid w:val="00466991"/>
    <w:rsid w:val="0047064C"/>
    <w:rsid w:val="004A42E1"/>
    <w:rsid w:val="004B162C"/>
    <w:rsid w:val="004B614E"/>
    <w:rsid w:val="004C3DBE"/>
    <w:rsid w:val="004C5C96"/>
    <w:rsid w:val="004C794B"/>
    <w:rsid w:val="004D06A4"/>
    <w:rsid w:val="004D69D1"/>
    <w:rsid w:val="004E1B24"/>
    <w:rsid w:val="004F1A81"/>
    <w:rsid w:val="0050052E"/>
    <w:rsid w:val="005064EF"/>
    <w:rsid w:val="0050733D"/>
    <w:rsid w:val="005218D9"/>
    <w:rsid w:val="00522FC4"/>
    <w:rsid w:val="00536186"/>
    <w:rsid w:val="005369CB"/>
    <w:rsid w:val="005421B9"/>
    <w:rsid w:val="00544CBB"/>
    <w:rsid w:val="005472A3"/>
    <w:rsid w:val="00550D07"/>
    <w:rsid w:val="00551104"/>
    <w:rsid w:val="00561676"/>
    <w:rsid w:val="00566B59"/>
    <w:rsid w:val="0057315F"/>
    <w:rsid w:val="005746EA"/>
    <w:rsid w:val="00576104"/>
    <w:rsid w:val="0059162C"/>
    <w:rsid w:val="00595B8E"/>
    <w:rsid w:val="005B42A6"/>
    <w:rsid w:val="005C5835"/>
    <w:rsid w:val="005C67C8"/>
    <w:rsid w:val="005C7D1D"/>
    <w:rsid w:val="005D0249"/>
    <w:rsid w:val="005D1DA1"/>
    <w:rsid w:val="005D6E8C"/>
    <w:rsid w:val="005F100C"/>
    <w:rsid w:val="005F68DA"/>
    <w:rsid w:val="0060773B"/>
    <w:rsid w:val="00611117"/>
    <w:rsid w:val="006157B5"/>
    <w:rsid w:val="00622D02"/>
    <w:rsid w:val="00626FC6"/>
    <w:rsid w:val="006303B4"/>
    <w:rsid w:val="00633D3D"/>
    <w:rsid w:val="00641703"/>
    <w:rsid w:val="006431A6"/>
    <w:rsid w:val="006459F6"/>
    <w:rsid w:val="006501AD"/>
    <w:rsid w:val="00651BFA"/>
    <w:rsid w:val="00654475"/>
    <w:rsid w:val="00665A4B"/>
    <w:rsid w:val="006717E6"/>
    <w:rsid w:val="00673665"/>
    <w:rsid w:val="00680611"/>
    <w:rsid w:val="00692E2A"/>
    <w:rsid w:val="006A76F2"/>
    <w:rsid w:val="006C2B82"/>
    <w:rsid w:val="006D4F04"/>
    <w:rsid w:val="006D7EFB"/>
    <w:rsid w:val="006E6672"/>
    <w:rsid w:val="006E6722"/>
    <w:rsid w:val="006F5276"/>
    <w:rsid w:val="007027B9"/>
    <w:rsid w:val="00715E88"/>
    <w:rsid w:val="0071798B"/>
    <w:rsid w:val="0072353B"/>
    <w:rsid w:val="00734CAA"/>
    <w:rsid w:val="00734DC8"/>
    <w:rsid w:val="00741B20"/>
    <w:rsid w:val="00746753"/>
    <w:rsid w:val="00751150"/>
    <w:rsid w:val="0075533C"/>
    <w:rsid w:val="00757581"/>
    <w:rsid w:val="007611A0"/>
    <w:rsid w:val="0076147A"/>
    <w:rsid w:val="007828A5"/>
    <w:rsid w:val="007841F5"/>
    <w:rsid w:val="00785D9B"/>
    <w:rsid w:val="00795B9D"/>
    <w:rsid w:val="00796D3F"/>
    <w:rsid w:val="007A1683"/>
    <w:rsid w:val="007A5C12"/>
    <w:rsid w:val="007A7CB0"/>
    <w:rsid w:val="007B24F8"/>
    <w:rsid w:val="007B33B3"/>
    <w:rsid w:val="007B68A3"/>
    <w:rsid w:val="007C2541"/>
    <w:rsid w:val="007C521D"/>
    <w:rsid w:val="007D66A8"/>
    <w:rsid w:val="007E003F"/>
    <w:rsid w:val="007F2D08"/>
    <w:rsid w:val="008164F2"/>
    <w:rsid w:val="008201A2"/>
    <w:rsid w:val="00821395"/>
    <w:rsid w:val="00824FC7"/>
    <w:rsid w:val="00830E26"/>
    <w:rsid w:val="008311DD"/>
    <w:rsid w:val="00843576"/>
    <w:rsid w:val="00843B64"/>
    <w:rsid w:val="008478FC"/>
    <w:rsid w:val="008659A0"/>
    <w:rsid w:val="00867BFF"/>
    <w:rsid w:val="00875E6E"/>
    <w:rsid w:val="0088480A"/>
    <w:rsid w:val="0088757A"/>
    <w:rsid w:val="008957DD"/>
    <w:rsid w:val="00897D98"/>
    <w:rsid w:val="008A1E92"/>
    <w:rsid w:val="008A3441"/>
    <w:rsid w:val="008A6DF2"/>
    <w:rsid w:val="008A7807"/>
    <w:rsid w:val="008B4CC9"/>
    <w:rsid w:val="008D7C99"/>
    <w:rsid w:val="008E0FCB"/>
    <w:rsid w:val="008F201B"/>
    <w:rsid w:val="008F5D00"/>
    <w:rsid w:val="00917F8F"/>
    <w:rsid w:val="0092178C"/>
    <w:rsid w:val="00930B88"/>
    <w:rsid w:val="00930E68"/>
    <w:rsid w:val="0094095A"/>
    <w:rsid w:val="00940DCC"/>
    <w:rsid w:val="0094179A"/>
    <w:rsid w:val="0094459E"/>
    <w:rsid w:val="00944DBC"/>
    <w:rsid w:val="009473C6"/>
    <w:rsid w:val="00950977"/>
    <w:rsid w:val="00951A7B"/>
    <w:rsid w:val="00954F9B"/>
    <w:rsid w:val="009564A6"/>
    <w:rsid w:val="00962471"/>
    <w:rsid w:val="00967621"/>
    <w:rsid w:val="00967E6A"/>
    <w:rsid w:val="00984069"/>
    <w:rsid w:val="009876DF"/>
    <w:rsid w:val="009906E7"/>
    <w:rsid w:val="00992DE3"/>
    <w:rsid w:val="009B3D8D"/>
    <w:rsid w:val="009B4A0F"/>
    <w:rsid w:val="009C11D2"/>
    <w:rsid w:val="009C6C70"/>
    <w:rsid w:val="009D0B63"/>
    <w:rsid w:val="009D2DCF"/>
    <w:rsid w:val="009E24BE"/>
    <w:rsid w:val="009E2F3F"/>
    <w:rsid w:val="009E307E"/>
    <w:rsid w:val="009F308C"/>
    <w:rsid w:val="00A001C6"/>
    <w:rsid w:val="00A07870"/>
    <w:rsid w:val="00A07F19"/>
    <w:rsid w:val="00A11B9F"/>
    <w:rsid w:val="00A1348D"/>
    <w:rsid w:val="00A142E9"/>
    <w:rsid w:val="00A232EE"/>
    <w:rsid w:val="00A32F74"/>
    <w:rsid w:val="00A3546E"/>
    <w:rsid w:val="00A35EA7"/>
    <w:rsid w:val="00A4175F"/>
    <w:rsid w:val="00A44411"/>
    <w:rsid w:val="00A469FA"/>
    <w:rsid w:val="00A54034"/>
    <w:rsid w:val="00A55B01"/>
    <w:rsid w:val="00A56B5B"/>
    <w:rsid w:val="00A603FF"/>
    <w:rsid w:val="00A657DD"/>
    <w:rsid w:val="00A666A6"/>
    <w:rsid w:val="00A675FD"/>
    <w:rsid w:val="00A706CF"/>
    <w:rsid w:val="00A70B56"/>
    <w:rsid w:val="00A71EFB"/>
    <w:rsid w:val="00A72437"/>
    <w:rsid w:val="00A80611"/>
    <w:rsid w:val="00AB5340"/>
    <w:rsid w:val="00AC0A89"/>
    <w:rsid w:val="00AC5CBF"/>
    <w:rsid w:val="00AC7C96"/>
    <w:rsid w:val="00AE237D"/>
    <w:rsid w:val="00AE502A"/>
    <w:rsid w:val="00AF7C07"/>
    <w:rsid w:val="00B11663"/>
    <w:rsid w:val="00B12B35"/>
    <w:rsid w:val="00B15CEE"/>
    <w:rsid w:val="00B17AE1"/>
    <w:rsid w:val="00B22C93"/>
    <w:rsid w:val="00B27589"/>
    <w:rsid w:val="00B405B7"/>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A0090"/>
    <w:rsid w:val="00BA1A67"/>
    <w:rsid w:val="00BA7128"/>
    <w:rsid w:val="00BC6590"/>
    <w:rsid w:val="00BD0DB2"/>
    <w:rsid w:val="00BD7742"/>
    <w:rsid w:val="00BE5B5F"/>
    <w:rsid w:val="00BF17E5"/>
    <w:rsid w:val="00C059F0"/>
    <w:rsid w:val="00C120EE"/>
    <w:rsid w:val="00C228DB"/>
    <w:rsid w:val="00C26F55"/>
    <w:rsid w:val="00C30C63"/>
    <w:rsid w:val="00C36B8B"/>
    <w:rsid w:val="00C415C1"/>
    <w:rsid w:val="00C47DBF"/>
    <w:rsid w:val="00C52AC2"/>
    <w:rsid w:val="00C552FF"/>
    <w:rsid w:val="00C558DA"/>
    <w:rsid w:val="00C55AF3"/>
    <w:rsid w:val="00C74042"/>
    <w:rsid w:val="00C84759"/>
    <w:rsid w:val="00C86D73"/>
    <w:rsid w:val="00CA6C7F"/>
    <w:rsid w:val="00CB1BEB"/>
    <w:rsid w:val="00CB36CC"/>
    <w:rsid w:val="00CC10A6"/>
    <w:rsid w:val="00CD5EB8"/>
    <w:rsid w:val="00CD7044"/>
    <w:rsid w:val="00CE08B9"/>
    <w:rsid w:val="00CE3103"/>
    <w:rsid w:val="00CE524C"/>
    <w:rsid w:val="00CE61E7"/>
    <w:rsid w:val="00CF141F"/>
    <w:rsid w:val="00CF4777"/>
    <w:rsid w:val="00D067BB"/>
    <w:rsid w:val="00D07EDB"/>
    <w:rsid w:val="00D1352A"/>
    <w:rsid w:val="00D13873"/>
    <w:rsid w:val="00D169AF"/>
    <w:rsid w:val="00D25249"/>
    <w:rsid w:val="00D25ED8"/>
    <w:rsid w:val="00D314F4"/>
    <w:rsid w:val="00D33365"/>
    <w:rsid w:val="00D34DE9"/>
    <w:rsid w:val="00D35F94"/>
    <w:rsid w:val="00D44172"/>
    <w:rsid w:val="00D44E88"/>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C1767"/>
    <w:rsid w:val="00DC46FF"/>
    <w:rsid w:val="00DC5254"/>
    <w:rsid w:val="00DD1A4F"/>
    <w:rsid w:val="00DD3107"/>
    <w:rsid w:val="00DD3619"/>
    <w:rsid w:val="00DD7C2C"/>
    <w:rsid w:val="00DF70BF"/>
    <w:rsid w:val="00E04FF0"/>
    <w:rsid w:val="00E06797"/>
    <w:rsid w:val="00E072CC"/>
    <w:rsid w:val="00E1265B"/>
    <w:rsid w:val="00E13B48"/>
    <w:rsid w:val="00E1404F"/>
    <w:rsid w:val="00E21C83"/>
    <w:rsid w:val="00E24ADA"/>
    <w:rsid w:val="00E276A4"/>
    <w:rsid w:val="00E317A4"/>
    <w:rsid w:val="00E32F59"/>
    <w:rsid w:val="00E46D9A"/>
    <w:rsid w:val="00E565FF"/>
    <w:rsid w:val="00E65388"/>
    <w:rsid w:val="00E726A7"/>
    <w:rsid w:val="00E85B7D"/>
    <w:rsid w:val="00E9121B"/>
    <w:rsid w:val="00E91D53"/>
    <w:rsid w:val="00E942CC"/>
    <w:rsid w:val="00E96DA8"/>
    <w:rsid w:val="00EA0AE2"/>
    <w:rsid w:val="00EA39E5"/>
    <w:rsid w:val="00EB0150"/>
    <w:rsid w:val="00EB6A99"/>
    <w:rsid w:val="00EC3017"/>
    <w:rsid w:val="00EC5A46"/>
    <w:rsid w:val="00EC63E2"/>
    <w:rsid w:val="00EE0374"/>
    <w:rsid w:val="00EE30F2"/>
    <w:rsid w:val="00EF22B3"/>
    <w:rsid w:val="00F03B69"/>
    <w:rsid w:val="00F041C8"/>
    <w:rsid w:val="00F05C85"/>
    <w:rsid w:val="00F07A50"/>
    <w:rsid w:val="00F113DA"/>
    <w:rsid w:val="00F116A8"/>
    <w:rsid w:val="00F11AC1"/>
    <w:rsid w:val="00F25AE4"/>
    <w:rsid w:val="00F34719"/>
    <w:rsid w:val="00F37BD7"/>
    <w:rsid w:val="00F37DC8"/>
    <w:rsid w:val="00F439B3"/>
    <w:rsid w:val="00F55451"/>
    <w:rsid w:val="00F60EA5"/>
    <w:rsid w:val="00F650C3"/>
    <w:rsid w:val="00F65D85"/>
    <w:rsid w:val="00F66957"/>
    <w:rsid w:val="00F7542C"/>
    <w:rsid w:val="00F8091E"/>
    <w:rsid w:val="00F839A2"/>
    <w:rsid w:val="00F83EA1"/>
    <w:rsid w:val="00F8615C"/>
    <w:rsid w:val="00F873F8"/>
    <w:rsid w:val="00F92E48"/>
    <w:rsid w:val="00F96910"/>
    <w:rsid w:val="00F969E5"/>
    <w:rsid w:val="00FA6BB0"/>
    <w:rsid w:val="00FB49C6"/>
    <w:rsid w:val="00FB7DD2"/>
    <w:rsid w:val="00FC1521"/>
    <w:rsid w:val="00FC41AC"/>
    <w:rsid w:val="00FD03FA"/>
    <w:rsid w:val="00FD5860"/>
    <w:rsid w:val="00FE0852"/>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6B1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5D74"/>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375D74"/>
    <w:pPr>
      <w:keepNext/>
      <w:spacing w:before="240" w:after="120"/>
      <w:ind w:left="1247" w:hanging="680"/>
      <w:outlineLvl w:val="0"/>
    </w:pPr>
    <w:rPr>
      <w:b/>
      <w:sz w:val="28"/>
    </w:rPr>
  </w:style>
  <w:style w:type="paragraph" w:styleId="Heading2">
    <w:name w:val="heading 2"/>
    <w:basedOn w:val="Normal"/>
    <w:next w:val="Normalnumber"/>
    <w:qFormat/>
    <w:rsid w:val="00375D74"/>
    <w:pPr>
      <w:keepNext/>
      <w:spacing w:before="240" w:after="120"/>
      <w:ind w:left="1247" w:hanging="680"/>
      <w:outlineLvl w:val="1"/>
    </w:pPr>
    <w:rPr>
      <w:b/>
      <w:sz w:val="24"/>
      <w:szCs w:val="24"/>
    </w:rPr>
  </w:style>
  <w:style w:type="paragraph" w:styleId="Heading3">
    <w:name w:val="heading 3"/>
    <w:basedOn w:val="Normal"/>
    <w:next w:val="Normalnumber"/>
    <w:qFormat/>
    <w:rsid w:val="00375D74"/>
    <w:pPr>
      <w:spacing w:after="120"/>
      <w:ind w:left="1247" w:hanging="680"/>
      <w:outlineLvl w:val="2"/>
    </w:pPr>
    <w:rPr>
      <w:b/>
    </w:rPr>
  </w:style>
  <w:style w:type="paragraph" w:styleId="Heading4">
    <w:name w:val="heading 4"/>
    <w:basedOn w:val="Heading3"/>
    <w:next w:val="Normalnumber"/>
    <w:qFormat/>
    <w:rsid w:val="00375D74"/>
    <w:pPr>
      <w:keepNext/>
      <w:outlineLvl w:val="3"/>
    </w:pPr>
  </w:style>
  <w:style w:type="paragraph" w:styleId="Heading5">
    <w:name w:val="heading 5"/>
    <w:basedOn w:val="Normal"/>
    <w:next w:val="Normal"/>
    <w:qFormat/>
    <w:rsid w:val="00375D74"/>
    <w:pPr>
      <w:keepNext/>
      <w:outlineLvl w:val="4"/>
    </w:pPr>
    <w:rPr>
      <w:rFonts w:ascii="Univers" w:hAnsi="Univers"/>
      <w:b/>
      <w:sz w:val="24"/>
    </w:rPr>
  </w:style>
  <w:style w:type="paragraph" w:styleId="Heading6">
    <w:name w:val="heading 6"/>
    <w:basedOn w:val="Normal"/>
    <w:next w:val="Normal"/>
    <w:qFormat/>
    <w:rsid w:val="00375D74"/>
    <w:pPr>
      <w:keepNext/>
      <w:ind w:left="578"/>
      <w:outlineLvl w:val="5"/>
    </w:pPr>
    <w:rPr>
      <w:b/>
      <w:bCs/>
      <w:sz w:val="24"/>
    </w:rPr>
  </w:style>
  <w:style w:type="paragraph" w:styleId="Heading7">
    <w:name w:val="heading 7"/>
    <w:basedOn w:val="Normal"/>
    <w:next w:val="Normal"/>
    <w:qFormat/>
    <w:rsid w:val="00375D74"/>
    <w:pPr>
      <w:keepNext/>
      <w:widowControl w:val="0"/>
      <w:jc w:val="center"/>
      <w:outlineLvl w:val="6"/>
    </w:pPr>
    <w:rPr>
      <w:snapToGrid w:val="0"/>
      <w:u w:val="single"/>
      <w:lang w:val="en-US"/>
    </w:rPr>
  </w:style>
  <w:style w:type="paragraph" w:styleId="Heading8">
    <w:name w:val="heading 8"/>
    <w:basedOn w:val="Normal"/>
    <w:next w:val="Normal"/>
    <w:qFormat/>
    <w:rsid w:val="00375D74"/>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375D74"/>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75D74"/>
    <w:rPr>
      <w:rFonts w:ascii="Times New Roman" w:hAnsi="Times New Roman"/>
      <w:b/>
      <w:sz w:val="18"/>
    </w:rPr>
  </w:style>
  <w:style w:type="table" w:customStyle="1" w:styleId="Tabledocright">
    <w:name w:val="Table_doc_right"/>
    <w:basedOn w:val="TableNormal"/>
    <w:rsid w:val="00375D74"/>
    <w:pPr>
      <w:spacing w:before="40" w:after="40"/>
    </w:pPr>
    <w:rPr>
      <w:sz w:val="18"/>
      <w:szCs w:val="18"/>
      <w:lang w:val="en-US"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75D74"/>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75D74"/>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75D74"/>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75D74"/>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qFormat/>
    <w:rsid w:val="00375D74"/>
    <w:rPr>
      <w:bCs w:val="0"/>
    </w:rPr>
  </w:style>
  <w:style w:type="paragraph" w:styleId="TableofFigures">
    <w:name w:val="table of figures"/>
    <w:basedOn w:val="Normal"/>
    <w:next w:val="Normal"/>
    <w:autoRedefine/>
    <w:semiHidden/>
    <w:rsid w:val="00375D74"/>
    <w:pPr>
      <w:tabs>
        <w:tab w:val="clear" w:pos="1814"/>
        <w:tab w:val="clear" w:pos="2381"/>
        <w:tab w:val="clear" w:pos="2948"/>
        <w:tab w:val="clear" w:pos="3515"/>
      </w:tabs>
      <w:ind w:left="1814" w:hanging="567"/>
    </w:pPr>
  </w:style>
  <w:style w:type="paragraph" w:customStyle="1" w:styleId="CH1">
    <w:name w:val="CH1"/>
    <w:basedOn w:val="Normal-pool"/>
    <w:next w:val="CH2"/>
    <w:qFormat/>
    <w:rsid w:val="00375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375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375D74"/>
    <w:pPr>
      <w:keepNext/>
      <w:keepLines/>
      <w:tabs>
        <w:tab w:val="right" w:pos="851"/>
        <w:tab w:val="left" w:pos="4082"/>
      </w:tabs>
      <w:suppressAutoHyphens/>
      <w:spacing w:after="120"/>
      <w:ind w:left="1247" w:right="284" w:hanging="1247"/>
    </w:pPr>
    <w:rPr>
      <w:b/>
      <w:lang w:val="fr-CA"/>
    </w:rPr>
  </w:style>
  <w:style w:type="paragraph" w:customStyle="1" w:styleId="CH4">
    <w:name w:val="CH4"/>
    <w:basedOn w:val="Normal"/>
    <w:next w:val="Normalnumber"/>
    <w:rsid w:val="00375D74"/>
    <w:pPr>
      <w:keepNext/>
      <w:keepLines/>
      <w:tabs>
        <w:tab w:val="right" w:pos="851"/>
        <w:tab w:val="left" w:pos="4082"/>
      </w:tabs>
      <w:suppressAutoHyphens/>
      <w:spacing w:after="120"/>
      <w:ind w:left="1247" w:right="284" w:hanging="1247"/>
    </w:pPr>
    <w:rPr>
      <w:b/>
      <w:lang w:val="fr-CA"/>
    </w:rPr>
  </w:style>
  <w:style w:type="table" w:customStyle="1" w:styleId="Footertable">
    <w:name w:val="Footer_table"/>
    <w:basedOn w:val="TableNormal"/>
    <w:semiHidden/>
    <w:rsid w:val="00375D74"/>
    <w:rPr>
      <w:rFonts w:ascii="Arial" w:hAnsi="Arial"/>
      <w:sz w:val="16"/>
      <w:lang w:val="en-US"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375D74"/>
    <w:pPr>
      <w:keepNext/>
      <w:keepLines/>
      <w:tabs>
        <w:tab w:val="right" w:pos="851"/>
        <w:tab w:val="left" w:pos="4082"/>
      </w:tabs>
      <w:suppressAutoHyphens/>
      <w:spacing w:after="120"/>
      <w:ind w:left="1247" w:right="284" w:hanging="1247"/>
    </w:pPr>
    <w:rPr>
      <w:b/>
      <w:lang w:val="fr-CA"/>
    </w:rPr>
  </w:style>
  <w:style w:type="paragraph" w:customStyle="1" w:styleId="Footerpool">
    <w:name w:val="Footer_pool"/>
    <w:basedOn w:val="Normal"/>
    <w:next w:val="Normal"/>
    <w:semiHidden/>
    <w:rsid w:val="00375D74"/>
    <w:pPr>
      <w:tabs>
        <w:tab w:val="left" w:pos="4321"/>
        <w:tab w:val="right" w:pos="8641"/>
      </w:tabs>
      <w:spacing w:before="60" w:after="120"/>
    </w:pPr>
    <w:rPr>
      <w:b/>
      <w:sz w:val="18"/>
    </w:rPr>
  </w:style>
  <w:style w:type="paragraph" w:customStyle="1" w:styleId="Headerpool">
    <w:name w:val="Header_pool"/>
    <w:basedOn w:val="Normal"/>
    <w:next w:val="Normal"/>
    <w:semiHidden/>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375D74"/>
    <w:pPr>
      <w:tabs>
        <w:tab w:val="left" w:pos="4321"/>
        <w:tab w:val="right" w:pos="8641"/>
      </w:tabs>
      <w:spacing w:before="60" w:after="120"/>
    </w:pPr>
    <w:rPr>
      <w:b/>
      <w:sz w:val="18"/>
    </w:rPr>
  </w:style>
  <w:style w:type="paragraph" w:customStyle="1" w:styleId="Header-pool">
    <w:name w:val="Header-pool"/>
    <w:basedOn w:val="Normal-pool"/>
    <w:next w:val="Normal-pool"/>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375D74"/>
    <w:pPr>
      <w:tabs>
        <w:tab w:val="left" w:pos="1247"/>
        <w:tab w:val="left" w:pos="1814"/>
        <w:tab w:val="left" w:pos="2381"/>
        <w:tab w:val="left" w:pos="2948"/>
        <w:tab w:val="left" w:pos="3515"/>
        <w:tab w:val="left" w:pos="4082"/>
      </w:tabs>
    </w:pPr>
    <w:rPr>
      <w:lang w:val="ru-RU"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375D74"/>
    <w:pPr>
      <w:tabs>
        <w:tab w:val="left" w:pos="4082"/>
      </w:tabs>
      <w:spacing w:before="20" w:after="40"/>
      <w:ind w:left="1247"/>
    </w:pPr>
    <w:rPr>
      <w:sz w:val="18"/>
      <w:lang w:val="fr-CA"/>
    </w:rPr>
  </w:style>
  <w:style w:type="character" w:customStyle="1" w:styleId="HeaderChar">
    <w:name w:val="Header Char"/>
    <w:link w:val="Header"/>
    <w:semiHidden/>
    <w:rsid w:val="00250B6D"/>
    <w:rPr>
      <w:b/>
      <w:sz w:val="18"/>
      <w:lang w:val="fr-FR" w:eastAsia="en-US"/>
    </w:rPr>
  </w:style>
  <w:style w:type="table" w:customStyle="1" w:styleId="AATable">
    <w:name w:val="AA_Table"/>
    <w:basedOn w:val="TableNormal"/>
    <w:semiHidden/>
    <w:rsid w:val="00375D74"/>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375D74"/>
    <w:pPr>
      <w:keepNext/>
      <w:keepLines/>
      <w:suppressAutoHyphens/>
      <w:ind w:right="5103"/>
    </w:pPr>
    <w:rPr>
      <w:b/>
    </w:rPr>
  </w:style>
  <w:style w:type="paragraph" w:customStyle="1" w:styleId="AATitle2">
    <w:name w:val="AA_Title2"/>
    <w:basedOn w:val="AATitle"/>
    <w:qFormat/>
    <w:rsid w:val="00375D74"/>
    <w:pPr>
      <w:tabs>
        <w:tab w:val="clear" w:pos="4082"/>
      </w:tabs>
      <w:spacing w:before="120" w:after="120"/>
      <w:ind w:right="4536"/>
    </w:pPr>
  </w:style>
  <w:style w:type="paragraph" w:customStyle="1" w:styleId="BBTitle">
    <w:name w:val="BB_Title"/>
    <w:basedOn w:val="Normal-pool"/>
    <w:qFormat/>
    <w:rsid w:val="00375D74"/>
    <w:pPr>
      <w:keepNext/>
      <w:keepLines/>
      <w:suppressAutoHyphens/>
      <w:spacing w:before="320" w:after="240"/>
      <w:ind w:left="1247" w:right="567"/>
    </w:pPr>
    <w:rPr>
      <w:b/>
      <w:sz w:val="28"/>
      <w:szCs w:val="28"/>
    </w:rPr>
  </w:style>
  <w:style w:type="paragraph" w:styleId="Footer">
    <w:name w:val="footer"/>
    <w:basedOn w:val="Normal"/>
    <w:semiHidden/>
    <w:rsid w:val="00375D74"/>
    <w:pPr>
      <w:tabs>
        <w:tab w:val="center" w:pos="4320"/>
        <w:tab w:val="right" w:pos="8640"/>
      </w:tabs>
      <w:spacing w:before="60" w:after="120"/>
    </w:pPr>
    <w:rPr>
      <w:sz w:val="18"/>
    </w:rPr>
  </w:style>
  <w:style w:type="paragraph" w:styleId="Header">
    <w:name w:val="header"/>
    <w:basedOn w:val="Normal"/>
    <w:link w:val="HeaderChar"/>
    <w:semiHidden/>
    <w:rsid w:val="00375D74"/>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75D74"/>
    <w:rPr>
      <w:rFonts w:ascii="Times New Roman" w:hAnsi="Times New Roman"/>
      <w:color w:val="auto"/>
      <w:sz w:val="20"/>
      <w:szCs w:val="20"/>
      <w:u w:val="none"/>
      <w:lang w:val="fr-FR"/>
    </w:rPr>
  </w:style>
  <w:style w:type="numbering" w:customStyle="1" w:styleId="Normallist">
    <w:name w:val="Normal_list"/>
    <w:basedOn w:val="NoList"/>
    <w:semiHidden/>
    <w:rsid w:val="00375D74"/>
    <w:pPr>
      <w:numPr>
        <w:numId w:val="1"/>
      </w:numPr>
    </w:pPr>
  </w:style>
  <w:style w:type="paragraph" w:customStyle="1" w:styleId="NormalNonumber">
    <w:name w:val="Normal_No_number"/>
    <w:basedOn w:val="Normal-pool"/>
    <w:qFormat/>
    <w:rsid w:val="00375D74"/>
    <w:pPr>
      <w:spacing w:after="120"/>
      <w:ind w:left="1247"/>
    </w:pPr>
  </w:style>
  <w:style w:type="paragraph" w:customStyle="1" w:styleId="Normalnumber">
    <w:name w:val="Normal_number"/>
    <w:basedOn w:val="Normal-pool"/>
    <w:qFormat/>
    <w:rsid w:val="00375D74"/>
    <w:pPr>
      <w:numPr>
        <w:numId w:val="4"/>
      </w:numPr>
      <w:spacing w:after="120"/>
    </w:pPr>
  </w:style>
  <w:style w:type="paragraph" w:customStyle="1" w:styleId="Titletable">
    <w:name w:val="Title_table"/>
    <w:basedOn w:val="Normal-pool"/>
    <w:qFormat/>
    <w:rsid w:val="00375D74"/>
    <w:pPr>
      <w:keepNext/>
      <w:keepLines/>
      <w:suppressAutoHyphens/>
      <w:spacing w:after="60"/>
      <w:ind w:left="1247"/>
    </w:pPr>
    <w:rPr>
      <w:b/>
      <w:bCs/>
    </w:rPr>
  </w:style>
  <w:style w:type="paragraph" w:styleId="TOC1">
    <w:name w:val="toc 1"/>
    <w:basedOn w:val="Normal"/>
    <w:next w:val="Normal"/>
    <w:unhideWhenUsed/>
    <w:rsid w:val="00375D74"/>
    <w:pPr>
      <w:tabs>
        <w:tab w:val="clear" w:pos="2381"/>
        <w:tab w:val="clear" w:pos="2948"/>
        <w:tab w:val="clear" w:pos="3515"/>
        <w:tab w:val="right" w:leader="dot" w:pos="9486"/>
      </w:tabs>
      <w:spacing w:before="240"/>
      <w:ind w:left="1814" w:hanging="567"/>
    </w:pPr>
    <w:rPr>
      <w:bCs/>
      <w:lang w:val="fr-CA"/>
    </w:rPr>
  </w:style>
  <w:style w:type="paragraph" w:styleId="TOC2">
    <w:name w:val="toc 2"/>
    <w:basedOn w:val="Normal"/>
    <w:next w:val="Normal"/>
    <w:unhideWhenUsed/>
    <w:rsid w:val="00375D74"/>
    <w:pPr>
      <w:tabs>
        <w:tab w:val="clear" w:pos="1814"/>
        <w:tab w:val="clear" w:pos="2948"/>
        <w:tab w:val="clear" w:pos="3515"/>
        <w:tab w:val="right" w:leader="dot" w:pos="9486"/>
      </w:tabs>
      <w:ind w:left="2381" w:hanging="567"/>
    </w:pPr>
    <w:rPr>
      <w:lang w:val="fr-CA"/>
    </w:rPr>
  </w:style>
  <w:style w:type="paragraph" w:styleId="TOC3">
    <w:name w:val="toc 3"/>
    <w:basedOn w:val="Normal"/>
    <w:next w:val="Normal"/>
    <w:unhideWhenUsed/>
    <w:rsid w:val="00375D74"/>
    <w:pPr>
      <w:tabs>
        <w:tab w:val="clear" w:pos="1814"/>
        <w:tab w:val="clear" w:pos="2381"/>
        <w:tab w:val="clear" w:pos="2948"/>
        <w:tab w:val="clear" w:pos="3515"/>
        <w:tab w:val="left" w:pos="4082"/>
        <w:tab w:val="right" w:leader="dot" w:pos="9486"/>
      </w:tabs>
      <w:ind w:left="2948" w:hanging="567"/>
    </w:pPr>
    <w:rPr>
      <w:iCs/>
      <w:lang w:val="fr-CA"/>
    </w:rPr>
  </w:style>
  <w:style w:type="paragraph" w:styleId="TOC4">
    <w:name w:val="toc 4"/>
    <w:basedOn w:val="Normal"/>
    <w:next w:val="Normal"/>
    <w:unhideWhenUsed/>
    <w:rsid w:val="00375D74"/>
    <w:pPr>
      <w:tabs>
        <w:tab w:val="clear" w:pos="1814"/>
        <w:tab w:val="clear" w:pos="2381"/>
        <w:tab w:val="clear" w:pos="2948"/>
        <w:tab w:val="clear" w:pos="3515"/>
        <w:tab w:val="left" w:pos="1000"/>
        <w:tab w:val="left" w:pos="4082"/>
        <w:tab w:val="right" w:leader="dot" w:pos="9486"/>
      </w:tabs>
      <w:ind w:left="3515" w:hanging="567"/>
    </w:pPr>
    <w:rPr>
      <w:szCs w:val="18"/>
      <w:lang w:val="fr-CA"/>
    </w:rPr>
  </w:style>
  <w:style w:type="paragraph" w:styleId="TOC5">
    <w:name w:val="toc 5"/>
    <w:basedOn w:val="Normal"/>
    <w:next w:val="Normal"/>
    <w:autoRedefine/>
    <w:rsid w:val="00375D74"/>
    <w:pPr>
      <w:tabs>
        <w:tab w:val="clear" w:pos="1814"/>
        <w:tab w:val="clear" w:pos="2381"/>
        <w:tab w:val="clear" w:pos="2948"/>
        <w:tab w:val="clear" w:pos="3515"/>
      </w:tabs>
      <w:ind w:left="800"/>
    </w:pPr>
    <w:rPr>
      <w:sz w:val="18"/>
      <w:szCs w:val="18"/>
    </w:rPr>
  </w:style>
  <w:style w:type="paragraph" w:customStyle="1" w:styleId="ZZAnxheader">
    <w:name w:val="ZZ_Anx_header"/>
    <w:basedOn w:val="Normal-pool"/>
    <w:qFormat/>
    <w:rsid w:val="00375D74"/>
    <w:rPr>
      <w:b/>
      <w:bCs/>
      <w:sz w:val="28"/>
      <w:szCs w:val="22"/>
    </w:rPr>
  </w:style>
  <w:style w:type="paragraph" w:customStyle="1" w:styleId="ZZAnxtitle">
    <w:name w:val="ZZ_Anx_title"/>
    <w:basedOn w:val="Normal-pool"/>
    <w:qFormat/>
    <w:rsid w:val="00375D74"/>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375D74"/>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
    <w:name w:val="Footnote-Text"/>
    <w:basedOn w:val="Normal-pool"/>
    <w:rsid w:val="001064A3"/>
    <w:pPr>
      <w:spacing w:before="20" w:after="40"/>
      <w:ind w:left="1247"/>
    </w:pPr>
    <w:rPr>
      <w:sz w:val="18"/>
      <w:lang w:val="en-US"/>
    </w:rPr>
  </w:style>
  <w:style w:type="character" w:customStyle="1" w:styleId="Normal-poolChar">
    <w:name w:val="Normal-pool Char"/>
    <w:link w:val="Normal-pool"/>
    <w:locked/>
    <w:rsid w:val="001064A3"/>
    <w:rPr>
      <w:lang w:val="ru-RU" w:eastAsia="en-US"/>
    </w:rPr>
  </w:style>
  <w:style w:type="numbering" w:customStyle="1" w:styleId="Normallist111">
    <w:name w:val="Normal_list111"/>
    <w:basedOn w:val="NoList"/>
    <w:rsid w:val="00CB1BE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kalovn\AppData\Local\Microsoft\Windows\INetCache\Content.Outlook\9FA7NKUY\UNEP-MC-COP_RU-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F0FD8-0DF0-43DF-A18B-E3E54A742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32776-3547-499D-8017-9BCDD6635DBC}">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E6D1AA38-59FF-4711-9D7E-96293D41A549}">
  <ds:schemaRefs>
    <ds:schemaRef ds:uri="http://schemas.microsoft.com/sharepoint/v3/contenttype/forms"/>
  </ds:schemaRefs>
</ds:datastoreItem>
</file>

<file path=customXml/itemProps4.xml><?xml version="1.0" encoding="utf-8"?>
<ds:datastoreItem xmlns:ds="http://schemas.openxmlformats.org/officeDocument/2006/customXml" ds:itemID="{1BF751DE-1853-48C5-A75E-4A00751B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UNEP-MC-COP_RU-CORR.dotm</Template>
  <TotalTime>0</TotalTime>
  <Pages>3</Pages>
  <Words>912</Words>
  <Characters>6128</Characters>
  <Application>Microsoft Office Word</Application>
  <DocSecurity>0</DocSecurity>
  <Lines>94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2022-07-12T05:53:00Z</dcterms:created>
  <dcterms:modified xsi:type="dcterms:W3CDTF">2022-11-14T11:38:00Z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0x010100B02834EECE41684AACCF26BD9C8A42B6</vt:lpwstr>
  </property>
  <property fmtid="{D5CDD505-2E9C-101B-9397-08002B2CF9AE}" pid="3" name="MediaServiceImageTags">
    <vt:lpwstr/>
  </property>
</Properties>
</file>